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both"/>
        <w:rPr>
          <w:rFonts w:ascii="Times New Roman" w:hAnsi="Times New Roman" w:eastAsia="Times New Roman" w:cs="Times New Roman"/>
          <w:sz w:val="32"/>
          <w:szCs w:val="32"/>
          <w:lang w:val="en-GB"/>
        </w:rPr>
      </w:pPr>
      <w:r>
        <w:rPr>
          <w:rFonts w:eastAsia="Times New Roman" w:cs="Times New Roman"/>
          <w:sz w:val="32"/>
          <w:szCs w:val="32"/>
          <w:lang w:val="en-GB"/>
        </w:rPr>
        <w:drawing>
          <wp:anchor behindDoc="0" distT="0" distB="0" distL="114300" distR="114300" simplePos="0" locked="0" layoutInCell="1" allowOverlap="1" relativeHeight="2">
            <wp:simplePos x="0" y="0"/>
            <wp:positionH relativeFrom="column">
              <wp:posOffset>1743075</wp:posOffset>
            </wp:positionH>
            <wp:positionV relativeFrom="paragraph">
              <wp:posOffset>635</wp:posOffset>
            </wp:positionV>
            <wp:extent cx="2466975" cy="1447800"/>
            <wp:effectExtent l="0" t="0" r="0" b="0"/>
            <wp:wrapTopAndBottom/>
            <wp:docPr id="1"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
                    <pic:cNvPicPr>
                      <a:picLocks noChangeAspect="1" noChangeArrowheads="1"/>
                    </pic:cNvPicPr>
                  </pic:nvPicPr>
                  <pic:blipFill>
                    <a:blip r:embed="rId2"/>
                    <a:stretch>
                      <a:fillRect/>
                    </a:stretch>
                  </pic:blipFill>
                  <pic:spPr bwMode="auto">
                    <a:xfrm>
                      <a:off x="0" y="0"/>
                      <a:ext cx="2466975" cy="1447800"/>
                    </a:xfrm>
                    <a:prstGeom prst="rect">
                      <a:avLst/>
                    </a:prstGeom>
                  </pic:spPr>
                </pic:pic>
              </a:graphicData>
            </a:graphic>
          </wp:anchor>
        </w:drawing>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sz w:val="52"/>
          <w:szCs w:val="52"/>
        </w:rPr>
      </w:pPr>
      <w:r>
        <w:rPr>
          <w:rFonts w:eastAsia="Times New Roman" w:cs="Times New Roman" w:ascii="Times New Roman" w:hAnsi="Times New Roman"/>
          <w:b/>
          <w:sz w:val="52"/>
          <w:szCs w:val="52"/>
          <w:lang w:val="en-GB"/>
        </w:rPr>
        <w:t xml:space="preserve">MANAGEMENT ACCOUNTING </w:t>
      </w:r>
    </w:p>
    <w:p>
      <w:pPr>
        <w:pStyle w:val="Normal1"/>
        <w:spacing w:lineRule="auto" w:line="360"/>
        <w:jc w:val="center"/>
        <w:rPr>
          <w:rFonts w:ascii="Times New Roman" w:hAnsi="Times New Roman" w:eastAsia="Times New Roman" w:cs="Times New Roman"/>
          <w:b/>
          <w:b/>
          <w:sz w:val="56"/>
          <w:szCs w:val="56"/>
          <w:lang w:val="en-GB"/>
        </w:rPr>
      </w:pPr>
      <w:r>
        <w:rPr>
          <w:rFonts w:eastAsia="Times New Roman" w:cs="Times New Roman" w:ascii="Times New Roman" w:hAnsi="Times New Roman"/>
          <w:b/>
          <w:sz w:val="56"/>
          <w:szCs w:val="56"/>
          <w:lang w:val="en-GB"/>
        </w:rPr>
      </w:r>
    </w:p>
    <w:p>
      <w:pPr>
        <w:pStyle w:val="Normal1"/>
        <w:spacing w:lineRule="auto" w:line="360"/>
        <w:jc w:val="center"/>
        <w:rPr/>
      </w:pPr>
      <w:r>
        <w:rPr>
          <w:rFonts w:eastAsia="Times New Roman" w:cs="Times New Roman" w:ascii="Times New Roman" w:hAnsi="Times New Roman"/>
          <w:b/>
          <w:sz w:val="56"/>
          <w:szCs w:val="56"/>
          <w:lang w:val="en-GB"/>
        </w:rPr>
        <w:t xml:space="preserve">Management </w:t>
      </w:r>
      <w:r>
        <w:rPr>
          <w:rFonts w:eastAsia="Times New Roman" w:cs="Times New Roman" w:ascii="Times New Roman" w:hAnsi="Times New Roman"/>
          <w:b/>
          <w:sz w:val="52"/>
          <w:szCs w:val="52"/>
          <w:lang w:val="en-GB"/>
        </w:rPr>
        <w:t xml:space="preserve">Accounting </w:t>
      </w:r>
    </w:p>
    <w:p>
      <w:pPr>
        <w:pStyle w:val="Normal1"/>
        <w:spacing w:lineRule="auto" w:line="360"/>
        <w:jc w:val="center"/>
        <w:rPr/>
      </w:pPr>
      <w:r>
        <w:rPr>
          <w:rFonts w:eastAsia="Times New Roman" w:cs="Times New Roman" w:ascii="Times New Roman" w:hAnsi="Times New Roman"/>
          <w:b/>
          <w:sz w:val="52"/>
          <w:szCs w:val="52"/>
          <w:lang w:val="en-GB"/>
        </w:rPr>
        <w:t>Assessment  2</w:t>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right"/>
        <w:rPr/>
      </w:pPr>
      <w:r>
        <w:rPr>
          <w:rFonts w:eastAsia="Times New Roman" w:cs="Times New Roman" w:ascii="Times New Roman" w:hAnsi="Times New Roman"/>
          <w:b/>
          <w:sz w:val="32"/>
          <w:szCs w:val="32"/>
          <w:lang w:val="en-GB"/>
        </w:rPr>
        <w:t>Name student: ANA BAICU</w:t>
      </w:r>
    </w:p>
    <w:p>
      <w:pPr>
        <w:pStyle w:val="Normal1"/>
        <w:spacing w:lineRule="auto" w:line="360"/>
        <w:jc w:val="right"/>
        <w:rPr/>
      </w:pPr>
      <w:r>
        <w:rPr>
          <w:rFonts w:eastAsia="Times New Roman" w:cs="Times New Roman" w:ascii="Times New Roman" w:hAnsi="Times New Roman"/>
          <w:b/>
          <w:sz w:val="32"/>
          <w:szCs w:val="32"/>
          <w:lang w:val="en-GB"/>
        </w:rPr>
        <w:t>Student Number: 2012401</w:t>
      </w:r>
    </w:p>
    <w:p>
      <w:pPr>
        <w:pStyle w:val="Normal1"/>
        <w:spacing w:lineRule="auto" w:line="360"/>
        <w:jc w:val="right"/>
        <w:rPr/>
      </w:pPr>
      <w:r>
        <w:rPr>
          <w:rFonts w:eastAsia="Times New Roman" w:cs="Times New Roman" w:ascii="Times New Roman" w:hAnsi="Times New Roman"/>
          <w:b/>
          <w:sz w:val="32"/>
          <w:szCs w:val="32"/>
          <w:lang w:val="en-GB"/>
        </w:rPr>
        <w:t>Module cod: LCBB5002</w:t>
      </w:r>
    </w:p>
    <w:p>
      <w:pPr>
        <w:pStyle w:val="Normal1"/>
        <w:spacing w:lineRule="auto" w:line="360"/>
        <w:jc w:val="right"/>
        <w:rPr/>
      </w:pPr>
      <w:r>
        <w:rPr>
          <w:rFonts w:eastAsia="Times New Roman" w:cs="Times New Roman" w:ascii="Times New Roman" w:hAnsi="Times New Roman"/>
          <w:b/>
          <w:bCs/>
          <w:sz w:val="32"/>
          <w:szCs w:val="32"/>
          <w:u w:val="single"/>
          <w:lang w:val="en-GB"/>
        </w:rPr>
        <w:t>Module lecturer’s name: Winifred Soribe</w:t>
      </w:r>
    </w:p>
    <w:p>
      <w:pPr>
        <w:pStyle w:val="Normal1"/>
        <w:spacing w:lineRule="auto" w:line="360"/>
        <w:jc w:val="right"/>
        <w:rPr>
          <w:rFonts w:ascii="Times New Roman" w:hAnsi="Times New Roman" w:eastAsia="Times New Roman" w:cs="Times New Roman"/>
          <w:b/>
          <w:b/>
          <w:bCs/>
          <w:sz w:val="32"/>
          <w:szCs w:val="32"/>
          <w:u w:val="single"/>
          <w:lang w:val="en-GB"/>
        </w:rPr>
      </w:pPr>
      <w:r>
        <w:rPr>
          <w:rFonts w:eastAsia="Times New Roman" w:cs="Times New Roman" w:ascii="Times New Roman" w:hAnsi="Times New Roman"/>
          <w:b/>
          <w:bCs/>
          <w:sz w:val="32"/>
          <w:szCs w:val="32"/>
          <w:u w:val="single"/>
          <w:lang w:val="en-GB"/>
        </w:rPr>
      </w:r>
    </w:p>
    <w:p>
      <w:pPr>
        <w:pStyle w:val="Normal1"/>
        <w:spacing w:lineRule="auto" w:line="360"/>
        <w:jc w:val="right"/>
        <w:rPr>
          <w:rFonts w:ascii="Times New Roman" w:hAnsi="Times New Roman" w:eastAsia="Times New Roman" w:cs="Times New Roman"/>
          <w:b/>
          <w:b/>
          <w:bCs/>
          <w:sz w:val="32"/>
          <w:szCs w:val="32"/>
          <w:u w:val="single"/>
          <w:lang w:val="en-GB"/>
        </w:rPr>
      </w:pPr>
      <w:r>
        <w:rPr>
          <w:rFonts w:eastAsia="Times New Roman" w:cs="Times New Roman" w:ascii="Times New Roman" w:hAnsi="Times New Roman"/>
          <w:b/>
          <w:bCs/>
          <w:sz w:val="32"/>
          <w:szCs w:val="32"/>
          <w:u w:val="single"/>
          <w:lang w:val="en-GB"/>
        </w:rPr>
      </w:r>
    </w:p>
    <w:p>
      <w:pPr>
        <w:pStyle w:val="Normal1"/>
        <w:spacing w:lineRule="auto" w:line="360"/>
        <w:jc w:val="right"/>
        <w:rPr>
          <w:rFonts w:ascii="Times New Roman" w:hAnsi="Times New Roman" w:eastAsia="Times New Roman" w:cs="Times New Roman"/>
          <w:b/>
          <w:b/>
          <w:bCs/>
          <w:sz w:val="32"/>
          <w:szCs w:val="32"/>
          <w:u w:val="single"/>
          <w:lang w:val="en-GB"/>
        </w:rPr>
      </w:pPr>
      <w:r>
        <w:rPr>
          <w:rFonts w:eastAsia="Times New Roman" w:cs="Times New Roman" w:ascii="Times New Roman" w:hAnsi="Times New Roman"/>
          <w:b/>
          <w:bCs/>
          <w:sz w:val="32"/>
          <w:szCs w:val="32"/>
          <w:u w:val="single"/>
          <w:lang w:val="en-GB"/>
        </w:rPr>
      </w:r>
    </w:p>
    <w:p>
      <w:pPr>
        <w:pStyle w:val="Normal1"/>
        <w:spacing w:lineRule="auto" w:line="360"/>
        <w:jc w:val="right"/>
        <w:rPr/>
      </w:pPr>
      <w:r>
        <w:rPr>
          <w:rFonts w:cs="Times New Roman" w:ascii="Times New Roman" w:hAnsi="Times New Roman"/>
          <w:b/>
          <w:bCs/>
          <w:color w:val="auto"/>
        </w:rPr>
        <w:t>Contents</w:t>
      </w:r>
    </w:p>
    <w:p>
      <w:pPr>
        <w:sectPr>
          <w:type w:val="nextPage"/>
          <w:pgSz w:w="11906" w:h="16838"/>
          <w:pgMar w:left="1440" w:right="1440" w:header="0" w:top="1440" w:footer="0" w:bottom="1440" w:gutter="0"/>
          <w:pgNumType w:fmt="decimal"/>
          <w:formProt w:val="false"/>
          <w:textDirection w:val="lrTb"/>
          <w:docGrid w:type="default" w:linePitch="360" w:charSpace="0"/>
        </w:sectPr>
      </w:pPr>
    </w:p>
    <w:p>
      <w:pPr>
        <w:pStyle w:val="Normal1"/>
        <w:spacing w:lineRule="auto" w:line="360"/>
        <w:jc w:val="right"/>
        <w:rPr>
          <w:rFonts w:ascii="Times New Roman" w:hAnsi="Times New Roman" w:cs="Times New Roman"/>
          <w:b/>
          <w:b/>
          <w:bCs/>
          <w:color w:val="auto"/>
        </w:rPr>
      </w:pPr>
      <w:r>
        <w:rPr/>
      </w:r>
    </w:p>
    <w:sdt>
      <w:sdtPr>
        <w:docPartObj>
          <w:docPartGallery w:val="Table of Contents"/>
          <w:docPartUnique w:val="true"/>
        </w:docPartObj>
      </w:sdtPr>
      <w:sdtContent>
        <w:p>
          <w:pPr>
            <w:pStyle w:val="Contents1"/>
            <w:tabs>
              <w:tab w:val="clear" w:pos="720"/>
              <w:tab w:val="right" w:pos="9016" w:leader="dot"/>
            </w:tabs>
            <w:spacing w:lineRule="auto" w:line="360"/>
            <w:rPr>
              <w:rFonts w:cs="Times New Roman"/>
            </w:rPr>
          </w:pPr>
          <w:r>
            <w:fldChar w:fldCharType="begin"/>
          </w:r>
          <w:r>
            <w:rPr>
              <w:webHidden/>
              <w:rStyle w:val="IndexLink"/>
              <w:vanish w:val="false"/>
              <w:rFonts w:cs="Times New Roman"/>
            </w:rPr>
            <w:instrText> TOC \z \o "1-3" \u \h</w:instrText>
          </w:r>
          <w:r>
            <w:rPr>
              <w:webHidden/>
              <w:rStyle w:val="IndexLink"/>
              <w:vanish w:val="false"/>
              <w:rFonts w:cs="Times New Roman"/>
            </w:rPr>
            <w:fldChar w:fldCharType="separate"/>
          </w:r>
          <w:hyperlink w:anchor="_Toc87602730">
            <w:r>
              <w:rPr>
                <w:webHidden/>
                <w:rStyle w:val="IndexLink"/>
                <w:rFonts w:cs="Times New Roman"/>
                <w:vanish w:val="false"/>
                <w:color w:val="auto"/>
              </w:rPr>
              <w:t>Introduction</w:t>
            </w:r>
            <w:r>
              <w:rPr>
                <w:webHidden/>
              </w:rPr>
              <w:fldChar w:fldCharType="begin"/>
            </w:r>
            <w:r>
              <w:rPr>
                <w:webHidden/>
              </w:rPr>
              <w:instrText>PAGEREF _Toc87602730 \h</w:instrText>
            </w:r>
            <w:r>
              <w:rPr>
                <w:webHidden/>
              </w:rPr>
              <w:fldChar w:fldCharType="separate"/>
            </w:r>
            <w:r>
              <w:rPr>
                <w:rStyle w:val="IndexLink"/>
                <w:rFonts w:cs="Times New Roman"/>
                <w:vanish w:val="false"/>
              </w:rPr>
              <w:tab/>
              <w:t>3</w:t>
            </w:r>
            <w:r>
              <w:rPr>
                <w:webHidden/>
              </w:rPr>
              <w:fldChar w:fldCharType="end"/>
            </w:r>
          </w:hyperlink>
        </w:p>
        <w:p>
          <w:pPr>
            <w:pStyle w:val="Contents1"/>
            <w:tabs>
              <w:tab w:val="clear" w:pos="720"/>
              <w:tab w:val="right" w:pos="9016" w:leader="dot"/>
            </w:tabs>
            <w:spacing w:lineRule="auto" w:line="360"/>
            <w:rPr>
              <w:rFonts w:cs="Times New Roman"/>
            </w:rPr>
          </w:pPr>
          <w:hyperlink w:anchor="_Toc87602731">
            <w:r>
              <w:rPr>
                <w:webHidden/>
                <w:rStyle w:val="IndexLink"/>
                <w:rFonts w:cs="Times New Roman"/>
                <w:vanish w:val="false"/>
                <w:color w:val="auto"/>
              </w:rPr>
              <w:t>The monthly control report for Amana Ltd</w:t>
            </w:r>
            <w:r>
              <w:rPr>
                <w:webHidden/>
              </w:rPr>
              <w:fldChar w:fldCharType="begin"/>
            </w:r>
            <w:r>
              <w:rPr>
                <w:webHidden/>
              </w:rPr>
              <w:instrText>PAGEREF _Toc87602731 \h</w:instrText>
            </w:r>
            <w:r>
              <w:rPr>
                <w:webHidden/>
              </w:rPr>
              <w:fldChar w:fldCharType="separate"/>
            </w:r>
            <w:r>
              <w:rPr>
                <w:rStyle w:val="IndexLink"/>
                <w:rFonts w:cs="Times New Roman"/>
                <w:vanish w:val="false"/>
              </w:rPr>
              <w:tab/>
              <w:t>4</w:t>
            </w:r>
            <w:r>
              <w:rPr>
                <w:webHidden/>
              </w:rPr>
              <w:fldChar w:fldCharType="end"/>
            </w:r>
          </w:hyperlink>
        </w:p>
        <w:p>
          <w:pPr>
            <w:pStyle w:val="Contents1"/>
            <w:tabs>
              <w:tab w:val="clear" w:pos="720"/>
              <w:tab w:val="right" w:pos="9016" w:leader="dot"/>
            </w:tabs>
            <w:spacing w:lineRule="auto" w:line="360"/>
            <w:rPr>
              <w:rFonts w:cs="Times New Roman"/>
            </w:rPr>
          </w:pPr>
          <w:hyperlink w:anchor="_Toc87602732">
            <w:r>
              <w:rPr>
                <w:webHidden/>
                <w:rStyle w:val="IndexLink"/>
                <w:rFonts w:cs="Times New Roman"/>
                <w:vanish w:val="false"/>
                <w:color w:val="auto"/>
              </w:rPr>
              <w:t>A report on Amana’s performance during the year 2020</w:t>
            </w:r>
            <w:r>
              <w:rPr>
                <w:webHidden/>
              </w:rPr>
              <w:fldChar w:fldCharType="begin"/>
            </w:r>
            <w:r>
              <w:rPr>
                <w:webHidden/>
              </w:rPr>
              <w:instrText>PAGEREF _Toc87602732 \h</w:instrText>
            </w:r>
            <w:r>
              <w:rPr>
                <w:webHidden/>
              </w:rPr>
              <w:fldChar w:fldCharType="separate"/>
            </w:r>
            <w:r>
              <w:rPr>
                <w:rStyle w:val="IndexLink"/>
                <w:rFonts w:cs="Times New Roman"/>
                <w:vanish w:val="false"/>
              </w:rPr>
              <w:tab/>
              <w:t>5</w:t>
            </w:r>
            <w:r>
              <w:rPr>
                <w:webHidden/>
              </w:rPr>
              <w:fldChar w:fldCharType="end"/>
            </w:r>
          </w:hyperlink>
        </w:p>
        <w:p>
          <w:pPr>
            <w:pStyle w:val="Contents1"/>
            <w:tabs>
              <w:tab w:val="clear" w:pos="720"/>
              <w:tab w:val="right" w:pos="9016" w:leader="dot"/>
            </w:tabs>
            <w:spacing w:lineRule="auto" w:line="360"/>
            <w:rPr>
              <w:rFonts w:cs="Times New Roman"/>
            </w:rPr>
          </w:pPr>
          <w:hyperlink w:anchor="_Toc87602733">
            <w:r>
              <w:rPr>
                <w:webHidden/>
                <w:rStyle w:val="IndexLink"/>
                <w:rFonts w:cs="Times New Roman"/>
                <w:vanish w:val="false"/>
                <w:color w:val="auto"/>
              </w:rPr>
              <w:t>The recommendation for Amana Ltd</w:t>
            </w:r>
            <w:r>
              <w:rPr>
                <w:webHidden/>
              </w:rPr>
              <w:fldChar w:fldCharType="begin"/>
            </w:r>
            <w:r>
              <w:rPr>
                <w:webHidden/>
              </w:rPr>
              <w:instrText>PAGEREF _Toc87602733 \h</w:instrText>
            </w:r>
            <w:r>
              <w:rPr>
                <w:webHidden/>
              </w:rPr>
              <w:fldChar w:fldCharType="separate"/>
            </w:r>
            <w:r>
              <w:rPr>
                <w:rStyle w:val="IndexLink"/>
                <w:rFonts w:cs="Times New Roman"/>
                <w:vanish w:val="false"/>
              </w:rPr>
              <w:tab/>
              <w:t>7</w:t>
            </w:r>
            <w:r>
              <w:rPr>
                <w:webHidden/>
              </w:rPr>
              <w:fldChar w:fldCharType="end"/>
            </w:r>
          </w:hyperlink>
        </w:p>
        <w:p>
          <w:pPr>
            <w:pStyle w:val="Contents1"/>
            <w:tabs>
              <w:tab w:val="clear" w:pos="720"/>
              <w:tab w:val="right" w:pos="9016" w:leader="dot"/>
            </w:tabs>
            <w:spacing w:lineRule="auto" w:line="360"/>
            <w:rPr>
              <w:rFonts w:cs="Times New Roman"/>
            </w:rPr>
          </w:pPr>
          <w:hyperlink w:anchor="_Toc87602734">
            <w:r>
              <w:rPr>
                <w:webHidden/>
                <w:rStyle w:val="IndexLink"/>
                <w:rFonts w:cs="Times New Roman"/>
                <w:vanish w:val="false"/>
                <w:color w:val="auto"/>
              </w:rPr>
              <w:t>Relevant cost in decision making</w:t>
            </w:r>
            <w:r>
              <w:rPr>
                <w:webHidden/>
              </w:rPr>
              <w:fldChar w:fldCharType="begin"/>
            </w:r>
            <w:r>
              <w:rPr>
                <w:webHidden/>
              </w:rPr>
              <w:instrText>PAGEREF _Toc87602734 \h</w:instrText>
            </w:r>
            <w:r>
              <w:rPr>
                <w:webHidden/>
              </w:rPr>
              <w:fldChar w:fldCharType="separate"/>
            </w:r>
            <w:r>
              <w:rPr>
                <w:rStyle w:val="IndexLink"/>
                <w:rFonts w:cs="Times New Roman"/>
                <w:vanish w:val="false"/>
              </w:rPr>
              <w:tab/>
              <w:t>8</w:t>
            </w:r>
            <w:r>
              <w:rPr>
                <w:webHidden/>
              </w:rPr>
              <w:fldChar w:fldCharType="end"/>
            </w:r>
          </w:hyperlink>
        </w:p>
        <w:p>
          <w:pPr>
            <w:pStyle w:val="Contents1"/>
            <w:tabs>
              <w:tab w:val="clear" w:pos="720"/>
              <w:tab w:val="right" w:pos="9016" w:leader="dot"/>
            </w:tabs>
            <w:spacing w:lineRule="auto" w:line="360"/>
            <w:rPr>
              <w:rFonts w:cs="Times New Roman"/>
            </w:rPr>
          </w:pPr>
          <w:hyperlink w:anchor="_Toc87602735">
            <w:r>
              <w:rPr>
                <w:webHidden/>
                <w:rStyle w:val="IndexLink"/>
                <w:rFonts w:cs="Times New Roman"/>
                <w:vanish w:val="false"/>
                <w:color w:val="auto"/>
              </w:rPr>
              <w:t>An evaluation of the decision to go online</w:t>
            </w:r>
            <w:r>
              <w:rPr>
                <w:webHidden/>
              </w:rPr>
              <w:fldChar w:fldCharType="begin"/>
            </w:r>
            <w:r>
              <w:rPr>
                <w:webHidden/>
              </w:rPr>
              <w:instrText>PAGEREF _Toc87602735 \h</w:instrText>
            </w:r>
            <w:r>
              <w:rPr>
                <w:webHidden/>
              </w:rPr>
              <w:fldChar w:fldCharType="separate"/>
            </w:r>
            <w:r>
              <w:rPr>
                <w:rStyle w:val="IndexLink"/>
                <w:rFonts w:cs="Times New Roman"/>
                <w:vanish w:val="false"/>
              </w:rPr>
              <w:tab/>
              <w:t>8</w:t>
            </w:r>
            <w:r>
              <w:rPr>
                <w:webHidden/>
              </w:rPr>
              <w:fldChar w:fldCharType="end"/>
            </w:r>
          </w:hyperlink>
        </w:p>
        <w:p>
          <w:pPr>
            <w:pStyle w:val="Contents1"/>
            <w:tabs>
              <w:tab w:val="clear" w:pos="720"/>
              <w:tab w:val="right" w:pos="9016" w:leader="dot"/>
            </w:tabs>
            <w:spacing w:lineRule="auto" w:line="360"/>
            <w:rPr>
              <w:rFonts w:cs="Times New Roman"/>
            </w:rPr>
          </w:pPr>
          <w:hyperlink w:anchor="_Toc87602736">
            <w:r>
              <w:rPr>
                <w:webHidden/>
                <w:rStyle w:val="IndexLink"/>
                <w:rFonts w:cs="Times New Roman"/>
                <w:vanish w:val="false"/>
                <w:color w:val="auto"/>
              </w:rPr>
              <w:t>The relevant cost analysis for Amana Ltd for available alternatives</w:t>
            </w:r>
            <w:r>
              <w:rPr>
                <w:webHidden/>
              </w:rPr>
              <w:fldChar w:fldCharType="begin"/>
            </w:r>
            <w:r>
              <w:rPr>
                <w:webHidden/>
              </w:rPr>
              <w:instrText>PAGEREF _Toc87602736 \h</w:instrText>
            </w:r>
            <w:r>
              <w:rPr>
                <w:webHidden/>
              </w:rPr>
              <w:fldChar w:fldCharType="separate"/>
            </w:r>
            <w:r>
              <w:rPr>
                <w:rStyle w:val="IndexLink"/>
                <w:rFonts w:cs="Times New Roman"/>
                <w:vanish w:val="false"/>
              </w:rPr>
              <w:tab/>
              <w:t>9</w:t>
            </w:r>
            <w:r>
              <w:rPr>
                <w:webHidden/>
              </w:rPr>
              <w:fldChar w:fldCharType="end"/>
            </w:r>
          </w:hyperlink>
        </w:p>
        <w:p>
          <w:pPr>
            <w:pStyle w:val="Contents1"/>
            <w:tabs>
              <w:tab w:val="clear" w:pos="720"/>
              <w:tab w:val="right" w:pos="9016" w:leader="dot"/>
            </w:tabs>
            <w:spacing w:lineRule="auto" w:line="360"/>
            <w:rPr>
              <w:rFonts w:cs="Times New Roman"/>
            </w:rPr>
          </w:pPr>
          <w:hyperlink w:anchor="_Toc87602737">
            <w:r>
              <w:rPr>
                <w:webHidden/>
                <w:rStyle w:val="IndexLink"/>
                <w:rFonts w:cs="Times New Roman"/>
                <w:vanish w:val="false"/>
                <w:color w:val="auto"/>
              </w:rPr>
              <w:t>Conclusion</w:t>
            </w:r>
            <w:r>
              <w:rPr>
                <w:webHidden/>
              </w:rPr>
              <w:fldChar w:fldCharType="begin"/>
            </w:r>
            <w:r>
              <w:rPr>
                <w:webHidden/>
              </w:rPr>
              <w:instrText>PAGEREF _Toc87602737 \h</w:instrText>
            </w:r>
            <w:r>
              <w:rPr>
                <w:webHidden/>
              </w:rPr>
              <w:fldChar w:fldCharType="separate"/>
            </w:r>
            <w:r>
              <w:rPr>
                <w:rStyle w:val="IndexLink"/>
                <w:rFonts w:cs="Times New Roman"/>
                <w:vanish w:val="false"/>
              </w:rPr>
              <w:tab/>
              <w:t>12</w:t>
            </w:r>
            <w:r>
              <w:rPr>
                <w:webHidden/>
              </w:rPr>
              <w:fldChar w:fldCharType="end"/>
            </w:r>
          </w:hyperlink>
        </w:p>
        <w:p>
          <w:pPr>
            <w:pStyle w:val="Contents1"/>
            <w:tabs>
              <w:tab w:val="clear" w:pos="720"/>
              <w:tab w:val="right" w:pos="9016" w:leader="dot"/>
            </w:tabs>
            <w:spacing w:lineRule="auto" w:line="360"/>
            <w:rPr>
              <w:rFonts w:cs="Times New Roman"/>
            </w:rPr>
          </w:pPr>
          <w:hyperlink w:anchor="_Toc87602738">
            <w:r>
              <w:rPr>
                <w:webHidden/>
                <w:rStyle w:val="IndexLink"/>
                <w:rFonts w:cs="Times New Roman"/>
                <w:vanish w:val="false"/>
                <w:color w:val="auto"/>
              </w:rPr>
              <w:t>References</w:t>
            </w:r>
            <w:r>
              <w:rPr>
                <w:webHidden/>
              </w:rPr>
              <w:fldChar w:fldCharType="begin"/>
            </w:r>
            <w:r>
              <w:rPr>
                <w:webHidden/>
              </w:rPr>
              <w:instrText>PAGEREF _Toc87602738 \h</w:instrText>
            </w:r>
            <w:r>
              <w:rPr>
                <w:webHidden/>
              </w:rPr>
              <w:fldChar w:fldCharType="separate"/>
            </w:r>
            <w:r>
              <w:rPr>
                <w:rStyle w:val="IndexLink"/>
                <w:rFonts w:cs="Times New Roman"/>
                <w:vanish w:val="false"/>
              </w:rPr>
              <w:tab/>
              <w:t>13</w:t>
            </w:r>
            <w:r>
              <w:rPr>
                <w:webHidden/>
              </w:rPr>
              <w:fldChar w:fldCharType="end"/>
            </w:r>
          </w:hyperlink>
        </w:p>
        <w:p>
          <w:pPr>
            <w:pStyle w:val="Normal"/>
            <w:spacing w:lineRule="auto" w:line="360"/>
            <w:rPr>
              <w:rFonts w:cs="Times New Roman"/>
            </w:rPr>
          </w:pPr>
          <w:r>
            <w:rPr>
              <w:rFonts w:cs="Times New Roman"/>
            </w:rPr>
          </w:r>
          <w:r>
            <w:rPr>
              <w:rFonts w:cs="Times New Roman"/>
            </w:rPr>
            <w:fldChar w:fldCharType="end"/>
          </w:r>
        </w:p>
        <w:p>
          <w:pPr>
            <w:sectPr>
              <w:type w:val="continuous"/>
              <w:pgSz w:w="11906" w:h="16838"/>
              <w:pgMar w:left="1440" w:right="1440" w:header="0" w:top="1440" w:footer="0" w:bottom="1440" w:gutter="0"/>
              <w:formProt w:val="false"/>
              <w:textDirection w:val="lrTb"/>
              <w:docGrid w:type="default" w:linePitch="360" w:charSpace="0"/>
            </w:sectPr>
          </w:pPr>
        </w:p>
      </w:sdtContent>
    </w:sdt>
    <w:p>
      <w:pPr>
        <w:pStyle w:val="Normal"/>
        <w:spacing w:lineRule="auto" w:line="360"/>
        <w:jc w:val="left"/>
        <w:rPr>
          <w:rFonts w:cs="Times New Roman"/>
          <w:szCs w:val="24"/>
        </w:rPr>
      </w:pPr>
      <w:r>
        <w:rPr>
          <w:rFonts w:cs="Times New Roman"/>
          <w:szCs w:val="24"/>
        </w:rPr>
      </w:r>
      <w:r>
        <w:br w:type="page"/>
      </w:r>
    </w:p>
    <w:p>
      <w:pPr>
        <w:pStyle w:val="Heading1"/>
        <w:rPr>
          <w:rFonts w:cs="Times New Roman"/>
        </w:rPr>
      </w:pPr>
      <w:bookmarkStart w:id="0" w:name="_Toc87602730"/>
      <w:r>
        <w:rPr>
          <w:rFonts w:cs="Times New Roman"/>
        </w:rPr>
        <w:t>Introduction</w:t>
      </w:r>
      <w:bookmarkEnd w:id="0"/>
    </w:p>
    <w:p>
      <w:pPr>
        <w:pStyle w:val="Normal"/>
        <w:spacing w:lineRule="auto" w:line="360"/>
        <w:rPr>
          <w:rFonts w:cs="Times New Roman"/>
          <w:szCs w:val="24"/>
        </w:rPr>
      </w:pPr>
      <w:r>
        <w:rPr>
          <w:rFonts w:cs="Times New Roman"/>
          <w:szCs w:val="24"/>
        </w:rPr>
        <w:t>Management accounting is a branch of accounting that identify relevant information, analyse them and helps the manager in making the appropriate decision for the business (Hansen and Mowen, 2017). It deals with both financial and non-financial data in terms of making a decision. There is a wide range of applications of management accounting in an organisational context. This report has two-part. The first part includes an original budget, flexible budget and variances in the budget for Amana Ltd. It also discusses the reasons for these variances and makes some recommendations for the area of improvement. In the second part, the relevant information for the decision of going online and setting up an online shop has been analysed.</w:t>
      </w:r>
      <w:r>
        <w:br w:type="page"/>
      </w:r>
    </w:p>
    <w:p>
      <w:pPr>
        <w:pStyle w:val="Title"/>
        <w:spacing w:lineRule="auto" w:line="360"/>
        <w:rPr>
          <w:rFonts w:ascii="Times New Roman" w:hAnsi="Times New Roman" w:cs="Times New Roman"/>
        </w:rPr>
      </w:pPr>
      <w:r>
        <w:rPr>
          <w:rFonts w:cs="Times New Roman" w:ascii="Times New Roman" w:hAnsi="Times New Roman"/>
        </w:rPr>
        <w:t>Part A</w:t>
      </w:r>
    </w:p>
    <w:p>
      <w:pPr>
        <w:pStyle w:val="Heading1"/>
        <w:rPr>
          <w:rFonts w:cs="Times New Roman"/>
        </w:rPr>
      </w:pPr>
      <w:bookmarkStart w:id="1" w:name="_Toc87602731"/>
      <w:r>
        <w:rPr>
          <w:rFonts w:cs="Times New Roman"/>
        </w:rPr>
        <w:t>The monthly control report for Amana Ltd</w:t>
      </w:r>
      <w:bookmarkEnd w:id="1"/>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1408"/>
        <w:gridCol w:w="1266"/>
        <w:gridCol w:w="1266"/>
        <w:gridCol w:w="1125"/>
        <w:gridCol w:w="1264"/>
        <w:gridCol w:w="1090"/>
        <w:gridCol w:w="1596"/>
      </w:tblGrid>
      <w:tr>
        <w:trPr/>
        <w:tc>
          <w:tcPr>
            <w:tcW w:w="1408" w:type="dxa"/>
            <w:tcBorders/>
            <w:shd w:fill="auto" w:val="clear"/>
          </w:tcPr>
          <w:p>
            <w:pPr>
              <w:pStyle w:val="Normal"/>
              <w:spacing w:lineRule="auto" w:line="360" w:before="0" w:after="0"/>
              <w:rPr>
                <w:rFonts w:cs="Times New Roman"/>
                <w:b/>
                <w:b/>
                <w:bCs/>
                <w:szCs w:val="24"/>
              </w:rPr>
            </w:pPr>
            <w:r>
              <w:rPr>
                <w:rFonts w:cs="Times New Roman"/>
                <w:b/>
                <w:bCs/>
                <w:szCs w:val="24"/>
              </w:rPr>
              <w:t>Particulars</w:t>
            </w:r>
          </w:p>
        </w:tc>
        <w:tc>
          <w:tcPr>
            <w:tcW w:w="1266" w:type="dxa"/>
            <w:tcBorders/>
            <w:shd w:fill="auto" w:val="clear"/>
          </w:tcPr>
          <w:p>
            <w:pPr>
              <w:pStyle w:val="Normal"/>
              <w:spacing w:lineRule="auto" w:line="360" w:before="0" w:after="0"/>
              <w:rPr>
                <w:rFonts w:cs="Times New Roman"/>
                <w:b/>
                <w:b/>
                <w:bCs/>
                <w:szCs w:val="24"/>
              </w:rPr>
            </w:pPr>
            <w:r>
              <w:rPr>
                <w:rFonts w:cs="Times New Roman"/>
                <w:b/>
                <w:bCs/>
                <w:szCs w:val="24"/>
              </w:rPr>
              <w:t>Original Budget (i)</w:t>
            </w:r>
          </w:p>
        </w:tc>
        <w:tc>
          <w:tcPr>
            <w:tcW w:w="1266" w:type="dxa"/>
            <w:tcBorders/>
            <w:shd w:fill="auto" w:val="clear"/>
          </w:tcPr>
          <w:p>
            <w:pPr>
              <w:pStyle w:val="Normal"/>
              <w:spacing w:lineRule="auto" w:line="360" w:before="0" w:after="0"/>
              <w:rPr>
                <w:rFonts w:cs="Times New Roman"/>
                <w:b/>
                <w:b/>
                <w:bCs/>
                <w:szCs w:val="24"/>
              </w:rPr>
            </w:pPr>
            <w:r>
              <w:rPr>
                <w:rFonts w:cs="Times New Roman"/>
                <w:b/>
                <w:bCs/>
                <w:szCs w:val="24"/>
              </w:rPr>
              <w:t>Flexed Budget (ii)</w:t>
            </w:r>
          </w:p>
        </w:tc>
        <w:tc>
          <w:tcPr>
            <w:tcW w:w="1125" w:type="dxa"/>
            <w:tcBorders/>
            <w:shd w:fill="auto" w:val="clear"/>
          </w:tcPr>
          <w:p>
            <w:pPr>
              <w:pStyle w:val="Normal"/>
              <w:spacing w:lineRule="auto" w:line="360" w:before="0" w:after="0"/>
              <w:rPr>
                <w:rFonts w:cs="Times New Roman"/>
                <w:b/>
                <w:b/>
                <w:bCs/>
                <w:szCs w:val="24"/>
              </w:rPr>
            </w:pPr>
            <w:r>
              <w:rPr>
                <w:rFonts w:cs="Times New Roman"/>
                <w:b/>
                <w:bCs/>
                <w:szCs w:val="24"/>
              </w:rPr>
              <w:t>Budget Variance</w:t>
            </w:r>
          </w:p>
          <w:p>
            <w:pPr>
              <w:pStyle w:val="Normal"/>
              <w:spacing w:lineRule="auto" w:line="360" w:before="0" w:after="0"/>
              <w:rPr>
                <w:rFonts w:cs="Times New Roman"/>
                <w:b/>
                <w:b/>
                <w:bCs/>
                <w:szCs w:val="24"/>
              </w:rPr>
            </w:pPr>
            <w:r>
              <w:rPr>
                <w:rFonts w:cs="Times New Roman"/>
                <w:b/>
                <w:bCs/>
                <w:szCs w:val="24"/>
              </w:rPr>
              <w:t>(i-ii)</w:t>
            </w:r>
          </w:p>
        </w:tc>
        <w:tc>
          <w:tcPr>
            <w:tcW w:w="1264" w:type="dxa"/>
            <w:tcBorders/>
            <w:shd w:fill="auto" w:val="clear"/>
          </w:tcPr>
          <w:p>
            <w:pPr>
              <w:pStyle w:val="Normal"/>
              <w:spacing w:lineRule="auto" w:line="360" w:before="0" w:after="0"/>
              <w:rPr>
                <w:rFonts w:cs="Times New Roman"/>
                <w:b/>
                <w:b/>
                <w:bCs/>
                <w:szCs w:val="24"/>
              </w:rPr>
            </w:pPr>
            <w:r>
              <w:rPr>
                <w:rFonts w:cs="Times New Roman"/>
                <w:b/>
                <w:bCs/>
                <w:szCs w:val="24"/>
              </w:rPr>
              <w:t>Actual (iii)</w:t>
            </w:r>
          </w:p>
        </w:tc>
        <w:tc>
          <w:tcPr>
            <w:tcW w:w="1090" w:type="dxa"/>
            <w:tcBorders/>
            <w:shd w:fill="auto" w:val="clear"/>
          </w:tcPr>
          <w:p>
            <w:pPr>
              <w:pStyle w:val="Normal"/>
              <w:spacing w:lineRule="auto" w:line="360" w:before="0" w:after="0"/>
              <w:rPr>
                <w:rFonts w:cs="Times New Roman"/>
                <w:b/>
                <w:b/>
                <w:bCs/>
                <w:szCs w:val="24"/>
              </w:rPr>
            </w:pPr>
            <w:r>
              <w:rPr>
                <w:rFonts w:cs="Times New Roman"/>
                <w:b/>
                <w:bCs/>
                <w:szCs w:val="24"/>
              </w:rPr>
              <w:t>Budget variance</w:t>
            </w:r>
          </w:p>
          <w:p>
            <w:pPr>
              <w:pStyle w:val="Normal"/>
              <w:spacing w:lineRule="auto" w:line="360" w:before="0" w:after="0"/>
              <w:rPr>
                <w:rFonts w:cs="Times New Roman"/>
                <w:b/>
                <w:b/>
                <w:bCs/>
                <w:szCs w:val="24"/>
              </w:rPr>
            </w:pPr>
            <w:r>
              <w:rPr>
                <w:rFonts w:cs="Times New Roman"/>
                <w:b/>
                <w:bCs/>
                <w:szCs w:val="24"/>
              </w:rPr>
              <w:t>(ii-iii)</w:t>
            </w:r>
          </w:p>
        </w:tc>
        <w:tc>
          <w:tcPr>
            <w:tcW w:w="1596" w:type="dxa"/>
            <w:tcBorders/>
            <w:shd w:fill="auto" w:val="clear"/>
          </w:tcPr>
          <w:p>
            <w:pPr>
              <w:pStyle w:val="Normal"/>
              <w:spacing w:lineRule="auto" w:line="360" w:before="0" w:after="0"/>
              <w:rPr>
                <w:rFonts w:cs="Times New Roman"/>
                <w:b/>
                <w:b/>
                <w:bCs/>
                <w:szCs w:val="24"/>
              </w:rPr>
            </w:pPr>
            <w:r>
              <w:rPr>
                <w:rFonts w:cs="Times New Roman"/>
                <w:b/>
                <w:bCs/>
                <w:szCs w:val="24"/>
              </w:rPr>
              <w:t>Favourable/ Unfavourable</w:t>
            </w:r>
          </w:p>
        </w:tc>
      </w:tr>
      <w:tr>
        <w:trPr/>
        <w:tc>
          <w:tcPr>
            <w:tcW w:w="1408" w:type="dxa"/>
            <w:tcBorders/>
            <w:shd w:fill="auto" w:val="clear"/>
          </w:tcPr>
          <w:p>
            <w:pPr>
              <w:pStyle w:val="Normal"/>
              <w:spacing w:lineRule="auto" w:line="360" w:before="0" w:after="0"/>
              <w:rPr>
                <w:rFonts w:cs="Times New Roman"/>
                <w:szCs w:val="24"/>
              </w:rPr>
            </w:pPr>
            <w:r>
              <w:rPr>
                <w:rFonts w:cs="Times New Roman"/>
                <w:szCs w:val="24"/>
              </w:rPr>
              <w:t>Units</w:t>
            </w:r>
          </w:p>
        </w:tc>
        <w:tc>
          <w:tcPr>
            <w:tcW w:w="1266" w:type="dxa"/>
            <w:tcBorders/>
            <w:shd w:fill="auto" w:val="clear"/>
          </w:tcPr>
          <w:p>
            <w:pPr>
              <w:pStyle w:val="Normal"/>
              <w:spacing w:lineRule="auto" w:line="360" w:before="0" w:after="0"/>
              <w:rPr>
                <w:rFonts w:cs="Times New Roman"/>
                <w:szCs w:val="24"/>
              </w:rPr>
            </w:pPr>
            <w:r>
              <w:rPr>
                <w:rFonts w:cs="Times New Roman"/>
                <w:szCs w:val="24"/>
              </w:rPr>
              <w:t>100,000</w:t>
            </w:r>
          </w:p>
        </w:tc>
        <w:tc>
          <w:tcPr>
            <w:tcW w:w="1266" w:type="dxa"/>
            <w:tcBorders/>
            <w:shd w:fill="auto" w:val="clear"/>
          </w:tcPr>
          <w:p>
            <w:pPr>
              <w:pStyle w:val="Normal"/>
              <w:spacing w:lineRule="auto" w:line="360" w:before="0" w:after="0"/>
              <w:rPr>
                <w:rFonts w:cs="Times New Roman"/>
                <w:szCs w:val="24"/>
              </w:rPr>
            </w:pPr>
            <w:r>
              <w:rPr>
                <w:rFonts w:cs="Times New Roman"/>
                <w:szCs w:val="24"/>
              </w:rPr>
              <w:t>80,000</w:t>
            </w:r>
          </w:p>
        </w:tc>
        <w:tc>
          <w:tcPr>
            <w:tcW w:w="1125" w:type="dxa"/>
            <w:tcBorders/>
            <w:shd w:fill="auto" w:val="clear"/>
          </w:tcPr>
          <w:p>
            <w:pPr>
              <w:pStyle w:val="Normal"/>
              <w:spacing w:lineRule="auto" w:line="360" w:before="0" w:after="0"/>
              <w:rPr>
                <w:rFonts w:cs="Times New Roman"/>
                <w:szCs w:val="24"/>
              </w:rPr>
            </w:pPr>
            <w:r>
              <w:rPr>
                <w:rFonts w:cs="Times New Roman"/>
                <w:szCs w:val="24"/>
              </w:rPr>
              <w:t>20,000</w:t>
            </w:r>
          </w:p>
        </w:tc>
        <w:tc>
          <w:tcPr>
            <w:tcW w:w="1264" w:type="dxa"/>
            <w:tcBorders/>
            <w:shd w:fill="auto" w:val="clear"/>
          </w:tcPr>
          <w:p>
            <w:pPr>
              <w:pStyle w:val="Normal"/>
              <w:spacing w:lineRule="auto" w:line="360" w:before="0" w:after="0"/>
              <w:rPr>
                <w:rFonts w:cs="Times New Roman"/>
                <w:szCs w:val="24"/>
              </w:rPr>
            </w:pPr>
            <w:r>
              <w:rPr>
                <w:rFonts w:cs="Times New Roman"/>
                <w:szCs w:val="24"/>
              </w:rPr>
              <w:t>80,000</w:t>
            </w:r>
          </w:p>
        </w:tc>
        <w:tc>
          <w:tcPr>
            <w:tcW w:w="1090" w:type="dxa"/>
            <w:tcBorders/>
            <w:shd w:fill="auto" w:val="clear"/>
          </w:tcPr>
          <w:p>
            <w:pPr>
              <w:pStyle w:val="Normal"/>
              <w:spacing w:lineRule="auto" w:line="360" w:before="0" w:after="0"/>
              <w:rPr>
                <w:rFonts w:cs="Times New Roman"/>
                <w:szCs w:val="24"/>
              </w:rPr>
            </w:pPr>
            <w:r>
              <w:rPr>
                <w:rFonts w:cs="Times New Roman"/>
                <w:szCs w:val="24"/>
              </w:rPr>
              <w:t>-</w:t>
            </w:r>
          </w:p>
        </w:tc>
        <w:tc>
          <w:tcPr>
            <w:tcW w:w="1596" w:type="dxa"/>
            <w:tcBorders/>
            <w:shd w:fill="auto" w:val="clear"/>
          </w:tcPr>
          <w:p>
            <w:pPr>
              <w:pStyle w:val="Normal"/>
              <w:spacing w:lineRule="auto" w:line="360" w:before="0" w:after="0"/>
              <w:rPr>
                <w:rFonts w:cs="Times New Roman"/>
                <w:szCs w:val="24"/>
              </w:rPr>
            </w:pPr>
            <w:r>
              <w:rPr>
                <w:rFonts w:cs="Times New Roman"/>
                <w:szCs w:val="24"/>
              </w:rPr>
            </w:r>
          </w:p>
        </w:tc>
      </w:tr>
      <w:tr>
        <w:trPr/>
        <w:tc>
          <w:tcPr>
            <w:tcW w:w="1408" w:type="dxa"/>
            <w:tcBorders/>
            <w:shd w:fill="auto" w:val="clear"/>
          </w:tcPr>
          <w:p>
            <w:pPr>
              <w:pStyle w:val="Normal"/>
              <w:spacing w:lineRule="auto" w:line="360" w:before="0" w:after="0"/>
              <w:rPr>
                <w:rFonts w:cs="Times New Roman"/>
                <w:szCs w:val="24"/>
              </w:rPr>
            </w:pPr>
            <w:r>
              <w:rPr>
                <w:rFonts w:cs="Times New Roman"/>
                <w:szCs w:val="24"/>
              </w:rPr>
              <w:t>Selling price</w:t>
            </w:r>
          </w:p>
        </w:tc>
        <w:tc>
          <w:tcPr>
            <w:tcW w:w="1266" w:type="dxa"/>
            <w:tcBorders/>
            <w:shd w:fill="auto" w:val="clear"/>
          </w:tcPr>
          <w:p>
            <w:pPr>
              <w:pStyle w:val="Normal"/>
              <w:spacing w:lineRule="auto" w:line="360" w:before="0" w:after="0"/>
              <w:rPr>
                <w:rFonts w:cs="Times New Roman"/>
                <w:szCs w:val="24"/>
              </w:rPr>
            </w:pPr>
            <w:r>
              <w:rPr>
                <w:rFonts w:cs="Times New Roman"/>
                <w:szCs w:val="24"/>
              </w:rPr>
              <w:t>£25</w:t>
            </w:r>
          </w:p>
        </w:tc>
        <w:tc>
          <w:tcPr>
            <w:tcW w:w="1266" w:type="dxa"/>
            <w:tcBorders/>
            <w:shd w:fill="auto" w:val="clear"/>
          </w:tcPr>
          <w:p>
            <w:pPr>
              <w:pStyle w:val="Normal"/>
              <w:spacing w:lineRule="auto" w:line="360" w:before="0" w:after="0"/>
              <w:rPr>
                <w:rFonts w:cs="Times New Roman"/>
                <w:szCs w:val="24"/>
              </w:rPr>
            </w:pPr>
            <w:r>
              <w:rPr>
                <w:rFonts w:cs="Times New Roman"/>
                <w:szCs w:val="24"/>
              </w:rPr>
              <w:t>£25</w:t>
            </w:r>
          </w:p>
        </w:tc>
        <w:tc>
          <w:tcPr>
            <w:tcW w:w="1125" w:type="dxa"/>
            <w:tcBorders/>
            <w:shd w:fill="auto" w:val="clear"/>
          </w:tcPr>
          <w:p>
            <w:pPr>
              <w:pStyle w:val="Normal"/>
              <w:spacing w:lineRule="auto" w:line="360" w:before="0" w:after="0"/>
              <w:rPr>
                <w:rFonts w:cs="Times New Roman"/>
                <w:szCs w:val="24"/>
              </w:rPr>
            </w:pPr>
            <w:r>
              <w:rPr>
                <w:rFonts w:cs="Times New Roman"/>
                <w:szCs w:val="24"/>
              </w:rPr>
              <w:t>£0</w:t>
            </w:r>
          </w:p>
        </w:tc>
        <w:tc>
          <w:tcPr>
            <w:tcW w:w="1264" w:type="dxa"/>
            <w:tcBorders/>
            <w:shd w:fill="auto" w:val="clear"/>
          </w:tcPr>
          <w:p>
            <w:pPr>
              <w:pStyle w:val="Normal"/>
              <w:spacing w:lineRule="auto" w:line="360" w:before="0" w:after="0"/>
              <w:rPr>
                <w:rFonts w:cs="Times New Roman"/>
                <w:szCs w:val="24"/>
              </w:rPr>
            </w:pPr>
            <w:r>
              <w:rPr>
                <w:rFonts w:cs="Times New Roman"/>
                <w:szCs w:val="24"/>
              </w:rPr>
              <w:t>£20</w:t>
            </w:r>
          </w:p>
        </w:tc>
        <w:tc>
          <w:tcPr>
            <w:tcW w:w="1090" w:type="dxa"/>
            <w:tcBorders/>
            <w:shd w:fill="auto" w:val="clear"/>
          </w:tcPr>
          <w:p>
            <w:pPr>
              <w:pStyle w:val="Normal"/>
              <w:spacing w:lineRule="auto" w:line="360" w:before="0" w:after="0"/>
              <w:rPr>
                <w:rFonts w:cs="Times New Roman"/>
                <w:szCs w:val="24"/>
              </w:rPr>
            </w:pPr>
            <w:r>
              <w:rPr>
                <w:rFonts w:cs="Times New Roman"/>
                <w:szCs w:val="24"/>
              </w:rPr>
              <w:t>£5</w:t>
            </w:r>
          </w:p>
        </w:tc>
        <w:tc>
          <w:tcPr>
            <w:tcW w:w="1596" w:type="dxa"/>
            <w:tcBorders/>
            <w:shd w:fill="auto" w:val="clear"/>
          </w:tcPr>
          <w:p>
            <w:pPr>
              <w:pStyle w:val="Normal"/>
              <w:spacing w:lineRule="auto" w:line="360" w:before="0" w:after="0"/>
              <w:rPr>
                <w:rFonts w:cs="Times New Roman"/>
                <w:szCs w:val="24"/>
              </w:rPr>
            </w:pPr>
            <w:r>
              <w:rPr>
                <w:rFonts w:cs="Times New Roman"/>
                <w:szCs w:val="24"/>
              </w:rPr>
              <w:t>Unfavourable</w:t>
            </w:r>
          </w:p>
        </w:tc>
      </w:tr>
      <w:tr>
        <w:trPr/>
        <w:tc>
          <w:tcPr>
            <w:tcW w:w="1408" w:type="dxa"/>
            <w:tcBorders/>
            <w:shd w:fill="auto" w:val="clear"/>
          </w:tcPr>
          <w:p>
            <w:pPr>
              <w:pStyle w:val="Normal"/>
              <w:spacing w:lineRule="auto" w:line="360" w:before="0" w:after="0"/>
              <w:rPr>
                <w:rFonts w:cs="Times New Roman"/>
                <w:szCs w:val="24"/>
              </w:rPr>
            </w:pPr>
            <w:r>
              <w:rPr>
                <w:rFonts w:cs="Times New Roman"/>
                <w:szCs w:val="24"/>
              </w:rPr>
              <w:t>Revenue</w:t>
            </w:r>
          </w:p>
        </w:tc>
        <w:tc>
          <w:tcPr>
            <w:tcW w:w="1266" w:type="dxa"/>
            <w:tcBorders/>
            <w:shd w:fill="auto" w:val="clear"/>
          </w:tcPr>
          <w:p>
            <w:pPr>
              <w:pStyle w:val="Normal"/>
              <w:spacing w:lineRule="auto" w:line="360" w:before="0" w:after="0"/>
              <w:rPr>
                <w:rFonts w:cs="Times New Roman"/>
                <w:szCs w:val="24"/>
              </w:rPr>
            </w:pPr>
            <w:r>
              <w:rPr>
                <w:rFonts w:cs="Times New Roman"/>
                <w:szCs w:val="24"/>
              </w:rPr>
              <w:t>£2,500,000</w:t>
            </w:r>
          </w:p>
        </w:tc>
        <w:tc>
          <w:tcPr>
            <w:tcW w:w="1266" w:type="dxa"/>
            <w:tcBorders/>
            <w:shd w:fill="auto" w:val="clear"/>
          </w:tcPr>
          <w:p>
            <w:pPr>
              <w:pStyle w:val="Normal"/>
              <w:spacing w:lineRule="auto" w:line="360" w:before="0" w:after="0"/>
              <w:rPr>
                <w:rFonts w:cs="Times New Roman"/>
                <w:szCs w:val="24"/>
              </w:rPr>
            </w:pPr>
            <w:r>
              <w:rPr>
                <w:rFonts w:cs="Times New Roman"/>
                <w:szCs w:val="24"/>
              </w:rPr>
              <w:t>£2,000,000</w:t>
            </w:r>
          </w:p>
        </w:tc>
        <w:tc>
          <w:tcPr>
            <w:tcW w:w="1125" w:type="dxa"/>
            <w:tcBorders/>
            <w:shd w:fill="auto" w:val="clear"/>
          </w:tcPr>
          <w:p>
            <w:pPr>
              <w:pStyle w:val="Normal"/>
              <w:spacing w:lineRule="auto" w:line="360" w:before="0" w:after="0"/>
              <w:rPr>
                <w:rFonts w:cs="Times New Roman"/>
                <w:szCs w:val="24"/>
              </w:rPr>
            </w:pPr>
            <w:r>
              <w:rPr>
                <w:rFonts w:cs="Times New Roman"/>
                <w:szCs w:val="24"/>
              </w:rPr>
              <w:t>£500,000</w:t>
            </w:r>
          </w:p>
        </w:tc>
        <w:tc>
          <w:tcPr>
            <w:tcW w:w="1264" w:type="dxa"/>
            <w:tcBorders/>
            <w:shd w:fill="auto" w:val="clear"/>
          </w:tcPr>
          <w:p>
            <w:pPr>
              <w:pStyle w:val="Normal"/>
              <w:spacing w:lineRule="auto" w:line="360" w:before="0" w:after="0"/>
              <w:rPr>
                <w:rFonts w:cs="Times New Roman"/>
                <w:szCs w:val="24"/>
              </w:rPr>
            </w:pPr>
            <w:r>
              <w:rPr>
                <w:rFonts w:cs="Times New Roman"/>
                <w:szCs w:val="24"/>
              </w:rPr>
              <w:t>£1,600,000</w:t>
            </w:r>
          </w:p>
        </w:tc>
        <w:tc>
          <w:tcPr>
            <w:tcW w:w="1090" w:type="dxa"/>
            <w:tcBorders/>
            <w:shd w:fill="auto" w:val="clear"/>
          </w:tcPr>
          <w:p>
            <w:pPr>
              <w:pStyle w:val="Normal"/>
              <w:spacing w:lineRule="auto" w:line="360" w:before="0" w:after="0"/>
              <w:rPr>
                <w:rFonts w:cs="Times New Roman"/>
                <w:szCs w:val="24"/>
              </w:rPr>
            </w:pPr>
            <w:r>
              <w:rPr>
                <w:rFonts w:cs="Times New Roman"/>
                <w:szCs w:val="24"/>
              </w:rPr>
              <w:t>£400,000</w:t>
            </w:r>
          </w:p>
        </w:tc>
        <w:tc>
          <w:tcPr>
            <w:tcW w:w="1596" w:type="dxa"/>
            <w:tcBorders/>
            <w:shd w:fill="auto" w:val="clear"/>
          </w:tcPr>
          <w:p>
            <w:pPr>
              <w:pStyle w:val="Normal"/>
              <w:spacing w:lineRule="auto" w:line="360" w:before="0" w:after="0"/>
              <w:rPr>
                <w:rFonts w:cs="Times New Roman"/>
                <w:szCs w:val="24"/>
              </w:rPr>
            </w:pPr>
            <w:r>
              <w:rPr>
                <w:rFonts w:cs="Times New Roman"/>
                <w:szCs w:val="24"/>
              </w:rPr>
              <w:t>Unfavourable</w:t>
            </w:r>
          </w:p>
        </w:tc>
      </w:tr>
      <w:tr>
        <w:trPr/>
        <w:tc>
          <w:tcPr>
            <w:tcW w:w="1408" w:type="dxa"/>
            <w:tcBorders/>
            <w:shd w:fill="auto" w:val="clear"/>
          </w:tcPr>
          <w:p>
            <w:pPr>
              <w:pStyle w:val="Normal"/>
              <w:spacing w:lineRule="auto" w:line="360" w:before="0" w:after="0"/>
              <w:rPr>
                <w:rFonts w:cs="Times New Roman"/>
                <w:b/>
                <w:b/>
                <w:bCs/>
                <w:szCs w:val="24"/>
              </w:rPr>
            </w:pPr>
            <w:r>
              <w:rPr>
                <w:rFonts w:cs="Times New Roman"/>
                <w:b/>
                <w:bCs/>
                <w:szCs w:val="24"/>
              </w:rPr>
              <w:t>Variable costs:</w:t>
            </w:r>
          </w:p>
        </w:tc>
        <w:tc>
          <w:tcPr>
            <w:tcW w:w="1266" w:type="dxa"/>
            <w:tcBorders/>
            <w:shd w:fill="auto" w:val="clear"/>
          </w:tcPr>
          <w:p>
            <w:pPr>
              <w:pStyle w:val="Normal"/>
              <w:spacing w:lineRule="auto" w:line="360" w:before="0" w:after="0"/>
              <w:rPr>
                <w:rFonts w:cs="Times New Roman"/>
                <w:szCs w:val="24"/>
              </w:rPr>
            </w:pPr>
            <w:r>
              <w:rPr>
                <w:rFonts w:cs="Times New Roman"/>
                <w:szCs w:val="24"/>
              </w:rPr>
            </w:r>
          </w:p>
        </w:tc>
        <w:tc>
          <w:tcPr>
            <w:tcW w:w="1266" w:type="dxa"/>
            <w:tcBorders/>
            <w:shd w:fill="auto" w:val="clear"/>
          </w:tcPr>
          <w:p>
            <w:pPr>
              <w:pStyle w:val="Normal"/>
              <w:spacing w:lineRule="auto" w:line="360" w:before="0" w:after="0"/>
              <w:rPr>
                <w:rFonts w:cs="Times New Roman"/>
                <w:szCs w:val="24"/>
              </w:rPr>
            </w:pPr>
            <w:r>
              <w:rPr>
                <w:rFonts w:cs="Times New Roman"/>
                <w:szCs w:val="24"/>
              </w:rPr>
            </w:r>
          </w:p>
        </w:tc>
        <w:tc>
          <w:tcPr>
            <w:tcW w:w="1125" w:type="dxa"/>
            <w:tcBorders/>
            <w:shd w:fill="auto" w:val="clear"/>
          </w:tcPr>
          <w:p>
            <w:pPr>
              <w:pStyle w:val="Normal"/>
              <w:spacing w:lineRule="auto" w:line="360" w:before="0" w:after="0"/>
              <w:rPr>
                <w:rFonts w:cs="Times New Roman"/>
                <w:szCs w:val="24"/>
              </w:rPr>
            </w:pPr>
            <w:r>
              <w:rPr>
                <w:rFonts w:cs="Times New Roman"/>
                <w:szCs w:val="24"/>
              </w:rPr>
            </w:r>
          </w:p>
        </w:tc>
        <w:tc>
          <w:tcPr>
            <w:tcW w:w="1264" w:type="dxa"/>
            <w:tcBorders/>
            <w:shd w:fill="auto" w:val="clear"/>
          </w:tcPr>
          <w:p>
            <w:pPr>
              <w:pStyle w:val="Normal"/>
              <w:spacing w:lineRule="auto" w:line="360" w:before="0" w:after="0"/>
              <w:rPr>
                <w:rFonts w:cs="Times New Roman"/>
                <w:szCs w:val="24"/>
              </w:rPr>
            </w:pPr>
            <w:r>
              <w:rPr>
                <w:rFonts w:cs="Times New Roman"/>
                <w:szCs w:val="24"/>
              </w:rPr>
            </w:r>
          </w:p>
        </w:tc>
        <w:tc>
          <w:tcPr>
            <w:tcW w:w="1090" w:type="dxa"/>
            <w:tcBorders/>
            <w:shd w:fill="auto" w:val="clear"/>
          </w:tcPr>
          <w:p>
            <w:pPr>
              <w:pStyle w:val="Normal"/>
              <w:spacing w:lineRule="auto" w:line="360" w:before="0" w:after="0"/>
              <w:rPr>
                <w:rFonts w:cs="Times New Roman"/>
                <w:szCs w:val="24"/>
              </w:rPr>
            </w:pPr>
            <w:r>
              <w:rPr>
                <w:rFonts w:cs="Times New Roman"/>
                <w:szCs w:val="24"/>
              </w:rPr>
            </w:r>
          </w:p>
        </w:tc>
        <w:tc>
          <w:tcPr>
            <w:tcW w:w="1596" w:type="dxa"/>
            <w:tcBorders/>
            <w:shd w:fill="auto" w:val="clear"/>
          </w:tcPr>
          <w:p>
            <w:pPr>
              <w:pStyle w:val="Normal"/>
              <w:spacing w:lineRule="auto" w:line="360" w:before="0" w:after="0"/>
              <w:rPr>
                <w:rFonts w:cs="Times New Roman"/>
                <w:szCs w:val="24"/>
              </w:rPr>
            </w:pPr>
            <w:r>
              <w:rPr>
                <w:rFonts w:cs="Times New Roman"/>
                <w:szCs w:val="24"/>
              </w:rPr>
            </w:r>
          </w:p>
        </w:tc>
      </w:tr>
      <w:tr>
        <w:trPr/>
        <w:tc>
          <w:tcPr>
            <w:tcW w:w="1408" w:type="dxa"/>
            <w:tcBorders/>
            <w:shd w:fill="auto" w:val="clear"/>
          </w:tcPr>
          <w:p>
            <w:pPr>
              <w:pStyle w:val="Normal"/>
              <w:spacing w:lineRule="auto" w:line="360" w:before="0" w:after="0"/>
              <w:rPr>
                <w:rFonts w:cs="Times New Roman"/>
                <w:szCs w:val="24"/>
              </w:rPr>
            </w:pPr>
            <w:r>
              <w:rPr>
                <w:rFonts w:cs="Times New Roman"/>
                <w:szCs w:val="24"/>
              </w:rPr>
              <w:t>Materials</w:t>
            </w:r>
          </w:p>
        </w:tc>
        <w:tc>
          <w:tcPr>
            <w:tcW w:w="1266" w:type="dxa"/>
            <w:tcBorders/>
            <w:shd w:fill="auto" w:val="clear"/>
          </w:tcPr>
          <w:p>
            <w:pPr>
              <w:pStyle w:val="Normal"/>
              <w:spacing w:lineRule="auto" w:line="360" w:before="0" w:after="0"/>
              <w:rPr>
                <w:rFonts w:cs="Times New Roman"/>
                <w:szCs w:val="24"/>
              </w:rPr>
            </w:pPr>
            <w:r>
              <w:rPr>
                <w:rFonts w:cs="Times New Roman"/>
                <w:szCs w:val="24"/>
              </w:rPr>
              <w:t>£250,000</w:t>
            </w:r>
          </w:p>
        </w:tc>
        <w:tc>
          <w:tcPr>
            <w:tcW w:w="1266" w:type="dxa"/>
            <w:tcBorders/>
            <w:shd w:fill="auto" w:val="clear"/>
          </w:tcPr>
          <w:p>
            <w:pPr>
              <w:pStyle w:val="Normal"/>
              <w:spacing w:lineRule="auto" w:line="360" w:before="0" w:after="0"/>
              <w:rPr>
                <w:rFonts w:cs="Times New Roman"/>
                <w:szCs w:val="24"/>
              </w:rPr>
            </w:pPr>
            <w:r>
              <w:rPr>
                <w:rFonts w:cs="Times New Roman"/>
                <w:szCs w:val="24"/>
              </w:rPr>
              <w:t>£200,000</w:t>
            </w:r>
          </w:p>
        </w:tc>
        <w:tc>
          <w:tcPr>
            <w:tcW w:w="1125" w:type="dxa"/>
            <w:tcBorders/>
            <w:shd w:fill="auto" w:val="clear"/>
          </w:tcPr>
          <w:p>
            <w:pPr>
              <w:pStyle w:val="Normal"/>
              <w:spacing w:lineRule="auto" w:line="360" w:before="0" w:after="0"/>
              <w:rPr>
                <w:rFonts w:cs="Times New Roman"/>
                <w:szCs w:val="24"/>
              </w:rPr>
            </w:pPr>
            <w:r>
              <w:rPr>
                <w:rFonts w:cs="Times New Roman"/>
                <w:szCs w:val="24"/>
              </w:rPr>
              <w:t>£50,000</w:t>
            </w:r>
          </w:p>
        </w:tc>
        <w:tc>
          <w:tcPr>
            <w:tcW w:w="1264" w:type="dxa"/>
            <w:tcBorders/>
            <w:shd w:fill="auto" w:val="clear"/>
          </w:tcPr>
          <w:p>
            <w:pPr>
              <w:pStyle w:val="Normal"/>
              <w:spacing w:lineRule="auto" w:line="360" w:before="0" w:after="0"/>
              <w:rPr>
                <w:rFonts w:cs="Times New Roman"/>
                <w:szCs w:val="24"/>
              </w:rPr>
            </w:pPr>
            <w:r>
              <w:rPr>
                <w:rFonts w:cs="Times New Roman"/>
                <w:szCs w:val="24"/>
              </w:rPr>
              <w:t>£280,000</w:t>
            </w:r>
          </w:p>
        </w:tc>
        <w:tc>
          <w:tcPr>
            <w:tcW w:w="1090" w:type="dxa"/>
            <w:tcBorders/>
            <w:shd w:fill="auto" w:val="clear"/>
          </w:tcPr>
          <w:p>
            <w:pPr>
              <w:pStyle w:val="Normal"/>
              <w:spacing w:lineRule="auto" w:line="360" w:before="0" w:after="0"/>
              <w:rPr>
                <w:rFonts w:cs="Times New Roman"/>
                <w:szCs w:val="24"/>
              </w:rPr>
            </w:pPr>
            <w:r>
              <w:rPr>
                <w:rFonts w:cs="Times New Roman"/>
                <w:szCs w:val="24"/>
              </w:rPr>
              <w:t>-£80,000</w:t>
            </w:r>
          </w:p>
        </w:tc>
        <w:tc>
          <w:tcPr>
            <w:tcW w:w="1596" w:type="dxa"/>
            <w:tcBorders/>
            <w:shd w:fill="auto" w:val="clear"/>
          </w:tcPr>
          <w:p>
            <w:pPr>
              <w:pStyle w:val="Normal"/>
              <w:spacing w:lineRule="auto" w:line="360" w:before="0" w:after="0"/>
              <w:rPr>
                <w:rFonts w:cs="Times New Roman"/>
                <w:szCs w:val="24"/>
              </w:rPr>
            </w:pPr>
            <w:r>
              <w:rPr>
                <w:rFonts w:cs="Times New Roman"/>
                <w:szCs w:val="24"/>
              </w:rPr>
              <w:t>Unfavourable</w:t>
            </w:r>
          </w:p>
        </w:tc>
      </w:tr>
      <w:tr>
        <w:trPr/>
        <w:tc>
          <w:tcPr>
            <w:tcW w:w="1408" w:type="dxa"/>
            <w:tcBorders/>
            <w:shd w:fill="auto" w:val="clear"/>
          </w:tcPr>
          <w:p>
            <w:pPr>
              <w:pStyle w:val="Normal"/>
              <w:spacing w:lineRule="auto" w:line="360" w:before="0" w:after="0"/>
              <w:rPr>
                <w:rFonts w:cs="Times New Roman"/>
                <w:szCs w:val="24"/>
              </w:rPr>
            </w:pPr>
            <w:r>
              <w:rPr>
                <w:rFonts w:cs="Times New Roman"/>
                <w:szCs w:val="24"/>
              </w:rPr>
              <w:t>Labour</w:t>
            </w:r>
          </w:p>
        </w:tc>
        <w:tc>
          <w:tcPr>
            <w:tcW w:w="1266" w:type="dxa"/>
            <w:tcBorders/>
            <w:shd w:fill="auto" w:val="clear"/>
          </w:tcPr>
          <w:p>
            <w:pPr>
              <w:pStyle w:val="Normal"/>
              <w:spacing w:lineRule="auto" w:line="360" w:before="0" w:after="0"/>
              <w:rPr>
                <w:rFonts w:cs="Times New Roman"/>
                <w:szCs w:val="24"/>
              </w:rPr>
            </w:pPr>
            <w:r>
              <w:rPr>
                <w:rFonts w:cs="Times New Roman"/>
                <w:szCs w:val="24"/>
              </w:rPr>
              <w:t>£400,000</w:t>
            </w:r>
          </w:p>
        </w:tc>
        <w:tc>
          <w:tcPr>
            <w:tcW w:w="1266" w:type="dxa"/>
            <w:tcBorders/>
            <w:shd w:fill="auto" w:val="clear"/>
          </w:tcPr>
          <w:p>
            <w:pPr>
              <w:pStyle w:val="Normal"/>
              <w:spacing w:lineRule="auto" w:line="360" w:before="0" w:after="0"/>
              <w:rPr>
                <w:rFonts w:cs="Times New Roman"/>
                <w:szCs w:val="24"/>
              </w:rPr>
            </w:pPr>
            <w:r>
              <w:rPr>
                <w:rFonts w:cs="Times New Roman"/>
                <w:szCs w:val="24"/>
              </w:rPr>
              <w:t>£320,000</w:t>
            </w:r>
          </w:p>
        </w:tc>
        <w:tc>
          <w:tcPr>
            <w:tcW w:w="1125" w:type="dxa"/>
            <w:tcBorders/>
            <w:shd w:fill="auto" w:val="clear"/>
          </w:tcPr>
          <w:p>
            <w:pPr>
              <w:pStyle w:val="Normal"/>
              <w:spacing w:lineRule="auto" w:line="360" w:before="0" w:after="0"/>
              <w:rPr>
                <w:rFonts w:cs="Times New Roman"/>
                <w:szCs w:val="24"/>
              </w:rPr>
            </w:pPr>
            <w:r>
              <w:rPr>
                <w:rFonts w:cs="Times New Roman"/>
                <w:szCs w:val="24"/>
              </w:rPr>
              <w:t>£80,000</w:t>
            </w:r>
          </w:p>
        </w:tc>
        <w:tc>
          <w:tcPr>
            <w:tcW w:w="1264" w:type="dxa"/>
            <w:tcBorders/>
            <w:shd w:fill="auto" w:val="clear"/>
          </w:tcPr>
          <w:p>
            <w:pPr>
              <w:pStyle w:val="Normal"/>
              <w:spacing w:lineRule="auto" w:line="360" w:before="0" w:after="0"/>
              <w:rPr>
                <w:rFonts w:cs="Times New Roman"/>
                <w:szCs w:val="24"/>
              </w:rPr>
            </w:pPr>
            <w:r>
              <w:rPr>
                <w:rFonts w:cs="Times New Roman"/>
                <w:szCs w:val="24"/>
              </w:rPr>
              <w:t>£440,000</w:t>
            </w:r>
          </w:p>
        </w:tc>
        <w:tc>
          <w:tcPr>
            <w:tcW w:w="1090" w:type="dxa"/>
            <w:tcBorders/>
            <w:shd w:fill="auto" w:val="clear"/>
          </w:tcPr>
          <w:p>
            <w:pPr>
              <w:pStyle w:val="Normal"/>
              <w:spacing w:lineRule="auto" w:line="360" w:before="0" w:after="0"/>
              <w:rPr>
                <w:rFonts w:cs="Times New Roman"/>
                <w:szCs w:val="24"/>
              </w:rPr>
            </w:pPr>
            <w:r>
              <w:rPr>
                <w:rFonts w:cs="Times New Roman"/>
                <w:szCs w:val="24"/>
              </w:rPr>
              <w:t>-£120,000</w:t>
            </w:r>
          </w:p>
        </w:tc>
        <w:tc>
          <w:tcPr>
            <w:tcW w:w="1596" w:type="dxa"/>
            <w:tcBorders/>
            <w:shd w:fill="auto" w:val="clear"/>
          </w:tcPr>
          <w:p>
            <w:pPr>
              <w:pStyle w:val="Normal"/>
              <w:spacing w:lineRule="auto" w:line="360" w:before="0" w:after="0"/>
              <w:rPr>
                <w:rFonts w:cs="Times New Roman"/>
                <w:szCs w:val="24"/>
              </w:rPr>
            </w:pPr>
            <w:r>
              <w:rPr>
                <w:rFonts w:cs="Times New Roman"/>
                <w:szCs w:val="24"/>
              </w:rPr>
              <w:t>Unfavourable</w:t>
            </w:r>
          </w:p>
        </w:tc>
      </w:tr>
      <w:tr>
        <w:trPr/>
        <w:tc>
          <w:tcPr>
            <w:tcW w:w="1408" w:type="dxa"/>
            <w:tcBorders/>
            <w:shd w:fill="auto" w:val="clear"/>
          </w:tcPr>
          <w:p>
            <w:pPr>
              <w:pStyle w:val="Normal"/>
              <w:spacing w:lineRule="auto" w:line="360" w:before="0" w:after="0"/>
              <w:rPr>
                <w:rFonts w:cs="Times New Roman"/>
                <w:szCs w:val="24"/>
              </w:rPr>
            </w:pPr>
            <w:r>
              <w:rPr>
                <w:rFonts w:cs="Times New Roman"/>
                <w:szCs w:val="24"/>
              </w:rPr>
              <w:t>Overhead</w:t>
            </w:r>
          </w:p>
        </w:tc>
        <w:tc>
          <w:tcPr>
            <w:tcW w:w="1266" w:type="dxa"/>
            <w:tcBorders/>
            <w:shd w:fill="auto" w:val="clear"/>
          </w:tcPr>
          <w:p>
            <w:pPr>
              <w:pStyle w:val="Normal"/>
              <w:spacing w:lineRule="auto" w:line="360" w:before="0" w:after="0"/>
              <w:rPr>
                <w:rFonts w:cs="Times New Roman"/>
                <w:szCs w:val="24"/>
              </w:rPr>
            </w:pPr>
            <w:r>
              <w:rPr>
                <w:rFonts w:cs="Times New Roman"/>
                <w:szCs w:val="24"/>
              </w:rPr>
              <w:t>£150,000</w:t>
            </w:r>
          </w:p>
        </w:tc>
        <w:tc>
          <w:tcPr>
            <w:tcW w:w="1266" w:type="dxa"/>
            <w:tcBorders/>
            <w:shd w:fill="auto" w:val="clear"/>
          </w:tcPr>
          <w:p>
            <w:pPr>
              <w:pStyle w:val="Normal"/>
              <w:spacing w:lineRule="auto" w:line="360" w:before="0" w:after="0"/>
              <w:rPr>
                <w:rFonts w:cs="Times New Roman"/>
                <w:szCs w:val="24"/>
              </w:rPr>
            </w:pPr>
            <w:r>
              <w:rPr>
                <w:rFonts w:cs="Times New Roman"/>
                <w:szCs w:val="24"/>
              </w:rPr>
              <w:t>£120,000</w:t>
            </w:r>
          </w:p>
        </w:tc>
        <w:tc>
          <w:tcPr>
            <w:tcW w:w="1125" w:type="dxa"/>
            <w:tcBorders/>
            <w:shd w:fill="auto" w:val="clear"/>
          </w:tcPr>
          <w:p>
            <w:pPr>
              <w:pStyle w:val="Normal"/>
              <w:spacing w:lineRule="auto" w:line="360" w:before="0" w:after="0"/>
              <w:rPr>
                <w:rFonts w:cs="Times New Roman"/>
                <w:szCs w:val="24"/>
              </w:rPr>
            </w:pPr>
            <w:r>
              <w:rPr>
                <w:rFonts w:cs="Times New Roman"/>
                <w:szCs w:val="24"/>
              </w:rPr>
              <w:t>£30,000</w:t>
            </w:r>
          </w:p>
        </w:tc>
        <w:tc>
          <w:tcPr>
            <w:tcW w:w="1264" w:type="dxa"/>
            <w:tcBorders/>
            <w:shd w:fill="auto" w:val="clear"/>
          </w:tcPr>
          <w:p>
            <w:pPr>
              <w:pStyle w:val="Normal"/>
              <w:spacing w:lineRule="auto" w:line="360" w:before="0" w:after="0"/>
              <w:rPr>
                <w:rFonts w:cs="Times New Roman"/>
                <w:szCs w:val="24"/>
              </w:rPr>
            </w:pPr>
            <w:r>
              <w:rPr>
                <w:rFonts w:cs="Times New Roman"/>
                <w:szCs w:val="24"/>
              </w:rPr>
              <w:t>£120,000</w:t>
            </w:r>
          </w:p>
        </w:tc>
        <w:tc>
          <w:tcPr>
            <w:tcW w:w="1090" w:type="dxa"/>
            <w:tcBorders/>
            <w:shd w:fill="auto" w:val="clear"/>
          </w:tcPr>
          <w:p>
            <w:pPr>
              <w:pStyle w:val="Normal"/>
              <w:spacing w:lineRule="auto" w:line="360" w:before="0" w:after="0"/>
              <w:rPr>
                <w:rFonts w:cs="Times New Roman"/>
                <w:szCs w:val="24"/>
              </w:rPr>
            </w:pPr>
            <w:r>
              <w:rPr>
                <w:rFonts w:cs="Times New Roman"/>
                <w:szCs w:val="24"/>
              </w:rPr>
              <w:t>£0</w:t>
            </w:r>
          </w:p>
        </w:tc>
        <w:tc>
          <w:tcPr>
            <w:tcW w:w="1596" w:type="dxa"/>
            <w:tcBorders/>
            <w:shd w:fill="auto" w:val="clear"/>
          </w:tcPr>
          <w:p>
            <w:pPr>
              <w:pStyle w:val="Normal"/>
              <w:spacing w:lineRule="auto" w:line="360" w:before="0" w:after="0"/>
              <w:rPr>
                <w:rFonts w:cs="Times New Roman"/>
                <w:szCs w:val="24"/>
              </w:rPr>
            </w:pPr>
            <w:r>
              <w:rPr>
                <w:rFonts w:cs="Times New Roman"/>
                <w:szCs w:val="24"/>
              </w:rPr>
              <w:t>-</w:t>
            </w:r>
          </w:p>
        </w:tc>
      </w:tr>
      <w:tr>
        <w:trPr/>
        <w:tc>
          <w:tcPr>
            <w:tcW w:w="1408" w:type="dxa"/>
            <w:tcBorders/>
            <w:shd w:fill="auto" w:val="clear"/>
          </w:tcPr>
          <w:p>
            <w:pPr>
              <w:pStyle w:val="Normal"/>
              <w:spacing w:lineRule="auto" w:line="360" w:before="0" w:after="0"/>
              <w:rPr>
                <w:rFonts w:cs="Times New Roman"/>
                <w:szCs w:val="24"/>
              </w:rPr>
            </w:pPr>
            <w:r>
              <w:rPr>
                <w:rFonts w:cs="Times New Roman"/>
                <w:szCs w:val="24"/>
              </w:rPr>
              <w:t>Contribution</w:t>
            </w:r>
          </w:p>
        </w:tc>
        <w:tc>
          <w:tcPr>
            <w:tcW w:w="1266" w:type="dxa"/>
            <w:tcBorders/>
            <w:shd w:fill="auto" w:val="clear"/>
          </w:tcPr>
          <w:p>
            <w:pPr>
              <w:pStyle w:val="Normal"/>
              <w:spacing w:lineRule="auto" w:line="360" w:before="0" w:after="0"/>
              <w:rPr>
                <w:rFonts w:cs="Times New Roman"/>
                <w:szCs w:val="24"/>
              </w:rPr>
            </w:pPr>
            <w:r>
              <w:rPr>
                <w:rFonts w:cs="Times New Roman"/>
                <w:szCs w:val="24"/>
              </w:rPr>
              <w:t>£1,700,000</w:t>
            </w:r>
          </w:p>
        </w:tc>
        <w:tc>
          <w:tcPr>
            <w:tcW w:w="1266" w:type="dxa"/>
            <w:tcBorders/>
            <w:shd w:fill="auto" w:val="clear"/>
          </w:tcPr>
          <w:p>
            <w:pPr>
              <w:pStyle w:val="Normal"/>
              <w:spacing w:lineRule="auto" w:line="360" w:before="0" w:after="0"/>
              <w:rPr>
                <w:rFonts w:cs="Times New Roman"/>
                <w:szCs w:val="24"/>
              </w:rPr>
            </w:pPr>
            <w:r>
              <w:rPr>
                <w:rFonts w:cs="Times New Roman"/>
                <w:szCs w:val="24"/>
              </w:rPr>
              <w:t>£1,360,000</w:t>
            </w:r>
          </w:p>
        </w:tc>
        <w:tc>
          <w:tcPr>
            <w:tcW w:w="1125" w:type="dxa"/>
            <w:tcBorders/>
            <w:shd w:fill="auto" w:val="clear"/>
          </w:tcPr>
          <w:p>
            <w:pPr>
              <w:pStyle w:val="Normal"/>
              <w:spacing w:lineRule="auto" w:line="360" w:before="0" w:after="0"/>
              <w:rPr>
                <w:rFonts w:cs="Times New Roman"/>
                <w:szCs w:val="24"/>
              </w:rPr>
            </w:pPr>
            <w:r>
              <w:rPr>
                <w:rFonts w:cs="Times New Roman"/>
                <w:szCs w:val="24"/>
              </w:rPr>
              <w:t>£340,000</w:t>
            </w:r>
          </w:p>
        </w:tc>
        <w:tc>
          <w:tcPr>
            <w:tcW w:w="1264" w:type="dxa"/>
            <w:tcBorders/>
            <w:shd w:fill="auto" w:val="clear"/>
          </w:tcPr>
          <w:p>
            <w:pPr>
              <w:pStyle w:val="Normal"/>
              <w:spacing w:lineRule="auto" w:line="360" w:before="0" w:after="0"/>
              <w:rPr>
                <w:rFonts w:cs="Times New Roman"/>
                <w:szCs w:val="24"/>
              </w:rPr>
            </w:pPr>
            <w:r>
              <w:rPr>
                <w:rFonts w:cs="Times New Roman"/>
                <w:szCs w:val="24"/>
              </w:rPr>
              <w:t>£760,000</w:t>
            </w:r>
          </w:p>
        </w:tc>
        <w:tc>
          <w:tcPr>
            <w:tcW w:w="1090" w:type="dxa"/>
            <w:tcBorders/>
            <w:shd w:fill="auto" w:val="clear"/>
          </w:tcPr>
          <w:p>
            <w:pPr>
              <w:pStyle w:val="Normal"/>
              <w:spacing w:lineRule="auto" w:line="360" w:before="0" w:after="0"/>
              <w:rPr>
                <w:rFonts w:cs="Times New Roman"/>
                <w:szCs w:val="24"/>
              </w:rPr>
            </w:pPr>
            <w:r>
              <w:rPr>
                <w:rFonts w:cs="Times New Roman"/>
                <w:szCs w:val="24"/>
              </w:rPr>
              <w:t>-£600,000</w:t>
            </w:r>
          </w:p>
        </w:tc>
        <w:tc>
          <w:tcPr>
            <w:tcW w:w="1596" w:type="dxa"/>
            <w:tcBorders/>
            <w:shd w:fill="auto" w:val="clear"/>
          </w:tcPr>
          <w:p>
            <w:pPr>
              <w:pStyle w:val="Normal"/>
              <w:spacing w:lineRule="auto" w:line="360" w:before="0" w:after="0"/>
              <w:rPr>
                <w:rFonts w:cs="Times New Roman"/>
                <w:szCs w:val="24"/>
              </w:rPr>
            </w:pPr>
            <w:r>
              <w:rPr>
                <w:rFonts w:cs="Times New Roman"/>
                <w:szCs w:val="24"/>
              </w:rPr>
              <w:t>Unfavourable</w:t>
            </w:r>
          </w:p>
        </w:tc>
      </w:tr>
      <w:tr>
        <w:trPr/>
        <w:tc>
          <w:tcPr>
            <w:tcW w:w="1408" w:type="dxa"/>
            <w:tcBorders/>
            <w:shd w:fill="auto" w:val="clear"/>
          </w:tcPr>
          <w:p>
            <w:pPr>
              <w:pStyle w:val="Normal"/>
              <w:spacing w:lineRule="auto" w:line="360" w:before="0" w:after="0"/>
              <w:rPr>
                <w:rFonts w:cs="Times New Roman"/>
                <w:b/>
                <w:b/>
                <w:bCs/>
                <w:szCs w:val="24"/>
              </w:rPr>
            </w:pPr>
            <w:r>
              <w:rPr>
                <w:rFonts w:cs="Times New Roman"/>
                <w:b/>
                <w:bCs/>
                <w:szCs w:val="24"/>
              </w:rPr>
              <w:t>Fixed overheads:</w:t>
            </w:r>
          </w:p>
        </w:tc>
        <w:tc>
          <w:tcPr>
            <w:tcW w:w="1266" w:type="dxa"/>
            <w:tcBorders/>
            <w:shd w:fill="auto" w:val="clear"/>
          </w:tcPr>
          <w:p>
            <w:pPr>
              <w:pStyle w:val="Normal"/>
              <w:spacing w:lineRule="auto" w:line="360" w:before="0" w:after="0"/>
              <w:rPr>
                <w:rFonts w:cs="Times New Roman"/>
                <w:szCs w:val="24"/>
              </w:rPr>
            </w:pPr>
            <w:r>
              <w:rPr>
                <w:rFonts w:cs="Times New Roman"/>
                <w:szCs w:val="24"/>
              </w:rPr>
            </w:r>
          </w:p>
        </w:tc>
        <w:tc>
          <w:tcPr>
            <w:tcW w:w="1266" w:type="dxa"/>
            <w:tcBorders/>
            <w:shd w:fill="auto" w:val="clear"/>
          </w:tcPr>
          <w:p>
            <w:pPr>
              <w:pStyle w:val="Normal"/>
              <w:spacing w:lineRule="auto" w:line="360" w:before="0" w:after="0"/>
              <w:rPr>
                <w:rFonts w:cs="Times New Roman"/>
                <w:szCs w:val="24"/>
              </w:rPr>
            </w:pPr>
            <w:r>
              <w:rPr>
                <w:rFonts w:cs="Times New Roman"/>
                <w:szCs w:val="24"/>
              </w:rPr>
            </w:r>
          </w:p>
        </w:tc>
        <w:tc>
          <w:tcPr>
            <w:tcW w:w="1125" w:type="dxa"/>
            <w:tcBorders/>
            <w:shd w:fill="auto" w:val="clear"/>
          </w:tcPr>
          <w:p>
            <w:pPr>
              <w:pStyle w:val="Normal"/>
              <w:spacing w:lineRule="auto" w:line="360" w:before="0" w:after="0"/>
              <w:rPr>
                <w:rFonts w:cs="Times New Roman"/>
                <w:szCs w:val="24"/>
              </w:rPr>
            </w:pPr>
            <w:r>
              <w:rPr>
                <w:rFonts w:cs="Times New Roman"/>
                <w:szCs w:val="24"/>
              </w:rPr>
            </w:r>
          </w:p>
        </w:tc>
        <w:tc>
          <w:tcPr>
            <w:tcW w:w="1264" w:type="dxa"/>
            <w:tcBorders/>
            <w:shd w:fill="auto" w:val="clear"/>
          </w:tcPr>
          <w:p>
            <w:pPr>
              <w:pStyle w:val="Normal"/>
              <w:spacing w:lineRule="auto" w:line="360" w:before="0" w:after="0"/>
              <w:rPr>
                <w:rFonts w:cs="Times New Roman"/>
                <w:szCs w:val="24"/>
              </w:rPr>
            </w:pPr>
            <w:r>
              <w:rPr>
                <w:rFonts w:cs="Times New Roman"/>
                <w:szCs w:val="24"/>
              </w:rPr>
            </w:r>
          </w:p>
        </w:tc>
        <w:tc>
          <w:tcPr>
            <w:tcW w:w="1090" w:type="dxa"/>
            <w:tcBorders/>
            <w:shd w:fill="auto" w:val="clear"/>
          </w:tcPr>
          <w:p>
            <w:pPr>
              <w:pStyle w:val="Normal"/>
              <w:spacing w:lineRule="auto" w:line="360" w:before="0" w:after="0"/>
              <w:rPr>
                <w:rFonts w:cs="Times New Roman"/>
                <w:szCs w:val="24"/>
              </w:rPr>
            </w:pPr>
            <w:r>
              <w:rPr>
                <w:rFonts w:cs="Times New Roman"/>
                <w:szCs w:val="24"/>
              </w:rPr>
            </w:r>
          </w:p>
        </w:tc>
        <w:tc>
          <w:tcPr>
            <w:tcW w:w="1596" w:type="dxa"/>
            <w:tcBorders/>
            <w:shd w:fill="auto" w:val="clear"/>
          </w:tcPr>
          <w:p>
            <w:pPr>
              <w:pStyle w:val="Normal"/>
              <w:spacing w:lineRule="auto" w:line="360" w:before="0" w:after="0"/>
              <w:rPr>
                <w:rFonts w:cs="Times New Roman"/>
                <w:szCs w:val="24"/>
              </w:rPr>
            </w:pPr>
            <w:r>
              <w:rPr>
                <w:rFonts w:cs="Times New Roman"/>
                <w:szCs w:val="24"/>
              </w:rPr>
            </w:r>
          </w:p>
        </w:tc>
      </w:tr>
      <w:tr>
        <w:trPr/>
        <w:tc>
          <w:tcPr>
            <w:tcW w:w="1408" w:type="dxa"/>
            <w:tcBorders/>
            <w:shd w:fill="auto" w:val="clear"/>
          </w:tcPr>
          <w:p>
            <w:pPr>
              <w:pStyle w:val="Normal"/>
              <w:spacing w:lineRule="auto" w:line="360" w:before="0" w:after="0"/>
              <w:rPr>
                <w:rFonts w:cs="Times New Roman"/>
                <w:szCs w:val="24"/>
              </w:rPr>
            </w:pPr>
            <w:r>
              <w:rPr>
                <w:rFonts w:cs="Times New Roman"/>
                <w:szCs w:val="24"/>
              </w:rPr>
              <w:t>Warehouse rental</w:t>
            </w:r>
          </w:p>
        </w:tc>
        <w:tc>
          <w:tcPr>
            <w:tcW w:w="1266" w:type="dxa"/>
            <w:tcBorders/>
            <w:shd w:fill="auto" w:val="clear"/>
          </w:tcPr>
          <w:p>
            <w:pPr>
              <w:pStyle w:val="Normal"/>
              <w:spacing w:lineRule="auto" w:line="360" w:before="0" w:after="0"/>
              <w:rPr>
                <w:rFonts w:cs="Times New Roman"/>
                <w:szCs w:val="24"/>
              </w:rPr>
            </w:pPr>
            <w:r>
              <w:rPr>
                <w:rFonts w:cs="Times New Roman"/>
                <w:szCs w:val="24"/>
              </w:rPr>
              <w:t>£200,000</w:t>
            </w:r>
          </w:p>
        </w:tc>
        <w:tc>
          <w:tcPr>
            <w:tcW w:w="1266" w:type="dxa"/>
            <w:tcBorders/>
            <w:shd w:fill="auto" w:val="clear"/>
          </w:tcPr>
          <w:p>
            <w:pPr>
              <w:pStyle w:val="Normal"/>
              <w:spacing w:lineRule="auto" w:line="360" w:before="0" w:after="0"/>
              <w:rPr>
                <w:rFonts w:cs="Times New Roman"/>
                <w:szCs w:val="24"/>
              </w:rPr>
            </w:pPr>
            <w:r>
              <w:rPr>
                <w:rFonts w:cs="Times New Roman"/>
                <w:szCs w:val="24"/>
              </w:rPr>
              <w:t>£200,000</w:t>
            </w:r>
          </w:p>
        </w:tc>
        <w:tc>
          <w:tcPr>
            <w:tcW w:w="1125" w:type="dxa"/>
            <w:tcBorders/>
            <w:shd w:fill="auto" w:val="clear"/>
          </w:tcPr>
          <w:p>
            <w:pPr>
              <w:pStyle w:val="Normal"/>
              <w:spacing w:lineRule="auto" w:line="360" w:before="0" w:after="0"/>
              <w:rPr>
                <w:rFonts w:cs="Times New Roman"/>
                <w:szCs w:val="24"/>
              </w:rPr>
            </w:pPr>
            <w:r>
              <w:rPr>
                <w:rFonts w:cs="Times New Roman"/>
                <w:szCs w:val="24"/>
              </w:rPr>
              <w:t>£0</w:t>
            </w:r>
          </w:p>
        </w:tc>
        <w:tc>
          <w:tcPr>
            <w:tcW w:w="1264" w:type="dxa"/>
            <w:tcBorders/>
            <w:shd w:fill="auto" w:val="clear"/>
          </w:tcPr>
          <w:p>
            <w:pPr>
              <w:pStyle w:val="Normal"/>
              <w:spacing w:lineRule="auto" w:line="360" w:before="0" w:after="0"/>
              <w:rPr>
                <w:rFonts w:cs="Times New Roman"/>
                <w:szCs w:val="24"/>
              </w:rPr>
            </w:pPr>
            <w:r>
              <w:rPr>
                <w:rFonts w:cs="Times New Roman"/>
                <w:szCs w:val="24"/>
              </w:rPr>
              <w:t>£170,000</w:t>
            </w:r>
          </w:p>
        </w:tc>
        <w:tc>
          <w:tcPr>
            <w:tcW w:w="1090" w:type="dxa"/>
            <w:tcBorders/>
            <w:shd w:fill="auto" w:val="clear"/>
          </w:tcPr>
          <w:p>
            <w:pPr>
              <w:pStyle w:val="Normal"/>
              <w:spacing w:lineRule="auto" w:line="360" w:before="0" w:after="0"/>
              <w:rPr>
                <w:rFonts w:cs="Times New Roman"/>
                <w:szCs w:val="24"/>
              </w:rPr>
            </w:pPr>
            <w:r>
              <w:rPr>
                <w:rFonts w:cs="Times New Roman"/>
                <w:szCs w:val="24"/>
              </w:rPr>
              <w:t>£30,000</w:t>
            </w:r>
          </w:p>
        </w:tc>
        <w:tc>
          <w:tcPr>
            <w:tcW w:w="1596" w:type="dxa"/>
            <w:tcBorders/>
            <w:shd w:fill="auto" w:val="clear"/>
          </w:tcPr>
          <w:p>
            <w:pPr>
              <w:pStyle w:val="Normal"/>
              <w:spacing w:lineRule="auto" w:line="360" w:before="0" w:after="0"/>
              <w:rPr>
                <w:rFonts w:cs="Times New Roman"/>
                <w:szCs w:val="24"/>
              </w:rPr>
            </w:pPr>
            <w:r>
              <w:rPr>
                <w:rFonts w:cs="Times New Roman"/>
                <w:szCs w:val="24"/>
              </w:rPr>
              <w:t>Favourable</w:t>
            </w:r>
          </w:p>
        </w:tc>
      </w:tr>
      <w:tr>
        <w:trPr/>
        <w:tc>
          <w:tcPr>
            <w:tcW w:w="1408" w:type="dxa"/>
            <w:tcBorders/>
            <w:shd w:fill="auto" w:val="clear"/>
          </w:tcPr>
          <w:p>
            <w:pPr>
              <w:pStyle w:val="Normal"/>
              <w:spacing w:lineRule="auto" w:line="360" w:before="0" w:after="0"/>
              <w:rPr>
                <w:rFonts w:cs="Times New Roman"/>
                <w:szCs w:val="24"/>
              </w:rPr>
            </w:pPr>
            <w:r>
              <w:rPr>
                <w:rFonts w:cs="Times New Roman"/>
                <w:szCs w:val="24"/>
              </w:rPr>
              <w:t>Insurance</w:t>
            </w:r>
          </w:p>
        </w:tc>
        <w:tc>
          <w:tcPr>
            <w:tcW w:w="1266" w:type="dxa"/>
            <w:tcBorders/>
            <w:shd w:fill="auto" w:val="clear"/>
          </w:tcPr>
          <w:p>
            <w:pPr>
              <w:pStyle w:val="Normal"/>
              <w:spacing w:lineRule="auto" w:line="360" w:before="0" w:after="0"/>
              <w:rPr>
                <w:rFonts w:cs="Times New Roman"/>
                <w:szCs w:val="24"/>
              </w:rPr>
            </w:pPr>
            <w:r>
              <w:rPr>
                <w:rFonts w:cs="Times New Roman"/>
                <w:szCs w:val="24"/>
              </w:rPr>
              <w:t>£100,000</w:t>
            </w:r>
          </w:p>
        </w:tc>
        <w:tc>
          <w:tcPr>
            <w:tcW w:w="1266" w:type="dxa"/>
            <w:tcBorders/>
            <w:shd w:fill="auto" w:val="clear"/>
          </w:tcPr>
          <w:p>
            <w:pPr>
              <w:pStyle w:val="Normal"/>
              <w:spacing w:lineRule="auto" w:line="360" w:before="0" w:after="0"/>
              <w:rPr>
                <w:rFonts w:cs="Times New Roman"/>
                <w:szCs w:val="24"/>
              </w:rPr>
            </w:pPr>
            <w:r>
              <w:rPr>
                <w:rFonts w:cs="Times New Roman"/>
                <w:szCs w:val="24"/>
              </w:rPr>
              <w:t>£100,000</w:t>
            </w:r>
          </w:p>
        </w:tc>
        <w:tc>
          <w:tcPr>
            <w:tcW w:w="1125" w:type="dxa"/>
            <w:tcBorders/>
            <w:shd w:fill="auto" w:val="clear"/>
          </w:tcPr>
          <w:p>
            <w:pPr>
              <w:pStyle w:val="Normal"/>
              <w:spacing w:lineRule="auto" w:line="360" w:before="0" w:after="0"/>
              <w:rPr>
                <w:rFonts w:cs="Times New Roman"/>
                <w:szCs w:val="24"/>
              </w:rPr>
            </w:pPr>
            <w:r>
              <w:rPr>
                <w:rFonts w:cs="Times New Roman"/>
                <w:szCs w:val="24"/>
              </w:rPr>
              <w:t>£0</w:t>
            </w:r>
          </w:p>
        </w:tc>
        <w:tc>
          <w:tcPr>
            <w:tcW w:w="1264" w:type="dxa"/>
            <w:tcBorders/>
            <w:shd w:fill="auto" w:val="clear"/>
          </w:tcPr>
          <w:p>
            <w:pPr>
              <w:pStyle w:val="Normal"/>
              <w:spacing w:lineRule="auto" w:line="360" w:before="0" w:after="0"/>
              <w:rPr>
                <w:rFonts w:cs="Times New Roman"/>
                <w:szCs w:val="24"/>
              </w:rPr>
            </w:pPr>
            <w:r>
              <w:rPr>
                <w:rFonts w:cs="Times New Roman"/>
                <w:szCs w:val="24"/>
              </w:rPr>
              <w:t>£100,000</w:t>
            </w:r>
          </w:p>
        </w:tc>
        <w:tc>
          <w:tcPr>
            <w:tcW w:w="1090" w:type="dxa"/>
            <w:tcBorders/>
            <w:shd w:fill="auto" w:val="clear"/>
          </w:tcPr>
          <w:p>
            <w:pPr>
              <w:pStyle w:val="Normal"/>
              <w:spacing w:lineRule="auto" w:line="360" w:before="0" w:after="0"/>
              <w:rPr>
                <w:rFonts w:cs="Times New Roman"/>
                <w:szCs w:val="24"/>
              </w:rPr>
            </w:pPr>
            <w:r>
              <w:rPr>
                <w:rFonts w:cs="Times New Roman"/>
                <w:szCs w:val="24"/>
              </w:rPr>
              <w:t>£0</w:t>
            </w:r>
          </w:p>
        </w:tc>
        <w:tc>
          <w:tcPr>
            <w:tcW w:w="1596" w:type="dxa"/>
            <w:tcBorders/>
            <w:shd w:fill="auto" w:val="clear"/>
          </w:tcPr>
          <w:p>
            <w:pPr>
              <w:pStyle w:val="Normal"/>
              <w:spacing w:lineRule="auto" w:line="360" w:before="0" w:after="0"/>
              <w:rPr>
                <w:rFonts w:cs="Times New Roman"/>
                <w:szCs w:val="24"/>
              </w:rPr>
            </w:pPr>
            <w:r>
              <w:rPr>
                <w:rFonts w:cs="Times New Roman"/>
                <w:szCs w:val="24"/>
              </w:rPr>
              <w:t>-</w:t>
            </w:r>
          </w:p>
        </w:tc>
      </w:tr>
      <w:tr>
        <w:trPr/>
        <w:tc>
          <w:tcPr>
            <w:tcW w:w="1408" w:type="dxa"/>
            <w:tcBorders/>
            <w:shd w:fill="auto" w:val="clear"/>
          </w:tcPr>
          <w:p>
            <w:pPr>
              <w:pStyle w:val="Normal"/>
              <w:spacing w:lineRule="auto" w:line="360" w:before="0" w:after="0"/>
              <w:rPr>
                <w:rFonts w:cs="Times New Roman"/>
                <w:szCs w:val="24"/>
              </w:rPr>
            </w:pPr>
            <w:r>
              <w:rPr>
                <w:rFonts w:cs="Times New Roman"/>
                <w:szCs w:val="24"/>
              </w:rPr>
              <w:t>Fulltime warehouse supervisor salary</w:t>
            </w:r>
          </w:p>
        </w:tc>
        <w:tc>
          <w:tcPr>
            <w:tcW w:w="1266" w:type="dxa"/>
            <w:tcBorders/>
            <w:shd w:fill="auto" w:val="clear"/>
          </w:tcPr>
          <w:p>
            <w:pPr>
              <w:pStyle w:val="Normal"/>
              <w:spacing w:lineRule="auto" w:line="360" w:before="0" w:after="0"/>
              <w:rPr>
                <w:rFonts w:cs="Times New Roman"/>
                <w:szCs w:val="24"/>
              </w:rPr>
            </w:pPr>
            <w:r>
              <w:rPr>
                <w:rFonts w:cs="Times New Roman"/>
                <w:szCs w:val="24"/>
              </w:rPr>
              <w:t>£50,000</w:t>
            </w:r>
          </w:p>
        </w:tc>
        <w:tc>
          <w:tcPr>
            <w:tcW w:w="1266" w:type="dxa"/>
            <w:tcBorders/>
            <w:shd w:fill="auto" w:val="clear"/>
          </w:tcPr>
          <w:p>
            <w:pPr>
              <w:pStyle w:val="Normal"/>
              <w:spacing w:lineRule="auto" w:line="360" w:before="0" w:after="0"/>
              <w:rPr>
                <w:rFonts w:cs="Times New Roman"/>
                <w:szCs w:val="24"/>
              </w:rPr>
            </w:pPr>
            <w:r>
              <w:rPr>
                <w:rFonts w:cs="Times New Roman"/>
                <w:szCs w:val="24"/>
              </w:rPr>
              <w:t>£50,000</w:t>
            </w:r>
          </w:p>
        </w:tc>
        <w:tc>
          <w:tcPr>
            <w:tcW w:w="1125" w:type="dxa"/>
            <w:tcBorders/>
            <w:shd w:fill="auto" w:val="clear"/>
          </w:tcPr>
          <w:p>
            <w:pPr>
              <w:pStyle w:val="Normal"/>
              <w:spacing w:lineRule="auto" w:line="360" w:before="0" w:after="0"/>
              <w:rPr>
                <w:rFonts w:cs="Times New Roman"/>
                <w:szCs w:val="24"/>
              </w:rPr>
            </w:pPr>
            <w:r>
              <w:rPr>
                <w:rFonts w:cs="Times New Roman"/>
                <w:szCs w:val="24"/>
              </w:rPr>
              <w:t>£0</w:t>
            </w:r>
          </w:p>
        </w:tc>
        <w:tc>
          <w:tcPr>
            <w:tcW w:w="1264" w:type="dxa"/>
            <w:tcBorders/>
            <w:shd w:fill="auto" w:val="clear"/>
          </w:tcPr>
          <w:p>
            <w:pPr>
              <w:pStyle w:val="Normal"/>
              <w:spacing w:lineRule="auto" w:line="360" w:before="0" w:after="0"/>
              <w:rPr>
                <w:rFonts w:cs="Times New Roman"/>
                <w:szCs w:val="24"/>
              </w:rPr>
            </w:pPr>
            <w:r>
              <w:rPr>
                <w:rFonts w:cs="Times New Roman"/>
                <w:szCs w:val="24"/>
              </w:rPr>
              <w:t>£35,000</w:t>
            </w:r>
          </w:p>
        </w:tc>
        <w:tc>
          <w:tcPr>
            <w:tcW w:w="1090" w:type="dxa"/>
            <w:tcBorders/>
            <w:shd w:fill="auto" w:val="clear"/>
          </w:tcPr>
          <w:p>
            <w:pPr>
              <w:pStyle w:val="Normal"/>
              <w:spacing w:lineRule="auto" w:line="360" w:before="0" w:after="0"/>
              <w:rPr>
                <w:rFonts w:cs="Times New Roman"/>
                <w:szCs w:val="24"/>
              </w:rPr>
            </w:pPr>
            <w:r>
              <w:rPr>
                <w:rFonts w:cs="Times New Roman"/>
                <w:szCs w:val="24"/>
              </w:rPr>
              <w:t>£15,000</w:t>
            </w:r>
          </w:p>
        </w:tc>
        <w:tc>
          <w:tcPr>
            <w:tcW w:w="1596" w:type="dxa"/>
            <w:tcBorders/>
            <w:shd w:fill="auto" w:val="clear"/>
          </w:tcPr>
          <w:p>
            <w:pPr>
              <w:pStyle w:val="Normal"/>
              <w:spacing w:lineRule="auto" w:line="360" w:before="0" w:after="0"/>
              <w:rPr>
                <w:rFonts w:cs="Times New Roman"/>
                <w:szCs w:val="24"/>
              </w:rPr>
            </w:pPr>
            <w:r>
              <w:rPr>
                <w:rFonts w:cs="Times New Roman"/>
                <w:szCs w:val="24"/>
              </w:rPr>
              <w:t>Favourable</w:t>
            </w:r>
          </w:p>
        </w:tc>
      </w:tr>
      <w:tr>
        <w:trPr/>
        <w:tc>
          <w:tcPr>
            <w:tcW w:w="1408" w:type="dxa"/>
            <w:tcBorders/>
            <w:shd w:fill="auto" w:val="clear"/>
          </w:tcPr>
          <w:p>
            <w:pPr>
              <w:pStyle w:val="Normal"/>
              <w:spacing w:lineRule="auto" w:line="360" w:before="0" w:after="0"/>
              <w:rPr>
                <w:rFonts w:cs="Times New Roman"/>
                <w:b/>
                <w:b/>
                <w:bCs/>
                <w:szCs w:val="24"/>
              </w:rPr>
            </w:pPr>
            <w:r>
              <w:rPr>
                <w:rFonts w:cs="Times New Roman"/>
                <w:b/>
                <w:bCs/>
                <w:szCs w:val="24"/>
              </w:rPr>
              <w:t>Net Profit</w:t>
            </w:r>
          </w:p>
        </w:tc>
        <w:tc>
          <w:tcPr>
            <w:tcW w:w="1266" w:type="dxa"/>
            <w:tcBorders/>
            <w:shd w:fill="auto" w:val="clear"/>
          </w:tcPr>
          <w:p>
            <w:pPr>
              <w:pStyle w:val="Normal"/>
              <w:spacing w:lineRule="auto" w:line="360" w:before="0" w:after="0"/>
              <w:rPr>
                <w:rFonts w:cs="Times New Roman"/>
                <w:b/>
                <w:b/>
                <w:bCs/>
                <w:szCs w:val="24"/>
                <w:u w:val="double"/>
              </w:rPr>
            </w:pPr>
            <w:r>
              <w:rPr>
                <w:rFonts w:cs="Times New Roman"/>
                <w:b/>
                <w:bCs/>
                <w:szCs w:val="24"/>
                <w:u w:val="double"/>
              </w:rPr>
              <w:t>£1,350,000</w:t>
            </w:r>
          </w:p>
        </w:tc>
        <w:tc>
          <w:tcPr>
            <w:tcW w:w="1266" w:type="dxa"/>
            <w:tcBorders/>
            <w:shd w:fill="auto" w:val="clear"/>
          </w:tcPr>
          <w:p>
            <w:pPr>
              <w:pStyle w:val="Normal"/>
              <w:spacing w:lineRule="auto" w:line="360" w:before="0" w:after="0"/>
              <w:rPr>
                <w:rFonts w:cs="Times New Roman"/>
                <w:b/>
                <w:b/>
                <w:bCs/>
                <w:szCs w:val="24"/>
                <w:u w:val="double"/>
              </w:rPr>
            </w:pPr>
            <w:r>
              <w:rPr>
                <w:rFonts w:cs="Times New Roman"/>
                <w:b/>
                <w:bCs/>
                <w:szCs w:val="24"/>
                <w:u w:val="double"/>
              </w:rPr>
              <w:t>£1,010,000</w:t>
            </w:r>
          </w:p>
        </w:tc>
        <w:tc>
          <w:tcPr>
            <w:tcW w:w="1125" w:type="dxa"/>
            <w:tcBorders/>
            <w:shd w:fill="auto" w:val="clear"/>
          </w:tcPr>
          <w:p>
            <w:pPr>
              <w:pStyle w:val="Normal"/>
              <w:spacing w:lineRule="auto" w:line="360" w:before="0" w:after="0"/>
              <w:rPr>
                <w:rFonts w:cs="Times New Roman"/>
                <w:szCs w:val="24"/>
              </w:rPr>
            </w:pPr>
            <w:r>
              <w:rPr>
                <w:rFonts w:cs="Times New Roman"/>
                <w:szCs w:val="24"/>
              </w:rPr>
            </w:r>
          </w:p>
        </w:tc>
        <w:tc>
          <w:tcPr>
            <w:tcW w:w="1264" w:type="dxa"/>
            <w:tcBorders/>
            <w:shd w:fill="auto" w:val="clear"/>
          </w:tcPr>
          <w:p>
            <w:pPr>
              <w:pStyle w:val="Normal"/>
              <w:spacing w:lineRule="auto" w:line="360" w:before="0" w:after="0"/>
              <w:rPr>
                <w:rFonts w:cs="Times New Roman"/>
                <w:b/>
                <w:b/>
                <w:bCs/>
                <w:szCs w:val="24"/>
                <w:u w:val="double"/>
              </w:rPr>
            </w:pPr>
            <w:r>
              <w:rPr>
                <w:rFonts w:cs="Times New Roman"/>
                <w:b/>
                <w:bCs/>
                <w:szCs w:val="24"/>
                <w:u w:val="double"/>
              </w:rPr>
              <w:t>£455,000</w:t>
            </w:r>
          </w:p>
        </w:tc>
        <w:tc>
          <w:tcPr>
            <w:tcW w:w="1090" w:type="dxa"/>
            <w:tcBorders/>
            <w:shd w:fill="auto" w:val="clear"/>
          </w:tcPr>
          <w:p>
            <w:pPr>
              <w:pStyle w:val="Normal"/>
              <w:spacing w:lineRule="auto" w:line="360" w:before="0" w:after="0"/>
              <w:rPr>
                <w:rFonts w:cs="Times New Roman"/>
                <w:szCs w:val="24"/>
              </w:rPr>
            </w:pPr>
            <w:r>
              <w:rPr>
                <w:rFonts w:cs="Times New Roman"/>
                <w:b/>
                <w:bCs/>
                <w:szCs w:val="24"/>
                <w:u w:val="double"/>
              </w:rPr>
              <w:t>£555,000</w:t>
            </w:r>
          </w:p>
        </w:tc>
        <w:tc>
          <w:tcPr>
            <w:tcW w:w="1596" w:type="dxa"/>
            <w:tcBorders/>
            <w:shd w:fill="auto" w:val="clear"/>
          </w:tcPr>
          <w:p>
            <w:pPr>
              <w:pStyle w:val="Normal"/>
              <w:spacing w:lineRule="auto" w:line="360" w:before="0" w:after="0"/>
              <w:rPr>
                <w:rFonts w:cs="Times New Roman"/>
                <w:szCs w:val="24"/>
              </w:rPr>
            </w:pPr>
            <w:r>
              <w:rPr>
                <w:rFonts w:cs="Times New Roman"/>
                <w:szCs w:val="24"/>
              </w:rPr>
              <w:t>Unfavourable</w:t>
            </w:r>
          </w:p>
        </w:tc>
      </w:tr>
    </w:tbl>
    <w:p>
      <w:pPr>
        <w:pStyle w:val="Normal"/>
        <w:spacing w:lineRule="auto" w:line="360"/>
        <w:rPr>
          <w:rFonts w:cs="Times New Roman"/>
          <w:szCs w:val="24"/>
        </w:rPr>
      </w:pPr>
      <w:r>
        <w:rPr>
          <w:rFonts w:cs="Times New Roman"/>
          <w:szCs w:val="24"/>
        </w:rPr>
      </w:r>
    </w:p>
    <w:p>
      <w:pPr>
        <w:pStyle w:val="Normal"/>
        <w:spacing w:lineRule="auto" w:line="360"/>
        <w:rPr>
          <w:rFonts w:cs="Times New Roman"/>
          <w:b/>
          <w:b/>
          <w:bCs/>
          <w:szCs w:val="24"/>
          <w:u w:val="single"/>
        </w:rPr>
      </w:pPr>
      <w:r>
        <w:rPr>
          <w:rFonts w:cs="Times New Roman"/>
          <w:b/>
          <w:bCs/>
          <w:szCs w:val="24"/>
          <w:u w:val="single"/>
        </w:rPr>
        <w:t>Workings</w:t>
      </w:r>
    </w:p>
    <w:p>
      <w:pPr>
        <w:pStyle w:val="Normal"/>
        <w:spacing w:lineRule="auto" w:line="360"/>
        <w:rPr>
          <w:rFonts w:cs="Times New Roman"/>
          <w:szCs w:val="24"/>
        </w:rPr>
      </w:pPr>
      <w:r>
        <w:rPr>
          <w:rFonts w:cs="Times New Roman"/>
          <w:szCs w:val="24"/>
        </w:rPr>
        <w:t>The computation of the amounts in the original and flexible budget are given below:</w:t>
      </w:r>
    </w:p>
    <w:tbl>
      <w:tblPr>
        <w:tblStyle w:val="TableGrid"/>
        <w:tblW w:w="8499" w:type="dxa"/>
        <w:jc w:val="left"/>
        <w:tblInd w:w="0" w:type="dxa"/>
        <w:tblCellMar>
          <w:top w:w="0" w:type="dxa"/>
          <w:left w:w="108" w:type="dxa"/>
          <w:bottom w:w="0" w:type="dxa"/>
          <w:right w:w="108" w:type="dxa"/>
        </w:tblCellMar>
        <w:tblLook w:firstRow="1" w:noVBand="1" w:lastRow="0" w:firstColumn="1" w:lastColumn="0" w:noHBand="0" w:val="04a0"/>
      </w:tblPr>
      <w:tblGrid>
        <w:gridCol w:w="1836"/>
        <w:gridCol w:w="851"/>
        <w:gridCol w:w="1275"/>
        <w:gridCol w:w="1417"/>
        <w:gridCol w:w="1701"/>
        <w:gridCol w:w="1418"/>
      </w:tblGrid>
      <w:tr>
        <w:trPr/>
        <w:tc>
          <w:tcPr>
            <w:tcW w:w="1836" w:type="dxa"/>
            <w:tcBorders/>
            <w:shd w:fill="auto" w:val="clear"/>
          </w:tcPr>
          <w:p>
            <w:pPr>
              <w:pStyle w:val="Normal"/>
              <w:spacing w:lineRule="auto" w:line="360" w:before="0" w:after="0"/>
              <w:rPr>
                <w:rFonts w:cs="Times New Roman"/>
                <w:b/>
                <w:b/>
                <w:bCs/>
                <w:szCs w:val="24"/>
              </w:rPr>
            </w:pPr>
            <w:r>
              <w:rPr>
                <w:rFonts w:cs="Times New Roman"/>
                <w:b/>
                <w:bCs/>
                <w:szCs w:val="24"/>
              </w:rPr>
              <w:t>Particulars</w:t>
            </w:r>
          </w:p>
        </w:tc>
        <w:tc>
          <w:tcPr>
            <w:tcW w:w="851" w:type="dxa"/>
            <w:tcBorders/>
            <w:shd w:fill="auto" w:val="clear"/>
          </w:tcPr>
          <w:p>
            <w:pPr>
              <w:pStyle w:val="Normal"/>
              <w:spacing w:lineRule="auto" w:line="360" w:before="0" w:after="0"/>
              <w:rPr>
                <w:rFonts w:cs="Times New Roman"/>
                <w:b/>
                <w:b/>
                <w:bCs/>
                <w:szCs w:val="24"/>
              </w:rPr>
            </w:pPr>
            <w:r>
              <w:rPr>
                <w:rFonts w:cs="Times New Roman"/>
                <w:b/>
                <w:bCs/>
                <w:szCs w:val="24"/>
              </w:rPr>
              <w:t>Per unit</w:t>
            </w:r>
          </w:p>
        </w:tc>
        <w:tc>
          <w:tcPr>
            <w:tcW w:w="1275" w:type="dxa"/>
            <w:tcBorders/>
            <w:shd w:fill="auto" w:val="clear"/>
          </w:tcPr>
          <w:p>
            <w:pPr>
              <w:pStyle w:val="Normal"/>
              <w:spacing w:lineRule="auto" w:line="360" w:before="0" w:after="0"/>
              <w:rPr>
                <w:rFonts w:cs="Times New Roman"/>
                <w:b/>
                <w:b/>
                <w:bCs/>
                <w:szCs w:val="24"/>
              </w:rPr>
            </w:pPr>
            <w:r>
              <w:rPr>
                <w:rFonts w:cs="Times New Roman"/>
                <w:b/>
                <w:bCs/>
                <w:szCs w:val="24"/>
              </w:rPr>
              <w:t>Computation</w:t>
            </w:r>
          </w:p>
        </w:tc>
        <w:tc>
          <w:tcPr>
            <w:tcW w:w="1417" w:type="dxa"/>
            <w:tcBorders/>
            <w:shd w:fill="auto" w:val="clear"/>
          </w:tcPr>
          <w:p>
            <w:pPr>
              <w:pStyle w:val="Normal"/>
              <w:spacing w:lineRule="auto" w:line="360" w:before="0" w:after="0"/>
              <w:rPr>
                <w:rFonts w:cs="Times New Roman"/>
                <w:b/>
                <w:b/>
                <w:bCs/>
                <w:szCs w:val="24"/>
              </w:rPr>
            </w:pPr>
            <w:r>
              <w:rPr>
                <w:rFonts w:cs="Times New Roman"/>
                <w:b/>
                <w:bCs/>
                <w:szCs w:val="24"/>
              </w:rPr>
              <w:t xml:space="preserve">Original Budget </w:t>
            </w:r>
          </w:p>
        </w:tc>
        <w:tc>
          <w:tcPr>
            <w:tcW w:w="1701" w:type="dxa"/>
            <w:tcBorders/>
            <w:shd w:fill="auto" w:val="clear"/>
          </w:tcPr>
          <w:p>
            <w:pPr>
              <w:pStyle w:val="Normal"/>
              <w:spacing w:lineRule="auto" w:line="360" w:before="0" w:after="0"/>
              <w:rPr>
                <w:rFonts w:cs="Times New Roman"/>
                <w:b/>
                <w:b/>
                <w:bCs/>
                <w:szCs w:val="24"/>
              </w:rPr>
            </w:pPr>
            <w:r>
              <w:rPr>
                <w:rFonts w:cs="Times New Roman"/>
                <w:b/>
                <w:bCs/>
                <w:szCs w:val="24"/>
              </w:rPr>
              <w:t>Computation</w:t>
            </w:r>
          </w:p>
        </w:tc>
        <w:tc>
          <w:tcPr>
            <w:tcW w:w="1418" w:type="dxa"/>
            <w:tcBorders/>
            <w:shd w:fill="auto" w:val="clear"/>
          </w:tcPr>
          <w:p>
            <w:pPr>
              <w:pStyle w:val="Normal"/>
              <w:spacing w:lineRule="auto" w:line="360" w:before="0" w:after="0"/>
              <w:rPr>
                <w:rFonts w:cs="Times New Roman"/>
                <w:b/>
                <w:b/>
                <w:bCs/>
                <w:szCs w:val="24"/>
              </w:rPr>
            </w:pPr>
            <w:r>
              <w:rPr>
                <w:rFonts w:cs="Times New Roman"/>
                <w:b/>
                <w:bCs/>
                <w:szCs w:val="24"/>
              </w:rPr>
              <w:t>Flexed Budget</w:t>
            </w:r>
          </w:p>
        </w:tc>
      </w:tr>
      <w:tr>
        <w:trPr/>
        <w:tc>
          <w:tcPr>
            <w:tcW w:w="1836" w:type="dxa"/>
            <w:tcBorders/>
            <w:shd w:fill="auto" w:val="clear"/>
          </w:tcPr>
          <w:p>
            <w:pPr>
              <w:pStyle w:val="Normal"/>
              <w:spacing w:lineRule="auto" w:line="360" w:before="0" w:after="0"/>
              <w:rPr>
                <w:rFonts w:cs="Times New Roman"/>
                <w:szCs w:val="24"/>
              </w:rPr>
            </w:pPr>
            <w:r>
              <w:rPr>
                <w:rFonts w:cs="Times New Roman"/>
                <w:szCs w:val="24"/>
              </w:rPr>
              <w:t>Units</w:t>
            </w:r>
          </w:p>
        </w:tc>
        <w:tc>
          <w:tcPr>
            <w:tcW w:w="851" w:type="dxa"/>
            <w:tcBorders/>
            <w:shd w:fill="auto" w:val="clear"/>
          </w:tcPr>
          <w:p>
            <w:pPr>
              <w:pStyle w:val="Normal"/>
              <w:spacing w:lineRule="auto" w:line="360" w:before="0" w:after="0"/>
              <w:rPr>
                <w:rFonts w:cs="Times New Roman"/>
                <w:szCs w:val="24"/>
              </w:rPr>
            </w:pPr>
            <w:r>
              <w:rPr>
                <w:rFonts w:cs="Times New Roman"/>
                <w:szCs w:val="24"/>
              </w:rPr>
            </w:r>
          </w:p>
        </w:tc>
        <w:tc>
          <w:tcPr>
            <w:tcW w:w="1275" w:type="dxa"/>
            <w:tcBorders/>
            <w:shd w:fill="auto" w:val="clear"/>
          </w:tcPr>
          <w:p>
            <w:pPr>
              <w:pStyle w:val="Normal"/>
              <w:spacing w:lineRule="auto" w:line="360" w:before="0" w:after="0"/>
              <w:rPr>
                <w:rFonts w:cs="Times New Roman"/>
                <w:szCs w:val="24"/>
              </w:rPr>
            </w:pPr>
            <w:r>
              <w:rPr>
                <w:rFonts w:cs="Times New Roman"/>
                <w:szCs w:val="24"/>
              </w:rPr>
            </w:r>
          </w:p>
        </w:tc>
        <w:tc>
          <w:tcPr>
            <w:tcW w:w="1417" w:type="dxa"/>
            <w:tcBorders/>
            <w:shd w:fill="auto" w:val="clear"/>
          </w:tcPr>
          <w:p>
            <w:pPr>
              <w:pStyle w:val="Normal"/>
              <w:spacing w:lineRule="auto" w:line="360" w:before="0" w:after="0"/>
              <w:rPr>
                <w:rFonts w:cs="Times New Roman"/>
                <w:szCs w:val="24"/>
              </w:rPr>
            </w:pPr>
            <w:r>
              <w:rPr>
                <w:rFonts w:cs="Times New Roman"/>
                <w:szCs w:val="24"/>
              </w:rPr>
              <w:t>100,000</w:t>
            </w:r>
          </w:p>
        </w:tc>
        <w:tc>
          <w:tcPr>
            <w:tcW w:w="1701" w:type="dxa"/>
            <w:tcBorders/>
            <w:shd w:fill="auto" w:val="clear"/>
          </w:tcPr>
          <w:p>
            <w:pPr>
              <w:pStyle w:val="Normal"/>
              <w:spacing w:lineRule="auto" w:line="360" w:before="0" w:after="0"/>
              <w:rPr>
                <w:rFonts w:cs="Times New Roman"/>
                <w:szCs w:val="24"/>
              </w:rPr>
            </w:pPr>
            <w:r>
              <w:rPr>
                <w:rFonts w:cs="Times New Roman"/>
                <w:szCs w:val="24"/>
              </w:rPr>
            </w:r>
          </w:p>
        </w:tc>
        <w:tc>
          <w:tcPr>
            <w:tcW w:w="1418" w:type="dxa"/>
            <w:tcBorders/>
            <w:shd w:fill="auto" w:val="clear"/>
          </w:tcPr>
          <w:p>
            <w:pPr>
              <w:pStyle w:val="Normal"/>
              <w:spacing w:lineRule="auto" w:line="360" w:before="0" w:after="0"/>
              <w:rPr>
                <w:rFonts w:cs="Times New Roman"/>
                <w:szCs w:val="24"/>
              </w:rPr>
            </w:pPr>
            <w:r>
              <w:rPr>
                <w:rFonts w:cs="Times New Roman"/>
                <w:szCs w:val="24"/>
              </w:rPr>
              <w:t>80,000</w:t>
            </w:r>
          </w:p>
        </w:tc>
      </w:tr>
      <w:tr>
        <w:trPr/>
        <w:tc>
          <w:tcPr>
            <w:tcW w:w="1836" w:type="dxa"/>
            <w:tcBorders/>
            <w:shd w:fill="auto" w:val="clear"/>
          </w:tcPr>
          <w:p>
            <w:pPr>
              <w:pStyle w:val="Normal"/>
              <w:spacing w:lineRule="auto" w:line="360" w:before="0" w:after="0"/>
              <w:rPr>
                <w:rFonts w:cs="Times New Roman"/>
                <w:szCs w:val="24"/>
              </w:rPr>
            </w:pPr>
            <w:r>
              <w:rPr>
                <w:rFonts w:cs="Times New Roman"/>
                <w:szCs w:val="24"/>
              </w:rPr>
              <w:t>Selling price</w:t>
            </w:r>
          </w:p>
        </w:tc>
        <w:tc>
          <w:tcPr>
            <w:tcW w:w="851" w:type="dxa"/>
            <w:tcBorders/>
            <w:shd w:fill="auto" w:val="clear"/>
          </w:tcPr>
          <w:p>
            <w:pPr>
              <w:pStyle w:val="Normal"/>
              <w:spacing w:lineRule="auto" w:line="360" w:before="0" w:after="0"/>
              <w:rPr>
                <w:rFonts w:cs="Times New Roman"/>
                <w:szCs w:val="24"/>
              </w:rPr>
            </w:pPr>
            <w:r>
              <w:rPr>
                <w:rFonts w:cs="Times New Roman"/>
                <w:szCs w:val="24"/>
              </w:rPr>
              <w:t>£25</w:t>
            </w:r>
          </w:p>
        </w:tc>
        <w:tc>
          <w:tcPr>
            <w:tcW w:w="1275" w:type="dxa"/>
            <w:tcBorders/>
            <w:shd w:fill="auto" w:val="clear"/>
          </w:tcPr>
          <w:p>
            <w:pPr>
              <w:pStyle w:val="Normal"/>
              <w:spacing w:lineRule="auto" w:line="360" w:before="0" w:after="0"/>
              <w:rPr>
                <w:rFonts w:cs="Times New Roman"/>
                <w:szCs w:val="24"/>
              </w:rPr>
            </w:pPr>
            <w:r>
              <w:rPr>
                <w:rFonts w:cs="Times New Roman"/>
                <w:szCs w:val="24"/>
              </w:rPr>
            </w:r>
          </w:p>
        </w:tc>
        <w:tc>
          <w:tcPr>
            <w:tcW w:w="1417" w:type="dxa"/>
            <w:tcBorders/>
            <w:shd w:fill="auto" w:val="clear"/>
          </w:tcPr>
          <w:p>
            <w:pPr>
              <w:pStyle w:val="Normal"/>
              <w:spacing w:lineRule="auto" w:line="360" w:before="0" w:after="0"/>
              <w:rPr>
                <w:rFonts w:cs="Times New Roman"/>
                <w:szCs w:val="24"/>
              </w:rPr>
            </w:pPr>
            <w:r>
              <w:rPr>
                <w:rFonts w:cs="Times New Roman"/>
                <w:szCs w:val="24"/>
              </w:rPr>
            </w:r>
          </w:p>
        </w:tc>
        <w:tc>
          <w:tcPr>
            <w:tcW w:w="1701" w:type="dxa"/>
            <w:tcBorders/>
            <w:shd w:fill="auto" w:val="clear"/>
          </w:tcPr>
          <w:p>
            <w:pPr>
              <w:pStyle w:val="Normal"/>
              <w:spacing w:lineRule="auto" w:line="360" w:before="0" w:after="0"/>
              <w:rPr>
                <w:rFonts w:cs="Times New Roman"/>
                <w:szCs w:val="24"/>
              </w:rPr>
            </w:pPr>
            <w:r>
              <w:rPr>
                <w:rFonts w:cs="Times New Roman"/>
                <w:szCs w:val="24"/>
              </w:rPr>
            </w:r>
          </w:p>
        </w:tc>
        <w:tc>
          <w:tcPr>
            <w:tcW w:w="1418" w:type="dxa"/>
            <w:tcBorders/>
            <w:shd w:fill="auto" w:val="clear"/>
          </w:tcPr>
          <w:p>
            <w:pPr>
              <w:pStyle w:val="Normal"/>
              <w:spacing w:lineRule="auto" w:line="360" w:before="0" w:after="0"/>
              <w:rPr>
                <w:rFonts w:cs="Times New Roman"/>
                <w:szCs w:val="24"/>
              </w:rPr>
            </w:pPr>
            <w:r>
              <w:rPr>
                <w:rFonts w:cs="Times New Roman"/>
                <w:szCs w:val="24"/>
              </w:rPr>
            </w:r>
          </w:p>
        </w:tc>
      </w:tr>
      <w:tr>
        <w:trPr/>
        <w:tc>
          <w:tcPr>
            <w:tcW w:w="1836" w:type="dxa"/>
            <w:tcBorders/>
            <w:shd w:fill="auto" w:val="clear"/>
          </w:tcPr>
          <w:p>
            <w:pPr>
              <w:pStyle w:val="Normal"/>
              <w:spacing w:lineRule="auto" w:line="360" w:before="0" w:after="0"/>
              <w:rPr>
                <w:rFonts w:cs="Times New Roman"/>
                <w:szCs w:val="24"/>
              </w:rPr>
            </w:pPr>
            <w:r>
              <w:rPr>
                <w:rFonts w:cs="Times New Roman"/>
                <w:szCs w:val="24"/>
              </w:rPr>
              <w:t>Revenue</w:t>
            </w:r>
          </w:p>
        </w:tc>
        <w:tc>
          <w:tcPr>
            <w:tcW w:w="851" w:type="dxa"/>
            <w:tcBorders/>
            <w:shd w:fill="auto" w:val="clear"/>
          </w:tcPr>
          <w:p>
            <w:pPr>
              <w:pStyle w:val="Normal"/>
              <w:spacing w:lineRule="auto" w:line="360" w:before="0" w:after="0"/>
              <w:rPr>
                <w:rFonts w:cs="Times New Roman"/>
                <w:szCs w:val="24"/>
              </w:rPr>
            </w:pPr>
            <w:r>
              <w:rPr>
                <w:rFonts w:cs="Times New Roman"/>
                <w:szCs w:val="24"/>
              </w:rPr>
            </w:r>
          </w:p>
        </w:tc>
        <w:tc>
          <w:tcPr>
            <w:tcW w:w="1275" w:type="dxa"/>
            <w:tcBorders/>
            <w:shd w:fill="auto" w:val="clear"/>
          </w:tcPr>
          <w:p>
            <w:pPr>
              <w:pStyle w:val="Normal"/>
              <w:spacing w:lineRule="auto" w:line="360" w:before="0" w:after="0"/>
              <w:rPr>
                <w:rFonts w:cs="Times New Roman"/>
                <w:szCs w:val="24"/>
              </w:rPr>
            </w:pPr>
            <w:r>
              <w:rPr>
                <w:rFonts w:cs="Times New Roman"/>
                <w:szCs w:val="24"/>
              </w:rPr>
              <w:t>(100,000 * £25)</w:t>
            </w:r>
          </w:p>
        </w:tc>
        <w:tc>
          <w:tcPr>
            <w:tcW w:w="1417" w:type="dxa"/>
            <w:tcBorders/>
            <w:shd w:fill="auto" w:val="clear"/>
          </w:tcPr>
          <w:p>
            <w:pPr>
              <w:pStyle w:val="Normal"/>
              <w:spacing w:lineRule="auto" w:line="360" w:before="0" w:after="0"/>
              <w:rPr>
                <w:rFonts w:cs="Times New Roman"/>
                <w:szCs w:val="24"/>
              </w:rPr>
            </w:pPr>
            <w:r>
              <w:rPr>
                <w:rFonts w:cs="Times New Roman"/>
                <w:szCs w:val="24"/>
              </w:rPr>
              <w:t>£2,500,000</w:t>
            </w:r>
          </w:p>
        </w:tc>
        <w:tc>
          <w:tcPr>
            <w:tcW w:w="1701" w:type="dxa"/>
            <w:tcBorders/>
            <w:shd w:fill="auto" w:val="clear"/>
          </w:tcPr>
          <w:p>
            <w:pPr>
              <w:pStyle w:val="Normal"/>
              <w:spacing w:lineRule="auto" w:line="360" w:before="0" w:after="0"/>
              <w:rPr>
                <w:rFonts w:cs="Times New Roman"/>
                <w:szCs w:val="24"/>
              </w:rPr>
            </w:pPr>
            <w:r>
              <w:rPr>
                <w:rFonts w:cs="Times New Roman"/>
                <w:szCs w:val="24"/>
              </w:rPr>
              <w:t>(80,000 * £25)</w:t>
            </w:r>
          </w:p>
        </w:tc>
        <w:tc>
          <w:tcPr>
            <w:tcW w:w="1418" w:type="dxa"/>
            <w:tcBorders/>
            <w:shd w:fill="auto" w:val="clear"/>
          </w:tcPr>
          <w:p>
            <w:pPr>
              <w:pStyle w:val="Normal"/>
              <w:spacing w:lineRule="auto" w:line="360" w:before="0" w:after="0"/>
              <w:rPr>
                <w:rFonts w:cs="Times New Roman"/>
                <w:szCs w:val="24"/>
              </w:rPr>
            </w:pPr>
            <w:r>
              <w:rPr>
                <w:rFonts w:cs="Times New Roman"/>
                <w:szCs w:val="24"/>
              </w:rPr>
              <w:t>£2,000,000</w:t>
            </w:r>
          </w:p>
        </w:tc>
      </w:tr>
      <w:tr>
        <w:trPr/>
        <w:tc>
          <w:tcPr>
            <w:tcW w:w="1836" w:type="dxa"/>
            <w:tcBorders/>
            <w:shd w:fill="auto" w:val="clear"/>
          </w:tcPr>
          <w:p>
            <w:pPr>
              <w:pStyle w:val="Normal"/>
              <w:spacing w:lineRule="auto" w:line="360" w:before="0" w:after="0"/>
              <w:rPr>
                <w:rFonts w:cs="Times New Roman"/>
                <w:b/>
                <w:b/>
                <w:bCs/>
                <w:szCs w:val="24"/>
              </w:rPr>
            </w:pPr>
            <w:r>
              <w:rPr>
                <w:rFonts w:cs="Times New Roman"/>
                <w:b/>
                <w:bCs/>
                <w:szCs w:val="24"/>
              </w:rPr>
              <w:t>Variable costs:</w:t>
            </w:r>
          </w:p>
        </w:tc>
        <w:tc>
          <w:tcPr>
            <w:tcW w:w="851" w:type="dxa"/>
            <w:tcBorders/>
            <w:shd w:fill="auto" w:val="clear"/>
          </w:tcPr>
          <w:p>
            <w:pPr>
              <w:pStyle w:val="Normal"/>
              <w:spacing w:lineRule="auto" w:line="360" w:before="0" w:after="0"/>
              <w:rPr>
                <w:rFonts w:cs="Times New Roman"/>
                <w:szCs w:val="24"/>
              </w:rPr>
            </w:pPr>
            <w:r>
              <w:rPr>
                <w:rFonts w:cs="Times New Roman"/>
                <w:szCs w:val="24"/>
              </w:rPr>
            </w:r>
          </w:p>
        </w:tc>
        <w:tc>
          <w:tcPr>
            <w:tcW w:w="1275" w:type="dxa"/>
            <w:tcBorders/>
            <w:shd w:fill="auto" w:val="clear"/>
          </w:tcPr>
          <w:p>
            <w:pPr>
              <w:pStyle w:val="Normal"/>
              <w:spacing w:lineRule="auto" w:line="360" w:before="0" w:after="0"/>
              <w:rPr>
                <w:rFonts w:cs="Times New Roman"/>
                <w:szCs w:val="24"/>
              </w:rPr>
            </w:pPr>
            <w:r>
              <w:rPr>
                <w:rFonts w:cs="Times New Roman"/>
                <w:szCs w:val="24"/>
              </w:rPr>
            </w:r>
          </w:p>
        </w:tc>
        <w:tc>
          <w:tcPr>
            <w:tcW w:w="1417" w:type="dxa"/>
            <w:tcBorders/>
            <w:shd w:fill="auto" w:val="clear"/>
          </w:tcPr>
          <w:p>
            <w:pPr>
              <w:pStyle w:val="Normal"/>
              <w:spacing w:lineRule="auto" w:line="360" w:before="0" w:after="0"/>
              <w:rPr>
                <w:rFonts w:cs="Times New Roman"/>
                <w:szCs w:val="24"/>
              </w:rPr>
            </w:pPr>
            <w:r>
              <w:rPr>
                <w:rFonts w:cs="Times New Roman"/>
                <w:szCs w:val="24"/>
              </w:rPr>
            </w:r>
          </w:p>
        </w:tc>
        <w:tc>
          <w:tcPr>
            <w:tcW w:w="1701" w:type="dxa"/>
            <w:tcBorders/>
            <w:shd w:fill="auto" w:val="clear"/>
          </w:tcPr>
          <w:p>
            <w:pPr>
              <w:pStyle w:val="Normal"/>
              <w:spacing w:lineRule="auto" w:line="360" w:before="0" w:after="0"/>
              <w:rPr>
                <w:rFonts w:cs="Times New Roman"/>
                <w:szCs w:val="24"/>
              </w:rPr>
            </w:pPr>
            <w:r>
              <w:rPr>
                <w:rFonts w:cs="Times New Roman"/>
                <w:szCs w:val="24"/>
              </w:rPr>
            </w:r>
          </w:p>
        </w:tc>
        <w:tc>
          <w:tcPr>
            <w:tcW w:w="1418" w:type="dxa"/>
            <w:tcBorders/>
            <w:shd w:fill="auto" w:val="clear"/>
          </w:tcPr>
          <w:p>
            <w:pPr>
              <w:pStyle w:val="Normal"/>
              <w:spacing w:lineRule="auto" w:line="360" w:before="0" w:after="0"/>
              <w:rPr>
                <w:rFonts w:cs="Times New Roman"/>
                <w:szCs w:val="24"/>
              </w:rPr>
            </w:pPr>
            <w:r>
              <w:rPr>
                <w:rFonts w:cs="Times New Roman"/>
                <w:szCs w:val="24"/>
              </w:rPr>
            </w:r>
          </w:p>
        </w:tc>
      </w:tr>
      <w:tr>
        <w:trPr/>
        <w:tc>
          <w:tcPr>
            <w:tcW w:w="1836" w:type="dxa"/>
            <w:tcBorders/>
            <w:shd w:fill="auto" w:val="clear"/>
          </w:tcPr>
          <w:p>
            <w:pPr>
              <w:pStyle w:val="Normal"/>
              <w:spacing w:lineRule="auto" w:line="360" w:before="0" w:after="0"/>
              <w:rPr>
                <w:rFonts w:cs="Times New Roman"/>
                <w:szCs w:val="24"/>
              </w:rPr>
            </w:pPr>
            <w:r>
              <w:rPr>
                <w:rFonts w:cs="Times New Roman"/>
                <w:szCs w:val="24"/>
              </w:rPr>
              <w:t>Materials</w:t>
            </w:r>
          </w:p>
        </w:tc>
        <w:tc>
          <w:tcPr>
            <w:tcW w:w="851" w:type="dxa"/>
            <w:tcBorders/>
            <w:shd w:fill="auto" w:val="clear"/>
          </w:tcPr>
          <w:p>
            <w:pPr>
              <w:pStyle w:val="Normal"/>
              <w:spacing w:lineRule="auto" w:line="360" w:before="0" w:after="0"/>
              <w:rPr>
                <w:rFonts w:cs="Times New Roman"/>
                <w:szCs w:val="24"/>
              </w:rPr>
            </w:pPr>
            <w:r>
              <w:rPr>
                <w:rFonts w:cs="Times New Roman"/>
                <w:szCs w:val="24"/>
              </w:rPr>
              <w:t>£2.50</w:t>
            </w:r>
          </w:p>
        </w:tc>
        <w:tc>
          <w:tcPr>
            <w:tcW w:w="1275" w:type="dxa"/>
            <w:tcBorders/>
            <w:shd w:fill="auto" w:val="clear"/>
          </w:tcPr>
          <w:p>
            <w:pPr>
              <w:pStyle w:val="Normal"/>
              <w:spacing w:lineRule="auto" w:line="360" w:before="0" w:after="0"/>
              <w:rPr>
                <w:rFonts w:cs="Times New Roman"/>
                <w:szCs w:val="24"/>
              </w:rPr>
            </w:pPr>
            <w:r>
              <w:rPr>
                <w:rFonts w:cs="Times New Roman"/>
                <w:szCs w:val="24"/>
              </w:rPr>
              <w:t>(100,000 * £2.50)</w:t>
            </w:r>
          </w:p>
        </w:tc>
        <w:tc>
          <w:tcPr>
            <w:tcW w:w="1417" w:type="dxa"/>
            <w:tcBorders/>
            <w:shd w:fill="auto" w:val="clear"/>
          </w:tcPr>
          <w:p>
            <w:pPr>
              <w:pStyle w:val="Normal"/>
              <w:spacing w:lineRule="auto" w:line="360" w:before="0" w:after="0"/>
              <w:rPr>
                <w:rFonts w:cs="Times New Roman"/>
                <w:szCs w:val="24"/>
              </w:rPr>
            </w:pPr>
            <w:r>
              <w:rPr>
                <w:rFonts w:cs="Times New Roman"/>
                <w:szCs w:val="24"/>
              </w:rPr>
              <w:t>£250,000</w:t>
            </w:r>
          </w:p>
        </w:tc>
        <w:tc>
          <w:tcPr>
            <w:tcW w:w="1701" w:type="dxa"/>
            <w:tcBorders/>
            <w:shd w:fill="auto" w:val="clear"/>
          </w:tcPr>
          <w:p>
            <w:pPr>
              <w:pStyle w:val="Normal"/>
              <w:spacing w:lineRule="auto" w:line="360" w:before="0" w:after="0"/>
              <w:rPr>
                <w:rFonts w:cs="Times New Roman"/>
                <w:szCs w:val="24"/>
              </w:rPr>
            </w:pPr>
            <w:r>
              <w:rPr>
                <w:rFonts w:cs="Times New Roman"/>
                <w:szCs w:val="24"/>
              </w:rPr>
              <w:t>(80,000 * £2.50)</w:t>
            </w:r>
          </w:p>
        </w:tc>
        <w:tc>
          <w:tcPr>
            <w:tcW w:w="1418" w:type="dxa"/>
            <w:tcBorders/>
            <w:shd w:fill="auto" w:val="clear"/>
          </w:tcPr>
          <w:p>
            <w:pPr>
              <w:pStyle w:val="Normal"/>
              <w:spacing w:lineRule="auto" w:line="360" w:before="0" w:after="0"/>
              <w:rPr>
                <w:rFonts w:cs="Times New Roman"/>
                <w:szCs w:val="24"/>
              </w:rPr>
            </w:pPr>
            <w:r>
              <w:rPr>
                <w:rFonts w:cs="Times New Roman"/>
                <w:szCs w:val="24"/>
              </w:rPr>
              <w:t>£200,000</w:t>
            </w:r>
          </w:p>
        </w:tc>
      </w:tr>
      <w:tr>
        <w:trPr/>
        <w:tc>
          <w:tcPr>
            <w:tcW w:w="1836" w:type="dxa"/>
            <w:tcBorders/>
            <w:shd w:fill="auto" w:val="clear"/>
          </w:tcPr>
          <w:p>
            <w:pPr>
              <w:pStyle w:val="Normal"/>
              <w:spacing w:lineRule="auto" w:line="360" w:before="0" w:after="0"/>
              <w:rPr>
                <w:rFonts w:cs="Times New Roman"/>
                <w:szCs w:val="24"/>
              </w:rPr>
            </w:pPr>
            <w:r>
              <w:rPr>
                <w:rFonts w:cs="Times New Roman"/>
                <w:szCs w:val="24"/>
              </w:rPr>
              <w:t>Labour</w:t>
            </w:r>
          </w:p>
        </w:tc>
        <w:tc>
          <w:tcPr>
            <w:tcW w:w="851" w:type="dxa"/>
            <w:tcBorders/>
            <w:shd w:fill="auto" w:val="clear"/>
          </w:tcPr>
          <w:p>
            <w:pPr>
              <w:pStyle w:val="Normal"/>
              <w:spacing w:lineRule="auto" w:line="360" w:before="0" w:after="0"/>
              <w:rPr>
                <w:rFonts w:cs="Times New Roman"/>
                <w:szCs w:val="24"/>
              </w:rPr>
            </w:pPr>
            <w:r>
              <w:rPr>
                <w:rFonts w:cs="Times New Roman"/>
                <w:szCs w:val="24"/>
              </w:rPr>
              <w:t>£4</w:t>
            </w:r>
          </w:p>
        </w:tc>
        <w:tc>
          <w:tcPr>
            <w:tcW w:w="1275" w:type="dxa"/>
            <w:tcBorders/>
            <w:shd w:fill="auto" w:val="clear"/>
          </w:tcPr>
          <w:p>
            <w:pPr>
              <w:pStyle w:val="Normal"/>
              <w:spacing w:lineRule="auto" w:line="360" w:before="0" w:after="0"/>
              <w:rPr>
                <w:rFonts w:cs="Times New Roman"/>
                <w:szCs w:val="24"/>
              </w:rPr>
            </w:pPr>
            <w:r>
              <w:rPr>
                <w:rFonts w:cs="Times New Roman"/>
                <w:szCs w:val="24"/>
              </w:rPr>
              <w:t>(100,000 * £4)</w:t>
            </w:r>
          </w:p>
        </w:tc>
        <w:tc>
          <w:tcPr>
            <w:tcW w:w="1417" w:type="dxa"/>
            <w:tcBorders/>
            <w:shd w:fill="auto" w:val="clear"/>
          </w:tcPr>
          <w:p>
            <w:pPr>
              <w:pStyle w:val="Normal"/>
              <w:spacing w:lineRule="auto" w:line="360" w:before="0" w:after="0"/>
              <w:rPr>
                <w:rFonts w:cs="Times New Roman"/>
                <w:szCs w:val="24"/>
              </w:rPr>
            </w:pPr>
            <w:r>
              <w:rPr>
                <w:rFonts w:cs="Times New Roman"/>
                <w:szCs w:val="24"/>
              </w:rPr>
              <w:t>£400,000</w:t>
            </w:r>
          </w:p>
        </w:tc>
        <w:tc>
          <w:tcPr>
            <w:tcW w:w="1701" w:type="dxa"/>
            <w:tcBorders/>
            <w:shd w:fill="auto" w:val="clear"/>
          </w:tcPr>
          <w:p>
            <w:pPr>
              <w:pStyle w:val="Normal"/>
              <w:spacing w:lineRule="auto" w:line="360" w:before="0" w:after="0"/>
              <w:rPr>
                <w:rFonts w:cs="Times New Roman"/>
                <w:szCs w:val="24"/>
              </w:rPr>
            </w:pPr>
            <w:r>
              <w:rPr>
                <w:rFonts w:cs="Times New Roman"/>
                <w:szCs w:val="24"/>
              </w:rPr>
              <w:t>(80,000 * £4)</w:t>
            </w:r>
          </w:p>
        </w:tc>
        <w:tc>
          <w:tcPr>
            <w:tcW w:w="1418" w:type="dxa"/>
            <w:tcBorders/>
            <w:shd w:fill="auto" w:val="clear"/>
          </w:tcPr>
          <w:p>
            <w:pPr>
              <w:pStyle w:val="Normal"/>
              <w:spacing w:lineRule="auto" w:line="360" w:before="0" w:after="0"/>
              <w:rPr>
                <w:rFonts w:cs="Times New Roman"/>
                <w:szCs w:val="24"/>
              </w:rPr>
            </w:pPr>
            <w:r>
              <w:rPr>
                <w:rFonts w:cs="Times New Roman"/>
                <w:szCs w:val="24"/>
              </w:rPr>
              <w:t>£320,000</w:t>
            </w:r>
          </w:p>
        </w:tc>
      </w:tr>
      <w:tr>
        <w:trPr/>
        <w:tc>
          <w:tcPr>
            <w:tcW w:w="1836" w:type="dxa"/>
            <w:tcBorders/>
            <w:shd w:fill="auto" w:val="clear"/>
          </w:tcPr>
          <w:p>
            <w:pPr>
              <w:pStyle w:val="Normal"/>
              <w:spacing w:lineRule="auto" w:line="360" w:before="0" w:after="0"/>
              <w:rPr>
                <w:rFonts w:cs="Times New Roman"/>
                <w:szCs w:val="24"/>
              </w:rPr>
            </w:pPr>
            <w:r>
              <w:rPr>
                <w:rFonts w:cs="Times New Roman"/>
                <w:szCs w:val="24"/>
              </w:rPr>
              <w:t>Overhead</w:t>
            </w:r>
          </w:p>
        </w:tc>
        <w:tc>
          <w:tcPr>
            <w:tcW w:w="851" w:type="dxa"/>
            <w:tcBorders/>
            <w:shd w:fill="auto" w:val="clear"/>
          </w:tcPr>
          <w:p>
            <w:pPr>
              <w:pStyle w:val="Normal"/>
              <w:spacing w:lineRule="auto" w:line="360" w:before="0" w:after="0"/>
              <w:rPr>
                <w:rFonts w:cs="Times New Roman"/>
                <w:szCs w:val="24"/>
              </w:rPr>
            </w:pPr>
            <w:r>
              <w:rPr>
                <w:rFonts w:cs="Times New Roman"/>
                <w:szCs w:val="24"/>
              </w:rPr>
              <w:t>£1.50</w:t>
            </w:r>
          </w:p>
        </w:tc>
        <w:tc>
          <w:tcPr>
            <w:tcW w:w="1275" w:type="dxa"/>
            <w:tcBorders/>
            <w:shd w:fill="auto" w:val="clear"/>
          </w:tcPr>
          <w:p>
            <w:pPr>
              <w:pStyle w:val="Normal"/>
              <w:spacing w:lineRule="auto" w:line="360" w:before="0" w:after="0"/>
              <w:rPr>
                <w:rFonts w:cs="Times New Roman"/>
                <w:szCs w:val="24"/>
              </w:rPr>
            </w:pPr>
            <w:r>
              <w:rPr>
                <w:rFonts w:cs="Times New Roman"/>
                <w:szCs w:val="24"/>
              </w:rPr>
              <w:t>(100,000 * £1.50)</w:t>
            </w:r>
          </w:p>
        </w:tc>
        <w:tc>
          <w:tcPr>
            <w:tcW w:w="1417" w:type="dxa"/>
            <w:tcBorders/>
            <w:shd w:fill="auto" w:val="clear"/>
          </w:tcPr>
          <w:p>
            <w:pPr>
              <w:pStyle w:val="Normal"/>
              <w:spacing w:lineRule="auto" w:line="360" w:before="0" w:after="0"/>
              <w:rPr>
                <w:rFonts w:cs="Times New Roman"/>
                <w:szCs w:val="24"/>
              </w:rPr>
            </w:pPr>
            <w:r>
              <w:rPr>
                <w:rFonts w:cs="Times New Roman"/>
                <w:szCs w:val="24"/>
              </w:rPr>
              <w:t>£150,000</w:t>
            </w:r>
          </w:p>
        </w:tc>
        <w:tc>
          <w:tcPr>
            <w:tcW w:w="1701" w:type="dxa"/>
            <w:tcBorders/>
            <w:shd w:fill="auto" w:val="clear"/>
          </w:tcPr>
          <w:p>
            <w:pPr>
              <w:pStyle w:val="Normal"/>
              <w:spacing w:lineRule="auto" w:line="360" w:before="0" w:after="0"/>
              <w:rPr>
                <w:rFonts w:cs="Times New Roman"/>
                <w:szCs w:val="24"/>
              </w:rPr>
            </w:pPr>
            <w:r>
              <w:rPr>
                <w:rFonts w:cs="Times New Roman"/>
                <w:szCs w:val="24"/>
              </w:rPr>
              <w:t>(80,000 * £1.50)</w:t>
            </w:r>
          </w:p>
        </w:tc>
        <w:tc>
          <w:tcPr>
            <w:tcW w:w="1418" w:type="dxa"/>
            <w:tcBorders/>
            <w:shd w:fill="auto" w:val="clear"/>
          </w:tcPr>
          <w:p>
            <w:pPr>
              <w:pStyle w:val="Normal"/>
              <w:spacing w:lineRule="auto" w:line="360" w:before="0" w:after="0"/>
              <w:rPr>
                <w:rFonts w:cs="Times New Roman"/>
                <w:szCs w:val="24"/>
              </w:rPr>
            </w:pPr>
            <w:r>
              <w:rPr>
                <w:rFonts w:cs="Times New Roman"/>
                <w:szCs w:val="24"/>
              </w:rPr>
              <w:t>£120,000</w:t>
            </w:r>
          </w:p>
        </w:tc>
      </w:tr>
      <w:tr>
        <w:trPr/>
        <w:tc>
          <w:tcPr>
            <w:tcW w:w="1836" w:type="dxa"/>
            <w:tcBorders/>
            <w:shd w:fill="auto" w:val="clear"/>
          </w:tcPr>
          <w:p>
            <w:pPr>
              <w:pStyle w:val="Normal"/>
              <w:spacing w:lineRule="auto" w:line="360" w:before="0" w:after="0"/>
              <w:rPr>
                <w:rFonts w:cs="Times New Roman"/>
                <w:szCs w:val="24"/>
              </w:rPr>
            </w:pPr>
            <w:r>
              <w:rPr>
                <w:rFonts w:cs="Times New Roman"/>
                <w:szCs w:val="24"/>
              </w:rPr>
              <w:t>Contribution</w:t>
            </w:r>
          </w:p>
        </w:tc>
        <w:tc>
          <w:tcPr>
            <w:tcW w:w="851" w:type="dxa"/>
            <w:tcBorders/>
            <w:shd w:fill="auto" w:val="clear"/>
          </w:tcPr>
          <w:p>
            <w:pPr>
              <w:pStyle w:val="Normal"/>
              <w:spacing w:lineRule="auto" w:line="360" w:before="0" w:after="0"/>
              <w:rPr>
                <w:rFonts w:cs="Times New Roman"/>
                <w:szCs w:val="24"/>
              </w:rPr>
            </w:pPr>
            <w:r>
              <w:rPr>
                <w:rFonts w:cs="Times New Roman"/>
                <w:szCs w:val="24"/>
              </w:rPr>
              <w:t>£17</w:t>
            </w:r>
          </w:p>
        </w:tc>
        <w:tc>
          <w:tcPr>
            <w:tcW w:w="1275" w:type="dxa"/>
            <w:tcBorders/>
            <w:shd w:fill="auto" w:val="clear"/>
          </w:tcPr>
          <w:p>
            <w:pPr>
              <w:pStyle w:val="Normal"/>
              <w:spacing w:lineRule="auto" w:line="360" w:before="0" w:after="0"/>
              <w:rPr>
                <w:rFonts w:cs="Times New Roman"/>
                <w:szCs w:val="24"/>
              </w:rPr>
            </w:pPr>
            <w:r>
              <w:rPr>
                <w:rFonts w:cs="Times New Roman"/>
                <w:szCs w:val="24"/>
              </w:rPr>
              <w:t>(100,000 * £17)</w:t>
            </w:r>
          </w:p>
        </w:tc>
        <w:tc>
          <w:tcPr>
            <w:tcW w:w="1417" w:type="dxa"/>
            <w:tcBorders/>
            <w:shd w:fill="auto" w:val="clear"/>
          </w:tcPr>
          <w:p>
            <w:pPr>
              <w:pStyle w:val="Normal"/>
              <w:spacing w:lineRule="auto" w:line="360" w:before="0" w:after="0"/>
              <w:rPr>
                <w:rFonts w:cs="Times New Roman"/>
                <w:szCs w:val="24"/>
              </w:rPr>
            </w:pPr>
            <w:r>
              <w:rPr>
                <w:rFonts w:cs="Times New Roman"/>
                <w:szCs w:val="24"/>
              </w:rPr>
              <w:t>£1,700,000</w:t>
            </w:r>
          </w:p>
        </w:tc>
        <w:tc>
          <w:tcPr>
            <w:tcW w:w="1701" w:type="dxa"/>
            <w:tcBorders/>
            <w:shd w:fill="auto" w:val="clear"/>
          </w:tcPr>
          <w:p>
            <w:pPr>
              <w:pStyle w:val="Normal"/>
              <w:spacing w:lineRule="auto" w:line="360" w:before="0" w:after="0"/>
              <w:rPr>
                <w:rFonts w:cs="Times New Roman"/>
                <w:szCs w:val="24"/>
              </w:rPr>
            </w:pPr>
            <w:r>
              <w:rPr>
                <w:rFonts w:cs="Times New Roman"/>
                <w:szCs w:val="24"/>
              </w:rPr>
              <w:t>(80,000 * £17)</w:t>
            </w:r>
          </w:p>
        </w:tc>
        <w:tc>
          <w:tcPr>
            <w:tcW w:w="1418" w:type="dxa"/>
            <w:tcBorders/>
            <w:shd w:fill="auto" w:val="clear"/>
          </w:tcPr>
          <w:p>
            <w:pPr>
              <w:pStyle w:val="Normal"/>
              <w:spacing w:lineRule="auto" w:line="360" w:before="0" w:after="0"/>
              <w:rPr>
                <w:rFonts w:cs="Times New Roman"/>
                <w:szCs w:val="24"/>
              </w:rPr>
            </w:pPr>
            <w:r>
              <w:rPr>
                <w:rFonts w:cs="Times New Roman"/>
                <w:szCs w:val="24"/>
              </w:rPr>
              <w:t>£1,360,000</w:t>
            </w:r>
          </w:p>
        </w:tc>
      </w:tr>
    </w:tbl>
    <w:p>
      <w:pPr>
        <w:pStyle w:val="Normal"/>
        <w:spacing w:lineRule="auto" w:line="360"/>
        <w:rPr>
          <w:rFonts w:cs="Times New Roman"/>
          <w:szCs w:val="24"/>
        </w:rPr>
      </w:pPr>
      <w:r>
        <w:rPr>
          <w:rFonts w:cs="Times New Roman"/>
          <w:szCs w:val="24"/>
        </w:rPr>
      </w:r>
    </w:p>
    <w:p>
      <w:pPr>
        <w:pStyle w:val="Heading1"/>
        <w:rPr>
          <w:rFonts w:cs="Times New Roman"/>
        </w:rPr>
      </w:pPr>
      <w:bookmarkStart w:id="2" w:name="_Toc87602732"/>
      <w:r>
        <w:rPr>
          <w:rFonts w:cs="Times New Roman"/>
        </w:rPr>
        <w:t>A report on Amana’s performance during the year 2020</w:t>
      </w:r>
      <w:bookmarkEnd w:id="2"/>
    </w:p>
    <w:p>
      <w:pPr>
        <w:pStyle w:val="Normal"/>
        <w:spacing w:lineRule="auto" w:line="360"/>
        <w:rPr>
          <w:rFonts w:cs="Times New Roman"/>
          <w:szCs w:val="24"/>
        </w:rPr>
      </w:pPr>
      <w:r>
        <w:rPr>
          <w:rFonts w:cs="Times New Roman"/>
          <w:szCs w:val="24"/>
        </w:rPr>
        <w:t>The monthly control report of Amana Ltd Shows that during the year 2020 there was a decrease in the units sold to the customers as well as an increase in the cost of the business. There was a decrease in the selling unit of the souvenirs of about 20,000 units. The decrease in the number of the selling unit represents about one-fifth of their total budget. The decrease in the number of units sales has resulted from the spread of covid-19. As a consequence of the imposed lockdown all over the world, there was a restriction on travelling and moving around (Ogbeide, 2020). As Amana Ltd is a tourist business, the sales of the business have been hit badly due to the lockdown. The sales of the business have been decreased about 20% but the sales revenue has been decreased about 36%. This is due to the decrease in the selling price per unit of the business. Amana Ltd Has decreased about 20% of the selling price per unit which ultimately decreased the sales revenue. Due to the long term, there was a decrease in demand for souvenirs. So Amana Ltd was under pressure to cut prices to make sales.</w:t>
      </w:r>
    </w:p>
    <w:p>
      <w:pPr>
        <w:pStyle w:val="Normal"/>
        <w:spacing w:lineRule="auto" w:line="360"/>
        <w:rPr>
          <w:rFonts w:cs="Times New Roman"/>
          <w:szCs w:val="24"/>
        </w:rPr>
      </w:pPr>
      <w:r>
        <w:rPr>
          <w:rFonts w:cs="Times New Roman"/>
          <w:szCs w:val="24"/>
        </w:rPr>
        <w:t xml:space="preserve">The variable cost is a type of cost that changes with the number of units changes.  that means if the total number of units decrease the total variable cost will also be decreased (Rajasekaran and Lalitha, 2011). But the monthly cost report shows that there was an increase in almost all the variable costs for the business in spite of decreased sales units. The actual material cost for 80,000 units was £280,000 which exceed the budgeted cost for 100,000 units by £30,000. The cost has been increased due to the increase in the price of the materials. Moreover, due to the in post lockdown, there was a scarcity in the materials. So Amana Ltd had to pay a higher price for the materials. The variance in the cost of materials in Amana Ltd was also unfavourable. The labour cost was almost £120,000 higher than the budgeted cost. The labour cost is about 37.5% higher than the flexible budget. Changes in the cost of labour were mainly due to the supply of labour in the market.  During the lockdown, people were forced to stay at home and restrictions were imposed on travelling and moving around.  working from home has become a culture and a large portion of workers were adapted to remote working. This created a shortage of labour supply in the market during the pandemic (Bavykina, Fomina and Koretskaya, 2021). So  Amana Ltd had to pay a higher rate to the labours that ultimately increasing the labour cost. There was no overhead variance for the souvenirs. For the original budget, the contribution margin was £17 per unit,  but in the actual performance, the contribution margin per unit for the business is £9.5. It indicates that the contribution margin of the business has decreased by about half of the budgeted contribution margin.  this has happened due to the decreased selling price for the product as well as the increase in the variable cost for the souvenirs. </w:t>
      </w:r>
    </w:p>
    <w:p>
      <w:pPr>
        <w:pStyle w:val="Normal"/>
        <w:spacing w:lineRule="auto" w:line="360"/>
        <w:rPr>
          <w:rFonts w:cs="Times New Roman"/>
          <w:szCs w:val="24"/>
        </w:rPr>
      </w:pPr>
      <w:r>
        <w:rPr>
          <w:rFonts w:cs="Times New Roman"/>
          <w:szCs w:val="24"/>
        </w:rPr>
        <w:t>The fixed cost is expected to be constant irrespective of the number of output or units of sales (Lal and Srivastava, 2013). The monthly control report for Amana Ltd shows that all the fixed cost has a favourable variance except the insurance cost. There was no change in the insurance cost as the business where applies to pay a fixed premium per annum. So the insurance cost remains constant for the year. The length of the warehouse and the salary to the full-time warehouse supervisor were decreased. This may be due to the decreased production of souvenirs. Acid production where decreased Amana Ltd required less warehouse space to store their product. The salary of the full-time warehouse supervisor was decreased due to the cost-cutting strategy of the business. As all the variable costs were increased due to the pandemic, Amana Ltd was under pressure to cut costs so that it can retain its profitability. The material cost and the labour cost is uncontrollable cost for Amana Ltd. It cannot Reduce this cost without decreasing the production.  so to control the cost of the business Amana Ltd has to reduce the number of supervisors. The net profit of the business has been reduced by almost 54%. Though there was a decreased cost in the warehouse rent and salary of the full-time warehouse supervisors, the overall cost has been increased. An increase in the variable cost and decrease in the selling price has ultimately resulted in a decrease in the net profit of Amana Ltd.</w:t>
      </w:r>
    </w:p>
    <w:p>
      <w:pPr>
        <w:pStyle w:val="Heading1"/>
        <w:rPr>
          <w:rFonts w:cs="Times New Roman"/>
        </w:rPr>
      </w:pPr>
      <w:bookmarkStart w:id="3" w:name="_Toc87602733"/>
      <w:r>
        <w:rPr>
          <w:rFonts w:cs="Times New Roman"/>
        </w:rPr>
        <w:t>The recommendation for Amana Ltd</w:t>
      </w:r>
      <w:bookmarkEnd w:id="3"/>
    </w:p>
    <w:p>
      <w:pPr>
        <w:pStyle w:val="Normal"/>
        <w:spacing w:lineRule="auto" w:line="360"/>
        <w:rPr>
          <w:rFonts w:cs="Times New Roman"/>
          <w:szCs w:val="24"/>
        </w:rPr>
      </w:pPr>
      <w:r>
        <w:rPr>
          <w:rFonts w:cs="Times New Roman"/>
          <w:szCs w:val="24"/>
        </w:rPr>
        <w:t>The spread of Covid 19 has influenced almost all businesses all over the world. The tourism industry was the worst sufferer for the imposed locked down during the pandemic (Harchandani and Shome, 2021). To combat the influence of the imposed lockdown, All the businesses need to modify their strategy and develop a plan so that they can regain profitability and ensure the sustainability of the business. In this aspect, A mana Ltd also needs to identify the area of improvement and take initiative to develop those areas. Amana Ltd can impose the following recommendation to improve their operation:</w:t>
      </w:r>
    </w:p>
    <w:p>
      <w:pPr>
        <w:pStyle w:val="ListParagraph"/>
        <w:numPr>
          <w:ilvl w:val="0"/>
          <w:numId w:val="1"/>
        </w:numPr>
        <w:spacing w:lineRule="auto" w:line="360"/>
        <w:rPr>
          <w:rFonts w:cs="Times New Roman"/>
          <w:szCs w:val="24"/>
        </w:rPr>
      </w:pPr>
      <w:r>
        <w:rPr>
          <w:rFonts w:cs="Times New Roman"/>
          <w:szCs w:val="24"/>
        </w:rPr>
        <w:t>Currently, Amana Ltd sells its product in the physical store. But the imposed lockdown has limited the movement of the people. People are now more comfortable with online shopping rather than purchasing in a physical store (COVID-19 has changed online shopping forever, survey shows | UNCTAD, 2021). In this case, Amana Ltd needs to develop a well-designed website and make arrangements for selling from the website so that the customers can choose the product from their website and make an online purchase. It will help Amana Ltd to increase their sales as well as the overall profit.</w:t>
      </w:r>
    </w:p>
    <w:p>
      <w:pPr>
        <w:pStyle w:val="ListParagraph"/>
        <w:numPr>
          <w:ilvl w:val="0"/>
          <w:numId w:val="1"/>
        </w:numPr>
        <w:spacing w:lineRule="auto" w:line="360"/>
        <w:rPr>
          <w:rFonts w:cs="Times New Roman"/>
          <w:szCs w:val="24"/>
        </w:rPr>
      </w:pPr>
      <w:r>
        <w:rPr>
          <w:rFonts w:cs="Times New Roman"/>
          <w:szCs w:val="24"/>
        </w:rPr>
        <w:t>Amana Ltd needs to develop its own manufacturing capacity. As the Souvenirs are currently produced by Chinese manufacture it lessens the power of the business to control cost. Moreover, the carrying cost of the Souvenirs from the manufactures to the physical store also increase the overall cost. If Amana Ltd starts to manufacture the Souvenirs on their own, they will be more capable of controlling manufacturing costs and saving in carrying costs.</w:t>
      </w:r>
    </w:p>
    <w:p>
      <w:pPr>
        <w:pStyle w:val="ListParagraph"/>
        <w:numPr>
          <w:ilvl w:val="0"/>
          <w:numId w:val="1"/>
        </w:numPr>
        <w:spacing w:lineRule="auto" w:line="360"/>
        <w:rPr>
          <w:rFonts w:cs="Times New Roman"/>
          <w:szCs w:val="24"/>
        </w:rPr>
      </w:pPr>
      <w:r>
        <w:rPr>
          <w:rFonts w:cs="Times New Roman"/>
          <w:szCs w:val="24"/>
        </w:rPr>
        <w:t>Nowadays people spend a much time on social networks. Amana Ltd can increase its presence on social media to inform more customers about its products. They can also reply to the customer query so that the customers get most of the information to make the purchase of the Souvenirs.</w:t>
      </w:r>
      <w:r>
        <w:br w:type="page"/>
      </w:r>
    </w:p>
    <w:p>
      <w:pPr>
        <w:pStyle w:val="Title"/>
        <w:spacing w:lineRule="auto" w:line="360"/>
        <w:rPr>
          <w:rFonts w:ascii="Times New Roman" w:hAnsi="Times New Roman" w:cs="Times New Roman"/>
        </w:rPr>
      </w:pPr>
      <w:r>
        <w:rPr>
          <w:rFonts w:cs="Times New Roman" w:ascii="Times New Roman" w:hAnsi="Times New Roman"/>
        </w:rPr>
        <w:t>Part B</w:t>
      </w:r>
    </w:p>
    <w:p>
      <w:pPr>
        <w:pStyle w:val="Heading1"/>
        <w:rPr>
          <w:rFonts w:cs="Times New Roman"/>
        </w:rPr>
      </w:pPr>
      <w:bookmarkStart w:id="4" w:name="_Toc87602734"/>
      <w:r>
        <w:rPr>
          <w:rFonts w:cs="Times New Roman"/>
        </w:rPr>
        <w:t>Relevant cost in decision making</w:t>
      </w:r>
      <w:bookmarkEnd w:id="4"/>
    </w:p>
    <w:p>
      <w:pPr>
        <w:pStyle w:val="Normal"/>
        <w:spacing w:lineRule="auto" w:line="360"/>
        <w:rPr>
          <w:rFonts w:cs="Times New Roman"/>
          <w:szCs w:val="24"/>
        </w:rPr>
      </w:pPr>
      <w:r>
        <w:rPr>
          <w:rFonts w:cs="Times New Roman"/>
          <w:szCs w:val="24"/>
        </w:rPr>
        <w:t>Relevant costing is an important feature of the decision-making process that helps to consider the relevant data for decision making. It helps to avoid unnecessary data and cost that is not affected by the decision making process (Izar and Hontoir, 2014). It implies that a relevant cost can be affected by the alternative choice as a decision. By removing the unnecessary information simplifies the decision-making process and assists the managers in focusing on the important information and cost for the decision. All of the decision-making processes involve a vast range of information.  the managers need to understand the importance of the information and identify with information that has an impact on the decision making and which has not (Bragg and Bragg, 2021). If the management fails to identify the relevant information each main results inappropriate decisions in the business which ultimately affects the profitability of the business.</w:t>
      </w:r>
    </w:p>
    <w:p>
      <w:pPr>
        <w:pStyle w:val="Heading1"/>
        <w:rPr>
          <w:rFonts w:cs="Times New Roman"/>
        </w:rPr>
      </w:pPr>
      <w:bookmarkStart w:id="5" w:name="_Toc87602735"/>
      <w:r>
        <w:rPr>
          <w:rFonts w:cs="Times New Roman"/>
        </w:rPr>
        <w:t>An evaluation of the decision to go online</w:t>
      </w:r>
      <w:bookmarkEnd w:id="5"/>
    </w:p>
    <w:p>
      <w:pPr>
        <w:pStyle w:val="Normal"/>
        <w:spacing w:lineRule="auto" w:line="360"/>
        <w:rPr>
          <w:rFonts w:cs="Times New Roman"/>
          <w:szCs w:val="24"/>
        </w:rPr>
      </w:pPr>
      <w:r>
        <w:rPr>
          <w:rFonts w:cs="Times New Roman"/>
          <w:szCs w:val="24"/>
        </w:rPr>
        <w:t>Covid-19 has changed the purchasing trend of the people. Due to the pandemic people has become more concerned regarding their health and safety issue. So people nowadays prefer online shopping rather than purchasing online. During the lockdown people were restricted to going outside and forced to stay at home, they were unable to purchase from a physical store. So they began to purchase online and were adapted to internet purchasing. Research has shown that from that time of pandemic about 62% of people were comfortable with online purchasing (Fihartini, Helmi, Hassan and Marty Oesman, 2021). So moving half of the sales of Amana Ltd online is undoubtedly a good decision. Due to online selling, people will be able to purchase souvenirs online. It will increase their sales and well profitability. Moreover, as they are considering to close down the shop in Brighton, Birmingham city centre and Manchester city centre, it would not affect their sales much more. Due to the presence of the product, the online people from that area will be able to view the product From their websites and make a purchase whenever they want. In fact, online selling will increase their customer base as people from all over the world will be able to give their products and make an online purchase. So in this competitive environment move to online selling is obviously the right decision for Amana Ltd.</w:t>
      </w:r>
    </w:p>
    <w:p>
      <w:pPr>
        <w:pStyle w:val="Heading1"/>
        <w:rPr>
          <w:rFonts w:cs="Times New Roman"/>
        </w:rPr>
      </w:pPr>
      <w:bookmarkStart w:id="6" w:name="_Toc87602736"/>
      <w:r>
        <w:rPr>
          <w:rFonts w:cs="Times New Roman"/>
        </w:rPr>
        <w:t>The relevant cost analysis for Amana Ltd for available alternatives</w:t>
      </w:r>
      <w:bookmarkEnd w:id="6"/>
    </w:p>
    <w:p>
      <w:pPr>
        <w:pStyle w:val="Normal"/>
        <w:spacing w:lineRule="auto" w:line="360"/>
        <w:rPr>
          <w:rFonts w:cs="Times New Roman"/>
          <w:szCs w:val="24"/>
        </w:rPr>
      </w:pPr>
      <w:r>
        <w:rPr>
          <w:rFonts w:cs="Times New Roman"/>
          <w:szCs w:val="24"/>
        </w:rPr>
        <w:t>Amana Ltd has two alternatives for making online selling. One is to set up their own online store to start selling and another is to sell on the online platform. Both alternatives have some associated costs with the decision. The cost is calculated below:</w:t>
      </w:r>
    </w:p>
    <w:tbl>
      <w:tblPr>
        <w:tblStyle w:val="TableGrid"/>
        <w:tblW w:w="9067" w:type="dxa"/>
        <w:jc w:val="left"/>
        <w:tblInd w:w="0" w:type="dxa"/>
        <w:tblCellMar>
          <w:top w:w="0" w:type="dxa"/>
          <w:left w:w="108" w:type="dxa"/>
          <w:bottom w:w="0" w:type="dxa"/>
          <w:right w:w="108" w:type="dxa"/>
        </w:tblCellMar>
        <w:tblLook w:firstRow="1" w:noVBand="1" w:lastRow="0" w:firstColumn="1" w:lastColumn="0" w:noHBand="0" w:val="04a0"/>
      </w:tblPr>
      <w:tblGrid>
        <w:gridCol w:w="5238"/>
        <w:gridCol w:w="1985"/>
        <w:gridCol w:w="1844"/>
      </w:tblGrid>
      <w:tr>
        <w:trPr/>
        <w:tc>
          <w:tcPr>
            <w:tcW w:w="5238" w:type="dxa"/>
            <w:tcBorders/>
            <w:shd w:fill="auto" w:val="clear"/>
          </w:tcPr>
          <w:p>
            <w:pPr>
              <w:pStyle w:val="Normal"/>
              <w:spacing w:lineRule="auto" w:line="360" w:before="0" w:after="0"/>
              <w:jc w:val="center"/>
              <w:rPr>
                <w:rFonts w:cs="Times New Roman"/>
                <w:b/>
                <w:b/>
                <w:bCs/>
                <w:szCs w:val="24"/>
              </w:rPr>
            </w:pPr>
            <w:r>
              <w:rPr>
                <w:rFonts w:cs="Times New Roman"/>
                <w:b/>
                <w:bCs/>
                <w:szCs w:val="24"/>
              </w:rPr>
              <w:t>Relevant Information</w:t>
            </w:r>
          </w:p>
        </w:tc>
        <w:tc>
          <w:tcPr>
            <w:tcW w:w="1985" w:type="dxa"/>
            <w:tcBorders/>
            <w:shd w:fill="auto" w:val="clear"/>
          </w:tcPr>
          <w:p>
            <w:pPr>
              <w:pStyle w:val="Normal"/>
              <w:spacing w:lineRule="auto" w:line="360" w:before="0" w:after="0"/>
              <w:jc w:val="center"/>
              <w:rPr>
                <w:rFonts w:cs="Times New Roman"/>
                <w:b/>
                <w:b/>
                <w:bCs/>
                <w:szCs w:val="24"/>
              </w:rPr>
            </w:pPr>
            <w:r>
              <w:rPr>
                <w:rFonts w:cs="Times New Roman"/>
                <w:b/>
                <w:bCs/>
                <w:szCs w:val="24"/>
              </w:rPr>
              <w:t>Sell via their own online shop</w:t>
            </w:r>
          </w:p>
        </w:tc>
        <w:tc>
          <w:tcPr>
            <w:tcW w:w="1844" w:type="dxa"/>
            <w:tcBorders/>
            <w:shd w:fill="auto" w:val="clear"/>
          </w:tcPr>
          <w:p>
            <w:pPr>
              <w:pStyle w:val="Normal"/>
              <w:spacing w:lineRule="auto" w:line="360" w:before="0" w:after="0"/>
              <w:jc w:val="center"/>
              <w:rPr>
                <w:rFonts w:cs="Times New Roman"/>
                <w:b/>
                <w:b/>
                <w:bCs/>
                <w:szCs w:val="24"/>
              </w:rPr>
            </w:pPr>
            <w:r>
              <w:rPr>
                <w:rFonts w:cs="Times New Roman"/>
                <w:b/>
                <w:bCs/>
                <w:szCs w:val="24"/>
              </w:rPr>
              <w:t>Sell on Amazon</w:t>
            </w:r>
          </w:p>
        </w:tc>
      </w:tr>
      <w:tr>
        <w:trPr/>
        <w:tc>
          <w:tcPr>
            <w:tcW w:w="5238" w:type="dxa"/>
            <w:tcBorders/>
            <w:shd w:fill="auto" w:val="clear"/>
          </w:tcPr>
          <w:p>
            <w:pPr>
              <w:pStyle w:val="Normal"/>
              <w:spacing w:lineRule="auto" w:line="360" w:before="0" w:after="0"/>
              <w:rPr>
                <w:rFonts w:cs="Times New Roman"/>
                <w:szCs w:val="24"/>
              </w:rPr>
            </w:pPr>
            <w:r>
              <w:rPr>
                <w:rFonts w:cs="Times New Roman"/>
                <w:szCs w:val="24"/>
              </w:rPr>
              <w:t>Cost of setting up a delivery network</w:t>
            </w:r>
          </w:p>
        </w:tc>
        <w:tc>
          <w:tcPr>
            <w:tcW w:w="1985" w:type="dxa"/>
            <w:tcBorders/>
            <w:shd w:fill="auto" w:val="clear"/>
          </w:tcPr>
          <w:p>
            <w:pPr>
              <w:pStyle w:val="Normal"/>
              <w:spacing w:lineRule="auto" w:line="360" w:before="0" w:after="0"/>
              <w:jc w:val="center"/>
              <w:rPr>
                <w:rFonts w:cs="Times New Roman"/>
                <w:szCs w:val="24"/>
              </w:rPr>
            </w:pPr>
            <w:r>
              <w:rPr>
                <w:rFonts w:cs="Times New Roman"/>
                <w:szCs w:val="24"/>
              </w:rPr>
              <w:t>£150,000</w:t>
            </w:r>
          </w:p>
        </w:tc>
        <w:tc>
          <w:tcPr>
            <w:tcW w:w="1844" w:type="dxa"/>
            <w:tcBorders/>
            <w:shd w:fill="auto" w:val="clear"/>
          </w:tcPr>
          <w:p>
            <w:pPr>
              <w:pStyle w:val="Normal"/>
              <w:spacing w:lineRule="auto" w:line="360" w:before="0" w:after="0"/>
              <w:jc w:val="center"/>
              <w:rPr>
                <w:rFonts w:cs="Times New Roman"/>
                <w:szCs w:val="24"/>
              </w:rPr>
            </w:pPr>
            <w:r>
              <w:rPr>
                <w:rFonts w:cs="Times New Roman"/>
                <w:szCs w:val="24"/>
              </w:rPr>
            </w:r>
          </w:p>
        </w:tc>
      </w:tr>
      <w:tr>
        <w:trPr/>
        <w:tc>
          <w:tcPr>
            <w:tcW w:w="5238" w:type="dxa"/>
            <w:tcBorders/>
            <w:shd w:fill="auto" w:val="clear"/>
          </w:tcPr>
          <w:p>
            <w:pPr>
              <w:pStyle w:val="Normal"/>
              <w:spacing w:lineRule="auto" w:line="360" w:before="0" w:after="0"/>
              <w:rPr>
                <w:rFonts w:cs="Times New Roman"/>
                <w:szCs w:val="24"/>
              </w:rPr>
            </w:pPr>
            <w:r>
              <w:rPr>
                <w:rFonts w:cs="Times New Roman"/>
                <w:szCs w:val="24"/>
              </w:rPr>
              <w:t xml:space="preserve">Cost of upgrading the current website </w:t>
            </w:r>
          </w:p>
        </w:tc>
        <w:tc>
          <w:tcPr>
            <w:tcW w:w="1985" w:type="dxa"/>
            <w:tcBorders/>
            <w:shd w:fill="auto" w:val="clear"/>
          </w:tcPr>
          <w:p>
            <w:pPr>
              <w:pStyle w:val="Normal"/>
              <w:spacing w:lineRule="auto" w:line="360" w:before="0" w:after="0"/>
              <w:jc w:val="center"/>
              <w:rPr>
                <w:rFonts w:cs="Times New Roman"/>
                <w:szCs w:val="24"/>
              </w:rPr>
            </w:pPr>
            <w:r>
              <w:rPr>
                <w:rFonts w:cs="Times New Roman"/>
                <w:szCs w:val="24"/>
              </w:rPr>
              <w:t>£50,000</w:t>
            </w:r>
          </w:p>
        </w:tc>
        <w:tc>
          <w:tcPr>
            <w:tcW w:w="1844" w:type="dxa"/>
            <w:tcBorders/>
            <w:shd w:fill="auto" w:val="clear"/>
          </w:tcPr>
          <w:p>
            <w:pPr>
              <w:pStyle w:val="Normal"/>
              <w:spacing w:lineRule="auto" w:line="360" w:before="0" w:after="0"/>
              <w:jc w:val="center"/>
              <w:rPr>
                <w:rFonts w:cs="Times New Roman"/>
                <w:szCs w:val="24"/>
              </w:rPr>
            </w:pPr>
            <w:r>
              <w:rPr>
                <w:rFonts w:cs="Times New Roman"/>
                <w:szCs w:val="24"/>
              </w:rPr>
            </w:r>
          </w:p>
        </w:tc>
      </w:tr>
      <w:tr>
        <w:trPr/>
        <w:tc>
          <w:tcPr>
            <w:tcW w:w="5238" w:type="dxa"/>
            <w:tcBorders/>
            <w:shd w:fill="auto" w:val="clear"/>
          </w:tcPr>
          <w:p>
            <w:pPr>
              <w:pStyle w:val="Normal"/>
              <w:spacing w:lineRule="auto" w:line="360" w:before="0" w:after="0"/>
              <w:rPr>
                <w:rFonts w:cs="Times New Roman"/>
                <w:szCs w:val="24"/>
              </w:rPr>
            </w:pPr>
            <w:r>
              <w:rPr>
                <w:rFonts w:cs="Times New Roman"/>
                <w:szCs w:val="24"/>
              </w:rPr>
              <w:t>Salary of a full-time IT programmer</w:t>
            </w:r>
          </w:p>
        </w:tc>
        <w:tc>
          <w:tcPr>
            <w:tcW w:w="1985" w:type="dxa"/>
            <w:tcBorders/>
            <w:shd w:fill="auto" w:val="clear"/>
          </w:tcPr>
          <w:p>
            <w:pPr>
              <w:pStyle w:val="Normal"/>
              <w:spacing w:lineRule="auto" w:line="360" w:before="0" w:after="0"/>
              <w:jc w:val="center"/>
              <w:rPr>
                <w:rFonts w:cs="Times New Roman"/>
                <w:szCs w:val="24"/>
                <w:u w:val="single"/>
              </w:rPr>
            </w:pPr>
            <w:r>
              <w:rPr>
                <w:rFonts w:cs="Times New Roman"/>
                <w:szCs w:val="24"/>
                <w:u w:val="single"/>
              </w:rPr>
              <w:t>£35,000</w:t>
            </w:r>
          </w:p>
        </w:tc>
        <w:tc>
          <w:tcPr>
            <w:tcW w:w="1844" w:type="dxa"/>
            <w:tcBorders/>
            <w:shd w:fill="auto" w:val="clear"/>
          </w:tcPr>
          <w:p>
            <w:pPr>
              <w:pStyle w:val="Normal"/>
              <w:spacing w:lineRule="auto" w:line="360" w:before="0" w:after="0"/>
              <w:jc w:val="center"/>
              <w:rPr>
                <w:rFonts w:cs="Times New Roman"/>
                <w:szCs w:val="24"/>
              </w:rPr>
            </w:pPr>
            <w:r>
              <w:rPr>
                <w:rFonts w:cs="Times New Roman"/>
                <w:szCs w:val="24"/>
              </w:rPr>
            </w:r>
          </w:p>
        </w:tc>
      </w:tr>
      <w:tr>
        <w:trPr/>
        <w:tc>
          <w:tcPr>
            <w:tcW w:w="5238" w:type="dxa"/>
            <w:tcBorders/>
            <w:shd w:fill="auto" w:val="clear"/>
          </w:tcPr>
          <w:p>
            <w:pPr>
              <w:pStyle w:val="Normal"/>
              <w:spacing w:lineRule="auto" w:line="360" w:before="0" w:after="0"/>
              <w:rPr>
                <w:rFonts w:cs="Times New Roman"/>
                <w:szCs w:val="24"/>
              </w:rPr>
            </w:pPr>
            <w:r>
              <w:rPr>
                <w:rFonts w:cs="Times New Roman"/>
                <w:szCs w:val="24"/>
              </w:rPr>
              <w:t>Amazon fulfilment fees</w:t>
            </w:r>
          </w:p>
        </w:tc>
        <w:tc>
          <w:tcPr>
            <w:tcW w:w="1985" w:type="dxa"/>
            <w:tcBorders/>
            <w:shd w:fill="auto" w:val="clear"/>
          </w:tcPr>
          <w:p>
            <w:pPr>
              <w:pStyle w:val="Normal"/>
              <w:spacing w:lineRule="auto" w:line="360" w:before="0" w:after="0"/>
              <w:jc w:val="center"/>
              <w:rPr>
                <w:rFonts w:cs="Times New Roman"/>
                <w:szCs w:val="24"/>
              </w:rPr>
            </w:pPr>
            <w:r>
              <w:rPr>
                <w:rFonts w:cs="Times New Roman"/>
                <w:szCs w:val="24"/>
              </w:rPr>
            </w:r>
          </w:p>
        </w:tc>
        <w:tc>
          <w:tcPr>
            <w:tcW w:w="1844" w:type="dxa"/>
            <w:tcBorders/>
            <w:shd w:fill="auto" w:val="clear"/>
          </w:tcPr>
          <w:p>
            <w:pPr>
              <w:pStyle w:val="Normal"/>
              <w:spacing w:lineRule="auto" w:line="360" w:before="0" w:after="0"/>
              <w:jc w:val="center"/>
              <w:rPr>
                <w:rFonts w:cs="Times New Roman"/>
                <w:szCs w:val="24"/>
                <w:u w:val="single"/>
              </w:rPr>
            </w:pPr>
            <w:r>
              <w:rPr>
                <w:rFonts w:cs="Times New Roman"/>
                <w:szCs w:val="24"/>
                <w:u w:val="single"/>
              </w:rPr>
              <w:t>£50,000</w:t>
            </w:r>
          </w:p>
        </w:tc>
      </w:tr>
      <w:tr>
        <w:trPr/>
        <w:tc>
          <w:tcPr>
            <w:tcW w:w="5238" w:type="dxa"/>
            <w:tcBorders/>
            <w:shd w:fill="auto" w:val="clear"/>
          </w:tcPr>
          <w:p>
            <w:pPr>
              <w:pStyle w:val="Normal"/>
              <w:spacing w:lineRule="auto" w:line="360" w:before="0" w:after="0"/>
              <w:rPr>
                <w:rFonts w:cs="Times New Roman"/>
                <w:b/>
                <w:b/>
                <w:bCs/>
                <w:szCs w:val="24"/>
                <w:u w:val="double"/>
              </w:rPr>
            </w:pPr>
            <w:r>
              <w:rPr>
                <w:rFonts w:cs="Times New Roman"/>
                <w:b/>
                <w:bCs/>
                <w:szCs w:val="24"/>
                <w:u w:val="double"/>
              </w:rPr>
              <w:t>Total</w:t>
            </w:r>
          </w:p>
        </w:tc>
        <w:tc>
          <w:tcPr>
            <w:tcW w:w="1985" w:type="dxa"/>
            <w:tcBorders/>
            <w:shd w:fill="auto" w:val="clear"/>
          </w:tcPr>
          <w:p>
            <w:pPr>
              <w:pStyle w:val="Normal"/>
              <w:spacing w:lineRule="auto" w:line="360" w:before="0" w:after="0"/>
              <w:jc w:val="center"/>
              <w:rPr>
                <w:rFonts w:cs="Times New Roman"/>
                <w:b/>
                <w:b/>
                <w:bCs/>
                <w:szCs w:val="24"/>
                <w:u w:val="double"/>
              </w:rPr>
            </w:pPr>
            <w:r>
              <w:rPr>
                <w:rFonts w:cs="Times New Roman"/>
                <w:b/>
                <w:bCs/>
                <w:szCs w:val="24"/>
                <w:u w:val="double"/>
              </w:rPr>
              <w:t>£235,000</w:t>
            </w:r>
          </w:p>
        </w:tc>
        <w:tc>
          <w:tcPr>
            <w:tcW w:w="1844" w:type="dxa"/>
            <w:tcBorders/>
            <w:shd w:fill="auto" w:val="clear"/>
          </w:tcPr>
          <w:p>
            <w:pPr>
              <w:pStyle w:val="Normal"/>
              <w:spacing w:lineRule="auto" w:line="360" w:before="0" w:after="0"/>
              <w:jc w:val="center"/>
              <w:rPr>
                <w:rFonts w:cs="Times New Roman"/>
                <w:b/>
                <w:b/>
                <w:bCs/>
                <w:szCs w:val="24"/>
                <w:u w:val="double"/>
              </w:rPr>
            </w:pPr>
            <w:r>
              <w:rPr>
                <w:rFonts w:cs="Times New Roman"/>
                <w:b/>
                <w:bCs/>
                <w:szCs w:val="24"/>
                <w:u w:val="double"/>
              </w:rPr>
              <w:t>£50,000</w:t>
            </w:r>
          </w:p>
        </w:tc>
      </w:tr>
      <w:tr>
        <w:trPr/>
        <w:tc>
          <w:tcPr>
            <w:tcW w:w="5238" w:type="dxa"/>
            <w:tcBorders/>
            <w:shd w:fill="auto" w:val="clear"/>
          </w:tcPr>
          <w:p>
            <w:pPr>
              <w:pStyle w:val="Normal"/>
              <w:spacing w:lineRule="auto" w:line="360" w:before="0" w:after="0"/>
              <w:rPr>
                <w:rFonts w:cs="Times New Roman"/>
                <w:szCs w:val="24"/>
              </w:rPr>
            </w:pPr>
            <w:r>
              <w:rPr>
                <w:rFonts w:cs="Times New Roman"/>
                <w:szCs w:val="24"/>
              </w:rPr>
            </w:r>
          </w:p>
        </w:tc>
        <w:tc>
          <w:tcPr>
            <w:tcW w:w="1985" w:type="dxa"/>
            <w:tcBorders/>
            <w:shd w:fill="auto" w:val="clear"/>
          </w:tcPr>
          <w:p>
            <w:pPr>
              <w:pStyle w:val="Normal"/>
              <w:spacing w:lineRule="auto" w:line="360" w:before="0" w:after="0"/>
              <w:jc w:val="center"/>
              <w:rPr>
                <w:rFonts w:cs="Times New Roman"/>
                <w:szCs w:val="24"/>
              </w:rPr>
            </w:pPr>
            <w:r>
              <w:rPr>
                <w:rFonts w:cs="Times New Roman"/>
                <w:szCs w:val="24"/>
              </w:rPr>
            </w:r>
          </w:p>
        </w:tc>
        <w:tc>
          <w:tcPr>
            <w:tcW w:w="1844" w:type="dxa"/>
            <w:tcBorders/>
            <w:shd w:fill="auto" w:val="clear"/>
          </w:tcPr>
          <w:p>
            <w:pPr>
              <w:pStyle w:val="Normal"/>
              <w:spacing w:lineRule="auto" w:line="360" w:before="0" w:after="0"/>
              <w:jc w:val="center"/>
              <w:rPr>
                <w:rFonts w:cs="Times New Roman"/>
                <w:szCs w:val="24"/>
              </w:rPr>
            </w:pPr>
            <w:r>
              <w:rPr>
                <w:rFonts w:cs="Times New Roman"/>
                <w:szCs w:val="24"/>
              </w:rPr>
              <w:t>£50,000</w:t>
            </w:r>
          </w:p>
        </w:tc>
      </w:tr>
    </w:tbl>
    <w:p>
      <w:pPr>
        <w:pStyle w:val="Normal"/>
        <w:spacing w:lineRule="auto" w:line="360"/>
        <w:rPr>
          <w:rFonts w:cs="Times New Roman"/>
          <w:szCs w:val="24"/>
        </w:rPr>
      </w:pPr>
      <w:r>
        <w:rPr>
          <w:rFonts w:cs="Times New Roman"/>
          <w:szCs w:val="24"/>
        </w:rPr>
      </w:r>
    </w:p>
    <w:p>
      <w:pPr>
        <w:pStyle w:val="Normal"/>
        <w:spacing w:lineRule="auto" w:line="360"/>
        <w:rPr>
          <w:rFonts w:cs="Times New Roman"/>
          <w:szCs w:val="24"/>
        </w:rPr>
      </w:pPr>
      <w:r>
        <w:rPr>
          <w:rFonts w:cs="Times New Roman"/>
          <w:szCs w:val="24"/>
        </w:rPr>
        <w:t>The cost in the above table shows that selling via their own online shop required a higher associated cost than selling on Amazon. In that sense selling on Amazon seems a good alternative for Amana Ltd. But if it sells on their own online shop they can make a purchase of 100,000 where By selling on Amazon they can only make a purchase of 65,000 units of souvenirs. This indicates that by selling via their own online shop Amana Ltd can make the greatest sales revenue. In this case, A profit analysis of each alternative can help in making an appropriate decision. A profit analysis for each alternative is given below:</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3821"/>
        <w:gridCol w:w="2692"/>
        <w:gridCol w:w="2503"/>
      </w:tblGrid>
      <w:tr>
        <w:trPr/>
        <w:tc>
          <w:tcPr>
            <w:tcW w:w="3821" w:type="dxa"/>
            <w:tcBorders/>
            <w:shd w:fill="auto" w:val="clear"/>
          </w:tcPr>
          <w:p>
            <w:pPr>
              <w:pStyle w:val="Normal"/>
              <w:spacing w:lineRule="auto" w:line="360" w:before="0" w:after="160"/>
              <w:rPr>
                <w:rFonts w:cs="Times New Roman"/>
                <w:b/>
                <w:b/>
                <w:bCs/>
                <w:szCs w:val="24"/>
              </w:rPr>
            </w:pPr>
            <w:r>
              <w:rPr>
                <w:rFonts w:cs="Times New Roman"/>
                <w:b/>
                <w:bCs/>
                <w:szCs w:val="24"/>
              </w:rPr>
              <w:t>Particulars</w:t>
            </w:r>
          </w:p>
        </w:tc>
        <w:tc>
          <w:tcPr>
            <w:tcW w:w="2692" w:type="dxa"/>
            <w:tcBorders/>
            <w:shd w:fill="auto" w:val="clear"/>
          </w:tcPr>
          <w:p>
            <w:pPr>
              <w:pStyle w:val="Normal"/>
              <w:spacing w:lineRule="auto" w:line="360" w:before="0" w:after="160"/>
              <w:rPr>
                <w:rFonts w:cs="Times New Roman"/>
                <w:b/>
                <w:b/>
                <w:bCs/>
                <w:szCs w:val="24"/>
              </w:rPr>
            </w:pPr>
            <w:r>
              <w:rPr>
                <w:rFonts w:cs="Times New Roman"/>
                <w:b/>
                <w:bCs/>
                <w:szCs w:val="24"/>
              </w:rPr>
              <w:t>Sell via their own online shop</w:t>
            </w:r>
          </w:p>
        </w:tc>
        <w:tc>
          <w:tcPr>
            <w:tcW w:w="2503" w:type="dxa"/>
            <w:tcBorders/>
            <w:shd w:fill="auto" w:val="clear"/>
          </w:tcPr>
          <w:p>
            <w:pPr>
              <w:pStyle w:val="Normal"/>
              <w:spacing w:lineRule="auto" w:line="360" w:before="0" w:after="160"/>
              <w:rPr>
                <w:rFonts w:cs="Times New Roman"/>
                <w:b/>
                <w:b/>
                <w:bCs/>
                <w:szCs w:val="24"/>
              </w:rPr>
            </w:pPr>
            <w:r>
              <w:rPr>
                <w:rFonts w:cs="Times New Roman"/>
                <w:b/>
                <w:bCs/>
                <w:szCs w:val="24"/>
              </w:rPr>
              <w:t>Sell on Amazon</w:t>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Sales Unit</w:t>
            </w:r>
          </w:p>
        </w:tc>
        <w:tc>
          <w:tcPr>
            <w:tcW w:w="2692" w:type="dxa"/>
            <w:tcBorders/>
            <w:shd w:fill="auto" w:val="clear"/>
          </w:tcPr>
          <w:p>
            <w:pPr>
              <w:pStyle w:val="Normal"/>
              <w:spacing w:lineRule="auto" w:line="360" w:before="0" w:after="160"/>
              <w:rPr>
                <w:rFonts w:cs="Times New Roman"/>
                <w:szCs w:val="24"/>
              </w:rPr>
            </w:pPr>
            <w:r>
              <w:rPr>
                <w:rFonts w:cs="Times New Roman"/>
                <w:szCs w:val="24"/>
              </w:rPr>
              <w:t>100,000</w:t>
            </w:r>
          </w:p>
        </w:tc>
        <w:tc>
          <w:tcPr>
            <w:tcW w:w="2503" w:type="dxa"/>
            <w:tcBorders/>
            <w:shd w:fill="auto" w:val="clear"/>
          </w:tcPr>
          <w:p>
            <w:pPr>
              <w:pStyle w:val="Normal"/>
              <w:spacing w:lineRule="auto" w:line="360" w:before="0" w:after="160"/>
              <w:rPr>
                <w:rFonts w:cs="Times New Roman"/>
                <w:szCs w:val="24"/>
              </w:rPr>
            </w:pPr>
            <w:r>
              <w:rPr>
                <w:rFonts w:cs="Times New Roman"/>
                <w:szCs w:val="24"/>
              </w:rPr>
              <w:t>65,000</w:t>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Selling Price</w:t>
            </w:r>
          </w:p>
        </w:tc>
        <w:tc>
          <w:tcPr>
            <w:tcW w:w="2692" w:type="dxa"/>
            <w:tcBorders/>
            <w:shd w:fill="auto" w:val="clear"/>
          </w:tcPr>
          <w:p>
            <w:pPr>
              <w:pStyle w:val="Normal"/>
              <w:spacing w:lineRule="auto" w:line="360" w:before="0" w:after="160"/>
              <w:rPr>
                <w:rFonts w:cs="Times New Roman"/>
                <w:szCs w:val="24"/>
              </w:rPr>
            </w:pPr>
            <w:r>
              <w:rPr>
                <w:rFonts w:cs="Times New Roman"/>
                <w:szCs w:val="24"/>
              </w:rPr>
              <w:t>£25</w:t>
            </w:r>
          </w:p>
        </w:tc>
        <w:tc>
          <w:tcPr>
            <w:tcW w:w="2503" w:type="dxa"/>
            <w:tcBorders/>
            <w:shd w:fill="auto" w:val="clear"/>
          </w:tcPr>
          <w:p>
            <w:pPr>
              <w:pStyle w:val="Normal"/>
              <w:spacing w:lineRule="auto" w:line="360" w:before="0" w:after="160"/>
              <w:rPr>
                <w:rFonts w:cs="Times New Roman"/>
                <w:szCs w:val="24"/>
              </w:rPr>
            </w:pPr>
            <w:r>
              <w:rPr>
                <w:rFonts w:cs="Times New Roman"/>
                <w:szCs w:val="24"/>
              </w:rPr>
              <w:t>£25</w:t>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Total Revenue</w:t>
            </w:r>
          </w:p>
        </w:tc>
        <w:tc>
          <w:tcPr>
            <w:tcW w:w="2692" w:type="dxa"/>
            <w:tcBorders/>
            <w:shd w:fill="auto" w:val="clear"/>
          </w:tcPr>
          <w:p>
            <w:pPr>
              <w:pStyle w:val="Normal"/>
              <w:spacing w:lineRule="auto" w:line="360" w:before="0" w:after="160"/>
              <w:rPr>
                <w:rFonts w:cs="Times New Roman"/>
                <w:szCs w:val="24"/>
              </w:rPr>
            </w:pPr>
            <w:r>
              <w:rPr>
                <w:rFonts w:cs="Times New Roman"/>
                <w:szCs w:val="24"/>
              </w:rPr>
              <w:t>£2,500,000</w:t>
            </w:r>
          </w:p>
        </w:tc>
        <w:tc>
          <w:tcPr>
            <w:tcW w:w="2503" w:type="dxa"/>
            <w:tcBorders/>
            <w:shd w:fill="auto" w:val="clear"/>
          </w:tcPr>
          <w:p>
            <w:pPr>
              <w:pStyle w:val="Normal"/>
              <w:spacing w:lineRule="auto" w:line="360" w:before="0" w:after="160"/>
              <w:rPr>
                <w:rFonts w:cs="Times New Roman"/>
                <w:szCs w:val="24"/>
              </w:rPr>
            </w:pPr>
            <w:r>
              <w:rPr>
                <w:rFonts w:cs="Times New Roman"/>
                <w:szCs w:val="24"/>
              </w:rPr>
              <w:t>£1,625,000</w:t>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Less: Variable Cost</w:t>
            </w:r>
          </w:p>
        </w:tc>
        <w:tc>
          <w:tcPr>
            <w:tcW w:w="2692" w:type="dxa"/>
            <w:tcBorders/>
            <w:shd w:fill="auto" w:val="clear"/>
          </w:tcPr>
          <w:p>
            <w:pPr>
              <w:pStyle w:val="Normal"/>
              <w:spacing w:lineRule="auto" w:line="360" w:before="0" w:after="160"/>
              <w:rPr>
                <w:rFonts w:cs="Times New Roman"/>
                <w:szCs w:val="24"/>
              </w:rPr>
            </w:pPr>
            <w:r>
              <w:rPr>
                <w:rFonts w:cs="Times New Roman"/>
                <w:szCs w:val="24"/>
              </w:rPr>
            </w:r>
          </w:p>
        </w:tc>
        <w:tc>
          <w:tcPr>
            <w:tcW w:w="2503" w:type="dxa"/>
            <w:tcBorders/>
            <w:shd w:fill="auto" w:val="clear"/>
          </w:tcPr>
          <w:p>
            <w:pPr>
              <w:pStyle w:val="Normal"/>
              <w:spacing w:lineRule="auto" w:line="360" w:before="0" w:after="160"/>
              <w:rPr>
                <w:rFonts w:cs="Times New Roman"/>
                <w:szCs w:val="24"/>
              </w:rPr>
            </w:pPr>
            <w:r>
              <w:rPr>
                <w:rFonts w:cs="Times New Roman"/>
                <w:szCs w:val="24"/>
              </w:rPr>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Materials</w:t>
            </w:r>
          </w:p>
        </w:tc>
        <w:tc>
          <w:tcPr>
            <w:tcW w:w="2692" w:type="dxa"/>
            <w:tcBorders/>
            <w:shd w:fill="auto" w:val="clear"/>
          </w:tcPr>
          <w:p>
            <w:pPr>
              <w:pStyle w:val="Normal"/>
              <w:spacing w:lineRule="auto" w:line="360" w:before="0" w:after="160"/>
              <w:rPr>
                <w:rFonts w:cs="Times New Roman"/>
                <w:szCs w:val="24"/>
              </w:rPr>
            </w:pPr>
            <w:r>
              <w:rPr>
                <w:rFonts w:cs="Times New Roman"/>
                <w:szCs w:val="24"/>
              </w:rPr>
              <w:t>£250,000</w:t>
            </w:r>
          </w:p>
        </w:tc>
        <w:tc>
          <w:tcPr>
            <w:tcW w:w="2503" w:type="dxa"/>
            <w:tcBorders/>
            <w:shd w:fill="auto" w:val="clear"/>
          </w:tcPr>
          <w:p>
            <w:pPr>
              <w:pStyle w:val="Normal"/>
              <w:spacing w:lineRule="auto" w:line="360" w:before="0" w:after="160"/>
              <w:rPr>
                <w:rFonts w:cs="Times New Roman"/>
                <w:szCs w:val="24"/>
              </w:rPr>
            </w:pPr>
            <w:r>
              <w:rPr>
                <w:rFonts w:cs="Times New Roman"/>
                <w:szCs w:val="24"/>
              </w:rPr>
              <w:t>£162,500</w:t>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Labour</w:t>
            </w:r>
          </w:p>
        </w:tc>
        <w:tc>
          <w:tcPr>
            <w:tcW w:w="2692" w:type="dxa"/>
            <w:tcBorders/>
            <w:shd w:fill="auto" w:val="clear"/>
          </w:tcPr>
          <w:p>
            <w:pPr>
              <w:pStyle w:val="Normal"/>
              <w:spacing w:lineRule="auto" w:line="360" w:before="0" w:after="160"/>
              <w:rPr>
                <w:rFonts w:cs="Times New Roman"/>
                <w:szCs w:val="24"/>
              </w:rPr>
            </w:pPr>
            <w:r>
              <w:rPr>
                <w:rFonts w:cs="Times New Roman"/>
                <w:szCs w:val="24"/>
              </w:rPr>
              <w:t>£400,000</w:t>
            </w:r>
          </w:p>
        </w:tc>
        <w:tc>
          <w:tcPr>
            <w:tcW w:w="2503" w:type="dxa"/>
            <w:tcBorders/>
            <w:shd w:fill="auto" w:val="clear"/>
          </w:tcPr>
          <w:p>
            <w:pPr>
              <w:pStyle w:val="Normal"/>
              <w:spacing w:lineRule="auto" w:line="360" w:before="0" w:after="160"/>
              <w:rPr>
                <w:rFonts w:cs="Times New Roman"/>
                <w:szCs w:val="24"/>
              </w:rPr>
            </w:pPr>
            <w:r>
              <w:rPr>
                <w:rFonts w:cs="Times New Roman"/>
                <w:szCs w:val="24"/>
              </w:rPr>
              <w:t>£260,000</w:t>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Overhead</w:t>
            </w:r>
          </w:p>
        </w:tc>
        <w:tc>
          <w:tcPr>
            <w:tcW w:w="2692" w:type="dxa"/>
            <w:tcBorders/>
            <w:shd w:fill="auto" w:val="clear"/>
          </w:tcPr>
          <w:p>
            <w:pPr>
              <w:pStyle w:val="Normal"/>
              <w:spacing w:lineRule="auto" w:line="360" w:before="0" w:after="160"/>
              <w:rPr>
                <w:rFonts w:cs="Times New Roman"/>
                <w:szCs w:val="24"/>
              </w:rPr>
            </w:pPr>
            <w:r>
              <w:rPr>
                <w:rFonts w:cs="Times New Roman"/>
                <w:szCs w:val="24"/>
              </w:rPr>
              <w:t>£150,000</w:t>
            </w:r>
          </w:p>
        </w:tc>
        <w:tc>
          <w:tcPr>
            <w:tcW w:w="2503" w:type="dxa"/>
            <w:tcBorders/>
            <w:shd w:fill="auto" w:val="clear"/>
          </w:tcPr>
          <w:p>
            <w:pPr>
              <w:pStyle w:val="Normal"/>
              <w:spacing w:lineRule="auto" w:line="360" w:before="0" w:after="160"/>
              <w:rPr>
                <w:rFonts w:cs="Times New Roman"/>
                <w:szCs w:val="24"/>
              </w:rPr>
            </w:pPr>
            <w:r>
              <w:rPr>
                <w:rFonts w:cs="Times New Roman"/>
                <w:szCs w:val="24"/>
              </w:rPr>
              <w:t>£97,500</w:t>
            </w:r>
          </w:p>
        </w:tc>
      </w:tr>
      <w:tr>
        <w:trPr/>
        <w:tc>
          <w:tcPr>
            <w:tcW w:w="3821" w:type="dxa"/>
            <w:tcBorders/>
            <w:shd w:fill="auto" w:val="clear"/>
          </w:tcPr>
          <w:p>
            <w:pPr>
              <w:pStyle w:val="Normal"/>
              <w:spacing w:lineRule="auto" w:line="360" w:before="0" w:after="160"/>
              <w:rPr>
                <w:rFonts w:cs="Times New Roman"/>
                <w:szCs w:val="24"/>
              </w:rPr>
            </w:pPr>
            <w:r>
              <w:rPr>
                <w:rFonts w:cs="Times New Roman"/>
                <w:b/>
                <w:bCs/>
                <w:szCs w:val="24"/>
              </w:rPr>
              <w:t>Contribution Margin</w:t>
            </w:r>
          </w:p>
        </w:tc>
        <w:tc>
          <w:tcPr>
            <w:tcW w:w="2692" w:type="dxa"/>
            <w:tcBorders/>
            <w:shd w:fill="auto" w:val="clear"/>
          </w:tcPr>
          <w:p>
            <w:pPr>
              <w:pStyle w:val="Normal"/>
              <w:spacing w:lineRule="auto" w:line="360" w:before="0" w:after="160"/>
              <w:rPr>
                <w:rFonts w:cs="Times New Roman"/>
                <w:szCs w:val="24"/>
              </w:rPr>
            </w:pPr>
            <w:r>
              <w:rPr>
                <w:rFonts w:cs="Times New Roman"/>
                <w:b/>
                <w:bCs/>
                <w:szCs w:val="24"/>
              </w:rPr>
              <w:t>£1,700,000</w:t>
            </w:r>
          </w:p>
        </w:tc>
        <w:tc>
          <w:tcPr>
            <w:tcW w:w="2503" w:type="dxa"/>
            <w:tcBorders/>
            <w:shd w:fill="auto" w:val="clear"/>
          </w:tcPr>
          <w:p>
            <w:pPr>
              <w:pStyle w:val="Normal"/>
              <w:spacing w:lineRule="auto" w:line="360" w:before="0" w:after="160"/>
              <w:rPr>
                <w:rFonts w:cs="Times New Roman"/>
                <w:szCs w:val="24"/>
              </w:rPr>
            </w:pPr>
            <w:r>
              <w:rPr>
                <w:rFonts w:cs="Times New Roman"/>
                <w:b/>
                <w:bCs/>
                <w:szCs w:val="24"/>
              </w:rPr>
              <w:t>£1,105,000</w:t>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Less Fixed Cost</w:t>
            </w:r>
          </w:p>
        </w:tc>
        <w:tc>
          <w:tcPr>
            <w:tcW w:w="2692" w:type="dxa"/>
            <w:tcBorders/>
            <w:shd w:fill="auto" w:val="clear"/>
          </w:tcPr>
          <w:p>
            <w:pPr>
              <w:pStyle w:val="Normal"/>
              <w:spacing w:lineRule="auto" w:line="360" w:before="0" w:after="160"/>
              <w:rPr>
                <w:rFonts w:cs="Times New Roman"/>
                <w:szCs w:val="24"/>
              </w:rPr>
            </w:pPr>
            <w:r>
              <w:rPr>
                <w:rFonts w:cs="Times New Roman"/>
                <w:szCs w:val="24"/>
              </w:rPr>
            </w:r>
          </w:p>
        </w:tc>
        <w:tc>
          <w:tcPr>
            <w:tcW w:w="2503" w:type="dxa"/>
            <w:tcBorders/>
            <w:shd w:fill="auto" w:val="clear"/>
          </w:tcPr>
          <w:p>
            <w:pPr>
              <w:pStyle w:val="Normal"/>
              <w:spacing w:lineRule="auto" w:line="360" w:before="0" w:after="160"/>
              <w:rPr>
                <w:rFonts w:cs="Times New Roman"/>
                <w:szCs w:val="24"/>
              </w:rPr>
            </w:pPr>
            <w:r>
              <w:rPr>
                <w:rFonts w:cs="Times New Roman"/>
                <w:szCs w:val="24"/>
              </w:rPr>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Cost Of Setting Up A Delivery Network</w:t>
            </w:r>
          </w:p>
        </w:tc>
        <w:tc>
          <w:tcPr>
            <w:tcW w:w="2692" w:type="dxa"/>
            <w:tcBorders/>
            <w:shd w:fill="auto" w:val="clear"/>
          </w:tcPr>
          <w:p>
            <w:pPr>
              <w:pStyle w:val="Normal"/>
              <w:spacing w:lineRule="auto" w:line="360" w:before="0" w:after="160"/>
              <w:rPr>
                <w:rFonts w:cs="Times New Roman"/>
                <w:szCs w:val="24"/>
              </w:rPr>
            </w:pPr>
            <w:r>
              <w:rPr>
                <w:rFonts w:cs="Times New Roman"/>
                <w:szCs w:val="24"/>
              </w:rPr>
              <w:t>£150,000</w:t>
            </w:r>
          </w:p>
        </w:tc>
        <w:tc>
          <w:tcPr>
            <w:tcW w:w="2503" w:type="dxa"/>
            <w:tcBorders/>
            <w:shd w:fill="auto" w:val="clear"/>
          </w:tcPr>
          <w:p>
            <w:pPr>
              <w:pStyle w:val="Normal"/>
              <w:spacing w:lineRule="auto" w:line="360" w:before="0" w:after="160"/>
              <w:rPr>
                <w:rFonts w:cs="Times New Roman"/>
                <w:szCs w:val="24"/>
              </w:rPr>
            </w:pPr>
            <w:r>
              <w:rPr>
                <w:rFonts w:cs="Times New Roman"/>
                <w:szCs w:val="24"/>
              </w:rPr>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Cost Of Upgrading The Current Website To Handle A Large Volume Of Sales</w:t>
            </w:r>
          </w:p>
        </w:tc>
        <w:tc>
          <w:tcPr>
            <w:tcW w:w="2692" w:type="dxa"/>
            <w:tcBorders/>
            <w:shd w:fill="auto" w:val="clear"/>
          </w:tcPr>
          <w:p>
            <w:pPr>
              <w:pStyle w:val="Normal"/>
              <w:spacing w:lineRule="auto" w:line="360" w:before="0" w:after="160"/>
              <w:rPr>
                <w:rFonts w:cs="Times New Roman"/>
                <w:szCs w:val="24"/>
              </w:rPr>
            </w:pPr>
            <w:r>
              <w:rPr>
                <w:rFonts w:cs="Times New Roman"/>
                <w:szCs w:val="24"/>
              </w:rPr>
              <w:t>£50,000</w:t>
            </w:r>
          </w:p>
        </w:tc>
        <w:tc>
          <w:tcPr>
            <w:tcW w:w="2503" w:type="dxa"/>
            <w:tcBorders/>
            <w:shd w:fill="auto" w:val="clear"/>
          </w:tcPr>
          <w:p>
            <w:pPr>
              <w:pStyle w:val="Normal"/>
              <w:spacing w:lineRule="auto" w:line="360" w:before="0" w:after="160"/>
              <w:rPr>
                <w:rFonts w:cs="Times New Roman"/>
                <w:szCs w:val="24"/>
              </w:rPr>
            </w:pPr>
            <w:r>
              <w:rPr>
                <w:rFonts w:cs="Times New Roman"/>
                <w:szCs w:val="24"/>
              </w:rPr>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Salary Of A Fulltime IT Programmer</w:t>
            </w:r>
          </w:p>
        </w:tc>
        <w:tc>
          <w:tcPr>
            <w:tcW w:w="2692" w:type="dxa"/>
            <w:tcBorders/>
            <w:shd w:fill="auto" w:val="clear"/>
          </w:tcPr>
          <w:p>
            <w:pPr>
              <w:pStyle w:val="Normal"/>
              <w:spacing w:lineRule="auto" w:line="360" w:before="0" w:after="160"/>
              <w:rPr>
                <w:rFonts w:cs="Times New Roman"/>
                <w:szCs w:val="24"/>
              </w:rPr>
            </w:pPr>
            <w:r>
              <w:rPr>
                <w:rFonts w:cs="Times New Roman"/>
                <w:szCs w:val="24"/>
              </w:rPr>
              <w:t>£35,000</w:t>
            </w:r>
          </w:p>
        </w:tc>
        <w:tc>
          <w:tcPr>
            <w:tcW w:w="2503" w:type="dxa"/>
            <w:tcBorders/>
            <w:shd w:fill="auto" w:val="clear"/>
          </w:tcPr>
          <w:p>
            <w:pPr>
              <w:pStyle w:val="Normal"/>
              <w:spacing w:lineRule="auto" w:line="360" w:before="0" w:after="160"/>
              <w:rPr>
                <w:rFonts w:cs="Times New Roman"/>
                <w:szCs w:val="24"/>
              </w:rPr>
            </w:pPr>
            <w:r>
              <w:rPr>
                <w:rFonts w:cs="Times New Roman"/>
                <w:szCs w:val="24"/>
              </w:rPr>
            </w:r>
          </w:p>
        </w:tc>
      </w:tr>
      <w:tr>
        <w:trPr/>
        <w:tc>
          <w:tcPr>
            <w:tcW w:w="3821" w:type="dxa"/>
            <w:tcBorders/>
            <w:shd w:fill="auto" w:val="clear"/>
          </w:tcPr>
          <w:p>
            <w:pPr>
              <w:pStyle w:val="Normal"/>
              <w:spacing w:lineRule="auto" w:line="360" w:before="0" w:after="160"/>
              <w:rPr>
                <w:rFonts w:cs="Times New Roman"/>
                <w:szCs w:val="24"/>
              </w:rPr>
            </w:pPr>
            <w:r>
              <w:rPr>
                <w:rFonts w:cs="Times New Roman"/>
                <w:szCs w:val="24"/>
              </w:rPr>
              <w:t>Amazon Fulfilment Fees</w:t>
            </w:r>
          </w:p>
        </w:tc>
        <w:tc>
          <w:tcPr>
            <w:tcW w:w="2692" w:type="dxa"/>
            <w:tcBorders/>
            <w:shd w:fill="auto" w:val="clear"/>
          </w:tcPr>
          <w:p>
            <w:pPr>
              <w:pStyle w:val="Normal"/>
              <w:spacing w:lineRule="auto" w:line="360" w:before="0" w:after="160"/>
              <w:rPr>
                <w:rFonts w:cs="Times New Roman"/>
                <w:szCs w:val="24"/>
              </w:rPr>
            </w:pPr>
            <w:r>
              <w:rPr>
                <w:rFonts w:cs="Times New Roman"/>
                <w:szCs w:val="24"/>
              </w:rPr>
            </w:r>
          </w:p>
        </w:tc>
        <w:tc>
          <w:tcPr>
            <w:tcW w:w="2503" w:type="dxa"/>
            <w:tcBorders/>
            <w:shd w:fill="auto" w:val="clear"/>
          </w:tcPr>
          <w:p>
            <w:pPr>
              <w:pStyle w:val="Normal"/>
              <w:spacing w:lineRule="auto" w:line="360" w:before="0" w:after="160"/>
              <w:rPr>
                <w:rFonts w:cs="Times New Roman"/>
                <w:szCs w:val="24"/>
              </w:rPr>
            </w:pPr>
            <w:r>
              <w:rPr>
                <w:rFonts w:cs="Times New Roman"/>
                <w:szCs w:val="24"/>
              </w:rPr>
              <w:t>£50,000</w:t>
            </w:r>
          </w:p>
        </w:tc>
      </w:tr>
      <w:tr>
        <w:trPr/>
        <w:tc>
          <w:tcPr>
            <w:tcW w:w="3821" w:type="dxa"/>
            <w:tcBorders/>
            <w:shd w:fill="auto" w:val="clear"/>
          </w:tcPr>
          <w:p>
            <w:pPr>
              <w:pStyle w:val="Normal"/>
              <w:spacing w:lineRule="auto" w:line="360" w:before="0" w:after="160"/>
              <w:rPr>
                <w:rFonts w:cs="Times New Roman"/>
                <w:szCs w:val="24"/>
              </w:rPr>
            </w:pPr>
            <w:r>
              <w:rPr>
                <w:rFonts w:cs="Times New Roman"/>
                <w:b/>
                <w:bCs/>
                <w:szCs w:val="24"/>
              </w:rPr>
              <w:t>Net Profit</w:t>
            </w:r>
          </w:p>
        </w:tc>
        <w:tc>
          <w:tcPr>
            <w:tcW w:w="2692" w:type="dxa"/>
            <w:tcBorders/>
            <w:shd w:fill="auto" w:val="clear"/>
          </w:tcPr>
          <w:p>
            <w:pPr>
              <w:pStyle w:val="Normal"/>
              <w:spacing w:lineRule="auto" w:line="360" w:before="0" w:after="160"/>
              <w:rPr>
                <w:rFonts w:cs="Times New Roman"/>
                <w:szCs w:val="24"/>
              </w:rPr>
            </w:pPr>
            <w:r>
              <w:rPr>
                <w:rFonts w:cs="Times New Roman"/>
                <w:b/>
                <w:bCs/>
                <w:szCs w:val="24"/>
                <w:u w:val="single"/>
              </w:rPr>
              <w:t>£1,465,000</w:t>
            </w:r>
          </w:p>
        </w:tc>
        <w:tc>
          <w:tcPr>
            <w:tcW w:w="2503" w:type="dxa"/>
            <w:tcBorders/>
            <w:shd w:fill="auto" w:val="clear"/>
          </w:tcPr>
          <w:p>
            <w:pPr>
              <w:pStyle w:val="Normal"/>
              <w:spacing w:lineRule="auto" w:line="360" w:before="0" w:after="160"/>
              <w:rPr>
                <w:rFonts w:cs="Times New Roman"/>
                <w:szCs w:val="24"/>
              </w:rPr>
            </w:pPr>
            <w:r>
              <w:rPr>
                <w:rFonts w:cs="Times New Roman"/>
                <w:b/>
                <w:bCs/>
                <w:szCs w:val="24"/>
                <w:u w:val="single"/>
              </w:rPr>
              <w:t>£1,055,000</w:t>
            </w:r>
          </w:p>
        </w:tc>
      </w:tr>
    </w:tbl>
    <w:p>
      <w:pPr>
        <w:pStyle w:val="Normal"/>
        <w:spacing w:lineRule="auto" w:line="360"/>
        <w:rPr>
          <w:rFonts w:cs="Times New Roman"/>
          <w:szCs w:val="24"/>
        </w:rPr>
      </w:pPr>
      <w:r>
        <w:rPr>
          <w:rFonts w:cs="Times New Roman"/>
          <w:szCs w:val="24"/>
        </w:rPr>
      </w:r>
    </w:p>
    <w:p>
      <w:pPr>
        <w:pStyle w:val="Normal"/>
        <w:spacing w:lineRule="auto" w:line="360"/>
        <w:rPr>
          <w:rFonts w:cs="Times New Roman"/>
          <w:szCs w:val="24"/>
        </w:rPr>
      </w:pPr>
      <w:r>
        <w:rPr>
          <w:rFonts w:cs="Times New Roman"/>
          <w:szCs w:val="24"/>
        </w:rPr>
        <w:t xml:space="preserve">The profit analysis of Amana Ltd shows that selling on an online shop setting on their own can make a higher profit rather than selling on Amazon. In spite of having a large number of associated costs, the sales revenue, as well as net profit from the online shop, is high as it will be able to sell more products rather than the Amazon platform.  </w:t>
      </w:r>
    </w:p>
    <w:p>
      <w:pPr>
        <w:pStyle w:val="Normal"/>
        <w:spacing w:lineRule="auto" w:line="360"/>
        <w:rPr>
          <w:rFonts w:cs="Times New Roman"/>
          <w:szCs w:val="24"/>
        </w:rPr>
      </w:pPr>
      <w:r>
        <w:rPr>
          <w:rFonts w:cs="Times New Roman"/>
          <w:szCs w:val="24"/>
        </w:rPr>
        <w:t xml:space="preserve">There are some other non-financial factors for choosing this alternative.  one of these is high competition in the Amazon platform. In Amazon, there is a large number of suppliers for the same product so the bargaining power of the buyer is high. To attract more customers all the competitors charged a lower price for their product which will force Amana Ltd to set a lower price to sustain itself in the market. It will ultimately lower the economy of scale for the business. Moreover, as the competition is high Amana Ltd will be required to expend more on advertising and promotion to attract more customers. This will increase the cost of the business and lower the profitability. </w:t>
      </w:r>
    </w:p>
    <w:p>
      <w:pPr>
        <w:pStyle w:val="Normal"/>
        <w:spacing w:lineRule="auto" w:line="360"/>
        <w:rPr>
          <w:rFonts w:cs="Times New Roman"/>
          <w:szCs w:val="24"/>
        </w:rPr>
      </w:pPr>
      <w:r>
        <w:rPr>
          <w:rFonts w:cs="Times New Roman"/>
          <w:szCs w:val="24"/>
        </w:rPr>
        <w:t>Furthermore, If they sell on Amazon they will have lower control on the price and the return policy. Selling on their own online shop will help them to control their price as well as to control the quality of the product. Moreover, they can set their own policies and strategy to attract their customer, create customer loyalty and all of their own brand value. With the consideration of all financial and non-financial factors, it is evident that selling the souvenirs in their own online shop will be the most suitable decision for Amana Ltd.</w:t>
      </w:r>
    </w:p>
    <w:p>
      <w:pPr>
        <w:pStyle w:val="Normal"/>
        <w:spacing w:lineRule="auto" w:line="360"/>
        <w:rPr>
          <w:rFonts w:cs="Times New Roman"/>
          <w:szCs w:val="24"/>
        </w:rPr>
      </w:pPr>
      <w:r>
        <w:rPr>
          <w:rFonts w:cs="Times New Roman"/>
          <w:szCs w:val="24"/>
        </w:rPr>
      </w:r>
    </w:p>
    <w:p>
      <w:pPr>
        <w:pStyle w:val="Normal"/>
        <w:spacing w:lineRule="auto" w:line="360"/>
        <w:jc w:val="left"/>
        <w:rPr>
          <w:rFonts w:cs="Times New Roman"/>
          <w:szCs w:val="24"/>
        </w:rPr>
      </w:pPr>
      <w:r>
        <w:rPr>
          <w:rFonts w:cs="Times New Roman"/>
          <w:szCs w:val="24"/>
        </w:rPr>
      </w:r>
      <w:r>
        <w:br w:type="page"/>
      </w:r>
    </w:p>
    <w:p>
      <w:pPr>
        <w:pStyle w:val="Heading1"/>
        <w:rPr>
          <w:rFonts w:cs="Times New Roman"/>
        </w:rPr>
      </w:pPr>
      <w:bookmarkStart w:id="7" w:name="_Toc87602737"/>
      <w:r>
        <w:rPr>
          <w:rFonts w:cs="Times New Roman"/>
        </w:rPr>
        <w:t>Conclusion</w:t>
      </w:r>
      <w:bookmarkEnd w:id="7"/>
    </w:p>
    <w:p>
      <w:pPr>
        <w:pStyle w:val="Normal"/>
        <w:spacing w:lineRule="auto" w:line="360"/>
        <w:rPr>
          <w:rFonts w:cs="Times New Roman"/>
          <w:szCs w:val="24"/>
        </w:rPr>
      </w:pPr>
      <w:r>
        <w:rPr>
          <w:rFonts w:cs="Times New Roman"/>
          <w:szCs w:val="24"/>
        </w:rPr>
        <w:t>In conclusion, it can be said that management accounting plays its biggest role in the decision-making process of an organisation. The flexible budget and variance help an organisation to understand the deviations in performance and make improvements in the weak points. Moreover, it also helps in making the decision by considering relevant information and relevant costing.</w:t>
      </w:r>
    </w:p>
    <w:p>
      <w:pPr>
        <w:pStyle w:val="Normal"/>
        <w:spacing w:lineRule="auto" w:line="360"/>
        <w:jc w:val="left"/>
        <w:rPr>
          <w:rFonts w:cs="Times New Roman"/>
          <w:szCs w:val="24"/>
        </w:rPr>
      </w:pPr>
      <w:r>
        <w:rPr>
          <w:rFonts w:cs="Times New Roman"/>
          <w:szCs w:val="24"/>
        </w:rPr>
      </w:r>
      <w:r>
        <w:br w:type="page"/>
      </w:r>
    </w:p>
    <w:p>
      <w:pPr>
        <w:pStyle w:val="Heading1"/>
        <w:rPr>
          <w:rFonts w:cs="Times New Roman"/>
        </w:rPr>
      </w:pPr>
      <w:bookmarkStart w:id="8" w:name="_Toc87602738"/>
      <w:r>
        <w:rPr>
          <w:rFonts w:cs="Times New Roman"/>
        </w:rPr>
        <w:t>References</w:t>
      </w:r>
      <w:bookmarkEnd w:id="8"/>
    </w:p>
    <w:p>
      <w:pPr>
        <w:pStyle w:val="Normal"/>
        <w:spacing w:lineRule="auto" w:line="360"/>
        <w:ind w:left="720" w:hanging="720"/>
        <w:rPr>
          <w:rFonts w:cs="Times New Roman"/>
          <w:color w:val="000000"/>
          <w:szCs w:val="24"/>
          <w:highlight w:val="white"/>
        </w:rPr>
      </w:pPr>
      <w:r>
        <w:rPr>
          <w:rFonts w:cs="Times New Roman"/>
          <w:color w:val="000000"/>
          <w:szCs w:val="24"/>
          <w:shd w:fill="FFFFFF" w:val="clear"/>
        </w:rPr>
        <w:t>Bavykina, E., Fomina, S. and Koretskaya, T., 2021. LABOUR MOBILITY IN THE LABOUR MARKET DURING THE PANDEMIC COVID-19. </w:t>
      </w:r>
      <w:r>
        <w:rPr>
          <w:rFonts w:cs="Times New Roman"/>
          <w:i/>
          <w:iCs/>
          <w:color w:val="000000"/>
          <w:szCs w:val="24"/>
          <w:shd w:fill="FFFFFF" w:val="clear"/>
        </w:rPr>
        <w:t>Экономика устойчивого развития</w:t>
      </w:r>
      <w:r>
        <w:rPr>
          <w:rFonts w:cs="Times New Roman"/>
          <w:color w:val="000000"/>
          <w:szCs w:val="24"/>
          <w:shd w:fill="FFFFFF" w:val="clear"/>
        </w:rPr>
        <w:t>, (3), pp.24-27.</w:t>
      </w:r>
    </w:p>
    <w:p>
      <w:pPr>
        <w:pStyle w:val="Normal"/>
        <w:spacing w:lineRule="auto" w:line="360"/>
        <w:ind w:left="720" w:hanging="720"/>
        <w:rPr>
          <w:rFonts w:cs="Times New Roman"/>
          <w:color w:val="000000"/>
          <w:szCs w:val="24"/>
          <w:highlight w:val="white"/>
        </w:rPr>
      </w:pPr>
      <w:r>
        <w:rPr>
          <w:rFonts w:cs="Times New Roman"/>
          <w:color w:val="000000"/>
          <w:szCs w:val="24"/>
          <w:shd w:fill="FFFFFF" w:val="clear"/>
        </w:rPr>
        <w:t>Bragg, S. and Bragg, S., 2021. </w:t>
      </w:r>
      <w:r>
        <w:rPr>
          <w:rFonts w:cs="Times New Roman"/>
          <w:i/>
          <w:iCs/>
          <w:color w:val="000000"/>
          <w:szCs w:val="24"/>
          <w:shd w:fill="FFFFFF" w:val="clear"/>
        </w:rPr>
        <w:t>Relevant cost — AccountingTools</w:t>
      </w:r>
      <w:r>
        <w:rPr>
          <w:rFonts w:cs="Times New Roman"/>
          <w:color w:val="000000"/>
          <w:szCs w:val="24"/>
          <w:shd w:fill="FFFFFF" w:val="clear"/>
        </w:rPr>
        <w:t>. [online] AccountingTools. Available at: &lt;https://www.accountingtools.com/articles/what-is-a-relevant-cost.html&gt; [Accessed 12 November 2021].</w:t>
      </w:r>
    </w:p>
    <w:p>
      <w:pPr>
        <w:pStyle w:val="Normal"/>
        <w:spacing w:lineRule="auto" w:line="360"/>
        <w:ind w:left="720" w:hanging="720"/>
        <w:rPr>
          <w:rFonts w:cs="Times New Roman"/>
          <w:color w:val="000000"/>
          <w:szCs w:val="24"/>
          <w:highlight w:val="white"/>
        </w:rPr>
      </w:pPr>
      <w:r>
        <w:rPr>
          <w:rFonts w:cs="Times New Roman"/>
          <w:color w:val="000000"/>
          <w:szCs w:val="24"/>
          <w:shd w:fill="FFFFFF" w:val="clear"/>
        </w:rPr>
        <w:t>Fihartini, Y., Helmi, A., Hassan, M. and Marty Oesman, Y., 2021. Perceived health risk, online retail ethics, and consumer behavior within online shopping during the COVID-19 pandemic. </w:t>
      </w:r>
      <w:r>
        <w:rPr>
          <w:rFonts w:cs="Times New Roman"/>
          <w:i/>
          <w:iCs/>
          <w:color w:val="000000"/>
          <w:szCs w:val="24"/>
          <w:shd w:fill="FFFFFF" w:val="clear"/>
        </w:rPr>
        <w:t>Innovative Marketing</w:t>
      </w:r>
      <w:r>
        <w:rPr>
          <w:rFonts w:cs="Times New Roman"/>
          <w:color w:val="000000"/>
          <w:szCs w:val="24"/>
          <w:shd w:fill="FFFFFF" w:val="clear"/>
        </w:rPr>
        <w:t>, 17(3), pp.17-29.</w:t>
      </w:r>
    </w:p>
    <w:p>
      <w:pPr>
        <w:pStyle w:val="Normal"/>
        <w:spacing w:lineRule="auto" w:line="360"/>
        <w:ind w:left="720" w:hanging="720"/>
        <w:rPr>
          <w:rFonts w:cs="Times New Roman"/>
          <w:color w:val="000000"/>
          <w:szCs w:val="24"/>
          <w:highlight w:val="white"/>
        </w:rPr>
      </w:pPr>
      <w:r>
        <w:rPr>
          <w:rFonts w:cs="Times New Roman"/>
          <w:color w:val="000000"/>
          <w:szCs w:val="24"/>
          <w:shd w:fill="FFFFFF" w:val="clear"/>
        </w:rPr>
        <w:t>Hansen, D. and Mowen, M., 2017. </w:t>
      </w:r>
      <w:r>
        <w:rPr>
          <w:rFonts w:cs="Times New Roman"/>
          <w:i/>
          <w:iCs/>
          <w:color w:val="000000"/>
          <w:szCs w:val="24"/>
          <w:shd w:fill="FFFFFF" w:val="clear"/>
        </w:rPr>
        <w:t>Management accounting</w:t>
      </w:r>
      <w:r>
        <w:rPr>
          <w:rFonts w:cs="Times New Roman"/>
          <w:color w:val="000000"/>
          <w:szCs w:val="24"/>
          <w:shd w:fill="FFFFFF" w:val="clear"/>
        </w:rPr>
        <w:t>. Mason, Ohio: South-Western.</w:t>
      </w:r>
    </w:p>
    <w:p>
      <w:pPr>
        <w:pStyle w:val="Normal"/>
        <w:spacing w:lineRule="auto" w:line="360"/>
        <w:ind w:left="720" w:hanging="720"/>
        <w:rPr>
          <w:rFonts w:cs="Times New Roman"/>
          <w:color w:val="000000"/>
          <w:szCs w:val="24"/>
          <w:highlight w:val="white"/>
        </w:rPr>
      </w:pPr>
      <w:r>
        <w:rPr>
          <w:rFonts w:cs="Times New Roman"/>
          <w:color w:val="000000"/>
          <w:szCs w:val="24"/>
          <w:shd w:fill="FFFFFF" w:val="clear"/>
        </w:rPr>
        <w:t>Harchandani, P. and Shome, S., 2021. Global Tourism and COVID-19. </w:t>
      </w:r>
      <w:r>
        <w:rPr>
          <w:rFonts w:cs="Times New Roman"/>
          <w:i/>
          <w:iCs/>
          <w:color w:val="000000"/>
          <w:szCs w:val="24"/>
          <w:shd w:fill="FFFFFF" w:val="clear"/>
        </w:rPr>
        <w:t>Tourism</w:t>
      </w:r>
      <w:r>
        <w:rPr>
          <w:rFonts w:cs="Times New Roman"/>
          <w:color w:val="000000"/>
          <w:szCs w:val="24"/>
          <w:shd w:fill="FFFFFF" w:val="clear"/>
        </w:rPr>
        <w:t>, 69(2), pp.262-280.</w:t>
      </w:r>
    </w:p>
    <w:p>
      <w:pPr>
        <w:pStyle w:val="Normal"/>
        <w:spacing w:lineRule="auto" w:line="360"/>
        <w:ind w:left="720" w:hanging="720"/>
        <w:rPr>
          <w:rFonts w:cs="Times New Roman"/>
          <w:color w:val="000000"/>
          <w:szCs w:val="24"/>
          <w:highlight w:val="white"/>
        </w:rPr>
      </w:pPr>
      <w:r>
        <w:rPr>
          <w:rFonts w:cs="Times New Roman"/>
          <w:color w:val="000000"/>
          <w:szCs w:val="24"/>
          <w:shd w:fill="FFFFFF" w:val="clear"/>
        </w:rPr>
        <w:t>Izar, R. and Hontoir, J., 2014. </w:t>
      </w:r>
      <w:r>
        <w:rPr>
          <w:rFonts w:cs="Times New Roman"/>
          <w:i/>
          <w:iCs/>
          <w:color w:val="000000"/>
          <w:szCs w:val="24"/>
          <w:shd w:fill="FFFFFF" w:val="clear"/>
        </w:rPr>
        <w:t>Accounting, costing, and management</w:t>
      </w:r>
      <w:r>
        <w:rPr>
          <w:rFonts w:cs="Times New Roman"/>
          <w:color w:val="000000"/>
          <w:szCs w:val="24"/>
          <w:shd w:fill="FFFFFF" w:val="clear"/>
        </w:rPr>
        <w:t>. Oxford: Oxford University.</w:t>
      </w:r>
    </w:p>
    <w:p>
      <w:pPr>
        <w:pStyle w:val="Normal"/>
        <w:spacing w:lineRule="auto" w:line="360"/>
        <w:ind w:left="720" w:hanging="720"/>
        <w:rPr>
          <w:rFonts w:cs="Times New Roman"/>
          <w:color w:val="000000"/>
          <w:szCs w:val="24"/>
          <w:highlight w:val="white"/>
        </w:rPr>
      </w:pPr>
      <w:r>
        <w:rPr>
          <w:rFonts w:cs="Times New Roman"/>
          <w:color w:val="000000"/>
          <w:szCs w:val="24"/>
          <w:shd w:fill="FFFFFF" w:val="clear"/>
        </w:rPr>
        <w:t>Lal, J. and Srivastava, S., 2013. </w:t>
      </w:r>
      <w:r>
        <w:rPr>
          <w:rFonts w:cs="Times New Roman"/>
          <w:i/>
          <w:iCs/>
          <w:color w:val="000000"/>
          <w:szCs w:val="24"/>
          <w:shd w:fill="FFFFFF" w:val="clear"/>
        </w:rPr>
        <w:t>Cost accounting</w:t>
      </w:r>
      <w:r>
        <w:rPr>
          <w:rFonts w:cs="Times New Roman"/>
          <w:color w:val="000000"/>
          <w:szCs w:val="24"/>
          <w:shd w:fill="FFFFFF" w:val="clear"/>
        </w:rPr>
        <w:t>. New Delhi, India: McGraw-Hill Education (India).</w:t>
      </w:r>
    </w:p>
    <w:p>
      <w:pPr>
        <w:pStyle w:val="Normal"/>
        <w:spacing w:lineRule="auto" w:line="360"/>
        <w:ind w:left="720" w:hanging="720"/>
        <w:rPr>
          <w:rFonts w:cs="Times New Roman"/>
          <w:color w:val="000000"/>
          <w:szCs w:val="24"/>
          <w:highlight w:val="white"/>
        </w:rPr>
      </w:pPr>
      <w:r>
        <w:rPr>
          <w:rFonts w:cs="Times New Roman"/>
          <w:color w:val="000000"/>
          <w:szCs w:val="24"/>
          <w:shd w:fill="FFFFFF" w:val="clear"/>
        </w:rPr>
        <w:t>Ogbeide, G., 2020. Pandemic (COVID-19) Implications: Recommendations for the Events and Tourism Industry. </w:t>
      </w:r>
      <w:r>
        <w:rPr>
          <w:rFonts w:cs="Times New Roman"/>
          <w:i/>
          <w:iCs/>
          <w:color w:val="000000"/>
          <w:szCs w:val="24"/>
          <w:shd w:fill="FFFFFF" w:val="clear"/>
        </w:rPr>
        <w:t>Events and Tourism Review</w:t>
      </w:r>
      <w:r>
        <w:rPr>
          <w:rFonts w:cs="Times New Roman"/>
          <w:color w:val="000000"/>
          <w:szCs w:val="24"/>
          <w:shd w:fill="FFFFFF" w:val="clear"/>
        </w:rPr>
        <w:t>, 3(2), pp.32-38.</w:t>
      </w:r>
    </w:p>
    <w:p>
      <w:pPr>
        <w:pStyle w:val="Normal"/>
        <w:spacing w:lineRule="auto" w:line="360"/>
        <w:ind w:left="720" w:hanging="720"/>
        <w:rPr>
          <w:rFonts w:cs="Times New Roman"/>
          <w:szCs w:val="24"/>
        </w:rPr>
      </w:pPr>
      <w:r>
        <w:rPr>
          <w:rFonts w:cs="Times New Roman"/>
          <w:color w:val="000000"/>
          <w:szCs w:val="24"/>
          <w:shd w:fill="FFFFFF" w:val="clear"/>
        </w:rPr>
        <w:t>Rajasekaran, V. and Lalitha, R., 2011. </w:t>
      </w:r>
      <w:r>
        <w:rPr>
          <w:rFonts w:cs="Times New Roman"/>
          <w:i/>
          <w:iCs/>
          <w:color w:val="000000"/>
          <w:szCs w:val="24"/>
          <w:shd w:fill="FFFFFF" w:val="clear"/>
        </w:rPr>
        <w:t>Cost accounting</w:t>
      </w:r>
      <w:r>
        <w:rPr>
          <w:rFonts w:cs="Times New Roman"/>
          <w:color w:val="000000"/>
          <w:szCs w:val="24"/>
          <w:shd w:fill="FFFFFF" w:val="clear"/>
        </w:rPr>
        <w:t>. Delhi: Pearson.</w:t>
      </w:r>
    </w:p>
    <w:p>
      <w:pPr>
        <w:pStyle w:val="Normal"/>
        <w:spacing w:lineRule="auto" w:line="360" w:before="0" w:after="160"/>
        <w:ind w:left="720" w:hanging="720"/>
        <w:rPr/>
      </w:pPr>
      <w:r>
        <w:rPr>
          <w:rFonts w:cs="Times New Roman"/>
          <w:color w:val="000000"/>
          <w:szCs w:val="24"/>
          <w:shd w:fill="FFFFFF" w:val="clear"/>
        </w:rPr>
        <w:t>Unctad.org. 2021. </w:t>
      </w:r>
      <w:r>
        <w:rPr>
          <w:rFonts w:cs="Times New Roman"/>
          <w:i/>
          <w:iCs/>
          <w:color w:val="000000"/>
          <w:szCs w:val="24"/>
          <w:shd w:fill="FFFFFF" w:val="clear"/>
        </w:rPr>
        <w:t>COVID-19 has changed online shopping forever, survey shows | UNCTAD</w:t>
      </w:r>
      <w:r>
        <w:rPr>
          <w:rFonts w:cs="Times New Roman"/>
          <w:color w:val="000000"/>
          <w:szCs w:val="24"/>
          <w:shd w:fill="FFFFFF" w:val="clear"/>
        </w:rPr>
        <w:t>. [online] Available at: &lt;https://unctad.org/news/covid-19-has-changed-online-shopping-forever-survey-shows&gt; [Accessed 12 November 2021].</w:t>
      </w:r>
    </w:p>
    <w:sectPr>
      <w:type w:val="continuous"/>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Arial">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06"/>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72bba"/>
    <w:pPr>
      <w:widowControl/>
      <w:bidi w:val="0"/>
      <w:spacing w:lineRule="auto" w:line="259" w:before="0" w:after="160"/>
      <w:jc w:val="both"/>
    </w:pPr>
    <w:rPr>
      <w:rFonts w:ascii="Times New Roman" w:hAnsi="Times New Roman" w:eastAsia="Calibri" w:cs="" w:cstheme="minorBidi" w:eastAsiaTheme="minorHAnsi"/>
      <w:color w:val="auto"/>
      <w:kern w:val="0"/>
      <w:sz w:val="24"/>
      <w:szCs w:val="22"/>
      <w:lang w:val="en-GB" w:eastAsia="en-US" w:bidi="ar-SA"/>
    </w:rPr>
  </w:style>
  <w:style w:type="paragraph" w:styleId="Heading1">
    <w:name w:val="Heading 1"/>
    <w:basedOn w:val="Normal"/>
    <w:next w:val="Normal"/>
    <w:link w:val="Heading1Char"/>
    <w:uiPriority w:val="9"/>
    <w:qFormat/>
    <w:rsid w:val="005f2e62"/>
    <w:pPr>
      <w:keepNext w:val="true"/>
      <w:keepLines/>
      <w:spacing w:lineRule="auto" w:line="360" w:before="240" w:after="0"/>
      <w:outlineLvl w:val="0"/>
    </w:pPr>
    <w:rPr>
      <w:rFonts w:eastAsia="" w:cs="" w:cstheme="majorBidi" w:eastAsiaTheme="majorEastAsia"/>
      <w:b/>
      <w:sz w:val="32"/>
      <w:szCs w:val="32"/>
    </w:rPr>
  </w:style>
  <w:style w:type="paragraph" w:styleId="Heading2">
    <w:name w:val="Heading 2"/>
    <w:basedOn w:val="Normal"/>
    <w:next w:val="Normal"/>
    <w:link w:val="Heading2Char"/>
    <w:autoRedefine/>
    <w:uiPriority w:val="9"/>
    <w:unhideWhenUsed/>
    <w:qFormat/>
    <w:rsid w:val="005f2e62"/>
    <w:pPr>
      <w:keepNext w:val="true"/>
      <w:keepLines/>
      <w:spacing w:lineRule="auto" w:line="360" w:before="40" w:after="0"/>
      <w:outlineLvl w:val="1"/>
    </w:pPr>
    <w:rPr>
      <w:rFonts w:eastAsia="" w:cs="" w:cstheme="majorBidi" w:eastAsiaTheme="majorEastAsia"/>
      <w:b/>
      <w:sz w:val="28"/>
      <w:szCs w:val="26"/>
    </w:rPr>
  </w:style>
  <w:style w:type="character" w:styleId="DefaultParagraphFont" w:default="1">
    <w:name w:val="Default Paragraph Font"/>
    <w:uiPriority w:val="1"/>
    <w:semiHidden/>
    <w:unhideWhenUsed/>
    <w:qFormat/>
    <w:rPr/>
  </w:style>
  <w:style w:type="character" w:styleId="Heading2Char" w:customStyle="1">
    <w:name w:val="Heading 2 Char"/>
    <w:basedOn w:val="DefaultParagraphFont"/>
    <w:link w:val="Heading2"/>
    <w:uiPriority w:val="9"/>
    <w:qFormat/>
    <w:rsid w:val="005f2e62"/>
    <w:rPr>
      <w:rFonts w:ascii="Times New Roman" w:hAnsi="Times New Roman" w:eastAsia="" w:cs="" w:cstheme="majorBidi" w:eastAsiaTheme="majorEastAsia"/>
      <w:b/>
      <w:sz w:val="28"/>
      <w:szCs w:val="26"/>
    </w:rPr>
  </w:style>
  <w:style w:type="character" w:styleId="Heading1Char" w:customStyle="1">
    <w:name w:val="Heading 1 Char"/>
    <w:basedOn w:val="DefaultParagraphFont"/>
    <w:link w:val="Heading1"/>
    <w:uiPriority w:val="9"/>
    <w:qFormat/>
    <w:rsid w:val="005f2e62"/>
    <w:rPr>
      <w:rFonts w:ascii="Times New Roman" w:hAnsi="Times New Roman" w:eastAsia="" w:cs="" w:cstheme="majorBidi" w:eastAsiaTheme="majorEastAsia"/>
      <w:b/>
      <w:sz w:val="32"/>
      <w:szCs w:val="32"/>
    </w:rPr>
  </w:style>
  <w:style w:type="character" w:styleId="TitleChar" w:customStyle="1">
    <w:name w:val="Title Char"/>
    <w:basedOn w:val="DefaultParagraphFont"/>
    <w:link w:val="Title"/>
    <w:uiPriority w:val="10"/>
    <w:qFormat/>
    <w:rsid w:val="00c969a3"/>
    <w:rPr>
      <w:rFonts w:ascii="Calibri Light" w:hAnsi="Calibri Light" w:eastAsia="" w:cs="" w:asciiTheme="majorHAnsi" w:cstheme="majorBidi" w:eastAsiaTheme="majorEastAsia" w:hAnsiTheme="majorHAnsi"/>
      <w:spacing w:val="-10"/>
      <w:kern w:val="2"/>
      <w:sz w:val="56"/>
      <w:szCs w:val="56"/>
    </w:rPr>
  </w:style>
  <w:style w:type="character" w:styleId="InternetLink">
    <w:name w:val="Internet Link"/>
    <w:basedOn w:val="DefaultParagraphFont"/>
    <w:uiPriority w:val="99"/>
    <w:unhideWhenUsed/>
    <w:rsid w:val="00713bcb"/>
    <w:rPr>
      <w:color w:val="0563C1" w:themeColor="hyperlink"/>
      <w:u w:val="single"/>
    </w:rPr>
  </w:style>
  <w:style w:type="character" w:styleId="HeaderChar" w:customStyle="1">
    <w:name w:val="Header Char"/>
    <w:basedOn w:val="DefaultParagraphFont"/>
    <w:link w:val="Header"/>
    <w:uiPriority w:val="99"/>
    <w:qFormat/>
    <w:rsid w:val="0058651e"/>
    <w:rPr>
      <w:rFonts w:ascii="Times New Roman" w:hAnsi="Times New Roman"/>
      <w:sz w:val="24"/>
    </w:rPr>
  </w:style>
  <w:style w:type="character" w:styleId="FooterChar" w:customStyle="1">
    <w:name w:val="Footer Char"/>
    <w:basedOn w:val="DefaultParagraphFont"/>
    <w:link w:val="Footer"/>
    <w:uiPriority w:val="99"/>
    <w:qFormat/>
    <w:rsid w:val="0058651e"/>
    <w:rPr>
      <w:rFonts w:ascii="Times New Roman" w:hAnsi="Times New Roman"/>
      <w:sz w:val="24"/>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IndexLink">
    <w:name w:val="Index Link"/>
    <w:qFormat/>
    <w:rPr/>
  </w:style>
  <w:style w:type="character" w:styleId="ListLabel4">
    <w:name w:val="ListLabel 4"/>
    <w:qFormat/>
    <w:rPr>
      <w:rFonts w:cs="Symbol"/>
    </w:rPr>
  </w:style>
  <w:style w:type="character" w:styleId="ListLabel5">
    <w:name w:val="ListLabel 5"/>
    <w:qFormat/>
    <w:rPr>
      <w:rFonts w:cs="Courier New"/>
    </w:rPr>
  </w:style>
  <w:style w:type="character" w:styleId="ListLabel6">
    <w:name w:val="ListLabel 6"/>
    <w:qFormat/>
    <w:rPr>
      <w:rFonts w:cs="Wingdings"/>
    </w:rPr>
  </w:style>
  <w:style w:type="character" w:styleId="ListLabel7">
    <w:name w:val="ListLabel 7"/>
    <w:qFormat/>
    <w:rPr>
      <w:rFonts w:cs="Symbol"/>
    </w:rPr>
  </w:style>
  <w:style w:type="character" w:styleId="ListLabel8">
    <w:name w:val="ListLabel 8"/>
    <w:qFormat/>
    <w:rPr>
      <w:rFonts w:cs="Courier New"/>
    </w:rPr>
  </w:style>
  <w:style w:type="character" w:styleId="ListLabel9">
    <w:name w:val="ListLabel 9"/>
    <w:qFormat/>
    <w:rPr>
      <w:rFonts w:cs="Wingdings"/>
    </w:rPr>
  </w:style>
  <w:style w:type="character" w:styleId="ListLabel10">
    <w:name w:val="ListLabel 10"/>
    <w:qFormat/>
    <w:rPr>
      <w:rFonts w:cs="Symbol"/>
    </w:rPr>
  </w:style>
  <w:style w:type="character" w:styleId="ListLabel11">
    <w:name w:val="ListLabel 11"/>
    <w:qFormat/>
    <w:rPr>
      <w:rFonts w:cs="Courier New"/>
    </w:rPr>
  </w:style>
  <w:style w:type="character" w:styleId="ListLabel12">
    <w:name w:val="ListLabel 12"/>
    <w:qFormat/>
    <w:rPr>
      <w:rFonts w:cs="Wingdings"/>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rsid w:val="00e607fd"/>
    <w:pPr>
      <w:spacing w:before="0" w:after="160"/>
      <w:ind w:left="720" w:hanging="0"/>
      <w:contextualSpacing/>
    </w:pPr>
    <w:rPr/>
  </w:style>
  <w:style w:type="paragraph" w:styleId="NormalWeb">
    <w:name w:val="Normal (Web)"/>
    <w:basedOn w:val="Normal"/>
    <w:uiPriority w:val="99"/>
    <w:semiHidden/>
    <w:unhideWhenUsed/>
    <w:qFormat/>
    <w:rsid w:val="00ab20ed"/>
    <w:pPr>
      <w:spacing w:lineRule="auto" w:line="240" w:beforeAutospacing="1" w:afterAutospacing="1"/>
      <w:jc w:val="left"/>
    </w:pPr>
    <w:rPr>
      <w:rFonts w:eastAsia="Times New Roman" w:cs="Times New Roman"/>
      <w:szCs w:val="24"/>
      <w:lang w:eastAsia="en-GB"/>
    </w:rPr>
  </w:style>
  <w:style w:type="paragraph" w:styleId="Title">
    <w:name w:val="Title"/>
    <w:basedOn w:val="Normal"/>
    <w:next w:val="Normal"/>
    <w:link w:val="TitleChar"/>
    <w:uiPriority w:val="10"/>
    <w:qFormat/>
    <w:rsid w:val="00c969a3"/>
    <w:pPr>
      <w:spacing w:lineRule="auto" w:line="240" w:before="0" w:after="0"/>
      <w:contextualSpacing/>
    </w:pPr>
    <w:rPr>
      <w:rFonts w:ascii="Calibri Light" w:hAnsi="Calibri Light" w:eastAsia="" w:cs="" w:asciiTheme="majorHAnsi" w:cstheme="majorBidi" w:eastAsiaTheme="majorEastAsia" w:hAnsiTheme="majorHAnsi"/>
      <w:spacing w:val="-10"/>
      <w:kern w:val="2"/>
      <w:sz w:val="56"/>
      <w:szCs w:val="56"/>
    </w:rPr>
  </w:style>
  <w:style w:type="paragraph" w:styleId="TOCHeading">
    <w:name w:val="TOC Heading"/>
    <w:basedOn w:val="Heading1"/>
    <w:next w:val="Normal"/>
    <w:uiPriority w:val="39"/>
    <w:unhideWhenUsed/>
    <w:qFormat/>
    <w:rsid w:val="00713bcb"/>
    <w:pPr>
      <w:spacing w:lineRule="auto" w:line="259"/>
      <w:jc w:val="left"/>
    </w:pPr>
    <w:rPr>
      <w:rFonts w:ascii="Calibri Light" w:hAnsi="Calibri Light" w:asciiTheme="majorHAnsi" w:hAnsiTheme="majorHAnsi"/>
      <w:b w:val="false"/>
      <w:color w:val="2F5496" w:themeColor="accent1" w:themeShade="bf"/>
      <w:lang w:val="en-US"/>
    </w:rPr>
  </w:style>
  <w:style w:type="paragraph" w:styleId="Contents1">
    <w:name w:val="TOC 1"/>
    <w:basedOn w:val="Normal"/>
    <w:next w:val="Normal"/>
    <w:autoRedefine/>
    <w:uiPriority w:val="39"/>
    <w:unhideWhenUsed/>
    <w:rsid w:val="00713bcb"/>
    <w:pPr>
      <w:spacing w:before="0" w:after="100"/>
    </w:pPr>
    <w:rPr/>
  </w:style>
  <w:style w:type="paragraph" w:styleId="Header">
    <w:name w:val="Header"/>
    <w:basedOn w:val="Normal"/>
    <w:link w:val="HeaderChar"/>
    <w:uiPriority w:val="99"/>
    <w:unhideWhenUsed/>
    <w:rsid w:val="0058651e"/>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58651e"/>
    <w:pPr>
      <w:tabs>
        <w:tab w:val="clear" w:pos="720"/>
        <w:tab w:val="center" w:pos="4513" w:leader="none"/>
        <w:tab w:val="right" w:pos="9026" w:leader="none"/>
      </w:tabs>
      <w:spacing w:lineRule="auto" w:line="240" w:before="0" w:after="0"/>
    </w:pPr>
    <w:rPr/>
  </w:style>
  <w:style w:type="paragraph" w:styleId="Normal1">
    <w:name w:val="Normal1"/>
    <w:qFormat/>
    <w:pPr>
      <w:widowControl/>
      <w:bidi w:val="0"/>
      <w:spacing w:lineRule="auto" w:line="276" w:before="0" w:after="160"/>
      <w:jc w:val="left"/>
    </w:pPr>
    <w:rPr>
      <w:rFonts w:ascii="Calibri" w:hAnsi="Calibri" w:eastAsia="Calibri" w:cs="" w:asciiTheme="minorHAnsi" w:cstheme="minorBidi" w:eastAsiaTheme="minorHAnsi" w:hAnsiTheme="minorHAnsi"/>
      <w:color w:val="auto"/>
      <w:kern w:val="0"/>
      <w:sz w:val="24"/>
      <w:szCs w:val="22"/>
      <w:lang w:val="en-GB"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f225c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5220CD-46C2-4A4C-AA51-5B8537C1A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Application>Trio_Office/6.2.8.2$Windows_x86 LibreOffice_project/</Application>
  <Pages>12</Pages>
  <Words>2683</Words>
  <Characters>14042</Characters>
  <CharactersWithSpaces>16506</CharactersWithSpaces>
  <Paragraphs>235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2021-11-12T04:00:00Z</dcterms:created>
  <dc:creator/>
  <dc:description/>
  <dc:language>en-GB</dc:language>
  <cp:lastModifiedBy/>
  <dcterms:modified xsi:type="dcterms:W3CDTF">2022-01-01T11:40:42Z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