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AED9A" w14:textId="77777777" w:rsidR="00BE38E0" w:rsidRPr="0042701B" w:rsidRDefault="00BE38E0" w:rsidP="00BE38E0">
      <w:pPr>
        <w:jc w:val="center"/>
        <w:rPr>
          <w:rFonts w:ascii="Times New Roman" w:hAnsi="Times New Roman" w:cs="Times New Roman"/>
          <w:b/>
          <w:sz w:val="24"/>
          <w:szCs w:val="24"/>
        </w:rPr>
      </w:pPr>
    </w:p>
    <w:p w14:paraId="38E0C5AE" w14:textId="77777777" w:rsidR="00BE38E0" w:rsidRPr="0042701B" w:rsidRDefault="00BE38E0" w:rsidP="00BE38E0">
      <w:pPr>
        <w:jc w:val="center"/>
        <w:rPr>
          <w:rFonts w:ascii="Times New Roman" w:hAnsi="Times New Roman" w:cs="Times New Roman"/>
          <w:b/>
          <w:sz w:val="24"/>
          <w:szCs w:val="24"/>
        </w:rPr>
      </w:pPr>
    </w:p>
    <w:p w14:paraId="507296C1" w14:textId="77777777" w:rsidR="00BE38E0" w:rsidRPr="0042701B" w:rsidRDefault="00BE38E0" w:rsidP="00BE38E0">
      <w:pPr>
        <w:jc w:val="center"/>
        <w:rPr>
          <w:rFonts w:ascii="Times New Roman" w:hAnsi="Times New Roman" w:cs="Times New Roman"/>
          <w:b/>
          <w:sz w:val="24"/>
          <w:szCs w:val="24"/>
        </w:rPr>
      </w:pPr>
    </w:p>
    <w:p w14:paraId="1A010B1D" w14:textId="220C645A" w:rsidR="00E74FEE" w:rsidRPr="0042701B" w:rsidRDefault="00BE38E0" w:rsidP="00BE38E0">
      <w:pPr>
        <w:jc w:val="center"/>
        <w:rPr>
          <w:rFonts w:ascii="Times New Roman" w:hAnsi="Times New Roman" w:cs="Times New Roman"/>
          <w:b/>
          <w:sz w:val="36"/>
          <w:szCs w:val="36"/>
        </w:rPr>
      </w:pPr>
      <w:r w:rsidRPr="0042701B">
        <w:rPr>
          <w:rFonts w:ascii="Times New Roman" w:hAnsi="Times New Roman" w:cs="Times New Roman"/>
          <w:b/>
          <w:sz w:val="36"/>
          <w:szCs w:val="36"/>
        </w:rPr>
        <w:t>BMPL4009_CARD</w:t>
      </w:r>
    </w:p>
    <w:p w14:paraId="46F6A951" w14:textId="00FFD7A5" w:rsidR="00BE38E0" w:rsidRPr="0042701B" w:rsidRDefault="00BE38E0" w:rsidP="00BE38E0">
      <w:pPr>
        <w:jc w:val="center"/>
        <w:rPr>
          <w:rFonts w:ascii="Times New Roman" w:hAnsi="Times New Roman" w:cs="Times New Roman"/>
          <w:b/>
          <w:sz w:val="36"/>
          <w:szCs w:val="36"/>
        </w:rPr>
      </w:pPr>
      <w:r w:rsidRPr="0042701B">
        <w:rPr>
          <w:rFonts w:ascii="Times New Roman" w:hAnsi="Times New Roman" w:cs="Times New Roman"/>
          <w:b/>
          <w:sz w:val="36"/>
          <w:szCs w:val="36"/>
        </w:rPr>
        <w:t>Criminal Law</w:t>
      </w:r>
    </w:p>
    <w:p w14:paraId="16ACC302" w14:textId="77777777" w:rsidR="00BE38E0" w:rsidRPr="0042701B" w:rsidRDefault="00BE38E0" w:rsidP="00BE38E0">
      <w:pPr>
        <w:jc w:val="center"/>
        <w:rPr>
          <w:rFonts w:ascii="Times New Roman" w:hAnsi="Times New Roman" w:cs="Times New Roman"/>
          <w:b/>
          <w:sz w:val="36"/>
          <w:szCs w:val="36"/>
        </w:rPr>
      </w:pPr>
    </w:p>
    <w:p w14:paraId="34DF66C0" w14:textId="48F24478" w:rsidR="00BE38E0" w:rsidRPr="0042701B" w:rsidRDefault="00BE38E0" w:rsidP="00BE38E0">
      <w:pPr>
        <w:jc w:val="center"/>
        <w:rPr>
          <w:rFonts w:ascii="Times New Roman" w:hAnsi="Times New Roman" w:cs="Times New Roman"/>
          <w:b/>
          <w:sz w:val="36"/>
          <w:szCs w:val="36"/>
        </w:rPr>
      </w:pPr>
      <w:r w:rsidRPr="0042701B">
        <w:rPr>
          <w:rFonts w:ascii="Times New Roman" w:hAnsi="Times New Roman" w:cs="Times New Roman"/>
          <w:b/>
          <w:sz w:val="36"/>
          <w:szCs w:val="36"/>
        </w:rPr>
        <w:t>Assignment Title: Scenario question</w:t>
      </w:r>
    </w:p>
    <w:p w14:paraId="67FE119F" w14:textId="77777777" w:rsidR="00BE38E0" w:rsidRPr="0042701B" w:rsidRDefault="00BE38E0" w:rsidP="00BE38E0">
      <w:pPr>
        <w:jc w:val="center"/>
        <w:rPr>
          <w:rFonts w:ascii="Times New Roman" w:hAnsi="Times New Roman" w:cs="Times New Roman"/>
          <w:b/>
          <w:sz w:val="24"/>
          <w:szCs w:val="24"/>
        </w:rPr>
      </w:pPr>
    </w:p>
    <w:p w14:paraId="56267E53" w14:textId="77777777" w:rsidR="00BE38E0" w:rsidRPr="0042701B" w:rsidRDefault="00BE38E0" w:rsidP="00BE38E0">
      <w:pPr>
        <w:jc w:val="center"/>
        <w:rPr>
          <w:rFonts w:ascii="Times New Roman" w:hAnsi="Times New Roman" w:cs="Times New Roman"/>
          <w:b/>
          <w:sz w:val="24"/>
          <w:szCs w:val="24"/>
        </w:rPr>
      </w:pPr>
    </w:p>
    <w:p w14:paraId="47C49A6F" w14:textId="37F52FC9" w:rsidR="00BE38E0" w:rsidRPr="0042701B" w:rsidRDefault="00BE38E0" w:rsidP="00BE38E0">
      <w:pPr>
        <w:jc w:val="center"/>
        <w:rPr>
          <w:rFonts w:ascii="Times New Roman" w:hAnsi="Times New Roman" w:cs="Times New Roman"/>
          <w:b/>
          <w:sz w:val="24"/>
          <w:szCs w:val="24"/>
        </w:rPr>
      </w:pPr>
      <w:r w:rsidRPr="0042701B">
        <w:rPr>
          <w:rFonts w:ascii="Times New Roman" w:hAnsi="Times New Roman" w:cs="Times New Roman"/>
          <w:b/>
          <w:sz w:val="24"/>
          <w:szCs w:val="24"/>
        </w:rPr>
        <w:t>Student Name:</w:t>
      </w:r>
      <w:r w:rsidR="00C0122E">
        <w:rPr>
          <w:rFonts w:ascii="Times New Roman" w:hAnsi="Times New Roman" w:cs="Times New Roman"/>
          <w:b/>
          <w:sz w:val="24"/>
          <w:szCs w:val="24"/>
        </w:rPr>
        <w:t xml:space="preserve"> Alina Gabriela Chiosa</w:t>
      </w:r>
    </w:p>
    <w:p w14:paraId="42B243B0" w14:textId="1AB72289" w:rsidR="00BE38E0" w:rsidRPr="0042701B" w:rsidRDefault="00BE38E0" w:rsidP="00BE38E0">
      <w:pPr>
        <w:jc w:val="center"/>
        <w:rPr>
          <w:rFonts w:ascii="Times New Roman" w:hAnsi="Times New Roman" w:cs="Times New Roman"/>
          <w:b/>
          <w:sz w:val="24"/>
          <w:szCs w:val="24"/>
        </w:rPr>
      </w:pPr>
      <w:r w:rsidRPr="0042701B">
        <w:rPr>
          <w:rFonts w:ascii="Times New Roman" w:hAnsi="Times New Roman" w:cs="Times New Roman"/>
          <w:b/>
          <w:sz w:val="24"/>
          <w:szCs w:val="24"/>
        </w:rPr>
        <w:t>Student ID:</w:t>
      </w:r>
      <w:r w:rsidR="00287379">
        <w:rPr>
          <w:rFonts w:ascii="Times New Roman" w:hAnsi="Times New Roman" w:cs="Times New Roman"/>
          <w:b/>
          <w:sz w:val="24"/>
          <w:szCs w:val="24"/>
        </w:rPr>
        <w:t xml:space="preserve"> 2325692</w:t>
      </w:r>
    </w:p>
    <w:p w14:paraId="1890562E" w14:textId="77777777" w:rsidR="00BE38E0" w:rsidRPr="0042701B" w:rsidRDefault="00BE38E0" w:rsidP="00BE38E0">
      <w:pPr>
        <w:jc w:val="center"/>
        <w:rPr>
          <w:rFonts w:ascii="Times New Roman" w:hAnsi="Times New Roman" w:cs="Times New Roman"/>
          <w:b/>
          <w:sz w:val="24"/>
          <w:szCs w:val="24"/>
        </w:rPr>
      </w:pPr>
    </w:p>
    <w:p w14:paraId="61118D61" w14:textId="7EB49FF5" w:rsidR="00BE38E0" w:rsidRPr="0042701B" w:rsidRDefault="00BE38E0" w:rsidP="00BE38E0">
      <w:pPr>
        <w:jc w:val="center"/>
        <w:rPr>
          <w:rFonts w:ascii="Times New Roman" w:hAnsi="Times New Roman" w:cs="Times New Roman"/>
          <w:b/>
          <w:sz w:val="24"/>
          <w:szCs w:val="24"/>
        </w:rPr>
      </w:pPr>
    </w:p>
    <w:p w14:paraId="61AE76B7" w14:textId="77777777" w:rsidR="004D5765" w:rsidRDefault="004D5765">
      <w:pPr>
        <w:rPr>
          <w:rFonts w:ascii="Times New Roman" w:hAnsi="Times New Roman" w:cs="Times New Roman"/>
          <w:b/>
          <w:sz w:val="24"/>
          <w:szCs w:val="24"/>
        </w:rPr>
      </w:pPr>
      <w:r>
        <w:rPr>
          <w:b/>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521606740"/>
        <w:docPartObj>
          <w:docPartGallery w:val="Table of Contents"/>
          <w:docPartUnique/>
        </w:docPartObj>
      </w:sdtPr>
      <w:sdtEndPr>
        <w:rPr>
          <w:b/>
          <w:bCs/>
          <w:noProof/>
        </w:rPr>
      </w:sdtEndPr>
      <w:sdtContent>
        <w:p w14:paraId="08285C97" w14:textId="1265AD1A" w:rsidR="0042701B" w:rsidRDefault="0042701B" w:rsidP="00DA55CC">
          <w:pPr>
            <w:pStyle w:val="TOCHeading"/>
          </w:pPr>
          <w:r>
            <w:t>Table of Contents</w:t>
          </w:r>
        </w:p>
        <w:p w14:paraId="6F51E737" w14:textId="0A02A7CC" w:rsidR="001760F8" w:rsidRDefault="0042701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2900499" w:history="1">
            <w:r w:rsidR="001760F8" w:rsidRPr="00863AF9">
              <w:rPr>
                <w:rStyle w:val="Hyperlink"/>
                <w:noProof/>
              </w:rPr>
              <w:t>Legal Analysis and Advice for Linda</w:t>
            </w:r>
            <w:r w:rsidR="001760F8">
              <w:rPr>
                <w:noProof/>
                <w:webHidden/>
              </w:rPr>
              <w:tab/>
            </w:r>
            <w:r w:rsidR="001760F8">
              <w:rPr>
                <w:noProof/>
                <w:webHidden/>
              </w:rPr>
              <w:fldChar w:fldCharType="begin"/>
            </w:r>
            <w:r w:rsidR="001760F8">
              <w:rPr>
                <w:noProof/>
                <w:webHidden/>
              </w:rPr>
              <w:instrText xml:space="preserve"> PAGEREF _Toc172900499 \h </w:instrText>
            </w:r>
            <w:r w:rsidR="001760F8">
              <w:rPr>
                <w:noProof/>
                <w:webHidden/>
              </w:rPr>
            </w:r>
            <w:r w:rsidR="001760F8">
              <w:rPr>
                <w:noProof/>
                <w:webHidden/>
              </w:rPr>
              <w:fldChar w:fldCharType="separate"/>
            </w:r>
            <w:r w:rsidR="001760F8">
              <w:rPr>
                <w:noProof/>
                <w:webHidden/>
              </w:rPr>
              <w:t>3</w:t>
            </w:r>
            <w:r w:rsidR="001760F8">
              <w:rPr>
                <w:noProof/>
                <w:webHidden/>
              </w:rPr>
              <w:fldChar w:fldCharType="end"/>
            </w:r>
          </w:hyperlink>
        </w:p>
        <w:p w14:paraId="342022BD" w14:textId="41DEB09F" w:rsidR="001760F8" w:rsidRDefault="001760F8">
          <w:pPr>
            <w:pStyle w:val="TOC2"/>
            <w:tabs>
              <w:tab w:val="right" w:leader="dot" w:pos="9016"/>
            </w:tabs>
            <w:rPr>
              <w:rFonts w:eastAsiaTheme="minorEastAsia"/>
              <w:noProof/>
              <w:sz w:val="24"/>
              <w:szCs w:val="24"/>
              <w:lang w:eastAsia="en-GB"/>
            </w:rPr>
          </w:pPr>
          <w:hyperlink w:anchor="_Toc172900500" w:history="1">
            <w:r w:rsidRPr="00863AF9">
              <w:rPr>
                <w:rStyle w:val="Hyperlink"/>
                <w:noProof/>
              </w:rPr>
              <w:t>Theft: Legal Framework and Analysis</w:t>
            </w:r>
            <w:r>
              <w:rPr>
                <w:noProof/>
                <w:webHidden/>
              </w:rPr>
              <w:tab/>
            </w:r>
            <w:r>
              <w:rPr>
                <w:noProof/>
                <w:webHidden/>
              </w:rPr>
              <w:fldChar w:fldCharType="begin"/>
            </w:r>
            <w:r>
              <w:rPr>
                <w:noProof/>
                <w:webHidden/>
              </w:rPr>
              <w:instrText xml:space="preserve"> PAGEREF _Toc172900500 \h </w:instrText>
            </w:r>
            <w:r>
              <w:rPr>
                <w:noProof/>
                <w:webHidden/>
              </w:rPr>
            </w:r>
            <w:r>
              <w:rPr>
                <w:noProof/>
                <w:webHidden/>
              </w:rPr>
              <w:fldChar w:fldCharType="separate"/>
            </w:r>
            <w:r>
              <w:rPr>
                <w:noProof/>
                <w:webHidden/>
              </w:rPr>
              <w:t>3</w:t>
            </w:r>
            <w:r>
              <w:rPr>
                <w:noProof/>
                <w:webHidden/>
              </w:rPr>
              <w:fldChar w:fldCharType="end"/>
            </w:r>
          </w:hyperlink>
        </w:p>
        <w:p w14:paraId="4FE18CF1" w14:textId="2E5C9795" w:rsidR="001760F8" w:rsidRDefault="001760F8">
          <w:pPr>
            <w:pStyle w:val="TOC2"/>
            <w:tabs>
              <w:tab w:val="right" w:leader="dot" w:pos="9016"/>
            </w:tabs>
            <w:rPr>
              <w:rFonts w:eastAsiaTheme="minorEastAsia"/>
              <w:noProof/>
              <w:sz w:val="24"/>
              <w:szCs w:val="24"/>
              <w:lang w:eastAsia="en-GB"/>
            </w:rPr>
          </w:pPr>
          <w:hyperlink w:anchor="_Toc172900501" w:history="1">
            <w:r w:rsidRPr="00863AF9">
              <w:rPr>
                <w:rStyle w:val="Hyperlink"/>
                <w:noProof/>
              </w:rPr>
              <w:t>Actus Reus of Theft</w:t>
            </w:r>
            <w:r>
              <w:rPr>
                <w:noProof/>
                <w:webHidden/>
              </w:rPr>
              <w:tab/>
            </w:r>
            <w:r>
              <w:rPr>
                <w:noProof/>
                <w:webHidden/>
              </w:rPr>
              <w:fldChar w:fldCharType="begin"/>
            </w:r>
            <w:r>
              <w:rPr>
                <w:noProof/>
                <w:webHidden/>
              </w:rPr>
              <w:instrText xml:space="preserve"> PAGEREF _Toc172900501 \h </w:instrText>
            </w:r>
            <w:r>
              <w:rPr>
                <w:noProof/>
                <w:webHidden/>
              </w:rPr>
            </w:r>
            <w:r>
              <w:rPr>
                <w:noProof/>
                <w:webHidden/>
              </w:rPr>
              <w:fldChar w:fldCharType="separate"/>
            </w:r>
            <w:r>
              <w:rPr>
                <w:noProof/>
                <w:webHidden/>
              </w:rPr>
              <w:t>3</w:t>
            </w:r>
            <w:r>
              <w:rPr>
                <w:noProof/>
                <w:webHidden/>
              </w:rPr>
              <w:fldChar w:fldCharType="end"/>
            </w:r>
          </w:hyperlink>
        </w:p>
        <w:p w14:paraId="1AE8E30D" w14:textId="3D7C6086" w:rsidR="001760F8" w:rsidRDefault="001760F8">
          <w:pPr>
            <w:pStyle w:val="TOC2"/>
            <w:tabs>
              <w:tab w:val="right" w:leader="dot" w:pos="9016"/>
            </w:tabs>
            <w:rPr>
              <w:rFonts w:eastAsiaTheme="minorEastAsia"/>
              <w:noProof/>
              <w:sz w:val="24"/>
              <w:szCs w:val="24"/>
              <w:lang w:eastAsia="en-GB"/>
            </w:rPr>
          </w:pPr>
          <w:hyperlink w:anchor="_Toc172900502" w:history="1">
            <w:r w:rsidRPr="00863AF9">
              <w:rPr>
                <w:rStyle w:val="Hyperlink"/>
                <w:noProof/>
              </w:rPr>
              <w:t>Mens Rea of Theft</w:t>
            </w:r>
            <w:r>
              <w:rPr>
                <w:noProof/>
                <w:webHidden/>
              </w:rPr>
              <w:tab/>
            </w:r>
            <w:r>
              <w:rPr>
                <w:noProof/>
                <w:webHidden/>
              </w:rPr>
              <w:fldChar w:fldCharType="begin"/>
            </w:r>
            <w:r>
              <w:rPr>
                <w:noProof/>
                <w:webHidden/>
              </w:rPr>
              <w:instrText xml:space="preserve"> PAGEREF _Toc172900502 \h </w:instrText>
            </w:r>
            <w:r>
              <w:rPr>
                <w:noProof/>
                <w:webHidden/>
              </w:rPr>
            </w:r>
            <w:r>
              <w:rPr>
                <w:noProof/>
                <w:webHidden/>
              </w:rPr>
              <w:fldChar w:fldCharType="separate"/>
            </w:r>
            <w:r>
              <w:rPr>
                <w:noProof/>
                <w:webHidden/>
              </w:rPr>
              <w:t>3</w:t>
            </w:r>
            <w:r>
              <w:rPr>
                <w:noProof/>
                <w:webHidden/>
              </w:rPr>
              <w:fldChar w:fldCharType="end"/>
            </w:r>
          </w:hyperlink>
        </w:p>
        <w:p w14:paraId="735B39F8" w14:textId="42E6CBEE" w:rsidR="001760F8" w:rsidRDefault="001760F8">
          <w:pPr>
            <w:pStyle w:val="TOC2"/>
            <w:tabs>
              <w:tab w:val="right" w:leader="dot" w:pos="9016"/>
            </w:tabs>
            <w:rPr>
              <w:rFonts w:eastAsiaTheme="minorEastAsia"/>
              <w:noProof/>
              <w:sz w:val="24"/>
              <w:szCs w:val="24"/>
              <w:lang w:eastAsia="en-GB"/>
            </w:rPr>
          </w:pPr>
          <w:hyperlink w:anchor="_Toc172900503" w:history="1">
            <w:r w:rsidRPr="00863AF9">
              <w:rPr>
                <w:rStyle w:val="Hyperlink"/>
                <w:noProof/>
              </w:rPr>
              <w:t>Other Actus Reus Requirements</w:t>
            </w:r>
            <w:r>
              <w:rPr>
                <w:noProof/>
                <w:webHidden/>
              </w:rPr>
              <w:tab/>
            </w:r>
            <w:r>
              <w:rPr>
                <w:noProof/>
                <w:webHidden/>
              </w:rPr>
              <w:fldChar w:fldCharType="begin"/>
            </w:r>
            <w:r>
              <w:rPr>
                <w:noProof/>
                <w:webHidden/>
              </w:rPr>
              <w:instrText xml:space="preserve"> PAGEREF _Toc172900503 \h </w:instrText>
            </w:r>
            <w:r>
              <w:rPr>
                <w:noProof/>
                <w:webHidden/>
              </w:rPr>
            </w:r>
            <w:r>
              <w:rPr>
                <w:noProof/>
                <w:webHidden/>
              </w:rPr>
              <w:fldChar w:fldCharType="separate"/>
            </w:r>
            <w:r>
              <w:rPr>
                <w:noProof/>
                <w:webHidden/>
              </w:rPr>
              <w:t>4</w:t>
            </w:r>
            <w:r>
              <w:rPr>
                <w:noProof/>
                <w:webHidden/>
              </w:rPr>
              <w:fldChar w:fldCharType="end"/>
            </w:r>
          </w:hyperlink>
        </w:p>
        <w:p w14:paraId="0DCBCD8B" w14:textId="584CFE7D" w:rsidR="001760F8" w:rsidRDefault="001760F8">
          <w:pPr>
            <w:pStyle w:val="TOC2"/>
            <w:tabs>
              <w:tab w:val="right" w:leader="dot" w:pos="9016"/>
            </w:tabs>
            <w:rPr>
              <w:rFonts w:eastAsiaTheme="minorEastAsia"/>
              <w:noProof/>
              <w:sz w:val="24"/>
              <w:szCs w:val="24"/>
              <w:lang w:eastAsia="en-GB"/>
            </w:rPr>
          </w:pPr>
          <w:hyperlink w:anchor="_Toc172900504" w:history="1">
            <w:r w:rsidRPr="00863AF9">
              <w:rPr>
                <w:rStyle w:val="Hyperlink"/>
                <w:noProof/>
              </w:rPr>
              <w:t>Criminal Damage: Legal Framework and Analysis</w:t>
            </w:r>
            <w:r>
              <w:rPr>
                <w:noProof/>
                <w:webHidden/>
              </w:rPr>
              <w:tab/>
            </w:r>
            <w:r>
              <w:rPr>
                <w:noProof/>
                <w:webHidden/>
              </w:rPr>
              <w:fldChar w:fldCharType="begin"/>
            </w:r>
            <w:r>
              <w:rPr>
                <w:noProof/>
                <w:webHidden/>
              </w:rPr>
              <w:instrText xml:space="preserve"> PAGEREF _Toc172900504 \h </w:instrText>
            </w:r>
            <w:r>
              <w:rPr>
                <w:noProof/>
                <w:webHidden/>
              </w:rPr>
            </w:r>
            <w:r>
              <w:rPr>
                <w:noProof/>
                <w:webHidden/>
              </w:rPr>
              <w:fldChar w:fldCharType="separate"/>
            </w:r>
            <w:r>
              <w:rPr>
                <w:noProof/>
                <w:webHidden/>
              </w:rPr>
              <w:t>4</w:t>
            </w:r>
            <w:r>
              <w:rPr>
                <w:noProof/>
                <w:webHidden/>
              </w:rPr>
              <w:fldChar w:fldCharType="end"/>
            </w:r>
          </w:hyperlink>
        </w:p>
        <w:p w14:paraId="5E98F714" w14:textId="02A19ADC" w:rsidR="001760F8" w:rsidRDefault="001760F8">
          <w:pPr>
            <w:pStyle w:val="TOC2"/>
            <w:tabs>
              <w:tab w:val="right" w:leader="dot" w:pos="9016"/>
            </w:tabs>
            <w:rPr>
              <w:rFonts w:eastAsiaTheme="minorEastAsia"/>
              <w:noProof/>
              <w:sz w:val="24"/>
              <w:szCs w:val="24"/>
              <w:lang w:eastAsia="en-GB"/>
            </w:rPr>
          </w:pPr>
          <w:hyperlink w:anchor="_Toc172900505" w:history="1">
            <w:r w:rsidRPr="00863AF9">
              <w:rPr>
                <w:rStyle w:val="Hyperlink"/>
                <w:noProof/>
              </w:rPr>
              <w:t>Actus Reus of Criminal Damage</w:t>
            </w:r>
            <w:r>
              <w:rPr>
                <w:noProof/>
                <w:webHidden/>
              </w:rPr>
              <w:tab/>
            </w:r>
            <w:r>
              <w:rPr>
                <w:noProof/>
                <w:webHidden/>
              </w:rPr>
              <w:fldChar w:fldCharType="begin"/>
            </w:r>
            <w:r>
              <w:rPr>
                <w:noProof/>
                <w:webHidden/>
              </w:rPr>
              <w:instrText xml:space="preserve"> PAGEREF _Toc172900505 \h </w:instrText>
            </w:r>
            <w:r>
              <w:rPr>
                <w:noProof/>
                <w:webHidden/>
              </w:rPr>
            </w:r>
            <w:r>
              <w:rPr>
                <w:noProof/>
                <w:webHidden/>
              </w:rPr>
              <w:fldChar w:fldCharType="separate"/>
            </w:r>
            <w:r>
              <w:rPr>
                <w:noProof/>
                <w:webHidden/>
              </w:rPr>
              <w:t>4</w:t>
            </w:r>
            <w:r>
              <w:rPr>
                <w:noProof/>
                <w:webHidden/>
              </w:rPr>
              <w:fldChar w:fldCharType="end"/>
            </w:r>
          </w:hyperlink>
        </w:p>
        <w:p w14:paraId="2D4BB334" w14:textId="6E9C7D96" w:rsidR="001760F8" w:rsidRDefault="001760F8">
          <w:pPr>
            <w:pStyle w:val="TOC2"/>
            <w:tabs>
              <w:tab w:val="right" w:leader="dot" w:pos="9016"/>
            </w:tabs>
            <w:rPr>
              <w:rFonts w:eastAsiaTheme="minorEastAsia"/>
              <w:noProof/>
              <w:sz w:val="24"/>
              <w:szCs w:val="24"/>
              <w:lang w:eastAsia="en-GB"/>
            </w:rPr>
          </w:pPr>
          <w:hyperlink w:anchor="_Toc172900506" w:history="1">
            <w:r w:rsidRPr="00863AF9">
              <w:rPr>
                <w:rStyle w:val="Hyperlink"/>
                <w:noProof/>
              </w:rPr>
              <w:t>Mens Rea of Criminal Damage</w:t>
            </w:r>
            <w:r>
              <w:rPr>
                <w:noProof/>
                <w:webHidden/>
              </w:rPr>
              <w:tab/>
            </w:r>
            <w:r>
              <w:rPr>
                <w:noProof/>
                <w:webHidden/>
              </w:rPr>
              <w:fldChar w:fldCharType="begin"/>
            </w:r>
            <w:r>
              <w:rPr>
                <w:noProof/>
                <w:webHidden/>
              </w:rPr>
              <w:instrText xml:space="preserve"> PAGEREF _Toc172900506 \h </w:instrText>
            </w:r>
            <w:r>
              <w:rPr>
                <w:noProof/>
                <w:webHidden/>
              </w:rPr>
            </w:r>
            <w:r>
              <w:rPr>
                <w:noProof/>
                <w:webHidden/>
              </w:rPr>
              <w:fldChar w:fldCharType="separate"/>
            </w:r>
            <w:r>
              <w:rPr>
                <w:noProof/>
                <w:webHidden/>
              </w:rPr>
              <w:t>5</w:t>
            </w:r>
            <w:r>
              <w:rPr>
                <w:noProof/>
                <w:webHidden/>
              </w:rPr>
              <w:fldChar w:fldCharType="end"/>
            </w:r>
          </w:hyperlink>
        </w:p>
        <w:p w14:paraId="4C268BCF" w14:textId="478636F0" w:rsidR="001760F8" w:rsidRDefault="001760F8">
          <w:pPr>
            <w:pStyle w:val="TOC2"/>
            <w:tabs>
              <w:tab w:val="right" w:leader="dot" w:pos="9016"/>
            </w:tabs>
            <w:rPr>
              <w:rFonts w:eastAsiaTheme="minorEastAsia"/>
              <w:noProof/>
              <w:sz w:val="24"/>
              <w:szCs w:val="24"/>
              <w:lang w:eastAsia="en-GB"/>
            </w:rPr>
          </w:pPr>
          <w:hyperlink w:anchor="_Toc172900507" w:history="1">
            <w:r w:rsidRPr="00863AF9">
              <w:rPr>
                <w:rStyle w:val="Hyperlink"/>
                <w:noProof/>
              </w:rPr>
              <w:t>Comparative Case Analysis</w:t>
            </w:r>
            <w:r>
              <w:rPr>
                <w:noProof/>
                <w:webHidden/>
              </w:rPr>
              <w:tab/>
            </w:r>
            <w:r>
              <w:rPr>
                <w:noProof/>
                <w:webHidden/>
              </w:rPr>
              <w:fldChar w:fldCharType="begin"/>
            </w:r>
            <w:r>
              <w:rPr>
                <w:noProof/>
                <w:webHidden/>
              </w:rPr>
              <w:instrText xml:space="preserve"> PAGEREF _Toc172900507 \h </w:instrText>
            </w:r>
            <w:r>
              <w:rPr>
                <w:noProof/>
                <w:webHidden/>
              </w:rPr>
            </w:r>
            <w:r>
              <w:rPr>
                <w:noProof/>
                <w:webHidden/>
              </w:rPr>
              <w:fldChar w:fldCharType="separate"/>
            </w:r>
            <w:r>
              <w:rPr>
                <w:noProof/>
                <w:webHidden/>
              </w:rPr>
              <w:t>5</w:t>
            </w:r>
            <w:r>
              <w:rPr>
                <w:noProof/>
                <w:webHidden/>
              </w:rPr>
              <w:fldChar w:fldCharType="end"/>
            </w:r>
          </w:hyperlink>
        </w:p>
        <w:p w14:paraId="7DCE6DB2" w14:textId="18B404FF" w:rsidR="001760F8" w:rsidRDefault="001760F8">
          <w:pPr>
            <w:pStyle w:val="TOC1"/>
            <w:tabs>
              <w:tab w:val="right" w:leader="dot" w:pos="9016"/>
            </w:tabs>
            <w:rPr>
              <w:rFonts w:eastAsiaTheme="minorEastAsia"/>
              <w:noProof/>
              <w:sz w:val="24"/>
              <w:szCs w:val="24"/>
              <w:lang w:eastAsia="en-GB"/>
            </w:rPr>
          </w:pPr>
          <w:hyperlink w:anchor="_Toc172900508" w:history="1">
            <w:r w:rsidRPr="00863AF9">
              <w:rPr>
                <w:rStyle w:val="Hyperlink"/>
                <w:noProof/>
              </w:rPr>
              <w:t>Legal Analysis and Advice for Michael</w:t>
            </w:r>
            <w:r>
              <w:rPr>
                <w:noProof/>
                <w:webHidden/>
              </w:rPr>
              <w:tab/>
            </w:r>
            <w:r>
              <w:rPr>
                <w:noProof/>
                <w:webHidden/>
              </w:rPr>
              <w:fldChar w:fldCharType="begin"/>
            </w:r>
            <w:r>
              <w:rPr>
                <w:noProof/>
                <w:webHidden/>
              </w:rPr>
              <w:instrText xml:space="preserve"> PAGEREF _Toc172900508 \h </w:instrText>
            </w:r>
            <w:r>
              <w:rPr>
                <w:noProof/>
                <w:webHidden/>
              </w:rPr>
            </w:r>
            <w:r>
              <w:rPr>
                <w:noProof/>
                <w:webHidden/>
              </w:rPr>
              <w:fldChar w:fldCharType="separate"/>
            </w:r>
            <w:r>
              <w:rPr>
                <w:noProof/>
                <w:webHidden/>
              </w:rPr>
              <w:t>6</w:t>
            </w:r>
            <w:r>
              <w:rPr>
                <w:noProof/>
                <w:webHidden/>
              </w:rPr>
              <w:fldChar w:fldCharType="end"/>
            </w:r>
          </w:hyperlink>
        </w:p>
        <w:p w14:paraId="73533C46" w14:textId="14852525" w:rsidR="001760F8" w:rsidRDefault="001760F8">
          <w:pPr>
            <w:pStyle w:val="TOC2"/>
            <w:tabs>
              <w:tab w:val="right" w:leader="dot" w:pos="9016"/>
            </w:tabs>
            <w:rPr>
              <w:rFonts w:eastAsiaTheme="minorEastAsia"/>
              <w:noProof/>
              <w:sz w:val="24"/>
              <w:szCs w:val="24"/>
              <w:lang w:eastAsia="en-GB"/>
            </w:rPr>
          </w:pPr>
          <w:hyperlink w:anchor="_Toc172900509" w:history="1">
            <w:r w:rsidRPr="00863AF9">
              <w:rPr>
                <w:rStyle w:val="Hyperlink"/>
                <w:noProof/>
              </w:rPr>
              <w:t>Involuntary Manslaughter: Legal Framework and Analysis</w:t>
            </w:r>
            <w:r>
              <w:rPr>
                <w:noProof/>
                <w:webHidden/>
              </w:rPr>
              <w:tab/>
            </w:r>
            <w:r>
              <w:rPr>
                <w:noProof/>
                <w:webHidden/>
              </w:rPr>
              <w:fldChar w:fldCharType="begin"/>
            </w:r>
            <w:r>
              <w:rPr>
                <w:noProof/>
                <w:webHidden/>
              </w:rPr>
              <w:instrText xml:space="preserve"> PAGEREF _Toc172900509 \h </w:instrText>
            </w:r>
            <w:r>
              <w:rPr>
                <w:noProof/>
                <w:webHidden/>
              </w:rPr>
            </w:r>
            <w:r>
              <w:rPr>
                <w:noProof/>
                <w:webHidden/>
              </w:rPr>
              <w:fldChar w:fldCharType="separate"/>
            </w:r>
            <w:r>
              <w:rPr>
                <w:noProof/>
                <w:webHidden/>
              </w:rPr>
              <w:t>6</w:t>
            </w:r>
            <w:r>
              <w:rPr>
                <w:noProof/>
                <w:webHidden/>
              </w:rPr>
              <w:fldChar w:fldCharType="end"/>
            </w:r>
          </w:hyperlink>
        </w:p>
        <w:p w14:paraId="5B3C37F3" w14:textId="069D4AD6" w:rsidR="001760F8" w:rsidRDefault="001760F8">
          <w:pPr>
            <w:pStyle w:val="TOC2"/>
            <w:tabs>
              <w:tab w:val="right" w:leader="dot" w:pos="9016"/>
            </w:tabs>
            <w:rPr>
              <w:rFonts w:eastAsiaTheme="minorEastAsia"/>
              <w:noProof/>
              <w:sz w:val="24"/>
              <w:szCs w:val="24"/>
              <w:lang w:eastAsia="en-GB"/>
            </w:rPr>
          </w:pPr>
          <w:hyperlink w:anchor="_Toc172900510" w:history="1">
            <w:r w:rsidRPr="00863AF9">
              <w:rPr>
                <w:rStyle w:val="Hyperlink"/>
                <w:noProof/>
              </w:rPr>
              <w:t>Unlawful Act Manslaughter</w:t>
            </w:r>
            <w:r>
              <w:rPr>
                <w:noProof/>
                <w:webHidden/>
              </w:rPr>
              <w:tab/>
            </w:r>
            <w:r>
              <w:rPr>
                <w:noProof/>
                <w:webHidden/>
              </w:rPr>
              <w:fldChar w:fldCharType="begin"/>
            </w:r>
            <w:r>
              <w:rPr>
                <w:noProof/>
                <w:webHidden/>
              </w:rPr>
              <w:instrText xml:space="preserve"> PAGEREF _Toc172900510 \h </w:instrText>
            </w:r>
            <w:r>
              <w:rPr>
                <w:noProof/>
                <w:webHidden/>
              </w:rPr>
            </w:r>
            <w:r>
              <w:rPr>
                <w:noProof/>
                <w:webHidden/>
              </w:rPr>
              <w:fldChar w:fldCharType="separate"/>
            </w:r>
            <w:r>
              <w:rPr>
                <w:noProof/>
                <w:webHidden/>
              </w:rPr>
              <w:t>6</w:t>
            </w:r>
            <w:r>
              <w:rPr>
                <w:noProof/>
                <w:webHidden/>
              </w:rPr>
              <w:fldChar w:fldCharType="end"/>
            </w:r>
          </w:hyperlink>
        </w:p>
        <w:p w14:paraId="303B3C1F" w14:textId="611D4012" w:rsidR="001760F8" w:rsidRDefault="001760F8">
          <w:pPr>
            <w:pStyle w:val="TOC2"/>
            <w:tabs>
              <w:tab w:val="right" w:leader="dot" w:pos="9016"/>
            </w:tabs>
            <w:rPr>
              <w:rFonts w:eastAsiaTheme="minorEastAsia"/>
              <w:noProof/>
              <w:sz w:val="24"/>
              <w:szCs w:val="24"/>
              <w:lang w:eastAsia="en-GB"/>
            </w:rPr>
          </w:pPr>
          <w:hyperlink w:anchor="_Toc172900511" w:history="1">
            <w:r w:rsidRPr="00863AF9">
              <w:rPr>
                <w:rStyle w:val="Hyperlink"/>
                <w:noProof/>
              </w:rPr>
              <w:t>Actus Reus of Unlawful Act Manslaughter</w:t>
            </w:r>
            <w:r>
              <w:rPr>
                <w:noProof/>
                <w:webHidden/>
              </w:rPr>
              <w:tab/>
            </w:r>
            <w:r>
              <w:rPr>
                <w:noProof/>
                <w:webHidden/>
              </w:rPr>
              <w:fldChar w:fldCharType="begin"/>
            </w:r>
            <w:r>
              <w:rPr>
                <w:noProof/>
                <w:webHidden/>
              </w:rPr>
              <w:instrText xml:space="preserve"> PAGEREF _Toc172900511 \h </w:instrText>
            </w:r>
            <w:r>
              <w:rPr>
                <w:noProof/>
                <w:webHidden/>
              </w:rPr>
            </w:r>
            <w:r>
              <w:rPr>
                <w:noProof/>
                <w:webHidden/>
              </w:rPr>
              <w:fldChar w:fldCharType="separate"/>
            </w:r>
            <w:r>
              <w:rPr>
                <w:noProof/>
                <w:webHidden/>
              </w:rPr>
              <w:t>6</w:t>
            </w:r>
            <w:r>
              <w:rPr>
                <w:noProof/>
                <w:webHidden/>
              </w:rPr>
              <w:fldChar w:fldCharType="end"/>
            </w:r>
          </w:hyperlink>
        </w:p>
        <w:p w14:paraId="6B7E38BE" w14:textId="63A64615" w:rsidR="001760F8" w:rsidRDefault="001760F8">
          <w:pPr>
            <w:pStyle w:val="TOC2"/>
            <w:tabs>
              <w:tab w:val="right" w:leader="dot" w:pos="9016"/>
            </w:tabs>
            <w:rPr>
              <w:rFonts w:eastAsiaTheme="minorEastAsia"/>
              <w:noProof/>
              <w:sz w:val="24"/>
              <w:szCs w:val="24"/>
              <w:lang w:eastAsia="en-GB"/>
            </w:rPr>
          </w:pPr>
          <w:hyperlink w:anchor="_Toc172900512" w:history="1">
            <w:r w:rsidRPr="00863AF9">
              <w:rPr>
                <w:rStyle w:val="Hyperlink"/>
                <w:noProof/>
              </w:rPr>
              <w:t>Mens Rea of Unlawful Act Manslaughter</w:t>
            </w:r>
            <w:r>
              <w:rPr>
                <w:noProof/>
                <w:webHidden/>
              </w:rPr>
              <w:tab/>
            </w:r>
            <w:r>
              <w:rPr>
                <w:noProof/>
                <w:webHidden/>
              </w:rPr>
              <w:fldChar w:fldCharType="begin"/>
            </w:r>
            <w:r>
              <w:rPr>
                <w:noProof/>
                <w:webHidden/>
              </w:rPr>
              <w:instrText xml:space="preserve"> PAGEREF _Toc172900512 \h </w:instrText>
            </w:r>
            <w:r>
              <w:rPr>
                <w:noProof/>
                <w:webHidden/>
              </w:rPr>
            </w:r>
            <w:r>
              <w:rPr>
                <w:noProof/>
                <w:webHidden/>
              </w:rPr>
              <w:fldChar w:fldCharType="separate"/>
            </w:r>
            <w:r>
              <w:rPr>
                <w:noProof/>
                <w:webHidden/>
              </w:rPr>
              <w:t>6</w:t>
            </w:r>
            <w:r>
              <w:rPr>
                <w:noProof/>
                <w:webHidden/>
              </w:rPr>
              <w:fldChar w:fldCharType="end"/>
            </w:r>
          </w:hyperlink>
        </w:p>
        <w:p w14:paraId="6453B5CD" w14:textId="1CFB2F72" w:rsidR="001760F8" w:rsidRDefault="001760F8">
          <w:pPr>
            <w:pStyle w:val="TOC2"/>
            <w:tabs>
              <w:tab w:val="right" w:leader="dot" w:pos="9016"/>
            </w:tabs>
            <w:rPr>
              <w:rFonts w:eastAsiaTheme="minorEastAsia"/>
              <w:noProof/>
              <w:sz w:val="24"/>
              <w:szCs w:val="24"/>
              <w:lang w:eastAsia="en-GB"/>
            </w:rPr>
          </w:pPr>
          <w:hyperlink w:anchor="_Toc172900513" w:history="1">
            <w:r w:rsidRPr="00863AF9">
              <w:rPr>
                <w:rStyle w:val="Hyperlink"/>
                <w:noProof/>
              </w:rPr>
              <w:t>Comparative Case Analysis</w:t>
            </w:r>
            <w:r>
              <w:rPr>
                <w:noProof/>
                <w:webHidden/>
              </w:rPr>
              <w:tab/>
            </w:r>
            <w:r>
              <w:rPr>
                <w:noProof/>
                <w:webHidden/>
              </w:rPr>
              <w:fldChar w:fldCharType="begin"/>
            </w:r>
            <w:r>
              <w:rPr>
                <w:noProof/>
                <w:webHidden/>
              </w:rPr>
              <w:instrText xml:space="preserve"> PAGEREF _Toc172900513 \h </w:instrText>
            </w:r>
            <w:r>
              <w:rPr>
                <w:noProof/>
                <w:webHidden/>
              </w:rPr>
            </w:r>
            <w:r>
              <w:rPr>
                <w:noProof/>
                <w:webHidden/>
              </w:rPr>
              <w:fldChar w:fldCharType="separate"/>
            </w:r>
            <w:r>
              <w:rPr>
                <w:noProof/>
                <w:webHidden/>
              </w:rPr>
              <w:t>6</w:t>
            </w:r>
            <w:r>
              <w:rPr>
                <w:noProof/>
                <w:webHidden/>
              </w:rPr>
              <w:fldChar w:fldCharType="end"/>
            </w:r>
          </w:hyperlink>
        </w:p>
        <w:p w14:paraId="7A725F26" w14:textId="56E37583" w:rsidR="001760F8" w:rsidRDefault="001760F8">
          <w:pPr>
            <w:pStyle w:val="TOC1"/>
            <w:tabs>
              <w:tab w:val="right" w:leader="dot" w:pos="9016"/>
            </w:tabs>
            <w:rPr>
              <w:rFonts w:eastAsiaTheme="minorEastAsia"/>
              <w:noProof/>
              <w:sz w:val="24"/>
              <w:szCs w:val="24"/>
              <w:lang w:eastAsia="en-GB"/>
            </w:rPr>
          </w:pPr>
          <w:hyperlink w:anchor="_Toc172900514" w:history="1">
            <w:r w:rsidRPr="00863AF9">
              <w:rPr>
                <w:rStyle w:val="Hyperlink"/>
                <w:noProof/>
              </w:rPr>
              <w:t>Law Cases</w:t>
            </w:r>
            <w:r>
              <w:rPr>
                <w:noProof/>
                <w:webHidden/>
              </w:rPr>
              <w:tab/>
            </w:r>
            <w:r>
              <w:rPr>
                <w:noProof/>
                <w:webHidden/>
              </w:rPr>
              <w:fldChar w:fldCharType="begin"/>
            </w:r>
            <w:r>
              <w:rPr>
                <w:noProof/>
                <w:webHidden/>
              </w:rPr>
              <w:instrText xml:space="preserve"> PAGEREF _Toc172900514 \h </w:instrText>
            </w:r>
            <w:r>
              <w:rPr>
                <w:noProof/>
                <w:webHidden/>
              </w:rPr>
            </w:r>
            <w:r>
              <w:rPr>
                <w:noProof/>
                <w:webHidden/>
              </w:rPr>
              <w:fldChar w:fldCharType="separate"/>
            </w:r>
            <w:r>
              <w:rPr>
                <w:noProof/>
                <w:webHidden/>
              </w:rPr>
              <w:t>8</w:t>
            </w:r>
            <w:r>
              <w:rPr>
                <w:noProof/>
                <w:webHidden/>
              </w:rPr>
              <w:fldChar w:fldCharType="end"/>
            </w:r>
          </w:hyperlink>
        </w:p>
        <w:p w14:paraId="10B9214E" w14:textId="3572F8D4" w:rsidR="001760F8" w:rsidRDefault="001760F8">
          <w:pPr>
            <w:pStyle w:val="TOC1"/>
            <w:tabs>
              <w:tab w:val="right" w:leader="dot" w:pos="9016"/>
            </w:tabs>
            <w:rPr>
              <w:rFonts w:eastAsiaTheme="minorEastAsia"/>
              <w:noProof/>
              <w:sz w:val="24"/>
              <w:szCs w:val="24"/>
              <w:lang w:eastAsia="en-GB"/>
            </w:rPr>
          </w:pPr>
          <w:hyperlink w:anchor="_Toc172900515" w:history="1">
            <w:r w:rsidRPr="00863AF9">
              <w:rPr>
                <w:rStyle w:val="Hyperlink"/>
                <w:noProof/>
              </w:rPr>
              <w:t>Statutes</w:t>
            </w:r>
            <w:r>
              <w:rPr>
                <w:noProof/>
                <w:webHidden/>
              </w:rPr>
              <w:tab/>
            </w:r>
            <w:r>
              <w:rPr>
                <w:noProof/>
                <w:webHidden/>
              </w:rPr>
              <w:fldChar w:fldCharType="begin"/>
            </w:r>
            <w:r>
              <w:rPr>
                <w:noProof/>
                <w:webHidden/>
              </w:rPr>
              <w:instrText xml:space="preserve"> PAGEREF _Toc172900515 \h </w:instrText>
            </w:r>
            <w:r>
              <w:rPr>
                <w:noProof/>
                <w:webHidden/>
              </w:rPr>
            </w:r>
            <w:r>
              <w:rPr>
                <w:noProof/>
                <w:webHidden/>
              </w:rPr>
              <w:fldChar w:fldCharType="separate"/>
            </w:r>
            <w:r>
              <w:rPr>
                <w:noProof/>
                <w:webHidden/>
              </w:rPr>
              <w:t>8</w:t>
            </w:r>
            <w:r>
              <w:rPr>
                <w:noProof/>
                <w:webHidden/>
              </w:rPr>
              <w:fldChar w:fldCharType="end"/>
            </w:r>
          </w:hyperlink>
        </w:p>
        <w:p w14:paraId="0F74CAD3" w14:textId="293F616A" w:rsidR="0042701B" w:rsidRDefault="0042701B">
          <w:r>
            <w:rPr>
              <w:b/>
              <w:bCs/>
              <w:noProof/>
            </w:rPr>
            <w:fldChar w:fldCharType="end"/>
          </w:r>
        </w:p>
      </w:sdtContent>
    </w:sdt>
    <w:p w14:paraId="154D0C2A" w14:textId="77777777" w:rsidR="0042701B" w:rsidRDefault="0042701B" w:rsidP="00BE38E0">
      <w:pPr>
        <w:jc w:val="center"/>
        <w:rPr>
          <w:rFonts w:ascii="Times New Roman" w:hAnsi="Times New Roman" w:cs="Times New Roman"/>
          <w:b/>
          <w:sz w:val="24"/>
          <w:szCs w:val="24"/>
        </w:rPr>
      </w:pPr>
    </w:p>
    <w:p w14:paraId="766817CB" w14:textId="77777777" w:rsidR="004D5765" w:rsidRDefault="004D5765">
      <w:pPr>
        <w:rPr>
          <w:rFonts w:ascii="Times New Roman" w:hAnsi="Times New Roman" w:cs="Times New Roman"/>
          <w:b/>
          <w:sz w:val="24"/>
          <w:szCs w:val="24"/>
        </w:rPr>
      </w:pPr>
      <w:r>
        <w:rPr>
          <w:b/>
          <w:sz w:val="24"/>
          <w:szCs w:val="24"/>
        </w:rPr>
        <w:br w:type="page"/>
      </w:r>
    </w:p>
    <w:p w14:paraId="13877D12" w14:textId="2B79B02A" w:rsidR="0042701B" w:rsidRPr="00DA55CC" w:rsidRDefault="0042701B" w:rsidP="00DA55CC">
      <w:pPr>
        <w:pStyle w:val="Heading1"/>
      </w:pPr>
      <w:bookmarkStart w:id="0" w:name="_Toc172900499"/>
      <w:r w:rsidRPr="00DA55CC">
        <w:lastRenderedPageBreak/>
        <w:t>Legal Analysis and Advice for Linda</w:t>
      </w:r>
      <w:bookmarkEnd w:id="0"/>
    </w:p>
    <w:p w14:paraId="5ABF5B4F" w14:textId="77777777" w:rsidR="0042701B" w:rsidRPr="00DA55CC" w:rsidRDefault="0042701B" w:rsidP="00DA55CC">
      <w:pPr>
        <w:pStyle w:val="Heading2"/>
      </w:pPr>
      <w:bookmarkStart w:id="1" w:name="_Toc172900500"/>
      <w:r w:rsidRPr="00DA55CC">
        <w:t>Theft: Legal Framework and Analysis</w:t>
      </w:r>
      <w:bookmarkEnd w:id="1"/>
    </w:p>
    <w:p w14:paraId="7A1ED26B" w14:textId="3B6F3616" w:rsidR="0042701B" w:rsidRPr="0042701B" w:rsidRDefault="00DA55CC" w:rsidP="0042701B">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According to Section 1(1) of the Theft Act 1968, theft is defined as: "A person is guilty of theft if he dishonestly appropriates property belonging to another with the intention of permanently depriving the other of it." This definition encompasses five elements: appropriation, property, belonging to another, dishonesty, and the intention to permanently deprive. Each element must be satisfied for the crime of theft to be established.</w:t>
      </w:r>
    </w:p>
    <w:p w14:paraId="0B7B4238" w14:textId="77777777" w:rsidR="0042701B" w:rsidRPr="00DA55CC" w:rsidRDefault="0042701B" w:rsidP="00DA55CC">
      <w:pPr>
        <w:pStyle w:val="Heading2"/>
      </w:pPr>
      <w:bookmarkStart w:id="2" w:name="_Toc172900501"/>
      <w:r w:rsidRPr="00DA55CC">
        <w:t>Actus Reus of Theft</w:t>
      </w:r>
      <w:bookmarkEnd w:id="2"/>
    </w:p>
    <w:p w14:paraId="28C4F2CE" w14:textId="77777777" w:rsidR="00DA55CC" w:rsidRPr="00DA55CC" w:rsidRDefault="00DA55CC" w:rsidP="00DA55CC">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The actus reus of theft involves three key elements: the appropriation of property, the property must belong to another, and it must be done without lawful excuse.</w:t>
      </w:r>
    </w:p>
    <w:p w14:paraId="26A3883A" w14:textId="77777777" w:rsidR="00DA55CC" w:rsidRPr="00DA55CC" w:rsidRDefault="00DA55CC" w:rsidP="00DA55CC">
      <w:pPr>
        <w:pStyle w:val="ListParagraph"/>
        <w:numPr>
          <w:ilvl w:val="0"/>
          <w:numId w:val="9"/>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Appropriation</w:t>
      </w:r>
      <w:r w:rsidRPr="00DA55CC">
        <w:rPr>
          <w:rFonts w:ascii="Times New Roman" w:hAnsi="Times New Roman" w:cs="Times New Roman"/>
          <w:bCs/>
          <w:sz w:val="24"/>
          <w:szCs w:val="24"/>
        </w:rPr>
        <w:t>: As per Section 3(1) of the Theft Act 1968, appropriation is defined as "any assumption by a person of the rights of an owner." This means taking, using, or dealing with property as if you were the owner. In R v Morris [1983], the court held that appropriation occurs when the defendant assumes any of the rights of the owner. Linda's act of taking Aida's jewellery constitutes appropriation as she took over the right to possess and use the jewellery, which originally belonged to Aida.</w:t>
      </w:r>
    </w:p>
    <w:p w14:paraId="6AADE62B" w14:textId="77777777" w:rsidR="00DA55CC" w:rsidRPr="00DA55CC" w:rsidRDefault="00DA55CC" w:rsidP="00DA55CC">
      <w:pPr>
        <w:pStyle w:val="ListParagraph"/>
        <w:numPr>
          <w:ilvl w:val="0"/>
          <w:numId w:val="9"/>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Property</w:t>
      </w:r>
      <w:r w:rsidRPr="00DA55CC">
        <w:rPr>
          <w:rFonts w:ascii="Times New Roman" w:hAnsi="Times New Roman" w:cs="Times New Roman"/>
          <w:bCs/>
          <w:sz w:val="24"/>
          <w:szCs w:val="24"/>
        </w:rPr>
        <w:t>: Section 4(1) of the Theft Act 1968 defines property as including "money and all other property, real or personal, including things in action and other intangible property." Jewellery clearly falls under this definition of property.</w:t>
      </w:r>
    </w:p>
    <w:p w14:paraId="2C63FC4E" w14:textId="77777777" w:rsidR="00DA55CC" w:rsidRPr="00DA55CC" w:rsidRDefault="00DA55CC" w:rsidP="00DA55CC">
      <w:pPr>
        <w:pStyle w:val="ListParagraph"/>
        <w:numPr>
          <w:ilvl w:val="0"/>
          <w:numId w:val="9"/>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Belonging to Another</w:t>
      </w:r>
      <w:r w:rsidRPr="00DA55CC">
        <w:rPr>
          <w:rFonts w:ascii="Times New Roman" w:hAnsi="Times New Roman" w:cs="Times New Roman"/>
          <w:bCs/>
          <w:sz w:val="24"/>
          <w:szCs w:val="24"/>
        </w:rPr>
        <w:t xml:space="preserve">: Section 5(1) of the Theft Act 1968 states that property belongs to another person when "any person having possession or control of </w:t>
      </w:r>
      <w:proofErr w:type="gramStart"/>
      <w:r w:rsidRPr="00DA55CC">
        <w:rPr>
          <w:rFonts w:ascii="Times New Roman" w:hAnsi="Times New Roman" w:cs="Times New Roman"/>
          <w:bCs/>
          <w:sz w:val="24"/>
          <w:szCs w:val="24"/>
        </w:rPr>
        <w:t>it, or</w:t>
      </w:r>
      <w:proofErr w:type="gramEnd"/>
      <w:r w:rsidRPr="00DA55CC">
        <w:rPr>
          <w:rFonts w:ascii="Times New Roman" w:hAnsi="Times New Roman" w:cs="Times New Roman"/>
          <w:bCs/>
          <w:sz w:val="24"/>
          <w:szCs w:val="24"/>
        </w:rPr>
        <w:t xml:space="preserve"> having in it any proprietary right or interest." Aida’s jewellery belongs to her as she has both possession and proprietary rights over it.</w:t>
      </w:r>
    </w:p>
    <w:p w14:paraId="544D7C22" w14:textId="77777777" w:rsidR="0042701B" w:rsidRPr="00DA55CC" w:rsidRDefault="0042701B" w:rsidP="00DA55CC">
      <w:pPr>
        <w:pStyle w:val="Heading2"/>
      </w:pPr>
      <w:bookmarkStart w:id="3" w:name="_Toc172900502"/>
      <w:proofErr w:type="spellStart"/>
      <w:r w:rsidRPr="00DA55CC">
        <w:t>Mens</w:t>
      </w:r>
      <w:proofErr w:type="spellEnd"/>
      <w:r w:rsidRPr="00DA55CC">
        <w:t xml:space="preserve"> Rea of Theft</w:t>
      </w:r>
      <w:bookmarkEnd w:id="3"/>
    </w:p>
    <w:p w14:paraId="475DC70C" w14:textId="77777777" w:rsidR="00DA55CC" w:rsidRPr="00DA55CC" w:rsidRDefault="00DA55CC" w:rsidP="00DA55CC">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 xml:space="preserve">The </w:t>
      </w:r>
      <w:proofErr w:type="spellStart"/>
      <w:r w:rsidRPr="00DA55CC">
        <w:rPr>
          <w:rFonts w:ascii="Times New Roman" w:hAnsi="Times New Roman" w:cs="Times New Roman"/>
          <w:bCs/>
          <w:sz w:val="24"/>
          <w:szCs w:val="24"/>
        </w:rPr>
        <w:t>mens</w:t>
      </w:r>
      <w:proofErr w:type="spellEnd"/>
      <w:r w:rsidRPr="00DA55CC">
        <w:rPr>
          <w:rFonts w:ascii="Times New Roman" w:hAnsi="Times New Roman" w:cs="Times New Roman"/>
          <w:bCs/>
          <w:sz w:val="24"/>
          <w:szCs w:val="24"/>
        </w:rPr>
        <w:t xml:space="preserve"> rea of theft involves two main elements: dishonesty and the intention to permanently deprive the owner of their property.</w:t>
      </w:r>
    </w:p>
    <w:p w14:paraId="73A9E6C8" w14:textId="77777777" w:rsidR="00DA55CC" w:rsidRPr="00DA55CC" w:rsidRDefault="00DA55CC" w:rsidP="00DA55CC">
      <w:pPr>
        <w:pStyle w:val="ListParagraph"/>
        <w:numPr>
          <w:ilvl w:val="0"/>
          <w:numId w:val="10"/>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Dishonesty</w:t>
      </w:r>
      <w:r w:rsidRPr="00DA55CC">
        <w:rPr>
          <w:rFonts w:ascii="Times New Roman" w:hAnsi="Times New Roman" w:cs="Times New Roman"/>
          <w:bCs/>
          <w:sz w:val="24"/>
          <w:szCs w:val="24"/>
        </w:rPr>
        <w:t>: The test for dishonesty, as established in Ivey v Genting Casinos [2017], involves determining what the defendant believed the facts to be and whether the defendant’s conduct was dishonest by the standards of ordinary decent people. The CCTV footage clearly shows Linda’s actions of taking and hiding the jewellery, which demonstrates dishonesty. She knew the jewellery was not hers and that taking it was wrong.</w:t>
      </w:r>
    </w:p>
    <w:p w14:paraId="5807752D" w14:textId="77777777" w:rsidR="00DA55CC" w:rsidRDefault="00DA55CC" w:rsidP="00DA55CC">
      <w:pPr>
        <w:pStyle w:val="ListParagraph"/>
        <w:numPr>
          <w:ilvl w:val="0"/>
          <w:numId w:val="10"/>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lastRenderedPageBreak/>
        <w:t>Intention to Permanently Deprive</w:t>
      </w:r>
      <w:r w:rsidRPr="00DA55CC">
        <w:rPr>
          <w:rFonts w:ascii="Times New Roman" w:hAnsi="Times New Roman" w:cs="Times New Roman"/>
          <w:bCs/>
          <w:sz w:val="24"/>
          <w:szCs w:val="24"/>
        </w:rPr>
        <w:t>: This is defined in Section 6 of the Theft Act 1968, which states that a person has the intention to permanently deprive if they treat the property as their own to dispose of regardless of the owner's rights. Linda’s actions show that she intended to keep the jewellery, thus permanently depriving Aida of it.</w:t>
      </w:r>
    </w:p>
    <w:p w14:paraId="73700B7B" w14:textId="77777777" w:rsidR="00C0608F" w:rsidRPr="00C0608F" w:rsidRDefault="00C0608F" w:rsidP="00C0608F">
      <w:pPr>
        <w:pStyle w:val="Heading2"/>
      </w:pPr>
      <w:bookmarkStart w:id="4" w:name="_Toc172900503"/>
      <w:r w:rsidRPr="00C0608F">
        <w:t>Other Actus Reus Requirements</w:t>
      </w:r>
      <w:bookmarkEnd w:id="4"/>
    </w:p>
    <w:p w14:paraId="45243901" w14:textId="2FAC5326" w:rsidR="00C0608F" w:rsidRDefault="00C0608F" w:rsidP="00C0608F">
      <w:pPr>
        <w:pStyle w:val="ListParagraph"/>
        <w:numPr>
          <w:ilvl w:val="0"/>
          <w:numId w:val="13"/>
        </w:numPr>
        <w:spacing w:line="360" w:lineRule="auto"/>
        <w:ind w:left="284"/>
        <w:jc w:val="both"/>
        <w:rPr>
          <w:rFonts w:ascii="Times New Roman" w:hAnsi="Times New Roman" w:cs="Times New Roman"/>
          <w:bCs/>
          <w:sz w:val="24"/>
          <w:szCs w:val="24"/>
        </w:rPr>
      </w:pPr>
      <w:r w:rsidRPr="00C0608F">
        <w:rPr>
          <w:rFonts w:ascii="Times New Roman" w:hAnsi="Times New Roman" w:cs="Times New Roman"/>
          <w:bCs/>
          <w:sz w:val="24"/>
          <w:szCs w:val="24"/>
        </w:rPr>
        <w:t>Without Lawful Excuse: Linda took the property without Aida’s permission, fulfilling this element.</w:t>
      </w:r>
    </w:p>
    <w:p w14:paraId="66E43522" w14:textId="77777777" w:rsidR="00C0608F" w:rsidRPr="00C0608F" w:rsidRDefault="00C0608F" w:rsidP="00C0608F">
      <w:pPr>
        <w:spacing w:line="360" w:lineRule="auto"/>
        <w:ind w:left="-76"/>
        <w:jc w:val="both"/>
        <w:rPr>
          <w:rFonts w:ascii="Times New Roman" w:hAnsi="Times New Roman" w:cs="Times New Roman"/>
          <w:bCs/>
          <w:sz w:val="24"/>
          <w:szCs w:val="24"/>
        </w:rPr>
      </w:pPr>
    </w:p>
    <w:p w14:paraId="3BA00921" w14:textId="56A43E9A" w:rsidR="0042701B" w:rsidRPr="0042701B" w:rsidRDefault="00DA55CC" w:rsidP="00DA55C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C</w:t>
      </w:r>
      <w:r w:rsidRPr="00DA55CC">
        <w:rPr>
          <w:rFonts w:ascii="Times New Roman" w:hAnsi="Times New Roman" w:cs="Times New Roman"/>
          <w:bCs/>
          <w:sz w:val="24"/>
          <w:szCs w:val="24"/>
        </w:rPr>
        <w:t xml:space="preserve">ommitting theft as a trespasser can give rise to the offence of </w:t>
      </w:r>
      <w:r w:rsidRPr="00DA55CC">
        <w:rPr>
          <w:rFonts w:ascii="Times New Roman" w:hAnsi="Times New Roman" w:cs="Times New Roman"/>
          <w:b/>
          <w:sz w:val="24"/>
          <w:szCs w:val="24"/>
        </w:rPr>
        <w:t>burglary</w:t>
      </w:r>
      <w:r w:rsidRPr="00DA55CC">
        <w:rPr>
          <w:rFonts w:ascii="Times New Roman" w:hAnsi="Times New Roman" w:cs="Times New Roman"/>
          <w:bCs/>
          <w:sz w:val="24"/>
          <w:szCs w:val="24"/>
        </w:rPr>
        <w:t xml:space="preserve"> under Section 9 of the Theft Act 1968. Specifically, Section 9(1)(a) states: "A person is guilty of burglary if he enters any building or part of a building as a trespasser with intent to steal." If Linda entered Aida’s bedroom without permission and took the jewellery, she could also be charged with burglary. The act of entering a part of a building (the bedroom) as a trespasser with the intent to steal fulfils the criteria for burglary.</w:t>
      </w:r>
    </w:p>
    <w:p w14:paraId="058B1C98" w14:textId="77777777" w:rsidR="0042701B" w:rsidRPr="00DA55CC" w:rsidRDefault="0042701B" w:rsidP="00DA55CC">
      <w:pPr>
        <w:pStyle w:val="Heading2"/>
      </w:pPr>
      <w:bookmarkStart w:id="5" w:name="_Toc172900504"/>
      <w:r w:rsidRPr="00DA55CC">
        <w:t>Criminal Damage: Legal Framework and Analysis</w:t>
      </w:r>
      <w:bookmarkEnd w:id="5"/>
    </w:p>
    <w:p w14:paraId="44D4B262" w14:textId="2E6B2F0C" w:rsidR="0042701B" w:rsidRDefault="00DA55CC" w:rsidP="0042701B">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Section 1(1) of the Criminal Damage Act 1971 states: "A person who without lawful excuse destroys or damages any property belonging to another intending to destroy or damage any such property or being reckless as to whether any such property would be destroyed or damaged shall be guilty of an offence." This covers both intentional and reckless damage to property.</w:t>
      </w:r>
    </w:p>
    <w:p w14:paraId="282399CE" w14:textId="31919845" w:rsidR="00DA55CC" w:rsidRPr="0042701B" w:rsidRDefault="00DA55CC" w:rsidP="0042701B">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Here, we are considering "simple criminal damage," which involves the destruction or damage of property without lawful excuse. This does not include aggravated criminal damage, where there is an intent to endanger life.</w:t>
      </w:r>
    </w:p>
    <w:p w14:paraId="2ECC382A" w14:textId="77777777" w:rsidR="0042701B" w:rsidRPr="00DA55CC" w:rsidRDefault="0042701B" w:rsidP="00DA55CC">
      <w:pPr>
        <w:pStyle w:val="Heading2"/>
      </w:pPr>
      <w:bookmarkStart w:id="6" w:name="_Toc172900505"/>
      <w:r w:rsidRPr="00DA55CC">
        <w:t>Actus Reus of Criminal Damage</w:t>
      </w:r>
      <w:bookmarkEnd w:id="6"/>
    </w:p>
    <w:p w14:paraId="42300C4B" w14:textId="77777777" w:rsidR="00DA55CC" w:rsidRPr="00DA55CC" w:rsidRDefault="00DA55CC" w:rsidP="00DA55CC">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The actus reus of criminal damage involves three elements: the destruction or damage of property, the property must belong to another, and the destruction or damage must occur without lawful excuse.</w:t>
      </w:r>
    </w:p>
    <w:p w14:paraId="485467EC" w14:textId="7B4FEDFC" w:rsidR="00DA55CC" w:rsidRPr="00DA55CC" w:rsidRDefault="00DA55CC" w:rsidP="00DA55CC">
      <w:pPr>
        <w:pStyle w:val="ListParagraph"/>
        <w:numPr>
          <w:ilvl w:val="0"/>
          <w:numId w:val="11"/>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Destruction or Damage</w:t>
      </w:r>
      <w:r w:rsidRPr="00DA55CC">
        <w:rPr>
          <w:rFonts w:ascii="Times New Roman" w:hAnsi="Times New Roman" w:cs="Times New Roman"/>
          <w:bCs/>
          <w:sz w:val="24"/>
          <w:szCs w:val="24"/>
        </w:rPr>
        <w:t xml:space="preserve">: </w:t>
      </w:r>
      <w:r w:rsidR="00C0608F" w:rsidRPr="00C0608F">
        <w:rPr>
          <w:rFonts w:ascii="Times New Roman" w:hAnsi="Times New Roman" w:cs="Times New Roman"/>
          <w:bCs/>
          <w:sz w:val="24"/>
          <w:szCs w:val="24"/>
        </w:rPr>
        <w:t>Damage must impair the property's value or usefulness. In R v Fiak [2005] EWCA Crim 2381, even temporary impairment can be sufficient. Cutting holes in Aida’s clothes meets this requirement as it significantly reduces the value and usability of the garment.</w:t>
      </w:r>
    </w:p>
    <w:p w14:paraId="692397EE" w14:textId="77777777" w:rsidR="00DA55CC" w:rsidRPr="00DA55CC" w:rsidRDefault="00DA55CC" w:rsidP="00DA55CC">
      <w:pPr>
        <w:pStyle w:val="ListParagraph"/>
        <w:numPr>
          <w:ilvl w:val="0"/>
          <w:numId w:val="11"/>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lastRenderedPageBreak/>
        <w:t>Property Belonging to Another</w:t>
      </w:r>
      <w:r w:rsidRPr="00DA55CC">
        <w:rPr>
          <w:rFonts w:ascii="Times New Roman" w:hAnsi="Times New Roman" w:cs="Times New Roman"/>
          <w:bCs/>
          <w:sz w:val="24"/>
          <w:szCs w:val="24"/>
        </w:rPr>
        <w:t xml:space="preserve">: Section 10(2) of the Criminal Damage Act 1971 defines property as "belonging to any person having custody or control of </w:t>
      </w:r>
      <w:proofErr w:type="gramStart"/>
      <w:r w:rsidRPr="00DA55CC">
        <w:rPr>
          <w:rFonts w:ascii="Times New Roman" w:hAnsi="Times New Roman" w:cs="Times New Roman"/>
          <w:bCs/>
          <w:sz w:val="24"/>
          <w:szCs w:val="24"/>
        </w:rPr>
        <w:t>it, or</w:t>
      </w:r>
      <w:proofErr w:type="gramEnd"/>
      <w:r w:rsidRPr="00DA55CC">
        <w:rPr>
          <w:rFonts w:ascii="Times New Roman" w:hAnsi="Times New Roman" w:cs="Times New Roman"/>
          <w:bCs/>
          <w:sz w:val="24"/>
          <w:szCs w:val="24"/>
        </w:rPr>
        <w:t xml:space="preserve"> having in it any proprietary right or interest." The clothing belongs to Aida, as she has both custody and proprietary rights over it.</w:t>
      </w:r>
    </w:p>
    <w:p w14:paraId="15888571" w14:textId="77777777" w:rsidR="00DA55CC" w:rsidRPr="00DA55CC" w:rsidRDefault="00DA55CC" w:rsidP="00DA55CC">
      <w:pPr>
        <w:pStyle w:val="ListParagraph"/>
        <w:numPr>
          <w:ilvl w:val="0"/>
          <w:numId w:val="11"/>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Without Lawful Excuse</w:t>
      </w:r>
      <w:r w:rsidRPr="00DA55CC">
        <w:rPr>
          <w:rFonts w:ascii="Times New Roman" w:hAnsi="Times New Roman" w:cs="Times New Roman"/>
          <w:bCs/>
          <w:sz w:val="24"/>
          <w:szCs w:val="24"/>
        </w:rPr>
        <w:t>: Linda did not have any lawful excuse to damage Aida's clothing. Her actions were deliberate and without any justifiable reason.</w:t>
      </w:r>
    </w:p>
    <w:p w14:paraId="0FC66CB6" w14:textId="77777777" w:rsidR="0042701B" w:rsidRPr="0042701B" w:rsidRDefault="0042701B" w:rsidP="00DA55CC">
      <w:pPr>
        <w:pStyle w:val="Heading2"/>
      </w:pPr>
      <w:bookmarkStart w:id="7" w:name="_Toc172900506"/>
      <w:proofErr w:type="spellStart"/>
      <w:r w:rsidRPr="0042701B">
        <w:t>Mens</w:t>
      </w:r>
      <w:proofErr w:type="spellEnd"/>
      <w:r w:rsidRPr="0042701B">
        <w:t xml:space="preserve"> Rea of Criminal Damage</w:t>
      </w:r>
      <w:bookmarkEnd w:id="7"/>
    </w:p>
    <w:p w14:paraId="17766510" w14:textId="77777777" w:rsidR="00DA55CC" w:rsidRPr="00DA55CC" w:rsidRDefault="00DA55CC" w:rsidP="00DA55CC">
      <w:pPr>
        <w:spacing w:line="360" w:lineRule="auto"/>
        <w:jc w:val="both"/>
        <w:rPr>
          <w:rFonts w:ascii="Times New Roman" w:hAnsi="Times New Roman" w:cs="Times New Roman"/>
          <w:bCs/>
          <w:sz w:val="24"/>
          <w:szCs w:val="24"/>
        </w:rPr>
      </w:pPr>
      <w:r w:rsidRPr="00DA55CC">
        <w:rPr>
          <w:rFonts w:ascii="Times New Roman" w:hAnsi="Times New Roman" w:cs="Times New Roman"/>
          <w:bCs/>
          <w:sz w:val="24"/>
          <w:szCs w:val="24"/>
        </w:rPr>
        <w:t xml:space="preserve">The </w:t>
      </w:r>
      <w:proofErr w:type="spellStart"/>
      <w:r w:rsidRPr="00DA55CC">
        <w:rPr>
          <w:rFonts w:ascii="Times New Roman" w:hAnsi="Times New Roman" w:cs="Times New Roman"/>
          <w:bCs/>
          <w:sz w:val="24"/>
          <w:szCs w:val="24"/>
        </w:rPr>
        <w:t>mens</w:t>
      </w:r>
      <w:proofErr w:type="spellEnd"/>
      <w:r w:rsidRPr="00DA55CC">
        <w:rPr>
          <w:rFonts w:ascii="Times New Roman" w:hAnsi="Times New Roman" w:cs="Times New Roman"/>
          <w:bCs/>
          <w:sz w:val="24"/>
          <w:szCs w:val="24"/>
        </w:rPr>
        <w:t xml:space="preserve"> rea for criminal damage includes both intention and recklessness.</w:t>
      </w:r>
    </w:p>
    <w:p w14:paraId="340FD707" w14:textId="77777777" w:rsidR="00DA55CC" w:rsidRPr="00DA55CC" w:rsidRDefault="00DA55CC" w:rsidP="00DA55CC">
      <w:pPr>
        <w:pStyle w:val="ListParagraph"/>
        <w:numPr>
          <w:ilvl w:val="0"/>
          <w:numId w:val="12"/>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Intention</w:t>
      </w:r>
      <w:r w:rsidRPr="00DA55CC">
        <w:rPr>
          <w:rFonts w:ascii="Times New Roman" w:hAnsi="Times New Roman" w:cs="Times New Roman"/>
          <w:bCs/>
          <w:sz w:val="24"/>
          <w:szCs w:val="24"/>
        </w:rPr>
        <w:t>: Intentional damage occurs when the defendant deliberately damages property. In Linda's case, her act of cutting the clothing was deliberate, showing clear intent to cause damage.</w:t>
      </w:r>
    </w:p>
    <w:p w14:paraId="5EB8F491" w14:textId="77777777" w:rsidR="00DA55CC" w:rsidRPr="00DA55CC" w:rsidRDefault="00DA55CC" w:rsidP="00DA55CC">
      <w:pPr>
        <w:pStyle w:val="ListParagraph"/>
        <w:numPr>
          <w:ilvl w:val="0"/>
          <w:numId w:val="12"/>
        </w:numPr>
        <w:spacing w:line="360" w:lineRule="auto"/>
        <w:ind w:left="284"/>
        <w:jc w:val="both"/>
        <w:rPr>
          <w:rFonts w:ascii="Times New Roman" w:hAnsi="Times New Roman" w:cs="Times New Roman"/>
          <w:bCs/>
          <w:sz w:val="24"/>
          <w:szCs w:val="24"/>
        </w:rPr>
      </w:pPr>
      <w:r w:rsidRPr="00DA55CC">
        <w:rPr>
          <w:rFonts w:ascii="Times New Roman" w:hAnsi="Times New Roman" w:cs="Times New Roman"/>
          <w:b/>
          <w:sz w:val="24"/>
          <w:szCs w:val="24"/>
        </w:rPr>
        <w:t>Recklessness</w:t>
      </w:r>
      <w:r w:rsidRPr="00DA55CC">
        <w:rPr>
          <w:rFonts w:ascii="Times New Roman" w:hAnsi="Times New Roman" w:cs="Times New Roman"/>
          <w:bCs/>
          <w:sz w:val="24"/>
          <w:szCs w:val="24"/>
        </w:rPr>
        <w:t xml:space="preserve">: Recklessness, as defined in R v Cunningham [1957], involves the defendant foreseeing a risk that their actions could cause damage and proceeding regardless. Although Linda’s actions were intentional, if they had been reckless, she would still </w:t>
      </w:r>
      <w:proofErr w:type="spellStart"/>
      <w:r w:rsidRPr="00DA55CC">
        <w:rPr>
          <w:rFonts w:ascii="Times New Roman" w:hAnsi="Times New Roman" w:cs="Times New Roman"/>
          <w:bCs/>
          <w:sz w:val="24"/>
          <w:szCs w:val="24"/>
        </w:rPr>
        <w:t>fulfill</w:t>
      </w:r>
      <w:proofErr w:type="spellEnd"/>
      <w:r w:rsidRPr="00DA55CC">
        <w:rPr>
          <w:rFonts w:ascii="Times New Roman" w:hAnsi="Times New Roman" w:cs="Times New Roman"/>
          <w:bCs/>
          <w:sz w:val="24"/>
          <w:szCs w:val="24"/>
        </w:rPr>
        <w:t xml:space="preserve"> the </w:t>
      </w:r>
      <w:proofErr w:type="spellStart"/>
      <w:r w:rsidRPr="00DA55CC">
        <w:rPr>
          <w:rFonts w:ascii="Times New Roman" w:hAnsi="Times New Roman" w:cs="Times New Roman"/>
          <w:bCs/>
          <w:sz w:val="24"/>
          <w:szCs w:val="24"/>
        </w:rPr>
        <w:t>mens</w:t>
      </w:r>
      <w:proofErr w:type="spellEnd"/>
      <w:r w:rsidRPr="00DA55CC">
        <w:rPr>
          <w:rFonts w:ascii="Times New Roman" w:hAnsi="Times New Roman" w:cs="Times New Roman"/>
          <w:bCs/>
          <w:sz w:val="24"/>
          <w:szCs w:val="24"/>
        </w:rPr>
        <w:t xml:space="preserve"> rea requirement. For example, if she was aware that cutting the clothing could cause damage but did it without caring about the consequences, this would be recklessness.</w:t>
      </w:r>
    </w:p>
    <w:p w14:paraId="5DF1C532" w14:textId="77777777" w:rsidR="0042701B" w:rsidRPr="0042701B" w:rsidRDefault="0042701B" w:rsidP="00DA55CC">
      <w:pPr>
        <w:pStyle w:val="Heading2"/>
      </w:pPr>
      <w:bookmarkStart w:id="8" w:name="_Toc172900507"/>
      <w:r w:rsidRPr="0042701B">
        <w:t>Comparative Case Analysis</w:t>
      </w:r>
      <w:bookmarkEnd w:id="8"/>
    </w:p>
    <w:p w14:paraId="7E135352" w14:textId="77777777" w:rsidR="00921FE5" w:rsidRPr="00921FE5" w:rsidRDefault="00921FE5" w:rsidP="00921FE5">
      <w:pPr>
        <w:spacing w:line="360" w:lineRule="auto"/>
        <w:jc w:val="both"/>
        <w:rPr>
          <w:rFonts w:ascii="Times New Roman" w:hAnsi="Times New Roman" w:cs="Times New Roman"/>
          <w:bCs/>
          <w:sz w:val="24"/>
          <w:szCs w:val="24"/>
        </w:rPr>
      </w:pPr>
      <w:r w:rsidRPr="00921FE5">
        <w:rPr>
          <w:rFonts w:ascii="Times New Roman" w:hAnsi="Times New Roman" w:cs="Times New Roman"/>
          <w:bCs/>
          <w:sz w:val="24"/>
          <w:szCs w:val="24"/>
        </w:rPr>
        <w:t>To understand Linda’s potential liability, it is useful to compare her actions to similar cases. In R v Morris [1983], the defendant was found guilty of theft for switching price labels on goods in a supermarket, which involved assuming the rights of the owner. Similarly, Linda assumed the rights of ownership over Aida's jewellery. In R v Turner (No 2) [1971], the court held that a person could be guilty of stealing their own car from a garage if someone else had a proprietary right over it. This case shows that theft can occur even when the property involved is legally complex.</w:t>
      </w:r>
    </w:p>
    <w:p w14:paraId="37602803" w14:textId="6346CB09" w:rsidR="0042701B" w:rsidRPr="0042701B" w:rsidRDefault="00921FE5" w:rsidP="00921FE5">
      <w:pPr>
        <w:spacing w:line="360" w:lineRule="auto"/>
        <w:jc w:val="both"/>
        <w:rPr>
          <w:rFonts w:ascii="Times New Roman" w:hAnsi="Times New Roman" w:cs="Times New Roman"/>
          <w:bCs/>
          <w:sz w:val="24"/>
          <w:szCs w:val="24"/>
        </w:rPr>
      </w:pPr>
      <w:r w:rsidRPr="00921FE5">
        <w:rPr>
          <w:rFonts w:ascii="Times New Roman" w:hAnsi="Times New Roman" w:cs="Times New Roman"/>
          <w:bCs/>
          <w:sz w:val="24"/>
          <w:szCs w:val="24"/>
        </w:rPr>
        <w:t>For criminal damage, R v Smith [1974] showed that a defendant's belief in their right to damage property must be reasonable. Linda’s intentional damage to Aida’s clothing does not support a reasonable belief in a lawful excuse, thereby meeting the elements for criminal damage.</w:t>
      </w:r>
    </w:p>
    <w:p w14:paraId="5AF94E50" w14:textId="4815EF7D" w:rsidR="0042701B" w:rsidRPr="0042701B" w:rsidRDefault="0042701B" w:rsidP="0042701B">
      <w:pPr>
        <w:spacing w:line="360" w:lineRule="auto"/>
        <w:jc w:val="both"/>
        <w:rPr>
          <w:rFonts w:ascii="Times New Roman" w:hAnsi="Times New Roman" w:cs="Times New Roman"/>
          <w:bCs/>
          <w:sz w:val="24"/>
          <w:szCs w:val="24"/>
        </w:rPr>
      </w:pPr>
      <w:r w:rsidRPr="0042701B">
        <w:rPr>
          <w:rFonts w:ascii="Times New Roman" w:hAnsi="Times New Roman" w:cs="Times New Roman"/>
          <w:bCs/>
          <w:sz w:val="24"/>
          <w:szCs w:val="24"/>
        </w:rPr>
        <w:t xml:space="preserve">Thus, </w:t>
      </w:r>
      <w:r w:rsidR="00921FE5">
        <w:rPr>
          <w:rFonts w:ascii="Times New Roman" w:hAnsi="Times New Roman" w:cs="Times New Roman"/>
          <w:bCs/>
          <w:sz w:val="24"/>
          <w:szCs w:val="24"/>
        </w:rPr>
        <w:t>Linda’s</w:t>
      </w:r>
      <w:r w:rsidRPr="0042701B">
        <w:rPr>
          <w:rFonts w:ascii="Times New Roman" w:hAnsi="Times New Roman" w:cs="Times New Roman"/>
          <w:bCs/>
          <w:sz w:val="24"/>
          <w:szCs w:val="24"/>
        </w:rPr>
        <w:t xml:space="preserve"> actions have serious legal ramifications, and </w:t>
      </w:r>
      <w:r w:rsidR="00921FE5">
        <w:rPr>
          <w:rFonts w:ascii="Times New Roman" w:hAnsi="Times New Roman" w:cs="Times New Roman"/>
          <w:bCs/>
          <w:sz w:val="24"/>
          <w:szCs w:val="24"/>
        </w:rPr>
        <w:t xml:space="preserve">she should </w:t>
      </w:r>
      <w:r w:rsidRPr="0042701B">
        <w:rPr>
          <w:rFonts w:ascii="Times New Roman" w:hAnsi="Times New Roman" w:cs="Times New Roman"/>
          <w:bCs/>
          <w:sz w:val="24"/>
          <w:szCs w:val="24"/>
        </w:rPr>
        <w:t xml:space="preserve">approach these processes with </w:t>
      </w:r>
      <w:r w:rsidR="00921FE5">
        <w:rPr>
          <w:rFonts w:ascii="Times New Roman" w:hAnsi="Times New Roman" w:cs="Times New Roman"/>
          <w:bCs/>
          <w:sz w:val="24"/>
          <w:szCs w:val="24"/>
        </w:rPr>
        <w:t xml:space="preserve">the </w:t>
      </w:r>
      <w:r w:rsidRPr="0042701B">
        <w:rPr>
          <w:rFonts w:ascii="Times New Roman" w:hAnsi="Times New Roman" w:cs="Times New Roman"/>
          <w:bCs/>
          <w:sz w:val="24"/>
          <w:szCs w:val="24"/>
        </w:rPr>
        <w:t xml:space="preserve">greatest caution. Proactive steps and timely legal counsel may substantially impact the outcome of </w:t>
      </w:r>
      <w:r w:rsidR="00921FE5">
        <w:rPr>
          <w:rFonts w:ascii="Times New Roman" w:hAnsi="Times New Roman" w:cs="Times New Roman"/>
          <w:bCs/>
          <w:sz w:val="24"/>
          <w:szCs w:val="24"/>
        </w:rPr>
        <w:t>her</w:t>
      </w:r>
      <w:r w:rsidRPr="0042701B">
        <w:rPr>
          <w:rFonts w:ascii="Times New Roman" w:hAnsi="Times New Roman" w:cs="Times New Roman"/>
          <w:bCs/>
          <w:sz w:val="24"/>
          <w:szCs w:val="24"/>
        </w:rPr>
        <w:t xml:space="preserve"> case. </w:t>
      </w:r>
    </w:p>
    <w:p w14:paraId="293E2C74" w14:textId="77777777" w:rsidR="0042701B" w:rsidRPr="00DA55CC" w:rsidRDefault="0042701B" w:rsidP="00DA55CC">
      <w:pPr>
        <w:pStyle w:val="Heading1"/>
      </w:pPr>
      <w:bookmarkStart w:id="9" w:name="_Toc172900508"/>
      <w:r w:rsidRPr="00DA55CC">
        <w:lastRenderedPageBreak/>
        <w:t>Legal Analysis and Advice for Michael</w:t>
      </w:r>
      <w:bookmarkEnd w:id="9"/>
    </w:p>
    <w:p w14:paraId="7A13B2E4" w14:textId="77777777" w:rsidR="0042701B" w:rsidRPr="0042701B" w:rsidRDefault="0042701B" w:rsidP="00DA55CC">
      <w:pPr>
        <w:pStyle w:val="Heading2"/>
      </w:pPr>
      <w:bookmarkStart w:id="10" w:name="_Toc172900509"/>
      <w:r w:rsidRPr="0042701B">
        <w:t>Involuntary Manslaughter: Legal Framework and Analysis</w:t>
      </w:r>
      <w:bookmarkEnd w:id="10"/>
    </w:p>
    <w:p w14:paraId="60C2DC12" w14:textId="64F937C6" w:rsidR="0042701B" w:rsidRPr="0042701B" w:rsidRDefault="00FF14DC" w:rsidP="0042701B">
      <w:pPr>
        <w:spacing w:line="360" w:lineRule="auto"/>
        <w:jc w:val="both"/>
        <w:rPr>
          <w:rFonts w:ascii="Times New Roman" w:hAnsi="Times New Roman" w:cs="Times New Roman"/>
          <w:bCs/>
          <w:sz w:val="24"/>
          <w:szCs w:val="24"/>
        </w:rPr>
      </w:pPr>
      <w:r w:rsidRPr="00FF14DC">
        <w:rPr>
          <w:rFonts w:ascii="Times New Roman" w:hAnsi="Times New Roman" w:cs="Times New Roman"/>
          <w:bCs/>
          <w:sz w:val="24"/>
          <w:szCs w:val="24"/>
        </w:rPr>
        <w:t xml:space="preserve">Involuntary manslaughter falls under two categories: gross negligence manslaughter and unlawful act manslaughter. Each category has separate legal requirements in terms of </w:t>
      </w:r>
      <w:proofErr w:type="spellStart"/>
      <w:r w:rsidRPr="00FF14DC">
        <w:rPr>
          <w:rFonts w:ascii="Times New Roman" w:hAnsi="Times New Roman" w:cs="Times New Roman"/>
          <w:bCs/>
          <w:sz w:val="24"/>
          <w:szCs w:val="24"/>
        </w:rPr>
        <w:t>mens</w:t>
      </w:r>
      <w:proofErr w:type="spellEnd"/>
      <w:r w:rsidRPr="00FF14DC">
        <w:rPr>
          <w:rFonts w:ascii="Times New Roman" w:hAnsi="Times New Roman" w:cs="Times New Roman"/>
          <w:bCs/>
          <w:sz w:val="24"/>
          <w:szCs w:val="24"/>
        </w:rPr>
        <w:t xml:space="preserve"> rea and actus reus.</w:t>
      </w:r>
    </w:p>
    <w:p w14:paraId="2E81997F" w14:textId="77777777" w:rsidR="0042701B" w:rsidRPr="0042701B" w:rsidRDefault="0042701B" w:rsidP="00DA55CC">
      <w:pPr>
        <w:pStyle w:val="Heading2"/>
      </w:pPr>
      <w:bookmarkStart w:id="11" w:name="_Toc172900510"/>
      <w:r w:rsidRPr="0042701B">
        <w:t>Unlawful Act Manslaughter</w:t>
      </w:r>
      <w:bookmarkEnd w:id="11"/>
    </w:p>
    <w:p w14:paraId="3CEA79C0" w14:textId="79717266" w:rsidR="0042701B" w:rsidRPr="0042701B" w:rsidRDefault="003C10AE" w:rsidP="0042701B">
      <w:pPr>
        <w:spacing w:line="360" w:lineRule="auto"/>
        <w:jc w:val="both"/>
        <w:rPr>
          <w:rFonts w:ascii="Times New Roman" w:hAnsi="Times New Roman" w:cs="Times New Roman"/>
          <w:bCs/>
          <w:sz w:val="24"/>
          <w:szCs w:val="24"/>
        </w:rPr>
      </w:pPr>
      <w:r w:rsidRPr="003C10AE">
        <w:rPr>
          <w:rFonts w:ascii="Times New Roman" w:hAnsi="Times New Roman" w:cs="Times New Roman"/>
          <w:bCs/>
          <w:sz w:val="24"/>
          <w:szCs w:val="24"/>
        </w:rPr>
        <w:t>Unlawful act manslaughter involves the commission of an illegal act that is objectively dangerous and causes death. The key elements include the unlawful act, the dangerousness of the act, and causation.</w:t>
      </w:r>
    </w:p>
    <w:p w14:paraId="0A4D81B6" w14:textId="77777777" w:rsidR="0042701B" w:rsidRPr="0042701B" w:rsidRDefault="0042701B" w:rsidP="00DA55CC">
      <w:pPr>
        <w:pStyle w:val="Heading2"/>
      </w:pPr>
      <w:bookmarkStart w:id="12" w:name="_Toc172900511"/>
      <w:r w:rsidRPr="0042701B">
        <w:t>Actus Reus of Unlawful Act Manslaughter</w:t>
      </w:r>
      <w:bookmarkEnd w:id="12"/>
    </w:p>
    <w:p w14:paraId="5A75D71E" w14:textId="5BC92596" w:rsidR="0042701B" w:rsidRPr="0042701B" w:rsidRDefault="003C10AE" w:rsidP="0042701B">
      <w:pPr>
        <w:spacing w:line="360" w:lineRule="auto"/>
        <w:jc w:val="both"/>
        <w:rPr>
          <w:rFonts w:ascii="Times New Roman" w:hAnsi="Times New Roman" w:cs="Times New Roman"/>
          <w:bCs/>
          <w:sz w:val="24"/>
          <w:szCs w:val="24"/>
        </w:rPr>
      </w:pPr>
      <w:r w:rsidRPr="003C10AE">
        <w:rPr>
          <w:rFonts w:ascii="Times New Roman" w:hAnsi="Times New Roman" w:cs="Times New Roman"/>
          <w:bCs/>
          <w:sz w:val="24"/>
          <w:szCs w:val="24"/>
        </w:rPr>
        <w:t>The actus reus for unlawful act manslaughter is the commission of an unlawful act that results in death. According to R v Church [1966], an unlawful act must be such that "all sober and reasonable people would inevitably recognize it as an act which must subject the other person to, at least, the risk of some harm." In Michael’s case, the unlawful act is the shove that caused Billy to fall and sustain a fatal head injury. Pushing someone constitutes assault under the Criminal Justice Act 1988, which makes it an unlawful act. The conduct must also be a significant cause of death to satisfy the causation requirement. The shove directly led to Billy’s fatal injuries, thus meeting the causation standard.</w:t>
      </w:r>
    </w:p>
    <w:p w14:paraId="75CA75FB" w14:textId="77777777" w:rsidR="0042701B" w:rsidRPr="0042701B" w:rsidRDefault="0042701B" w:rsidP="00DA55CC">
      <w:pPr>
        <w:pStyle w:val="Heading2"/>
      </w:pPr>
      <w:bookmarkStart w:id="13" w:name="_Toc172900512"/>
      <w:proofErr w:type="spellStart"/>
      <w:r w:rsidRPr="0042701B">
        <w:t>Mens</w:t>
      </w:r>
      <w:proofErr w:type="spellEnd"/>
      <w:r w:rsidRPr="0042701B">
        <w:t xml:space="preserve"> Rea of Unlawful Act Manslaughter</w:t>
      </w:r>
      <w:bookmarkEnd w:id="13"/>
    </w:p>
    <w:p w14:paraId="731D2773" w14:textId="5DA08E3D" w:rsidR="0042701B" w:rsidRPr="0042701B" w:rsidRDefault="00202522" w:rsidP="0042701B">
      <w:pPr>
        <w:spacing w:line="360" w:lineRule="auto"/>
        <w:jc w:val="both"/>
        <w:rPr>
          <w:rFonts w:ascii="Times New Roman" w:hAnsi="Times New Roman" w:cs="Times New Roman"/>
          <w:bCs/>
          <w:sz w:val="24"/>
          <w:szCs w:val="24"/>
        </w:rPr>
      </w:pPr>
      <w:r w:rsidRPr="00202522">
        <w:rPr>
          <w:rFonts w:ascii="Times New Roman" w:hAnsi="Times New Roman" w:cs="Times New Roman"/>
          <w:bCs/>
          <w:sz w:val="24"/>
          <w:szCs w:val="24"/>
        </w:rPr>
        <w:t xml:space="preserve">The </w:t>
      </w:r>
      <w:proofErr w:type="spellStart"/>
      <w:r w:rsidRPr="00202522">
        <w:rPr>
          <w:rFonts w:ascii="Times New Roman" w:hAnsi="Times New Roman" w:cs="Times New Roman"/>
          <w:bCs/>
          <w:sz w:val="24"/>
          <w:szCs w:val="24"/>
        </w:rPr>
        <w:t>mens</w:t>
      </w:r>
      <w:proofErr w:type="spellEnd"/>
      <w:r w:rsidRPr="00202522">
        <w:rPr>
          <w:rFonts w:ascii="Times New Roman" w:hAnsi="Times New Roman" w:cs="Times New Roman"/>
          <w:bCs/>
          <w:sz w:val="24"/>
          <w:szCs w:val="24"/>
        </w:rPr>
        <w:t xml:space="preserve"> rea for unlawful act manslaughter is derived from the </w:t>
      </w:r>
      <w:proofErr w:type="spellStart"/>
      <w:r w:rsidRPr="00202522">
        <w:rPr>
          <w:rFonts w:ascii="Times New Roman" w:hAnsi="Times New Roman" w:cs="Times New Roman"/>
          <w:bCs/>
          <w:sz w:val="24"/>
          <w:szCs w:val="24"/>
        </w:rPr>
        <w:t>mens</w:t>
      </w:r>
      <w:proofErr w:type="spellEnd"/>
      <w:r w:rsidRPr="00202522">
        <w:rPr>
          <w:rFonts w:ascii="Times New Roman" w:hAnsi="Times New Roman" w:cs="Times New Roman"/>
          <w:bCs/>
          <w:sz w:val="24"/>
          <w:szCs w:val="24"/>
        </w:rPr>
        <w:t xml:space="preserve"> rea of the unlawful act itself. In this instance, it involves the </w:t>
      </w:r>
      <w:proofErr w:type="spellStart"/>
      <w:r w:rsidRPr="00202522">
        <w:rPr>
          <w:rFonts w:ascii="Times New Roman" w:hAnsi="Times New Roman" w:cs="Times New Roman"/>
          <w:bCs/>
          <w:sz w:val="24"/>
          <w:szCs w:val="24"/>
        </w:rPr>
        <w:t>mens</w:t>
      </w:r>
      <w:proofErr w:type="spellEnd"/>
      <w:r w:rsidRPr="00202522">
        <w:rPr>
          <w:rFonts w:ascii="Times New Roman" w:hAnsi="Times New Roman" w:cs="Times New Roman"/>
          <w:bCs/>
          <w:sz w:val="24"/>
          <w:szCs w:val="24"/>
        </w:rPr>
        <w:t xml:space="preserve"> rea for assault. The </w:t>
      </w:r>
      <w:proofErr w:type="spellStart"/>
      <w:r w:rsidRPr="00202522">
        <w:rPr>
          <w:rFonts w:ascii="Times New Roman" w:hAnsi="Times New Roman" w:cs="Times New Roman"/>
          <w:bCs/>
          <w:sz w:val="24"/>
          <w:szCs w:val="24"/>
        </w:rPr>
        <w:t>mens</w:t>
      </w:r>
      <w:proofErr w:type="spellEnd"/>
      <w:r w:rsidRPr="00202522">
        <w:rPr>
          <w:rFonts w:ascii="Times New Roman" w:hAnsi="Times New Roman" w:cs="Times New Roman"/>
          <w:bCs/>
          <w:sz w:val="24"/>
          <w:szCs w:val="24"/>
        </w:rPr>
        <w:t xml:space="preserve"> rea requirement for assault is either intent or recklessness. Michael’s action of pushing Billy demonstrates recklessness because he disregarded the risk that his actions could cause some harm. According to R v Cunningham [1957], recklessness involves foreseeing a risk of harm and proceeding regardless. Michael’s push shows a disregard for the risk of causing injury, thereby meeting the recklessness requirement. If the elements of unlawful act manslaughter are established, considering gross negligence manslaughter may be unnecessary.</w:t>
      </w:r>
    </w:p>
    <w:p w14:paraId="1D9BD789" w14:textId="77777777" w:rsidR="0042701B" w:rsidRPr="0042701B" w:rsidRDefault="0042701B" w:rsidP="00DA55CC">
      <w:pPr>
        <w:pStyle w:val="Heading2"/>
      </w:pPr>
      <w:bookmarkStart w:id="14" w:name="_Toc172900513"/>
      <w:r w:rsidRPr="0042701B">
        <w:t>Comparative Case Analysis</w:t>
      </w:r>
      <w:bookmarkEnd w:id="14"/>
    </w:p>
    <w:p w14:paraId="1FA1CB47" w14:textId="7E95B42B" w:rsidR="0042701B" w:rsidRPr="0042701B" w:rsidRDefault="00202522" w:rsidP="0042701B">
      <w:pPr>
        <w:spacing w:line="360" w:lineRule="auto"/>
        <w:jc w:val="both"/>
        <w:rPr>
          <w:rFonts w:ascii="Times New Roman" w:hAnsi="Times New Roman" w:cs="Times New Roman"/>
          <w:bCs/>
          <w:sz w:val="24"/>
          <w:szCs w:val="24"/>
        </w:rPr>
      </w:pPr>
      <w:r w:rsidRPr="00202522">
        <w:rPr>
          <w:rFonts w:ascii="Times New Roman" w:hAnsi="Times New Roman" w:cs="Times New Roman"/>
          <w:bCs/>
          <w:sz w:val="24"/>
          <w:szCs w:val="24"/>
        </w:rPr>
        <w:t xml:space="preserve">To understand Michael’s potential liability, it is useful to compare his actions to similar cases. In R v Church [1966], the court ruled that an unlawful act must be dangerous by an objective standard. The defendant's actions in this case were seen as dangerous because a reasonable person would recognize the risk of some harm. Similarly, in R v Dawson [1985], the </w:t>
      </w:r>
      <w:r w:rsidR="004D5765">
        <w:rPr>
          <w:rFonts w:ascii="Times New Roman" w:hAnsi="Times New Roman" w:cs="Times New Roman"/>
          <w:bCs/>
          <w:sz w:val="24"/>
          <w:szCs w:val="24"/>
        </w:rPr>
        <w:lastRenderedPageBreak/>
        <w:t>defendant's</w:t>
      </w:r>
      <w:r w:rsidRPr="00202522">
        <w:rPr>
          <w:rFonts w:ascii="Times New Roman" w:hAnsi="Times New Roman" w:cs="Times New Roman"/>
          <w:bCs/>
          <w:sz w:val="24"/>
          <w:szCs w:val="24"/>
        </w:rPr>
        <w:t xml:space="preserve"> actions caused the victim to suffer a heart attack, with the court emphasizing that it suffices if a reasonable person might have foreseen some harm. Michael’s shove, although not intended to kill, was objectively dangerous and directly resulted in Billy's death. This objective assessment is crucial in establishing unlawful act manslaughter.</w:t>
      </w:r>
    </w:p>
    <w:p w14:paraId="2B9BF61D" w14:textId="395ADEBA" w:rsidR="0042701B" w:rsidRPr="0042701B" w:rsidRDefault="00202522" w:rsidP="0042701B">
      <w:pPr>
        <w:spacing w:line="360" w:lineRule="auto"/>
        <w:jc w:val="both"/>
        <w:rPr>
          <w:rFonts w:ascii="Times New Roman" w:hAnsi="Times New Roman" w:cs="Times New Roman"/>
          <w:bCs/>
          <w:sz w:val="24"/>
          <w:szCs w:val="24"/>
        </w:rPr>
      </w:pPr>
      <w:r w:rsidRPr="00202522">
        <w:rPr>
          <w:rFonts w:ascii="Times New Roman" w:hAnsi="Times New Roman" w:cs="Times New Roman"/>
          <w:bCs/>
          <w:sz w:val="24"/>
          <w:szCs w:val="24"/>
        </w:rPr>
        <w:t xml:space="preserve">Michael’s actions demonstrate clear elements of unlawful act manslaughter. The unlawful act of pushing Billy, which led to his death, satisfies the criteria for unlawful act manslaughter. Given these analyses, Michael is likely to face significant legal consequences. It is imperative for him to seek immediate legal counsel to explore possible </w:t>
      </w:r>
      <w:r w:rsidR="004D5765">
        <w:rPr>
          <w:rFonts w:ascii="Times New Roman" w:hAnsi="Times New Roman" w:cs="Times New Roman"/>
          <w:bCs/>
          <w:sz w:val="24"/>
          <w:szCs w:val="24"/>
        </w:rPr>
        <w:t>defences</w:t>
      </w:r>
      <w:r w:rsidRPr="00202522">
        <w:rPr>
          <w:rFonts w:ascii="Times New Roman" w:hAnsi="Times New Roman" w:cs="Times New Roman"/>
          <w:bCs/>
          <w:sz w:val="24"/>
          <w:szCs w:val="24"/>
        </w:rPr>
        <w:t xml:space="preserve"> and mitigate the severity of the penalties.</w:t>
      </w:r>
    </w:p>
    <w:p w14:paraId="659F8645" w14:textId="77777777" w:rsidR="00DA55CC" w:rsidRDefault="00DA55CC">
      <w:pPr>
        <w:rPr>
          <w:rFonts w:ascii="Times New Roman" w:hAnsi="Times New Roman" w:cs="Times New Roman"/>
          <w:bCs/>
          <w:sz w:val="24"/>
          <w:szCs w:val="24"/>
        </w:rPr>
      </w:pPr>
      <w:r>
        <w:rPr>
          <w:rFonts w:ascii="Times New Roman" w:hAnsi="Times New Roman" w:cs="Times New Roman"/>
          <w:bCs/>
          <w:sz w:val="24"/>
          <w:szCs w:val="24"/>
        </w:rPr>
        <w:br w:type="page"/>
      </w:r>
    </w:p>
    <w:p w14:paraId="6C04D113" w14:textId="486BAB82" w:rsidR="0042701B" w:rsidRPr="0042701B" w:rsidRDefault="0042701B" w:rsidP="00DA55CC">
      <w:pPr>
        <w:pStyle w:val="Heading1"/>
      </w:pPr>
      <w:bookmarkStart w:id="15" w:name="_Toc172900514"/>
      <w:r w:rsidRPr="0042701B">
        <w:lastRenderedPageBreak/>
        <w:t>Law Cases</w:t>
      </w:r>
      <w:bookmarkEnd w:id="15"/>
    </w:p>
    <w:p w14:paraId="3D33140F" w14:textId="77777777" w:rsidR="002B717E" w:rsidRPr="0039078A"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Ivey v Genting Casinos [2017] UKSC 67, 3 WLR 1212</w:t>
      </w:r>
    </w:p>
    <w:p w14:paraId="6B954CCD" w14:textId="77777777" w:rsidR="002B717E" w:rsidRPr="0039078A"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Church [1966] 1 QB 59</w:t>
      </w:r>
    </w:p>
    <w:p w14:paraId="59B04E01" w14:textId="77777777" w:rsidR="002B717E" w:rsidRPr="0039078A"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Cunningham [1957] 2 QB 396</w:t>
      </w:r>
    </w:p>
    <w:p w14:paraId="5BAD6E2E" w14:textId="77777777" w:rsidR="002B717E"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Dawson [1985] 81 Cr App R 150</w:t>
      </w:r>
    </w:p>
    <w:p w14:paraId="2768B12E" w14:textId="77777777" w:rsidR="002B717E" w:rsidRPr="0039078A"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Morris [1983] 3 WLR 697</w:t>
      </w:r>
    </w:p>
    <w:p w14:paraId="7661FCB6" w14:textId="77777777" w:rsidR="002B717E" w:rsidRPr="0039078A"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Smith [1974] QB 354</w:t>
      </w:r>
    </w:p>
    <w:p w14:paraId="2828CB81" w14:textId="77777777" w:rsidR="002B717E" w:rsidRDefault="002B717E" w:rsidP="0039078A">
      <w:pPr>
        <w:spacing w:line="360" w:lineRule="auto"/>
        <w:jc w:val="both"/>
        <w:rPr>
          <w:rFonts w:ascii="Times New Roman" w:hAnsi="Times New Roman" w:cs="Times New Roman"/>
          <w:bCs/>
          <w:sz w:val="24"/>
          <w:szCs w:val="24"/>
        </w:rPr>
      </w:pPr>
      <w:r w:rsidRPr="0039078A">
        <w:rPr>
          <w:rFonts w:ascii="Times New Roman" w:hAnsi="Times New Roman" w:cs="Times New Roman"/>
          <w:bCs/>
          <w:sz w:val="24"/>
          <w:szCs w:val="24"/>
        </w:rPr>
        <w:t>R v Turner (No 2) [1971] 1 WLR 901</w:t>
      </w:r>
    </w:p>
    <w:p w14:paraId="68C42219" w14:textId="7567B7B3" w:rsidR="00C0608F" w:rsidRDefault="00C0608F" w:rsidP="0039078A">
      <w:pPr>
        <w:spacing w:line="360" w:lineRule="auto"/>
        <w:jc w:val="both"/>
        <w:rPr>
          <w:rFonts w:ascii="Times New Roman" w:hAnsi="Times New Roman" w:cs="Times New Roman"/>
          <w:bCs/>
          <w:sz w:val="24"/>
          <w:szCs w:val="24"/>
        </w:rPr>
      </w:pPr>
      <w:r w:rsidRPr="00C0608F">
        <w:rPr>
          <w:rFonts w:ascii="Times New Roman" w:hAnsi="Times New Roman" w:cs="Times New Roman"/>
          <w:bCs/>
          <w:sz w:val="24"/>
          <w:szCs w:val="24"/>
        </w:rPr>
        <w:t>R v Fiak [2005] EWCA Crim 2381</w:t>
      </w:r>
    </w:p>
    <w:p w14:paraId="1E575EAE" w14:textId="77777777" w:rsidR="00C40376" w:rsidRPr="00C40376" w:rsidRDefault="00C40376" w:rsidP="00C40376">
      <w:pPr>
        <w:pStyle w:val="Heading1"/>
      </w:pPr>
      <w:bookmarkStart w:id="16" w:name="_Toc172900515"/>
      <w:r w:rsidRPr="00C40376">
        <w:t>Statutes</w:t>
      </w:r>
      <w:bookmarkEnd w:id="16"/>
    </w:p>
    <w:p w14:paraId="18D7FA67" w14:textId="77777777" w:rsidR="00C40376" w:rsidRPr="00C40376" w:rsidRDefault="00C40376" w:rsidP="00C40376">
      <w:pPr>
        <w:spacing w:line="360" w:lineRule="auto"/>
        <w:jc w:val="both"/>
        <w:rPr>
          <w:rFonts w:ascii="Times New Roman" w:hAnsi="Times New Roman" w:cs="Times New Roman"/>
          <w:bCs/>
          <w:sz w:val="24"/>
          <w:szCs w:val="24"/>
        </w:rPr>
      </w:pPr>
      <w:r w:rsidRPr="00C40376">
        <w:rPr>
          <w:rFonts w:ascii="Times New Roman" w:hAnsi="Times New Roman" w:cs="Times New Roman"/>
          <w:bCs/>
          <w:sz w:val="24"/>
          <w:szCs w:val="24"/>
        </w:rPr>
        <w:t>Criminal Damage Act 1971, Section 1(1)</w:t>
      </w:r>
    </w:p>
    <w:p w14:paraId="30ADF5F2" w14:textId="77777777" w:rsidR="00C40376" w:rsidRPr="00C40376" w:rsidRDefault="00C40376" w:rsidP="00C40376">
      <w:pPr>
        <w:spacing w:line="360" w:lineRule="auto"/>
        <w:jc w:val="both"/>
        <w:rPr>
          <w:rFonts w:ascii="Times New Roman" w:hAnsi="Times New Roman" w:cs="Times New Roman"/>
          <w:bCs/>
          <w:sz w:val="24"/>
          <w:szCs w:val="24"/>
        </w:rPr>
      </w:pPr>
      <w:r w:rsidRPr="00C40376">
        <w:rPr>
          <w:rFonts w:ascii="Times New Roman" w:hAnsi="Times New Roman" w:cs="Times New Roman"/>
          <w:bCs/>
          <w:sz w:val="24"/>
          <w:szCs w:val="24"/>
        </w:rPr>
        <w:t>Criminal Justice Act 1988</w:t>
      </w:r>
    </w:p>
    <w:p w14:paraId="76D23A7B" w14:textId="1CC1050E" w:rsidR="00C40376" w:rsidRPr="0039078A" w:rsidRDefault="00C40376" w:rsidP="00C40376">
      <w:pPr>
        <w:spacing w:line="360" w:lineRule="auto"/>
        <w:jc w:val="both"/>
        <w:rPr>
          <w:rFonts w:ascii="Times New Roman" w:hAnsi="Times New Roman" w:cs="Times New Roman"/>
          <w:bCs/>
          <w:sz w:val="24"/>
          <w:szCs w:val="24"/>
        </w:rPr>
      </w:pPr>
      <w:r w:rsidRPr="00C40376">
        <w:rPr>
          <w:rFonts w:ascii="Times New Roman" w:hAnsi="Times New Roman" w:cs="Times New Roman"/>
          <w:bCs/>
          <w:sz w:val="24"/>
          <w:szCs w:val="24"/>
        </w:rPr>
        <w:t>Theft Act 1968, Sections 1(1), 3(1), 4(1), 5(1), 6, and 9(1)(a)</w:t>
      </w:r>
    </w:p>
    <w:sectPr w:rsidR="00C40376" w:rsidRPr="0039078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40400" w14:textId="77777777" w:rsidR="002B3778" w:rsidRDefault="002B3778" w:rsidP="00BE38E0">
      <w:pPr>
        <w:spacing w:after="0" w:line="240" w:lineRule="auto"/>
      </w:pPr>
      <w:r>
        <w:separator/>
      </w:r>
    </w:p>
  </w:endnote>
  <w:endnote w:type="continuationSeparator" w:id="0">
    <w:p w14:paraId="2A964A2B" w14:textId="77777777" w:rsidR="002B3778" w:rsidRDefault="002B3778" w:rsidP="00BE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2496261"/>
      <w:docPartObj>
        <w:docPartGallery w:val="Page Numbers (Bottom of Page)"/>
        <w:docPartUnique/>
      </w:docPartObj>
    </w:sdtPr>
    <w:sdtEndPr>
      <w:rPr>
        <w:noProof/>
      </w:rPr>
    </w:sdtEndPr>
    <w:sdtContent>
      <w:p w14:paraId="54FD4F72" w14:textId="19AD8590" w:rsidR="0042701B" w:rsidRDefault="004270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EEC67A" w14:textId="77777777" w:rsidR="0042701B" w:rsidRDefault="004270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C300A" w14:textId="77777777" w:rsidR="002B3778" w:rsidRDefault="002B3778" w:rsidP="00BE38E0">
      <w:pPr>
        <w:spacing w:after="0" w:line="240" w:lineRule="auto"/>
      </w:pPr>
      <w:r>
        <w:separator/>
      </w:r>
    </w:p>
  </w:footnote>
  <w:footnote w:type="continuationSeparator" w:id="0">
    <w:p w14:paraId="0ABE6DC5" w14:textId="77777777" w:rsidR="002B3778" w:rsidRDefault="002B3778" w:rsidP="00BE3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2A329" w14:textId="2ACFEFF4" w:rsidR="00BE38E0" w:rsidRDefault="00BE38E0">
    <w:pPr>
      <w:pStyle w:val="Header"/>
    </w:pPr>
    <w:r w:rsidRPr="00BE38E0">
      <w:rPr>
        <w:noProof/>
      </w:rPr>
      <w:drawing>
        <wp:inline distT="0" distB="0" distL="0" distR="0" wp14:anchorId="2FCDB978" wp14:editId="23F075D1">
          <wp:extent cx="1447800" cy="476250"/>
          <wp:effectExtent l="0" t="0" r="0" b="0"/>
          <wp:docPr id="899646217"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46217" name="Picture 1" descr="A close-up of black text&#10;&#10;Description automatically generated"/>
                  <pic:cNvPicPr/>
                </pic:nvPicPr>
                <pic:blipFill>
                  <a:blip r:embed="rId1"/>
                  <a:stretch>
                    <a:fillRect/>
                  </a:stretch>
                </pic:blipFill>
                <pic:spPr>
                  <a:xfrm>
                    <a:off x="0" y="0"/>
                    <a:ext cx="1448007" cy="476318"/>
                  </a:xfrm>
                  <a:prstGeom prst="rect">
                    <a:avLst/>
                  </a:prstGeom>
                </pic:spPr>
              </pic:pic>
            </a:graphicData>
          </a:graphic>
        </wp:inline>
      </w:drawing>
    </w:r>
  </w:p>
  <w:p w14:paraId="05B4D492" w14:textId="77777777" w:rsidR="00BE38E0" w:rsidRDefault="00BE38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8D76CF"/>
    <w:multiLevelType w:val="multilevel"/>
    <w:tmpl w:val="653E8E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0D34714"/>
    <w:multiLevelType w:val="multilevel"/>
    <w:tmpl w:val="33AE1E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2582A32"/>
    <w:multiLevelType w:val="multilevel"/>
    <w:tmpl w:val="00F077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33632BC4"/>
    <w:multiLevelType w:val="hybridMultilevel"/>
    <w:tmpl w:val="74AA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761A4"/>
    <w:multiLevelType w:val="multilevel"/>
    <w:tmpl w:val="421C83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F111ECE"/>
    <w:multiLevelType w:val="hybridMultilevel"/>
    <w:tmpl w:val="EF1A656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408D1784"/>
    <w:multiLevelType w:val="hybridMultilevel"/>
    <w:tmpl w:val="C4C6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C70CF4"/>
    <w:multiLevelType w:val="multilevel"/>
    <w:tmpl w:val="4F502E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4DD23F8C"/>
    <w:multiLevelType w:val="multilevel"/>
    <w:tmpl w:val="4C4A0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EE6E0B"/>
    <w:multiLevelType w:val="hybridMultilevel"/>
    <w:tmpl w:val="F872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210ABB"/>
    <w:multiLevelType w:val="multilevel"/>
    <w:tmpl w:val="93C0C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C345C5"/>
    <w:multiLevelType w:val="multilevel"/>
    <w:tmpl w:val="92567A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79C670C8"/>
    <w:multiLevelType w:val="hybridMultilevel"/>
    <w:tmpl w:val="E6D8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9096789">
    <w:abstractNumId w:val="8"/>
  </w:num>
  <w:num w:numId="2" w16cid:durableId="1022970604">
    <w:abstractNumId w:val="10"/>
  </w:num>
  <w:num w:numId="3" w16cid:durableId="8875409">
    <w:abstractNumId w:val="1"/>
  </w:num>
  <w:num w:numId="4" w16cid:durableId="998190055">
    <w:abstractNumId w:val="2"/>
  </w:num>
  <w:num w:numId="5" w16cid:durableId="711686633">
    <w:abstractNumId w:val="0"/>
  </w:num>
  <w:num w:numId="6" w16cid:durableId="1674184393">
    <w:abstractNumId w:val="11"/>
  </w:num>
  <w:num w:numId="7" w16cid:durableId="172308590">
    <w:abstractNumId w:val="4"/>
  </w:num>
  <w:num w:numId="8" w16cid:durableId="451896860">
    <w:abstractNumId w:val="7"/>
  </w:num>
  <w:num w:numId="9" w16cid:durableId="511844371">
    <w:abstractNumId w:val="6"/>
  </w:num>
  <w:num w:numId="10" w16cid:durableId="165023519">
    <w:abstractNumId w:val="9"/>
  </w:num>
  <w:num w:numId="11" w16cid:durableId="1587576186">
    <w:abstractNumId w:val="12"/>
  </w:num>
  <w:num w:numId="12" w16cid:durableId="1067456370">
    <w:abstractNumId w:val="3"/>
  </w:num>
  <w:num w:numId="13" w16cid:durableId="1591217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1E"/>
    <w:rsid w:val="00135F1E"/>
    <w:rsid w:val="00144101"/>
    <w:rsid w:val="001760F8"/>
    <w:rsid w:val="001C2745"/>
    <w:rsid w:val="001C69AE"/>
    <w:rsid w:val="00202522"/>
    <w:rsid w:val="00287379"/>
    <w:rsid w:val="002B3778"/>
    <w:rsid w:val="002B717E"/>
    <w:rsid w:val="002E7E95"/>
    <w:rsid w:val="00327074"/>
    <w:rsid w:val="0039078A"/>
    <w:rsid w:val="003C10AE"/>
    <w:rsid w:val="003D7C81"/>
    <w:rsid w:val="00405FCD"/>
    <w:rsid w:val="0042701B"/>
    <w:rsid w:val="004D5765"/>
    <w:rsid w:val="00570852"/>
    <w:rsid w:val="005A3AD8"/>
    <w:rsid w:val="00630C4D"/>
    <w:rsid w:val="006C135D"/>
    <w:rsid w:val="006E6792"/>
    <w:rsid w:val="00794FC9"/>
    <w:rsid w:val="0088651B"/>
    <w:rsid w:val="00921FE5"/>
    <w:rsid w:val="00A03FE5"/>
    <w:rsid w:val="00B03C7F"/>
    <w:rsid w:val="00BB6D67"/>
    <w:rsid w:val="00BE38E0"/>
    <w:rsid w:val="00C0122E"/>
    <w:rsid w:val="00C0608F"/>
    <w:rsid w:val="00C40376"/>
    <w:rsid w:val="00CA7FDE"/>
    <w:rsid w:val="00DA55CC"/>
    <w:rsid w:val="00DE4908"/>
    <w:rsid w:val="00E36206"/>
    <w:rsid w:val="00E74FEE"/>
    <w:rsid w:val="00F774F3"/>
    <w:rsid w:val="00FF14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268E60"/>
  <w15:chartTrackingRefBased/>
  <w15:docId w15:val="{4F344818-7138-477F-A12B-921054EA6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5CC"/>
    <w:pPr>
      <w:keepNext/>
      <w:keepLines/>
      <w:spacing w:before="360" w:after="80"/>
      <w:outlineLvl w:val="0"/>
    </w:pPr>
    <w:rPr>
      <w:rFonts w:ascii="Times New Roman" w:eastAsiaTheme="majorEastAsia" w:hAnsi="Times New Roman" w:cs="Times New Roman"/>
      <w:color w:val="0F4761" w:themeColor="accent1" w:themeShade="BF"/>
      <w:sz w:val="28"/>
      <w:szCs w:val="28"/>
    </w:rPr>
  </w:style>
  <w:style w:type="paragraph" w:styleId="Heading2">
    <w:name w:val="heading 2"/>
    <w:basedOn w:val="Normal"/>
    <w:next w:val="Normal"/>
    <w:link w:val="Heading2Char"/>
    <w:uiPriority w:val="9"/>
    <w:unhideWhenUsed/>
    <w:qFormat/>
    <w:rsid w:val="00DA55CC"/>
    <w:pPr>
      <w:keepNext/>
      <w:keepLines/>
      <w:spacing w:before="160" w:after="80"/>
      <w:outlineLvl w:val="1"/>
    </w:pPr>
    <w:rPr>
      <w:rFonts w:ascii="Times New Roman" w:eastAsiaTheme="majorEastAsia" w:hAnsi="Times New Roman" w:cs="Times New Roman"/>
      <w:color w:val="0F4761" w:themeColor="accent1" w:themeShade="BF"/>
      <w:sz w:val="24"/>
      <w:szCs w:val="24"/>
    </w:rPr>
  </w:style>
  <w:style w:type="paragraph" w:styleId="Heading3">
    <w:name w:val="heading 3"/>
    <w:basedOn w:val="Normal"/>
    <w:next w:val="Normal"/>
    <w:link w:val="Heading3Char"/>
    <w:uiPriority w:val="9"/>
    <w:semiHidden/>
    <w:unhideWhenUsed/>
    <w:qFormat/>
    <w:rsid w:val="00135F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F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F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F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F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F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F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5CC"/>
    <w:rPr>
      <w:rFonts w:ascii="Times New Roman" w:eastAsiaTheme="majorEastAsia" w:hAnsi="Times New Roman" w:cs="Times New Roman"/>
      <w:color w:val="0F4761" w:themeColor="accent1" w:themeShade="BF"/>
      <w:sz w:val="28"/>
      <w:szCs w:val="28"/>
    </w:rPr>
  </w:style>
  <w:style w:type="character" w:customStyle="1" w:styleId="Heading2Char">
    <w:name w:val="Heading 2 Char"/>
    <w:basedOn w:val="DefaultParagraphFont"/>
    <w:link w:val="Heading2"/>
    <w:uiPriority w:val="9"/>
    <w:rsid w:val="00DA55CC"/>
    <w:rPr>
      <w:rFonts w:ascii="Times New Roman" w:eastAsiaTheme="majorEastAsia" w:hAnsi="Times New Roman" w:cs="Times New Roman"/>
      <w:color w:val="0F4761" w:themeColor="accent1" w:themeShade="BF"/>
      <w:sz w:val="24"/>
      <w:szCs w:val="24"/>
    </w:rPr>
  </w:style>
  <w:style w:type="character" w:customStyle="1" w:styleId="Heading3Char">
    <w:name w:val="Heading 3 Char"/>
    <w:basedOn w:val="DefaultParagraphFont"/>
    <w:link w:val="Heading3"/>
    <w:uiPriority w:val="9"/>
    <w:semiHidden/>
    <w:rsid w:val="00135F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F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F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F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F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F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F1E"/>
    <w:rPr>
      <w:rFonts w:eastAsiaTheme="majorEastAsia" w:cstheme="majorBidi"/>
      <w:color w:val="272727" w:themeColor="text1" w:themeTint="D8"/>
    </w:rPr>
  </w:style>
  <w:style w:type="paragraph" w:styleId="Title">
    <w:name w:val="Title"/>
    <w:basedOn w:val="Normal"/>
    <w:next w:val="Normal"/>
    <w:link w:val="TitleChar"/>
    <w:uiPriority w:val="10"/>
    <w:qFormat/>
    <w:rsid w:val="00135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F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F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F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F1E"/>
    <w:pPr>
      <w:spacing w:before="160"/>
      <w:jc w:val="center"/>
    </w:pPr>
    <w:rPr>
      <w:i/>
      <w:iCs/>
      <w:color w:val="404040" w:themeColor="text1" w:themeTint="BF"/>
    </w:rPr>
  </w:style>
  <w:style w:type="character" w:customStyle="1" w:styleId="QuoteChar">
    <w:name w:val="Quote Char"/>
    <w:basedOn w:val="DefaultParagraphFont"/>
    <w:link w:val="Quote"/>
    <w:uiPriority w:val="29"/>
    <w:rsid w:val="00135F1E"/>
    <w:rPr>
      <w:i/>
      <w:iCs/>
      <w:color w:val="404040" w:themeColor="text1" w:themeTint="BF"/>
    </w:rPr>
  </w:style>
  <w:style w:type="paragraph" w:styleId="ListParagraph">
    <w:name w:val="List Paragraph"/>
    <w:basedOn w:val="Normal"/>
    <w:uiPriority w:val="34"/>
    <w:qFormat/>
    <w:rsid w:val="00135F1E"/>
    <w:pPr>
      <w:ind w:left="720"/>
      <w:contextualSpacing/>
    </w:pPr>
  </w:style>
  <w:style w:type="character" w:styleId="IntenseEmphasis">
    <w:name w:val="Intense Emphasis"/>
    <w:basedOn w:val="DefaultParagraphFont"/>
    <w:uiPriority w:val="21"/>
    <w:qFormat/>
    <w:rsid w:val="00135F1E"/>
    <w:rPr>
      <w:i/>
      <w:iCs/>
      <w:color w:val="0F4761" w:themeColor="accent1" w:themeShade="BF"/>
    </w:rPr>
  </w:style>
  <w:style w:type="paragraph" w:styleId="IntenseQuote">
    <w:name w:val="Intense Quote"/>
    <w:basedOn w:val="Normal"/>
    <w:next w:val="Normal"/>
    <w:link w:val="IntenseQuoteChar"/>
    <w:uiPriority w:val="30"/>
    <w:qFormat/>
    <w:rsid w:val="00135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F1E"/>
    <w:rPr>
      <w:i/>
      <w:iCs/>
      <w:color w:val="0F4761" w:themeColor="accent1" w:themeShade="BF"/>
    </w:rPr>
  </w:style>
  <w:style w:type="character" w:styleId="IntenseReference">
    <w:name w:val="Intense Reference"/>
    <w:basedOn w:val="DefaultParagraphFont"/>
    <w:uiPriority w:val="32"/>
    <w:qFormat/>
    <w:rsid w:val="00135F1E"/>
    <w:rPr>
      <w:b/>
      <w:bCs/>
      <w:smallCaps/>
      <w:color w:val="0F4761" w:themeColor="accent1" w:themeShade="BF"/>
      <w:spacing w:val="5"/>
    </w:rPr>
  </w:style>
  <w:style w:type="paragraph" w:styleId="Header">
    <w:name w:val="header"/>
    <w:basedOn w:val="Normal"/>
    <w:link w:val="HeaderChar"/>
    <w:uiPriority w:val="99"/>
    <w:unhideWhenUsed/>
    <w:rsid w:val="00BE3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8E0"/>
  </w:style>
  <w:style w:type="paragraph" w:styleId="Footer">
    <w:name w:val="footer"/>
    <w:basedOn w:val="Normal"/>
    <w:link w:val="FooterChar"/>
    <w:uiPriority w:val="99"/>
    <w:unhideWhenUsed/>
    <w:rsid w:val="00BE3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8E0"/>
  </w:style>
  <w:style w:type="character" w:styleId="Hyperlink">
    <w:name w:val="Hyperlink"/>
    <w:basedOn w:val="DefaultParagraphFont"/>
    <w:uiPriority w:val="99"/>
    <w:unhideWhenUsed/>
    <w:rsid w:val="0042701B"/>
    <w:rPr>
      <w:color w:val="467886" w:themeColor="hyperlink"/>
      <w:u w:val="single"/>
    </w:rPr>
  </w:style>
  <w:style w:type="character" w:styleId="UnresolvedMention">
    <w:name w:val="Unresolved Mention"/>
    <w:basedOn w:val="DefaultParagraphFont"/>
    <w:uiPriority w:val="99"/>
    <w:semiHidden/>
    <w:unhideWhenUsed/>
    <w:rsid w:val="0042701B"/>
    <w:rPr>
      <w:color w:val="605E5C"/>
      <w:shd w:val="clear" w:color="auto" w:fill="E1DFDD"/>
    </w:rPr>
  </w:style>
  <w:style w:type="paragraph" w:styleId="TOCHeading">
    <w:name w:val="TOC Heading"/>
    <w:basedOn w:val="Heading1"/>
    <w:next w:val="Normal"/>
    <w:uiPriority w:val="39"/>
    <w:unhideWhenUsed/>
    <w:qFormat/>
    <w:rsid w:val="0042701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701B"/>
    <w:pPr>
      <w:spacing w:after="100"/>
    </w:pPr>
  </w:style>
  <w:style w:type="paragraph" w:styleId="TOC2">
    <w:name w:val="toc 2"/>
    <w:basedOn w:val="Normal"/>
    <w:next w:val="Normal"/>
    <w:autoRedefine/>
    <w:uiPriority w:val="39"/>
    <w:unhideWhenUsed/>
    <w:rsid w:val="0042701B"/>
    <w:pPr>
      <w:spacing w:after="100"/>
      <w:ind w:left="220"/>
    </w:pPr>
  </w:style>
  <w:style w:type="character" w:styleId="CommentReference">
    <w:name w:val="annotation reference"/>
    <w:basedOn w:val="DefaultParagraphFont"/>
    <w:uiPriority w:val="99"/>
    <w:semiHidden/>
    <w:unhideWhenUsed/>
    <w:rsid w:val="00E36206"/>
    <w:rPr>
      <w:sz w:val="16"/>
      <w:szCs w:val="16"/>
    </w:rPr>
  </w:style>
  <w:style w:type="paragraph" w:styleId="CommentText">
    <w:name w:val="annotation text"/>
    <w:basedOn w:val="Normal"/>
    <w:link w:val="CommentTextChar"/>
    <w:uiPriority w:val="99"/>
    <w:unhideWhenUsed/>
    <w:rsid w:val="00E36206"/>
    <w:pPr>
      <w:spacing w:line="240" w:lineRule="auto"/>
    </w:pPr>
    <w:rPr>
      <w:sz w:val="20"/>
      <w:szCs w:val="20"/>
    </w:rPr>
  </w:style>
  <w:style w:type="character" w:customStyle="1" w:styleId="CommentTextChar">
    <w:name w:val="Comment Text Char"/>
    <w:basedOn w:val="DefaultParagraphFont"/>
    <w:link w:val="CommentText"/>
    <w:uiPriority w:val="99"/>
    <w:rsid w:val="00E36206"/>
    <w:rPr>
      <w:sz w:val="20"/>
      <w:szCs w:val="20"/>
    </w:rPr>
  </w:style>
  <w:style w:type="paragraph" w:styleId="CommentSubject">
    <w:name w:val="annotation subject"/>
    <w:basedOn w:val="CommentText"/>
    <w:next w:val="CommentText"/>
    <w:link w:val="CommentSubjectChar"/>
    <w:uiPriority w:val="99"/>
    <w:semiHidden/>
    <w:unhideWhenUsed/>
    <w:rsid w:val="00E36206"/>
    <w:rPr>
      <w:b/>
      <w:bCs/>
    </w:rPr>
  </w:style>
  <w:style w:type="character" w:customStyle="1" w:styleId="CommentSubjectChar">
    <w:name w:val="Comment Subject Char"/>
    <w:basedOn w:val="CommentTextChar"/>
    <w:link w:val="CommentSubject"/>
    <w:uiPriority w:val="99"/>
    <w:semiHidden/>
    <w:rsid w:val="00E362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425604">
      <w:bodyDiv w:val="1"/>
      <w:marLeft w:val="0"/>
      <w:marRight w:val="0"/>
      <w:marTop w:val="0"/>
      <w:marBottom w:val="0"/>
      <w:divBdr>
        <w:top w:val="none" w:sz="0" w:space="0" w:color="auto"/>
        <w:left w:val="none" w:sz="0" w:space="0" w:color="auto"/>
        <w:bottom w:val="none" w:sz="0" w:space="0" w:color="auto"/>
        <w:right w:val="none" w:sz="0" w:space="0" w:color="auto"/>
      </w:divBdr>
    </w:div>
    <w:div w:id="577516057">
      <w:bodyDiv w:val="1"/>
      <w:marLeft w:val="0"/>
      <w:marRight w:val="0"/>
      <w:marTop w:val="0"/>
      <w:marBottom w:val="0"/>
      <w:divBdr>
        <w:top w:val="none" w:sz="0" w:space="0" w:color="auto"/>
        <w:left w:val="none" w:sz="0" w:space="0" w:color="auto"/>
        <w:bottom w:val="none" w:sz="0" w:space="0" w:color="auto"/>
        <w:right w:val="none" w:sz="0" w:space="0" w:color="auto"/>
      </w:divBdr>
    </w:div>
    <w:div w:id="930620777">
      <w:bodyDiv w:val="1"/>
      <w:marLeft w:val="0"/>
      <w:marRight w:val="0"/>
      <w:marTop w:val="0"/>
      <w:marBottom w:val="0"/>
      <w:divBdr>
        <w:top w:val="none" w:sz="0" w:space="0" w:color="auto"/>
        <w:left w:val="none" w:sz="0" w:space="0" w:color="auto"/>
        <w:bottom w:val="none" w:sz="0" w:space="0" w:color="auto"/>
        <w:right w:val="none" w:sz="0" w:space="0" w:color="auto"/>
      </w:divBdr>
    </w:div>
    <w:div w:id="1226530729">
      <w:bodyDiv w:val="1"/>
      <w:marLeft w:val="0"/>
      <w:marRight w:val="0"/>
      <w:marTop w:val="0"/>
      <w:marBottom w:val="0"/>
      <w:divBdr>
        <w:top w:val="none" w:sz="0" w:space="0" w:color="auto"/>
        <w:left w:val="none" w:sz="0" w:space="0" w:color="auto"/>
        <w:bottom w:val="none" w:sz="0" w:space="0" w:color="auto"/>
        <w:right w:val="none" w:sz="0" w:space="0" w:color="auto"/>
      </w:divBdr>
    </w:div>
    <w:div w:id="1264990981">
      <w:bodyDiv w:val="1"/>
      <w:marLeft w:val="0"/>
      <w:marRight w:val="0"/>
      <w:marTop w:val="0"/>
      <w:marBottom w:val="0"/>
      <w:divBdr>
        <w:top w:val="none" w:sz="0" w:space="0" w:color="auto"/>
        <w:left w:val="none" w:sz="0" w:space="0" w:color="auto"/>
        <w:bottom w:val="none" w:sz="0" w:space="0" w:color="auto"/>
        <w:right w:val="none" w:sz="0" w:space="0" w:color="auto"/>
      </w:divBdr>
    </w:div>
    <w:div w:id="1318269284">
      <w:bodyDiv w:val="1"/>
      <w:marLeft w:val="0"/>
      <w:marRight w:val="0"/>
      <w:marTop w:val="0"/>
      <w:marBottom w:val="0"/>
      <w:divBdr>
        <w:top w:val="none" w:sz="0" w:space="0" w:color="auto"/>
        <w:left w:val="none" w:sz="0" w:space="0" w:color="auto"/>
        <w:bottom w:val="none" w:sz="0" w:space="0" w:color="auto"/>
        <w:right w:val="none" w:sz="0" w:space="0" w:color="auto"/>
      </w:divBdr>
    </w:div>
    <w:div w:id="1529683175">
      <w:bodyDiv w:val="1"/>
      <w:marLeft w:val="0"/>
      <w:marRight w:val="0"/>
      <w:marTop w:val="0"/>
      <w:marBottom w:val="0"/>
      <w:divBdr>
        <w:top w:val="none" w:sz="0" w:space="0" w:color="auto"/>
        <w:left w:val="none" w:sz="0" w:space="0" w:color="auto"/>
        <w:bottom w:val="none" w:sz="0" w:space="0" w:color="auto"/>
        <w:right w:val="none" w:sz="0" w:space="0" w:color="auto"/>
      </w:divBdr>
    </w:div>
    <w:div w:id="176792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8</Pages>
  <Words>1762</Words>
  <Characters>9227</Characters>
  <Application>Microsoft Office Word</Application>
  <DocSecurity>0</DocSecurity>
  <Lines>181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Chiosa</dc:creator>
  <cp:keywords/>
  <dc:description/>
  <dcterms:created xsi:type="dcterms:W3CDTF">2024-07-18T13:32:00Z</dcterms:created>
  <dcterms:modified xsi:type="dcterms:W3CDTF">2024-07-26T14:35:00Z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6238c11c5874c5d4a0ba6358b4cecbd96732192229317b7ec05c23b5eff66d84</vt:lpwstr>
  </property>
</Properties>
</file>