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806465599"/>
        <w:docPartObj>
          <w:docPartGallery w:val="Cover Pages"/>
          <w:docPartUnique/>
        </w:docPartObj>
      </w:sdtPr>
      <w:sdtEndPr>
        <w:rPr>
          <w:rFonts w:ascii="Arial" w:hAnsi="Arial" w:cs="Arial"/>
        </w:rPr>
      </w:sdtEndPr>
      <w:sdtContent>
        <w:p w14:paraId="629970A7" w14:textId="77777777" w:rsidR="00C779A2" w:rsidRDefault="00C779A2" w:rsidP="00C44A6E">
          <w:pPr>
            <w:pStyle w:val="Nincstrkz"/>
            <w:jc w:val="both"/>
          </w:pPr>
          <w:r>
            <w:rPr>
              <w:noProof/>
              <w:lang w:val="en-GB" w:eastAsia="en-GB"/>
            </w:rPr>
            <mc:AlternateContent>
              <mc:Choice Requires="wpg">
                <w:drawing>
                  <wp:anchor distT="0" distB="0" distL="114300" distR="114300" simplePos="0" relativeHeight="251658240" behindDoc="1" locked="0" layoutInCell="1" allowOverlap="1" wp14:anchorId="5CC76265" wp14:editId="090C122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8D93B68" w14:textId="77777777" w:rsidR="00C779A2" w:rsidRDefault="00C779A2">
                                      <w:pPr>
                                        <w:pStyle w:val="Nincstrkz"/>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C76265" id="Group 2"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8D93B68" w14:textId="77777777" w:rsidR="00C779A2" w:rsidRDefault="00C779A2">
                                <w:pPr>
                                  <w:pStyle w:val="Nincstrkz"/>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58241" behindDoc="0" locked="0" layoutInCell="1" allowOverlap="1" wp14:anchorId="68169BC6" wp14:editId="70107A2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2E612A" w14:textId="77777777" w:rsidR="00C779A2" w:rsidRPr="00C779A2" w:rsidRDefault="009F642E">
                                <w:pPr>
                                  <w:pStyle w:val="Nincstrkz"/>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End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75523D14" w14:textId="77777777" w:rsidR="00C779A2" w:rsidRDefault="009F642E">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EndPr/>
                                  <w:sdtContent>
                                    <w:r w:rsidR="00C779A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8169BC6" id="_x0000_t202" coordsize="21600,21600" o:spt="202" path="m,l,21600r21600,l21600,xe">
                    <v:stroke joinstyle="miter"/>
                    <v:path gradientshapeok="t" o:connecttype="rect"/>
                  </v:shapetype>
                  <v:shape id="Text Box 1" o:spid="_x0000_s1055"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132E612A" w14:textId="77777777" w:rsidR="00C779A2" w:rsidRPr="00C779A2" w:rsidRDefault="009F642E">
                          <w:pPr>
                            <w:pStyle w:val="Nincstrkz"/>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End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75523D14" w14:textId="77777777" w:rsidR="00C779A2" w:rsidRDefault="009F642E">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EndPr/>
                            <w:sdtContent>
                              <w:r w:rsidR="00C779A2">
                                <w:rPr>
                                  <w:color w:val="404040" w:themeColor="text1" w:themeTint="BF"/>
                                  <w:sz w:val="36"/>
                                  <w:szCs w:val="36"/>
                                </w:rPr>
                                <w:t xml:space="preserve">     </w:t>
                              </w:r>
                            </w:sdtContent>
                          </w:sdt>
                        </w:p>
                      </w:txbxContent>
                    </v:textbox>
                    <w10:wrap anchorx="page" anchory="page"/>
                  </v:shape>
                </w:pict>
              </mc:Fallback>
            </mc:AlternateContent>
          </w:r>
        </w:p>
        <w:p w14:paraId="3383900F" w14:textId="77777777" w:rsidR="00C779A2" w:rsidRDefault="006A40DA" w:rsidP="00C44A6E">
          <w:pPr>
            <w:jc w:val="both"/>
            <w:rPr>
              <w:rFonts w:ascii="Arial" w:hAnsi="Arial" w:cs="Arial"/>
            </w:rPr>
          </w:pPr>
          <w:r w:rsidRPr="006A40DA">
            <w:rPr>
              <w:rFonts w:ascii="Arial" w:hAnsi="Arial" w:cs="Arial"/>
              <w:noProof/>
              <w:lang w:eastAsia="en-GB"/>
            </w:rPr>
            <mc:AlternateContent>
              <mc:Choice Requires="wps">
                <w:drawing>
                  <wp:anchor distT="45720" distB="45720" distL="114300" distR="114300" simplePos="0" relativeHeight="251658244" behindDoc="0" locked="0" layoutInCell="1" allowOverlap="1" wp14:anchorId="4662E806" wp14:editId="2F213125">
                    <wp:simplePos x="0" y="0"/>
                    <wp:positionH relativeFrom="column">
                      <wp:posOffset>2914650</wp:posOffset>
                    </wp:positionH>
                    <wp:positionV relativeFrom="paragraph">
                      <wp:posOffset>8163560</wp:posOffset>
                    </wp:positionV>
                    <wp:extent cx="3409950" cy="49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495300"/>
                            </a:xfrm>
                            <a:prstGeom prst="rect">
                              <a:avLst/>
                            </a:prstGeom>
                            <a:solidFill>
                              <a:srgbClr val="FFFFFF"/>
                            </a:solidFill>
                            <a:ln w="9525">
                              <a:solidFill>
                                <a:srgbClr val="000000"/>
                              </a:solidFill>
                              <a:miter lim="800000"/>
                              <a:headEnd/>
                              <a:tailEnd/>
                            </a:ln>
                          </wps:spPr>
                          <wps:txbx>
                            <w:txbxContent>
                              <w:p w14:paraId="27B6B184" w14:textId="77777777" w:rsidR="006A40DA" w:rsidRPr="006A40DA" w:rsidRDefault="006A40DA">
                                <w:pPr>
                                  <w:rPr>
                                    <w:sz w:val="28"/>
                                    <w:szCs w:val="28"/>
                                  </w:rPr>
                                </w:pPr>
                                <w:r w:rsidRPr="006A40DA">
                                  <w:rPr>
                                    <w:sz w:val="28"/>
                                    <w:szCs w:val="28"/>
                                  </w:rPr>
                                  <w:t>Lecturer’s Name: Dr Kwame Assa-Agyei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62E806" id="Text Box 2" o:spid="_x0000_s1056" type="#_x0000_t202" style="position:absolute;left:0;text-align:left;margin-left:229.5pt;margin-top:642.8pt;width:268.5pt;height:39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">
                    <v:textbox>
                      <w:txbxContent>
                        <w:p w14:paraId="27B6B184" w14:textId="77777777" w:rsidR="006A40DA" w:rsidRPr="006A40DA" w:rsidRDefault="006A40DA">
                          <w:pPr>
                            <w:rPr>
                              <w:sz w:val="28"/>
                              <w:szCs w:val="28"/>
                            </w:rPr>
                          </w:pPr>
                          <w:r w:rsidRPr="006A40DA">
                            <w:rPr>
                              <w:sz w:val="28"/>
                              <w:szCs w:val="28"/>
                            </w:rPr>
                            <w:t>Lecturer’s Name: Dr Kwame Assa-Agyei</w:t>
                          </w:r>
                        </w:p>
                      </w:txbxContent>
                    </v:textbox>
                    <w10:wrap type="square"/>
                  </v:shape>
                </w:pict>
              </mc:Fallback>
            </mc:AlternateContent>
          </w:r>
          <w:r w:rsidR="00C779A2" w:rsidRPr="00C779A2">
            <w:rPr>
              <w:rFonts w:ascii="Arial" w:hAnsi="Arial" w:cs="Arial"/>
              <w:noProof/>
              <w:lang w:eastAsia="en-GB"/>
            </w:rPr>
            <mc:AlternateContent>
              <mc:Choice Requires="wps">
                <w:drawing>
                  <wp:anchor distT="91440" distB="91440" distL="114300" distR="114300" simplePos="0" relativeHeight="251658243" behindDoc="0" locked="0" layoutInCell="1" allowOverlap="1" wp14:anchorId="5B6C1A00" wp14:editId="27671D27">
                    <wp:simplePos x="0" y="0"/>
                    <wp:positionH relativeFrom="margin">
                      <wp:align>right</wp:align>
                    </wp:positionH>
                    <wp:positionV relativeFrom="paragraph">
                      <wp:posOffset>6362700</wp:posOffset>
                    </wp:positionV>
                    <wp:extent cx="3648075" cy="10953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095375"/>
                            </a:xfrm>
                            <a:prstGeom prst="rect">
                              <a:avLst/>
                            </a:prstGeom>
                            <a:noFill/>
                            <a:ln w="9525">
                              <a:noFill/>
                              <a:miter lim="800000"/>
                              <a:headEnd/>
                              <a:tailEnd/>
                            </a:ln>
                          </wps:spPr>
                          <wps:txbx>
                            <w:txbxContent>
                              <w:p w14:paraId="6B51BBB1" w14:textId="03E252A4"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CB2103">
                                  <w:rPr>
                                    <w:i/>
                                    <w:iCs/>
                                    <w:color w:val="5B9BD5" w:themeColor="accent1"/>
                                    <w:sz w:val="24"/>
                                    <w:szCs w:val="24"/>
                                  </w:rPr>
                                  <w:t xml:space="preserve"> Istvan Cserny</w:t>
                                </w:r>
                              </w:p>
                              <w:p w14:paraId="399A7042" w14:textId="6B1880F9"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Number</w:t>
                                </w:r>
                                <w:r w:rsidR="00957DA9">
                                  <w:rPr>
                                    <w:i/>
                                    <w:iCs/>
                                    <w:color w:val="5B9BD5" w:themeColor="accent1"/>
                                    <w:sz w:val="24"/>
                                    <w:szCs w:val="24"/>
                                  </w:rPr>
                                  <w:t xml:space="preserve"> 2025455</w:t>
                                </w:r>
                              </w:p>
                              <w:p w14:paraId="74D170A9"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6C1A00" id="_x0000_s1057" type="#_x0000_t202" style="position:absolute;left:0;text-align:left;margin-left:236.05pt;margin-top:501pt;width:287.25pt;height:86.25pt;z-index:251658243;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" filled="f" stroked="f">
                    <v:textbox>
                      <w:txbxContent>
                        <w:p w14:paraId="6B51BBB1" w14:textId="03E252A4"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CB2103">
                            <w:rPr>
                              <w:i/>
                              <w:iCs/>
                              <w:color w:val="5B9BD5" w:themeColor="accent1"/>
                              <w:sz w:val="24"/>
                              <w:szCs w:val="24"/>
                            </w:rPr>
                            <w:t xml:space="preserve"> Istvan Cserny</w:t>
                          </w:r>
                        </w:p>
                        <w:p w14:paraId="399A7042" w14:textId="6B1880F9"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Number</w:t>
                          </w:r>
                          <w:r w:rsidR="00957DA9">
                            <w:rPr>
                              <w:i/>
                              <w:iCs/>
                              <w:color w:val="5B9BD5" w:themeColor="accent1"/>
                              <w:sz w:val="24"/>
                              <w:szCs w:val="24"/>
                            </w:rPr>
                            <w:t xml:space="preserve"> 2025455</w:t>
                          </w:r>
                        </w:p>
                        <w:p w14:paraId="74D170A9"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v:textbox>
                    <w10:wrap type="topAndBottom" anchorx="margin"/>
                  </v:shape>
                </w:pict>
              </mc:Fallback>
            </mc:AlternateContent>
          </w:r>
          <w:r w:rsidR="00C779A2" w:rsidRPr="009A1164">
            <w:rPr>
              <w:rFonts w:ascii="Arial" w:hAnsi="Arial" w:cs="Arial"/>
              <w:noProof/>
              <w:lang w:eastAsia="en-GB"/>
            </w:rPr>
            <w:drawing>
              <wp:anchor distT="0" distB="0" distL="114300" distR="114300" simplePos="0" relativeHeight="251658242" behindDoc="0" locked="0" layoutInCell="1" allowOverlap="1" wp14:anchorId="5D2E5A73" wp14:editId="7C4296ED">
                <wp:simplePos x="0" y="0"/>
                <wp:positionH relativeFrom="column">
                  <wp:posOffset>2905125</wp:posOffset>
                </wp:positionH>
                <wp:positionV relativeFrom="paragraph">
                  <wp:posOffset>3114040</wp:posOffset>
                </wp:positionV>
                <wp:extent cx="1666875" cy="1657350"/>
                <wp:effectExtent l="0" t="0" r="9525" b="0"/>
                <wp:wrapNone/>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r w:rsidR="00C779A2">
            <w:rPr>
              <w:rFonts w:ascii="Arial" w:hAnsi="Arial" w:cs="Arial"/>
            </w:rPr>
            <w:br w:type="page"/>
          </w:r>
        </w:p>
      </w:sdtContent>
    </w:sdt>
    <w:p w14:paraId="593A5DAC" w14:textId="77777777" w:rsidR="00C779A2" w:rsidRDefault="00C779A2" w:rsidP="00C44A6E">
      <w:pPr>
        <w:pStyle w:val="Tartalomjegyzkcmsora"/>
        <w:jc w:val="both"/>
        <w:rPr>
          <w:rFonts w:ascii="Arial" w:hAnsi="Arial" w:cs="Arial"/>
        </w:rPr>
      </w:pPr>
    </w:p>
    <w:sdt>
      <w:sdtPr>
        <w:rPr>
          <w:rFonts w:ascii="Arial" w:hAnsi="Arial" w:cs="Arial"/>
        </w:rPr>
        <w:id w:val="-415555047"/>
        <w:docPartObj>
          <w:docPartGallery w:val="Table of Contents"/>
          <w:docPartUnique/>
        </w:docPartObj>
      </w:sdtPr>
      <w:sdtEndPr>
        <w:rPr>
          <w:rFonts w:asciiTheme="minorHAnsi" w:hAnsiTheme="minorHAnsi" w:cstheme="minorBidi"/>
          <w:b/>
          <w:bCs/>
          <w:noProof/>
        </w:rPr>
      </w:sdtEndPr>
      <w:sdtContent>
        <w:p w14:paraId="2F28819A" w14:textId="77777777" w:rsidR="00C779A2" w:rsidRPr="00C779A2" w:rsidRDefault="00C779A2" w:rsidP="00C44A6E">
          <w:pPr>
            <w:jc w:val="both"/>
            <w:rPr>
              <w:rFonts w:ascii="Arial" w:hAnsi="Arial" w:cs="Arial"/>
            </w:rPr>
          </w:pPr>
          <w:r w:rsidRPr="00C779A2">
            <w:rPr>
              <w:rFonts w:ascii="Arial" w:hAnsi="Arial" w:cs="Arial"/>
              <w:sz w:val="36"/>
              <w:szCs w:val="36"/>
            </w:rPr>
            <w:t>Table of Contents</w:t>
          </w:r>
        </w:p>
        <w:p w14:paraId="482CF3C1" w14:textId="25A717D2" w:rsidR="00CB2103" w:rsidRDefault="00C779A2">
          <w:pPr>
            <w:pStyle w:val="TJ1"/>
            <w:tabs>
              <w:tab w:val="right" w:leader="dot" w:pos="9016"/>
            </w:tabs>
            <w:rPr>
              <w:rFonts w:eastAsiaTheme="minorEastAsia"/>
              <w:noProof/>
              <w:lang w:eastAsia="en-GB"/>
            </w:rPr>
          </w:pPr>
          <w:r w:rsidRPr="006A40DA">
            <w:rPr>
              <w:rFonts w:ascii="Arial" w:hAnsi="Arial" w:cs="Arial"/>
            </w:rPr>
            <w:fldChar w:fldCharType="begin"/>
          </w:r>
          <w:r w:rsidRPr="006A40DA">
            <w:rPr>
              <w:rFonts w:ascii="Arial" w:hAnsi="Arial" w:cs="Arial"/>
            </w:rPr>
            <w:instrText xml:space="preserve"> TOC \o "1-3" \h \z \u </w:instrText>
          </w:r>
          <w:r w:rsidRPr="006A40DA">
            <w:rPr>
              <w:rFonts w:ascii="Arial" w:hAnsi="Arial" w:cs="Arial"/>
            </w:rPr>
            <w:fldChar w:fldCharType="separate"/>
          </w:r>
          <w:hyperlink w:anchor="_Toc216987459" w:history="1">
            <w:r w:rsidR="00CB2103" w:rsidRPr="009F0569">
              <w:rPr>
                <w:rStyle w:val="Hiperhivatkozs"/>
                <w:noProof/>
              </w:rPr>
              <w:t xml:space="preserve">Cybersecurity Policy Development for </w:t>
            </w:r>
            <w:r w:rsidR="00CB2103" w:rsidRPr="009F0569">
              <w:rPr>
                <w:rStyle w:val="Hiperhivatkozs"/>
                <w:rFonts w:eastAsia="Times New Roman" w:cstheme="minorHAnsi"/>
                <w:noProof/>
                <w:lang w:eastAsia="en-GB"/>
              </w:rPr>
              <w:t>Vigilant Trust &amp; Asset Management</w:t>
            </w:r>
            <w:r w:rsidR="00CB2103">
              <w:rPr>
                <w:noProof/>
                <w:webHidden/>
              </w:rPr>
              <w:tab/>
            </w:r>
            <w:r w:rsidR="00CB2103">
              <w:rPr>
                <w:noProof/>
                <w:webHidden/>
              </w:rPr>
              <w:fldChar w:fldCharType="begin"/>
            </w:r>
            <w:r w:rsidR="00CB2103">
              <w:rPr>
                <w:noProof/>
                <w:webHidden/>
              </w:rPr>
              <w:instrText xml:space="preserve"> PAGEREF _Toc216987459 \h </w:instrText>
            </w:r>
            <w:r w:rsidR="00CB2103">
              <w:rPr>
                <w:noProof/>
                <w:webHidden/>
              </w:rPr>
            </w:r>
            <w:r w:rsidR="00CB2103">
              <w:rPr>
                <w:noProof/>
                <w:webHidden/>
              </w:rPr>
              <w:fldChar w:fldCharType="separate"/>
            </w:r>
            <w:r w:rsidR="00CB2103">
              <w:rPr>
                <w:noProof/>
                <w:webHidden/>
              </w:rPr>
              <w:t>1</w:t>
            </w:r>
            <w:r w:rsidR="00CB2103">
              <w:rPr>
                <w:noProof/>
                <w:webHidden/>
              </w:rPr>
              <w:fldChar w:fldCharType="end"/>
            </w:r>
          </w:hyperlink>
        </w:p>
        <w:p w14:paraId="7F901198" w14:textId="0A076A4B" w:rsidR="00CB2103" w:rsidRDefault="00CB2103">
          <w:pPr>
            <w:pStyle w:val="TJ1"/>
            <w:tabs>
              <w:tab w:val="right" w:leader="dot" w:pos="9016"/>
            </w:tabs>
            <w:rPr>
              <w:rFonts w:eastAsiaTheme="minorEastAsia"/>
              <w:noProof/>
              <w:lang w:eastAsia="en-GB"/>
            </w:rPr>
          </w:pPr>
          <w:hyperlink w:anchor="_Toc216987460" w:history="1">
            <w:r w:rsidRPr="009F0569">
              <w:rPr>
                <w:rStyle w:val="Hiperhivatkozs"/>
                <w:noProof/>
              </w:rPr>
              <w:t>Introduction</w:t>
            </w:r>
            <w:r>
              <w:rPr>
                <w:noProof/>
                <w:webHidden/>
              </w:rPr>
              <w:tab/>
            </w:r>
            <w:r>
              <w:rPr>
                <w:noProof/>
                <w:webHidden/>
              </w:rPr>
              <w:fldChar w:fldCharType="begin"/>
            </w:r>
            <w:r>
              <w:rPr>
                <w:noProof/>
                <w:webHidden/>
              </w:rPr>
              <w:instrText xml:space="preserve"> PAGEREF _Toc216987460 \h </w:instrText>
            </w:r>
            <w:r>
              <w:rPr>
                <w:noProof/>
                <w:webHidden/>
              </w:rPr>
            </w:r>
            <w:r>
              <w:rPr>
                <w:noProof/>
                <w:webHidden/>
              </w:rPr>
              <w:fldChar w:fldCharType="separate"/>
            </w:r>
            <w:r>
              <w:rPr>
                <w:noProof/>
                <w:webHidden/>
              </w:rPr>
              <w:t>1</w:t>
            </w:r>
            <w:r>
              <w:rPr>
                <w:noProof/>
                <w:webHidden/>
              </w:rPr>
              <w:fldChar w:fldCharType="end"/>
            </w:r>
          </w:hyperlink>
        </w:p>
        <w:p w14:paraId="54FFF64B" w14:textId="3CB92986" w:rsidR="00CB2103" w:rsidRDefault="00CB2103">
          <w:pPr>
            <w:pStyle w:val="TJ1"/>
            <w:tabs>
              <w:tab w:val="right" w:leader="dot" w:pos="9016"/>
            </w:tabs>
            <w:rPr>
              <w:rFonts w:eastAsiaTheme="minorEastAsia"/>
              <w:noProof/>
              <w:lang w:eastAsia="en-GB"/>
            </w:rPr>
          </w:pPr>
          <w:hyperlink w:anchor="_Toc216987461" w:history="1">
            <w:r w:rsidRPr="009F0569">
              <w:rPr>
                <w:rStyle w:val="Hiperhivatkozs"/>
                <w:noProof/>
              </w:rPr>
              <w:t>Identification of Modern Threats</w:t>
            </w:r>
            <w:r>
              <w:rPr>
                <w:noProof/>
                <w:webHidden/>
              </w:rPr>
              <w:tab/>
            </w:r>
            <w:r>
              <w:rPr>
                <w:noProof/>
                <w:webHidden/>
              </w:rPr>
              <w:fldChar w:fldCharType="begin"/>
            </w:r>
            <w:r>
              <w:rPr>
                <w:noProof/>
                <w:webHidden/>
              </w:rPr>
              <w:instrText xml:space="preserve"> PAGEREF _Toc216987461 \h </w:instrText>
            </w:r>
            <w:r>
              <w:rPr>
                <w:noProof/>
                <w:webHidden/>
              </w:rPr>
            </w:r>
            <w:r>
              <w:rPr>
                <w:noProof/>
                <w:webHidden/>
              </w:rPr>
              <w:fldChar w:fldCharType="separate"/>
            </w:r>
            <w:r>
              <w:rPr>
                <w:noProof/>
                <w:webHidden/>
              </w:rPr>
              <w:t>1</w:t>
            </w:r>
            <w:r>
              <w:rPr>
                <w:noProof/>
                <w:webHidden/>
              </w:rPr>
              <w:fldChar w:fldCharType="end"/>
            </w:r>
          </w:hyperlink>
        </w:p>
        <w:p w14:paraId="7A9881AB" w14:textId="0F4FD58C" w:rsidR="00CB2103" w:rsidRDefault="00CB2103">
          <w:pPr>
            <w:pStyle w:val="TJ3"/>
            <w:tabs>
              <w:tab w:val="right" w:leader="dot" w:pos="9016"/>
            </w:tabs>
            <w:rPr>
              <w:rFonts w:eastAsiaTheme="minorEastAsia"/>
              <w:noProof/>
              <w:lang w:eastAsia="en-GB"/>
            </w:rPr>
          </w:pPr>
          <w:hyperlink w:anchor="_Toc216987462" w:history="1">
            <w:r w:rsidRPr="009F0569">
              <w:rPr>
                <w:rStyle w:val="Hiperhivatkozs"/>
                <w:rFonts w:ascii="Arial" w:eastAsia="Times New Roman" w:hAnsi="Arial" w:cs="Arial"/>
                <w:b/>
                <w:noProof/>
              </w:rPr>
              <w:t>Zero Trust Architecture Overview</w:t>
            </w:r>
            <w:r>
              <w:rPr>
                <w:noProof/>
                <w:webHidden/>
              </w:rPr>
              <w:tab/>
            </w:r>
            <w:r>
              <w:rPr>
                <w:noProof/>
                <w:webHidden/>
              </w:rPr>
              <w:fldChar w:fldCharType="begin"/>
            </w:r>
            <w:r>
              <w:rPr>
                <w:noProof/>
                <w:webHidden/>
              </w:rPr>
              <w:instrText xml:space="preserve"> PAGEREF _Toc216987462 \h </w:instrText>
            </w:r>
            <w:r>
              <w:rPr>
                <w:noProof/>
                <w:webHidden/>
              </w:rPr>
            </w:r>
            <w:r>
              <w:rPr>
                <w:noProof/>
                <w:webHidden/>
              </w:rPr>
              <w:fldChar w:fldCharType="separate"/>
            </w:r>
            <w:r>
              <w:rPr>
                <w:noProof/>
                <w:webHidden/>
              </w:rPr>
              <w:t>3</w:t>
            </w:r>
            <w:r>
              <w:rPr>
                <w:noProof/>
                <w:webHidden/>
              </w:rPr>
              <w:fldChar w:fldCharType="end"/>
            </w:r>
          </w:hyperlink>
        </w:p>
        <w:p w14:paraId="47B388F0" w14:textId="7FC086FA" w:rsidR="00CB2103" w:rsidRDefault="00CB2103">
          <w:pPr>
            <w:pStyle w:val="TJ1"/>
            <w:tabs>
              <w:tab w:val="right" w:leader="dot" w:pos="9016"/>
            </w:tabs>
            <w:rPr>
              <w:rFonts w:eastAsiaTheme="minorEastAsia"/>
              <w:noProof/>
              <w:lang w:eastAsia="en-GB"/>
            </w:rPr>
          </w:pPr>
          <w:hyperlink w:anchor="_Toc216987463" w:history="1">
            <w:r w:rsidRPr="009F0569">
              <w:rPr>
                <w:rStyle w:val="Hiperhivatkozs"/>
                <w:rFonts w:ascii="Arial" w:eastAsia="Times New Roman" w:hAnsi="Arial" w:cs="Arial"/>
                <w:noProof/>
              </w:rPr>
              <w:t>Core Principles</w:t>
            </w:r>
            <w:r>
              <w:rPr>
                <w:noProof/>
                <w:webHidden/>
              </w:rPr>
              <w:tab/>
            </w:r>
            <w:r>
              <w:rPr>
                <w:noProof/>
                <w:webHidden/>
              </w:rPr>
              <w:fldChar w:fldCharType="begin"/>
            </w:r>
            <w:r>
              <w:rPr>
                <w:noProof/>
                <w:webHidden/>
              </w:rPr>
              <w:instrText xml:space="preserve"> PAGEREF _Toc216987463 \h </w:instrText>
            </w:r>
            <w:r>
              <w:rPr>
                <w:noProof/>
                <w:webHidden/>
              </w:rPr>
            </w:r>
            <w:r>
              <w:rPr>
                <w:noProof/>
                <w:webHidden/>
              </w:rPr>
              <w:fldChar w:fldCharType="separate"/>
            </w:r>
            <w:r>
              <w:rPr>
                <w:noProof/>
                <w:webHidden/>
              </w:rPr>
              <w:t>3</w:t>
            </w:r>
            <w:r>
              <w:rPr>
                <w:noProof/>
                <w:webHidden/>
              </w:rPr>
              <w:fldChar w:fldCharType="end"/>
            </w:r>
          </w:hyperlink>
        </w:p>
        <w:p w14:paraId="4D9936EE" w14:textId="4768C8A9" w:rsidR="00CB2103" w:rsidRDefault="00CB2103">
          <w:pPr>
            <w:pStyle w:val="TJ1"/>
            <w:tabs>
              <w:tab w:val="right" w:leader="dot" w:pos="9016"/>
            </w:tabs>
            <w:rPr>
              <w:rFonts w:eastAsiaTheme="minorEastAsia"/>
              <w:noProof/>
              <w:lang w:eastAsia="en-GB"/>
            </w:rPr>
          </w:pPr>
          <w:hyperlink w:anchor="_Toc216987464" w:history="1">
            <w:r w:rsidRPr="009F0569">
              <w:rPr>
                <w:rStyle w:val="Hiperhivatkozs"/>
                <w:noProof/>
              </w:rPr>
              <w:t>Modern Security Policies</w:t>
            </w:r>
            <w:r>
              <w:rPr>
                <w:noProof/>
                <w:webHidden/>
              </w:rPr>
              <w:tab/>
            </w:r>
            <w:r>
              <w:rPr>
                <w:noProof/>
                <w:webHidden/>
              </w:rPr>
              <w:fldChar w:fldCharType="begin"/>
            </w:r>
            <w:r>
              <w:rPr>
                <w:noProof/>
                <w:webHidden/>
              </w:rPr>
              <w:instrText xml:space="preserve"> PAGEREF _Toc216987464 \h </w:instrText>
            </w:r>
            <w:r>
              <w:rPr>
                <w:noProof/>
                <w:webHidden/>
              </w:rPr>
            </w:r>
            <w:r>
              <w:rPr>
                <w:noProof/>
                <w:webHidden/>
              </w:rPr>
              <w:fldChar w:fldCharType="separate"/>
            </w:r>
            <w:r>
              <w:rPr>
                <w:noProof/>
                <w:webHidden/>
              </w:rPr>
              <w:t>4</w:t>
            </w:r>
            <w:r>
              <w:rPr>
                <w:noProof/>
                <w:webHidden/>
              </w:rPr>
              <w:fldChar w:fldCharType="end"/>
            </w:r>
          </w:hyperlink>
        </w:p>
        <w:p w14:paraId="09DD16D7" w14:textId="0A31F1E2" w:rsidR="00CB2103" w:rsidRDefault="00CB2103">
          <w:pPr>
            <w:pStyle w:val="TJ1"/>
            <w:tabs>
              <w:tab w:val="right" w:leader="dot" w:pos="9016"/>
            </w:tabs>
            <w:rPr>
              <w:rFonts w:eastAsiaTheme="minorEastAsia"/>
              <w:noProof/>
              <w:lang w:eastAsia="en-GB"/>
            </w:rPr>
          </w:pPr>
          <w:hyperlink w:anchor="_Toc216987465" w:history="1">
            <w:r w:rsidRPr="009F0569">
              <w:rPr>
                <w:rStyle w:val="Hiperhivatkozs"/>
                <w:noProof/>
              </w:rPr>
              <w:t>Technical Mitigation Measures</w:t>
            </w:r>
            <w:r>
              <w:rPr>
                <w:noProof/>
                <w:webHidden/>
              </w:rPr>
              <w:tab/>
            </w:r>
            <w:r>
              <w:rPr>
                <w:noProof/>
                <w:webHidden/>
              </w:rPr>
              <w:fldChar w:fldCharType="begin"/>
            </w:r>
            <w:r>
              <w:rPr>
                <w:noProof/>
                <w:webHidden/>
              </w:rPr>
              <w:instrText xml:space="preserve"> PAGEREF _Toc216987465 \h </w:instrText>
            </w:r>
            <w:r>
              <w:rPr>
                <w:noProof/>
                <w:webHidden/>
              </w:rPr>
            </w:r>
            <w:r>
              <w:rPr>
                <w:noProof/>
                <w:webHidden/>
              </w:rPr>
              <w:fldChar w:fldCharType="separate"/>
            </w:r>
            <w:r>
              <w:rPr>
                <w:noProof/>
                <w:webHidden/>
              </w:rPr>
              <w:t>5</w:t>
            </w:r>
            <w:r>
              <w:rPr>
                <w:noProof/>
                <w:webHidden/>
              </w:rPr>
              <w:fldChar w:fldCharType="end"/>
            </w:r>
          </w:hyperlink>
        </w:p>
        <w:p w14:paraId="01C1E96F" w14:textId="156B6BE7" w:rsidR="00CB2103" w:rsidRDefault="00CB2103">
          <w:pPr>
            <w:pStyle w:val="TJ3"/>
            <w:tabs>
              <w:tab w:val="right" w:leader="dot" w:pos="9016"/>
            </w:tabs>
            <w:rPr>
              <w:rFonts w:eastAsiaTheme="minorEastAsia"/>
              <w:noProof/>
              <w:lang w:eastAsia="en-GB"/>
            </w:rPr>
          </w:pPr>
          <w:hyperlink w:anchor="_Toc216987466" w:history="1">
            <w:r w:rsidRPr="009F0569">
              <w:rPr>
                <w:rStyle w:val="Hiperhivatkozs"/>
                <w:rFonts w:ascii="Arial" w:eastAsia="Times New Roman" w:hAnsi="Arial" w:cs="Arial"/>
                <w:b/>
                <w:noProof/>
              </w:rPr>
              <w:t>Technical and Administrative Mitigation Measures</w:t>
            </w:r>
            <w:r>
              <w:rPr>
                <w:noProof/>
                <w:webHidden/>
              </w:rPr>
              <w:tab/>
            </w:r>
            <w:r>
              <w:rPr>
                <w:noProof/>
                <w:webHidden/>
              </w:rPr>
              <w:fldChar w:fldCharType="begin"/>
            </w:r>
            <w:r>
              <w:rPr>
                <w:noProof/>
                <w:webHidden/>
              </w:rPr>
              <w:instrText xml:space="preserve"> PAGEREF _Toc216987466 \h </w:instrText>
            </w:r>
            <w:r>
              <w:rPr>
                <w:noProof/>
                <w:webHidden/>
              </w:rPr>
            </w:r>
            <w:r>
              <w:rPr>
                <w:noProof/>
                <w:webHidden/>
              </w:rPr>
              <w:fldChar w:fldCharType="separate"/>
            </w:r>
            <w:r>
              <w:rPr>
                <w:noProof/>
                <w:webHidden/>
              </w:rPr>
              <w:t>5</w:t>
            </w:r>
            <w:r>
              <w:rPr>
                <w:noProof/>
                <w:webHidden/>
              </w:rPr>
              <w:fldChar w:fldCharType="end"/>
            </w:r>
          </w:hyperlink>
        </w:p>
        <w:p w14:paraId="07250B10" w14:textId="65663C0F" w:rsidR="00CB2103" w:rsidRDefault="00CB2103">
          <w:pPr>
            <w:pStyle w:val="TJ1"/>
            <w:tabs>
              <w:tab w:val="right" w:leader="dot" w:pos="9016"/>
            </w:tabs>
            <w:rPr>
              <w:rFonts w:eastAsiaTheme="minorEastAsia"/>
              <w:noProof/>
              <w:lang w:eastAsia="en-GB"/>
            </w:rPr>
          </w:pPr>
          <w:hyperlink w:anchor="_Toc216987467" w:history="1">
            <w:r w:rsidRPr="009F0569">
              <w:rPr>
                <w:rStyle w:val="Hiperhivatkozs"/>
                <w:noProof/>
              </w:rPr>
              <w:t>Proactive Monitoring and Incident Response</w:t>
            </w:r>
            <w:r>
              <w:rPr>
                <w:noProof/>
                <w:webHidden/>
              </w:rPr>
              <w:tab/>
            </w:r>
            <w:r>
              <w:rPr>
                <w:noProof/>
                <w:webHidden/>
              </w:rPr>
              <w:fldChar w:fldCharType="begin"/>
            </w:r>
            <w:r>
              <w:rPr>
                <w:noProof/>
                <w:webHidden/>
              </w:rPr>
              <w:instrText xml:space="preserve"> PAGEREF _Toc216987467 \h </w:instrText>
            </w:r>
            <w:r>
              <w:rPr>
                <w:noProof/>
                <w:webHidden/>
              </w:rPr>
            </w:r>
            <w:r>
              <w:rPr>
                <w:noProof/>
                <w:webHidden/>
              </w:rPr>
              <w:fldChar w:fldCharType="separate"/>
            </w:r>
            <w:r>
              <w:rPr>
                <w:noProof/>
                <w:webHidden/>
              </w:rPr>
              <w:t>5</w:t>
            </w:r>
            <w:r>
              <w:rPr>
                <w:noProof/>
                <w:webHidden/>
              </w:rPr>
              <w:fldChar w:fldCharType="end"/>
            </w:r>
          </w:hyperlink>
        </w:p>
        <w:p w14:paraId="33262016" w14:textId="4B8F1280" w:rsidR="00CB2103" w:rsidRDefault="00CB2103">
          <w:pPr>
            <w:pStyle w:val="TJ1"/>
            <w:tabs>
              <w:tab w:val="right" w:leader="dot" w:pos="9016"/>
            </w:tabs>
            <w:rPr>
              <w:rFonts w:eastAsiaTheme="minorEastAsia"/>
              <w:noProof/>
              <w:lang w:eastAsia="en-GB"/>
            </w:rPr>
          </w:pPr>
          <w:hyperlink w:anchor="_Toc216987468" w:history="1">
            <w:r w:rsidRPr="009F0569">
              <w:rPr>
                <w:rStyle w:val="Hiperhivatkozs"/>
                <w:noProof/>
              </w:rPr>
              <w:t>Continuous Training and Awareness</w:t>
            </w:r>
            <w:r>
              <w:rPr>
                <w:noProof/>
                <w:webHidden/>
              </w:rPr>
              <w:tab/>
            </w:r>
            <w:r>
              <w:rPr>
                <w:noProof/>
                <w:webHidden/>
              </w:rPr>
              <w:fldChar w:fldCharType="begin"/>
            </w:r>
            <w:r>
              <w:rPr>
                <w:noProof/>
                <w:webHidden/>
              </w:rPr>
              <w:instrText xml:space="preserve"> PAGEREF _Toc216987468 \h </w:instrText>
            </w:r>
            <w:r>
              <w:rPr>
                <w:noProof/>
                <w:webHidden/>
              </w:rPr>
            </w:r>
            <w:r>
              <w:rPr>
                <w:noProof/>
                <w:webHidden/>
              </w:rPr>
              <w:fldChar w:fldCharType="separate"/>
            </w:r>
            <w:r>
              <w:rPr>
                <w:noProof/>
                <w:webHidden/>
              </w:rPr>
              <w:t>6</w:t>
            </w:r>
            <w:r>
              <w:rPr>
                <w:noProof/>
                <w:webHidden/>
              </w:rPr>
              <w:fldChar w:fldCharType="end"/>
            </w:r>
          </w:hyperlink>
        </w:p>
        <w:p w14:paraId="58A9AA19" w14:textId="113BD531" w:rsidR="00CB2103" w:rsidRDefault="00CB2103">
          <w:pPr>
            <w:pStyle w:val="TJ1"/>
            <w:tabs>
              <w:tab w:val="right" w:leader="dot" w:pos="9016"/>
            </w:tabs>
            <w:rPr>
              <w:rFonts w:eastAsiaTheme="minorEastAsia"/>
              <w:noProof/>
              <w:lang w:eastAsia="en-GB"/>
            </w:rPr>
          </w:pPr>
          <w:hyperlink w:anchor="_Toc216987469" w:history="1">
            <w:r w:rsidRPr="009F0569">
              <w:rPr>
                <w:rStyle w:val="Hiperhivatkozs"/>
                <w:noProof/>
              </w:rPr>
              <w:t>Conclusion</w:t>
            </w:r>
            <w:r>
              <w:rPr>
                <w:noProof/>
                <w:webHidden/>
              </w:rPr>
              <w:tab/>
            </w:r>
            <w:r>
              <w:rPr>
                <w:noProof/>
                <w:webHidden/>
              </w:rPr>
              <w:fldChar w:fldCharType="begin"/>
            </w:r>
            <w:r>
              <w:rPr>
                <w:noProof/>
                <w:webHidden/>
              </w:rPr>
              <w:instrText xml:space="preserve"> PAGEREF _Toc216987469 \h </w:instrText>
            </w:r>
            <w:r>
              <w:rPr>
                <w:noProof/>
                <w:webHidden/>
              </w:rPr>
            </w:r>
            <w:r>
              <w:rPr>
                <w:noProof/>
                <w:webHidden/>
              </w:rPr>
              <w:fldChar w:fldCharType="separate"/>
            </w:r>
            <w:r>
              <w:rPr>
                <w:noProof/>
                <w:webHidden/>
              </w:rPr>
              <w:t>6</w:t>
            </w:r>
            <w:r>
              <w:rPr>
                <w:noProof/>
                <w:webHidden/>
              </w:rPr>
              <w:fldChar w:fldCharType="end"/>
            </w:r>
          </w:hyperlink>
        </w:p>
        <w:p w14:paraId="7FEF61EC" w14:textId="0697D43F" w:rsidR="00CB2103" w:rsidRDefault="00CB2103">
          <w:pPr>
            <w:pStyle w:val="TJ1"/>
            <w:tabs>
              <w:tab w:val="right" w:leader="dot" w:pos="9016"/>
            </w:tabs>
            <w:rPr>
              <w:rFonts w:eastAsiaTheme="minorEastAsia"/>
              <w:noProof/>
              <w:lang w:eastAsia="en-GB"/>
            </w:rPr>
          </w:pPr>
          <w:hyperlink w:anchor="_Toc216987470" w:history="1">
            <w:r w:rsidRPr="009F0569">
              <w:rPr>
                <w:rStyle w:val="Hiperhivatkozs"/>
                <w:noProof/>
              </w:rPr>
              <w:t>References</w:t>
            </w:r>
            <w:r>
              <w:rPr>
                <w:noProof/>
                <w:webHidden/>
              </w:rPr>
              <w:tab/>
            </w:r>
            <w:r>
              <w:rPr>
                <w:noProof/>
                <w:webHidden/>
              </w:rPr>
              <w:fldChar w:fldCharType="begin"/>
            </w:r>
            <w:r>
              <w:rPr>
                <w:noProof/>
                <w:webHidden/>
              </w:rPr>
              <w:instrText xml:space="preserve"> PAGEREF _Toc216987470 \h </w:instrText>
            </w:r>
            <w:r>
              <w:rPr>
                <w:noProof/>
                <w:webHidden/>
              </w:rPr>
            </w:r>
            <w:r>
              <w:rPr>
                <w:noProof/>
                <w:webHidden/>
              </w:rPr>
              <w:fldChar w:fldCharType="separate"/>
            </w:r>
            <w:r>
              <w:rPr>
                <w:noProof/>
                <w:webHidden/>
              </w:rPr>
              <w:t>6</w:t>
            </w:r>
            <w:r>
              <w:rPr>
                <w:noProof/>
                <w:webHidden/>
              </w:rPr>
              <w:fldChar w:fldCharType="end"/>
            </w:r>
          </w:hyperlink>
        </w:p>
        <w:p w14:paraId="1D8CA55B" w14:textId="21C20A9C" w:rsidR="00CB2103" w:rsidRDefault="00CB2103">
          <w:pPr>
            <w:pStyle w:val="TJ1"/>
            <w:tabs>
              <w:tab w:val="right" w:leader="dot" w:pos="9016"/>
            </w:tabs>
            <w:rPr>
              <w:rFonts w:eastAsiaTheme="minorEastAsia"/>
              <w:noProof/>
              <w:lang w:eastAsia="en-GB"/>
            </w:rPr>
          </w:pPr>
          <w:hyperlink w:anchor="_Toc216987471" w:history="1">
            <w:r w:rsidRPr="009F0569">
              <w:rPr>
                <w:rStyle w:val="Hiperhivatkozs"/>
                <w:noProof/>
              </w:rPr>
              <w:t>Appendix A: Screenshot of the Board of Directors PowerPoint presentation</w:t>
            </w:r>
            <w:r>
              <w:rPr>
                <w:noProof/>
                <w:webHidden/>
              </w:rPr>
              <w:tab/>
            </w:r>
            <w:r>
              <w:rPr>
                <w:noProof/>
                <w:webHidden/>
              </w:rPr>
              <w:fldChar w:fldCharType="begin"/>
            </w:r>
            <w:r>
              <w:rPr>
                <w:noProof/>
                <w:webHidden/>
              </w:rPr>
              <w:instrText xml:space="preserve"> PAGEREF _Toc216987471 \h </w:instrText>
            </w:r>
            <w:r>
              <w:rPr>
                <w:noProof/>
                <w:webHidden/>
              </w:rPr>
            </w:r>
            <w:r>
              <w:rPr>
                <w:noProof/>
                <w:webHidden/>
              </w:rPr>
              <w:fldChar w:fldCharType="separate"/>
            </w:r>
            <w:r>
              <w:rPr>
                <w:noProof/>
                <w:webHidden/>
              </w:rPr>
              <w:t>7</w:t>
            </w:r>
            <w:r>
              <w:rPr>
                <w:noProof/>
                <w:webHidden/>
              </w:rPr>
              <w:fldChar w:fldCharType="end"/>
            </w:r>
          </w:hyperlink>
        </w:p>
        <w:p w14:paraId="37B04909" w14:textId="3406D016" w:rsidR="00CB2103" w:rsidRDefault="00CB2103">
          <w:pPr>
            <w:pStyle w:val="TJ1"/>
            <w:tabs>
              <w:tab w:val="right" w:leader="dot" w:pos="9016"/>
            </w:tabs>
            <w:rPr>
              <w:rFonts w:eastAsiaTheme="minorEastAsia"/>
              <w:noProof/>
              <w:lang w:eastAsia="en-GB"/>
            </w:rPr>
          </w:pPr>
          <w:hyperlink w:anchor="_Toc216987472" w:history="1">
            <w:r w:rsidRPr="009F0569">
              <w:rPr>
                <w:rStyle w:val="Hiperhivatkozs"/>
                <w:noProof/>
              </w:rPr>
              <w:t>Appendix B: Screenshot of the Badge</w:t>
            </w:r>
            <w:r>
              <w:rPr>
                <w:noProof/>
                <w:webHidden/>
              </w:rPr>
              <w:tab/>
            </w:r>
            <w:r>
              <w:rPr>
                <w:noProof/>
                <w:webHidden/>
              </w:rPr>
              <w:fldChar w:fldCharType="begin"/>
            </w:r>
            <w:r>
              <w:rPr>
                <w:noProof/>
                <w:webHidden/>
              </w:rPr>
              <w:instrText xml:space="preserve"> PAGEREF _Toc216987472 \h </w:instrText>
            </w:r>
            <w:r>
              <w:rPr>
                <w:noProof/>
                <w:webHidden/>
              </w:rPr>
            </w:r>
            <w:r>
              <w:rPr>
                <w:noProof/>
                <w:webHidden/>
              </w:rPr>
              <w:fldChar w:fldCharType="separate"/>
            </w:r>
            <w:r>
              <w:rPr>
                <w:noProof/>
                <w:webHidden/>
              </w:rPr>
              <w:t>7</w:t>
            </w:r>
            <w:r>
              <w:rPr>
                <w:noProof/>
                <w:webHidden/>
              </w:rPr>
              <w:fldChar w:fldCharType="end"/>
            </w:r>
          </w:hyperlink>
        </w:p>
        <w:p w14:paraId="780AAC92" w14:textId="07C5BE94" w:rsidR="00C779A2" w:rsidRDefault="00C779A2" w:rsidP="00C44A6E">
          <w:pPr>
            <w:jc w:val="both"/>
          </w:pPr>
          <w:r w:rsidRPr="006A40DA">
            <w:rPr>
              <w:rFonts w:ascii="Arial" w:hAnsi="Arial" w:cs="Arial"/>
              <w:b/>
              <w:bCs/>
              <w:noProof/>
            </w:rPr>
            <w:fldChar w:fldCharType="end"/>
          </w:r>
        </w:p>
      </w:sdtContent>
    </w:sdt>
    <w:p w14:paraId="4C8B5F90" w14:textId="77777777" w:rsidR="00C779A2" w:rsidRDefault="00C779A2" w:rsidP="00C44A6E">
      <w:pPr>
        <w:jc w:val="both"/>
        <w:rPr>
          <w:rFonts w:ascii="Arial" w:hAnsi="Arial" w:cs="Arial"/>
        </w:rPr>
      </w:pPr>
      <w:r>
        <w:rPr>
          <w:rFonts w:ascii="Arial" w:hAnsi="Arial" w:cs="Arial"/>
        </w:rPr>
        <w:br w:type="page"/>
      </w:r>
    </w:p>
    <w:p w14:paraId="19DE0130" w14:textId="77777777" w:rsidR="00C779A2" w:rsidRDefault="00C779A2" w:rsidP="00C44A6E">
      <w:pPr>
        <w:pStyle w:val="Cmsor1"/>
        <w:jc w:val="both"/>
        <w:sectPr w:rsidR="00C779A2" w:rsidSect="00C779A2">
          <w:pgSz w:w="11906" w:h="16838"/>
          <w:pgMar w:top="1440" w:right="1440" w:bottom="1440" w:left="1440" w:header="708" w:footer="708" w:gutter="0"/>
          <w:pgNumType w:start="0"/>
          <w:cols w:space="708"/>
          <w:titlePg/>
          <w:docGrid w:linePitch="360"/>
        </w:sectPr>
      </w:pPr>
    </w:p>
    <w:p w14:paraId="74E05B29" w14:textId="473DD724" w:rsidR="00C779A2" w:rsidRDefault="00C779A2" w:rsidP="00E261F5">
      <w:pPr>
        <w:pStyle w:val="Cmsor1"/>
        <w:jc w:val="both"/>
      </w:pPr>
      <w:bookmarkStart w:id="0" w:name="_Toc216987459"/>
      <w:r w:rsidRPr="00C779A2">
        <w:lastRenderedPageBreak/>
        <w:t xml:space="preserve">Cybersecurity Policy Development for </w:t>
      </w:r>
      <w:r w:rsidR="00E261F5" w:rsidRPr="00C27A2A">
        <w:rPr>
          <w:rFonts w:asciiTheme="minorHAnsi" w:eastAsia="Times New Roman" w:hAnsiTheme="minorHAnsi" w:cstheme="minorHAnsi"/>
          <w:b w:val="0"/>
          <w:lang w:eastAsia="en-GB"/>
        </w:rPr>
        <w:t>Vigilant Trust &amp; Asset Management</w:t>
      </w:r>
      <w:bookmarkEnd w:id="0"/>
    </w:p>
    <w:p w14:paraId="5E163418" w14:textId="77777777" w:rsidR="00C779A2" w:rsidRDefault="00C779A2" w:rsidP="00C44A6E">
      <w:pPr>
        <w:spacing w:after="0"/>
        <w:jc w:val="both"/>
        <w:rPr>
          <w:rFonts w:ascii="Arial" w:hAnsi="Arial" w:cs="Arial"/>
        </w:rPr>
      </w:pPr>
    </w:p>
    <w:p w14:paraId="6B3815C8" w14:textId="77777777" w:rsidR="003F2B3E" w:rsidRDefault="003F2B3E" w:rsidP="00C44A6E">
      <w:pPr>
        <w:pStyle w:val="Cmsor1"/>
        <w:jc w:val="both"/>
      </w:pPr>
      <w:bookmarkStart w:id="1" w:name="_Toc216987460"/>
      <w:r w:rsidRPr="003F2B3E">
        <w:t>Introduction</w:t>
      </w:r>
      <w:bookmarkEnd w:id="1"/>
    </w:p>
    <w:p w14:paraId="1E511F96" w14:textId="77777777" w:rsidR="00C27A2A" w:rsidRP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t>Vigilant Trust &amp; Asset Management operates in a tightly regulated financial services environment that is facing a growing range of sophisticated cyber threats. Recent incidents, such as a targeted phishing attack that bypassed standard email security controls and an attempted ransomware breach, have exposed the shortcomings of traditional, perimeter-focused security approaches. In light of these events, the organisation’s board has mandated the adoption of a modern, comprehensive security framework based on Zero Trust principles.</w:t>
      </w:r>
    </w:p>
    <w:p w14:paraId="29358EA4" w14:textId="5036343B" w:rsidR="00C27A2A" w:rsidRP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t xml:space="preserve">Zero Trust should be viewed as a security strategy rather than a single product or technology. It is grounded in the concept of never assuming trust and requiring continuous verification for every access request. This approach recognises that threats can arise from both outside and within the organisation, meaning that no user, device, or system is automatically trusted by default. This report is informed by guidance from respected bodies such as </w:t>
      </w:r>
      <w:r w:rsidR="00EC5F8A" w:rsidRPr="00EC5F8A">
        <w:rPr>
          <w:rFonts w:ascii="Arial" w:eastAsia="Times New Roman" w:hAnsi="Arial" w:cs="Arial"/>
          <w:sz w:val="24"/>
          <w:szCs w:val="24"/>
          <w:lang w:eastAsia="en-GB"/>
        </w:rPr>
        <w:t>t</w:t>
      </w:r>
      <w:r w:rsidR="00EC5F8A" w:rsidRPr="00EC5F8A">
        <w:rPr>
          <w:rFonts w:ascii="Arial" w:hAnsi="Arial" w:cs="Arial"/>
          <w:sz w:val="24"/>
          <w:szCs w:val="24"/>
        </w:rPr>
        <w:t>he National Institute of Standards and Technology (NIST), the Cybersecurity and Infrastructure Security Agency (CISA), and the European Union Agency for Cybersecurity (ENISA) serve as authoritative sources of guidance for establishing robust cybersecurity practices. Their recommendations inform organisations on best practices for managing risk, protecting sensitive data, and responding effectively to evolving cyber threats. The approach adopted by organisations following these guidelines is aligned with widely recognised and respected standards and frameworks, such as the NIST Cybersecurity Framework (CSF), which provides a structured methodology for identifying, protecting, detecting, responding to, and recovering from cyber incidents. It also incorporates the principles outlined in NIST Special Publication 800-207 on Zero Trust Architecture, which emphasises continuous verification of all access requests and minimising implicit trust within networks. Additionally, adherence to ISO/IEC 27001 ensures a systematic approach to information security management, promoting consistent implementation of controls and continuous improvement across the organisation. By integrating these standards and frameworks, organisations can establish a comprehensive and resilient cybersecurity posture that is capable of addressing modern threats and supporting long-term operational resilience.</w:t>
      </w:r>
      <w:sdt>
        <w:sdtPr>
          <w:rPr>
            <w:rFonts w:ascii="Arial" w:eastAsia="Times New Roman" w:hAnsi="Arial" w:cs="Arial"/>
            <w:sz w:val="24"/>
            <w:szCs w:val="24"/>
            <w:lang w:eastAsia="en-GB"/>
          </w:rPr>
          <w:id w:val="-1198465332"/>
          <w:citation/>
        </w:sdtPr>
        <w:sdtContent>
          <w:r w:rsidR="00EC5F8A">
            <w:rPr>
              <w:rFonts w:ascii="Arial" w:eastAsia="Times New Roman" w:hAnsi="Arial" w:cs="Arial"/>
              <w:sz w:val="24"/>
              <w:szCs w:val="24"/>
              <w:lang w:eastAsia="en-GB"/>
            </w:rPr>
            <w:fldChar w:fldCharType="begin"/>
          </w:r>
          <w:r w:rsidR="00EC5F8A">
            <w:rPr>
              <w:rFonts w:ascii="Arial" w:eastAsia="Times New Roman" w:hAnsi="Arial" w:cs="Arial"/>
              <w:sz w:val="24"/>
              <w:szCs w:val="24"/>
              <w:lang w:val="hu-HU" w:eastAsia="en-GB"/>
            </w:rPr>
            <w:instrText xml:space="preserve"> CITATION Bla \l 1038 </w:instrText>
          </w:r>
          <w:r w:rsidR="00EC5F8A">
            <w:rPr>
              <w:rFonts w:ascii="Arial" w:eastAsia="Times New Roman" w:hAnsi="Arial" w:cs="Arial"/>
              <w:sz w:val="24"/>
              <w:szCs w:val="24"/>
              <w:lang w:eastAsia="en-GB"/>
            </w:rPr>
            <w:fldChar w:fldCharType="separate"/>
          </w:r>
          <w:r w:rsidR="00EC5F8A">
            <w:rPr>
              <w:rFonts w:ascii="Arial" w:eastAsia="Times New Roman" w:hAnsi="Arial" w:cs="Arial"/>
              <w:noProof/>
              <w:sz w:val="24"/>
              <w:szCs w:val="24"/>
              <w:lang w:val="hu-HU" w:eastAsia="en-GB"/>
            </w:rPr>
            <w:t xml:space="preserve"> </w:t>
          </w:r>
          <w:r w:rsidR="00EC5F8A" w:rsidRPr="00EC5F8A">
            <w:rPr>
              <w:rFonts w:ascii="Arial" w:eastAsia="Times New Roman" w:hAnsi="Arial" w:cs="Arial"/>
              <w:noProof/>
              <w:sz w:val="24"/>
              <w:szCs w:val="24"/>
              <w:lang w:val="hu-HU" w:eastAsia="en-GB"/>
            </w:rPr>
            <w:t>[1]</w:t>
          </w:r>
          <w:r w:rsidR="00EC5F8A">
            <w:rPr>
              <w:rFonts w:ascii="Arial" w:eastAsia="Times New Roman" w:hAnsi="Arial" w:cs="Arial"/>
              <w:sz w:val="24"/>
              <w:szCs w:val="24"/>
              <w:lang w:eastAsia="en-GB"/>
            </w:rPr>
            <w:fldChar w:fldCharType="end"/>
          </w:r>
        </w:sdtContent>
      </w:sdt>
    </w:p>
    <w:p w14:paraId="06ADF88E" w14:textId="77777777" w:rsidR="00C27A2A" w:rsidRP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t>The report aims to analyse contemporary cyber threats, establish security policies aligned with Zero Trust, propose practical technical and administrative safeguards, and describe proactive monitoring, incident response, and ongoing security awareness programmes suitable for a medium-sized financial services organisation.</w:t>
      </w:r>
    </w:p>
    <w:p w14:paraId="61A88D45" w14:textId="32E0E220" w:rsidR="00C779A2" w:rsidRDefault="00C779A2" w:rsidP="00C44A6E">
      <w:pPr>
        <w:spacing w:after="0"/>
        <w:jc w:val="both"/>
        <w:rPr>
          <w:rFonts w:ascii="Arial" w:hAnsi="Arial" w:cs="Arial"/>
        </w:rPr>
      </w:pPr>
    </w:p>
    <w:p w14:paraId="784FAD41" w14:textId="77777777" w:rsidR="00EC5F8A" w:rsidRDefault="00EC5F8A" w:rsidP="00C44A6E">
      <w:pPr>
        <w:spacing w:after="0"/>
        <w:jc w:val="both"/>
        <w:rPr>
          <w:rFonts w:ascii="Arial" w:hAnsi="Arial" w:cs="Arial"/>
        </w:rPr>
      </w:pPr>
    </w:p>
    <w:p w14:paraId="470AF587" w14:textId="77777777" w:rsidR="003F2B3E" w:rsidRDefault="00C779A2" w:rsidP="00C44A6E">
      <w:pPr>
        <w:pStyle w:val="Cmsor1"/>
        <w:jc w:val="both"/>
      </w:pPr>
      <w:bookmarkStart w:id="2" w:name="_Toc216987461"/>
      <w:r>
        <w:lastRenderedPageBreak/>
        <w:t>Identification of Modern Threats</w:t>
      </w:r>
      <w:bookmarkEnd w:id="2"/>
    </w:p>
    <w:p w14:paraId="0A7A06C0" w14:textId="77777777" w:rsidR="00C779A2" w:rsidRDefault="00C779A2" w:rsidP="00C44A6E">
      <w:pPr>
        <w:spacing w:after="0"/>
        <w:jc w:val="both"/>
        <w:rPr>
          <w:rFonts w:ascii="Arial" w:hAnsi="Arial" w:cs="Arial"/>
        </w:rPr>
      </w:pPr>
    </w:p>
    <w:p w14:paraId="0661AAE7" w14:textId="4E05FC8A" w:rsidR="00C779A2" w:rsidRPr="00C27A2A" w:rsidRDefault="00C27A2A" w:rsidP="00C44A6E">
      <w:pPr>
        <w:spacing w:after="0"/>
        <w:jc w:val="both"/>
        <w:rPr>
          <w:rFonts w:ascii="Arial" w:hAnsi="Arial" w:cs="Arial"/>
          <w:b/>
          <w:sz w:val="24"/>
          <w:szCs w:val="24"/>
        </w:rPr>
      </w:pPr>
      <w:r w:rsidRPr="00C27A2A">
        <w:rPr>
          <w:rFonts w:ascii="Arial" w:hAnsi="Arial" w:cs="Arial"/>
          <w:b/>
          <w:sz w:val="24"/>
          <w:szCs w:val="24"/>
        </w:rPr>
        <w:t>External Threats</w:t>
      </w:r>
    </w:p>
    <w:p w14:paraId="56B62A13" w14:textId="0399EC27" w:rsidR="00C27A2A" w:rsidRDefault="00C27A2A" w:rsidP="00C44A6E">
      <w:pPr>
        <w:spacing w:after="0"/>
        <w:jc w:val="both"/>
        <w:rPr>
          <w:rFonts w:ascii="Arial" w:hAnsi="Arial" w:cs="Arial"/>
          <w:b/>
        </w:rPr>
      </w:pPr>
    </w:p>
    <w:p w14:paraId="43053A62" w14:textId="715D486D" w:rsidR="00C27A2A" w:rsidRPr="00C27A2A" w:rsidRDefault="00C27A2A" w:rsidP="00C44A6E">
      <w:pPr>
        <w:spacing w:after="0"/>
        <w:jc w:val="both"/>
        <w:rPr>
          <w:rFonts w:ascii="Arial" w:hAnsi="Arial" w:cs="Arial"/>
          <w:b/>
          <w:sz w:val="24"/>
          <w:szCs w:val="24"/>
        </w:rPr>
      </w:pPr>
      <w:r w:rsidRPr="00C27A2A">
        <w:rPr>
          <w:rFonts w:ascii="Arial" w:hAnsi="Arial" w:cs="Arial"/>
          <w:b/>
          <w:sz w:val="24"/>
          <w:szCs w:val="24"/>
        </w:rPr>
        <w:t>Ransomware</w:t>
      </w:r>
    </w:p>
    <w:p w14:paraId="4D844AEE" w14:textId="77777777" w:rsidR="00C27A2A" w:rsidRP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t>Ransomware-as-a-Service (RaaS) has significantly reduced the technical hurdles for cybercriminals by supplying ready-made ransomware kits, built-in payment systems, and affiliate programmes. This model enables even actors with limited technical skills to carry out attacks. Financial institutions are especially appealing targets because they handle highly sensitive and valuable data and are often perceived as more willing to pay ransoms to rapidly restore essential services.</w:t>
      </w:r>
    </w:p>
    <w:p w14:paraId="673B7C54" w14:textId="5A786BC1" w:rsidR="00C27A2A" w:rsidRP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t xml:space="preserve">To gain initial access, attackers commonly use a combination of methods, such as carefully crafted phishing campaigns, stolen or reused login credentials, and the exploitation of well-known software vulnerabilities. Weaknesses listed by trusted sources like the CISA Known Exploited Vulnerabilities (KEV) Catalog are frequently targeted, underscoring the importance of ongoing patching and proactive </w:t>
      </w:r>
      <w:r w:rsidR="00F376B1">
        <w:rPr>
          <w:rFonts w:ascii="Arial" w:eastAsia="Times New Roman" w:hAnsi="Arial" w:cs="Arial"/>
          <w:sz w:val="24"/>
          <w:szCs w:val="24"/>
          <w:lang w:eastAsia="en-GB"/>
        </w:rPr>
        <w:t xml:space="preserve">monitoring of critical systems </w:t>
      </w:r>
      <w:sdt>
        <w:sdtPr>
          <w:rPr>
            <w:rFonts w:ascii="Arial" w:eastAsia="Times New Roman" w:hAnsi="Arial" w:cs="Arial"/>
            <w:sz w:val="24"/>
            <w:szCs w:val="24"/>
            <w:lang w:eastAsia="en-GB"/>
          </w:rPr>
          <w:id w:val="-1746484005"/>
          <w:citation/>
        </w:sdtPr>
        <w:sdtContent>
          <w:r w:rsidR="00F376B1">
            <w:rPr>
              <w:rFonts w:ascii="Arial" w:eastAsia="Times New Roman" w:hAnsi="Arial" w:cs="Arial"/>
              <w:sz w:val="24"/>
              <w:szCs w:val="24"/>
              <w:lang w:eastAsia="en-GB"/>
            </w:rPr>
            <w:fldChar w:fldCharType="begin"/>
          </w:r>
          <w:r w:rsidR="00F376B1">
            <w:rPr>
              <w:rFonts w:ascii="Arial" w:eastAsia="Times New Roman" w:hAnsi="Arial" w:cs="Arial"/>
              <w:sz w:val="24"/>
              <w:szCs w:val="24"/>
              <w:lang w:val="hu-HU" w:eastAsia="en-GB"/>
            </w:rPr>
            <w:instrText xml:space="preserve"> CITATION Kno23 \l 1038 </w:instrText>
          </w:r>
          <w:r w:rsidR="00F376B1">
            <w:rPr>
              <w:rFonts w:ascii="Arial" w:eastAsia="Times New Roman" w:hAnsi="Arial" w:cs="Arial"/>
              <w:sz w:val="24"/>
              <w:szCs w:val="24"/>
              <w:lang w:eastAsia="en-GB"/>
            </w:rPr>
            <w:fldChar w:fldCharType="separate"/>
          </w:r>
          <w:r w:rsidR="00EC5F8A" w:rsidRPr="00EC5F8A">
            <w:rPr>
              <w:rFonts w:ascii="Arial" w:eastAsia="Times New Roman" w:hAnsi="Arial" w:cs="Arial"/>
              <w:noProof/>
              <w:sz w:val="24"/>
              <w:szCs w:val="24"/>
              <w:lang w:val="hu-HU" w:eastAsia="en-GB"/>
            </w:rPr>
            <w:t>[2]</w:t>
          </w:r>
          <w:r w:rsidR="00F376B1">
            <w:rPr>
              <w:rFonts w:ascii="Arial" w:eastAsia="Times New Roman" w:hAnsi="Arial" w:cs="Arial"/>
              <w:sz w:val="24"/>
              <w:szCs w:val="24"/>
              <w:lang w:eastAsia="en-GB"/>
            </w:rPr>
            <w:fldChar w:fldCharType="end"/>
          </w:r>
        </w:sdtContent>
      </w:sdt>
      <w:r w:rsidRPr="00C27A2A">
        <w:rPr>
          <w:rFonts w:ascii="Arial" w:eastAsia="Times New Roman" w:hAnsi="Arial" w:cs="Arial"/>
          <w:sz w:val="24"/>
          <w:szCs w:val="24"/>
          <w:lang w:eastAsia="en-GB"/>
        </w:rPr>
        <w:t>. Furthermore, many RaaS platforms offer continuous support and regular updates to affiliates, making attacks easier to sustain, more advanced, and more resilient, which in turn heightens the risk of significant operational disruption and financial damage.</w:t>
      </w:r>
    </w:p>
    <w:p w14:paraId="269F8FD9" w14:textId="11C741B2" w:rsidR="00C27A2A" w:rsidRPr="00C27A2A" w:rsidRDefault="00C27A2A" w:rsidP="00C44A6E">
      <w:pPr>
        <w:spacing w:after="0"/>
        <w:jc w:val="both"/>
        <w:rPr>
          <w:rFonts w:ascii="Arial" w:hAnsi="Arial" w:cs="Arial"/>
          <w:b/>
          <w:sz w:val="24"/>
          <w:szCs w:val="24"/>
        </w:rPr>
      </w:pPr>
      <w:r w:rsidRPr="00C27A2A">
        <w:rPr>
          <w:rFonts w:ascii="Arial" w:eastAsia="Times New Roman" w:hAnsi="Arial" w:cs="Arial"/>
          <w:b/>
          <w:sz w:val="24"/>
          <w:szCs w:val="24"/>
        </w:rPr>
        <w:t>Phishing and Vishing</w:t>
      </w:r>
    </w:p>
    <w:p w14:paraId="0144B58C" w14:textId="77777777" w:rsidR="00C27A2A" w:rsidRP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t>Modern social engineering attacks increasingly leverage artificial intelligence to produce messages that are highly tailored, contextually relevant, and linguistically accurate, greatly enhancing their success rates. By analysing publicly available data and, in some cases, internal information, AI-based tools can generate emails or messages that closely resemble legitimate communications, making users more likely to engage with them.</w:t>
      </w:r>
    </w:p>
    <w:p w14:paraId="43F569B7" w14:textId="78E7AE45" w:rsidR="00C27A2A" w:rsidRDefault="00C27A2A" w:rsidP="00C44A6E">
      <w:pPr>
        <w:spacing w:before="100" w:beforeAutospacing="1" w:after="100" w:afterAutospacing="1" w:line="240" w:lineRule="auto"/>
        <w:jc w:val="both"/>
        <w:rPr>
          <w:rFonts w:ascii="Arial" w:eastAsia="Times New Roman" w:hAnsi="Arial" w:cs="Arial"/>
          <w:sz w:val="24"/>
          <w:szCs w:val="24"/>
          <w:lang w:eastAsia="en-GB"/>
        </w:rPr>
      </w:pPr>
      <w:r w:rsidRPr="00C27A2A">
        <w:rPr>
          <w:rFonts w:ascii="Arial" w:eastAsia="Times New Roman" w:hAnsi="Arial" w:cs="Arial"/>
          <w:sz w:val="24"/>
          <w:szCs w:val="24"/>
          <w:lang w:eastAsia="en-GB"/>
        </w:rPr>
        <w:t>In addition, voice phishing (vishing) has become more convincing through the use of AI-powered voice cloning, allowing attackers to realistically imitate senior executives or IT personnel. These sophisticated techniques focus on manipulating human behaviour, taking advantage of trust and psychological biases to circumvent traditional security measures such as spam filtering and network-based protections. The growing sophistication of AI-enabled social engineering highlights the need for ongoing staff awareness training, continuous monitoring, and strong verification processes for sensitive actions or access requests</w:t>
      </w:r>
      <w:r w:rsidR="00F376B1">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745405854"/>
          <w:citation/>
        </w:sdtPr>
        <w:sdtContent>
          <w:r w:rsidR="00F376B1">
            <w:rPr>
              <w:rFonts w:ascii="Arial" w:eastAsia="Times New Roman" w:hAnsi="Arial" w:cs="Arial"/>
              <w:sz w:val="24"/>
              <w:szCs w:val="24"/>
              <w:lang w:eastAsia="en-GB"/>
            </w:rPr>
            <w:fldChar w:fldCharType="begin"/>
          </w:r>
          <w:r w:rsidR="00F376B1">
            <w:rPr>
              <w:rFonts w:ascii="Arial" w:eastAsia="Times New Roman" w:hAnsi="Arial" w:cs="Arial"/>
              <w:sz w:val="24"/>
              <w:szCs w:val="24"/>
              <w:lang w:val="hu-HU" w:eastAsia="en-GB"/>
            </w:rPr>
            <w:instrText xml:space="preserve"> CITATION ENI23 \l 1038 </w:instrText>
          </w:r>
          <w:r w:rsidR="00F376B1">
            <w:rPr>
              <w:rFonts w:ascii="Arial" w:eastAsia="Times New Roman" w:hAnsi="Arial" w:cs="Arial"/>
              <w:sz w:val="24"/>
              <w:szCs w:val="24"/>
              <w:lang w:eastAsia="en-GB"/>
            </w:rPr>
            <w:fldChar w:fldCharType="separate"/>
          </w:r>
          <w:r w:rsidR="00EC5F8A" w:rsidRPr="00EC5F8A">
            <w:rPr>
              <w:rFonts w:ascii="Arial" w:eastAsia="Times New Roman" w:hAnsi="Arial" w:cs="Arial"/>
              <w:noProof/>
              <w:sz w:val="24"/>
              <w:szCs w:val="24"/>
              <w:lang w:val="hu-HU" w:eastAsia="en-GB"/>
            </w:rPr>
            <w:t>[3]</w:t>
          </w:r>
          <w:r w:rsidR="00F376B1">
            <w:rPr>
              <w:rFonts w:ascii="Arial" w:eastAsia="Times New Roman" w:hAnsi="Arial" w:cs="Arial"/>
              <w:sz w:val="24"/>
              <w:szCs w:val="24"/>
              <w:lang w:eastAsia="en-GB"/>
            </w:rPr>
            <w:fldChar w:fldCharType="end"/>
          </w:r>
        </w:sdtContent>
      </w:sdt>
      <w:r w:rsidRPr="00C27A2A">
        <w:rPr>
          <w:rFonts w:ascii="Arial" w:eastAsia="Times New Roman" w:hAnsi="Arial" w:cs="Arial"/>
          <w:sz w:val="24"/>
          <w:szCs w:val="24"/>
          <w:lang w:eastAsia="en-GB"/>
        </w:rPr>
        <w:t>.</w:t>
      </w:r>
    </w:p>
    <w:p w14:paraId="4EA82A49" w14:textId="313DC78D" w:rsidR="00E54270" w:rsidRPr="00C27A2A" w:rsidRDefault="00E54270" w:rsidP="00C44A6E">
      <w:pPr>
        <w:spacing w:before="100" w:beforeAutospacing="1" w:after="100" w:afterAutospacing="1" w:line="240" w:lineRule="auto"/>
        <w:jc w:val="both"/>
        <w:rPr>
          <w:rFonts w:ascii="Arial" w:eastAsia="Times New Roman" w:hAnsi="Arial" w:cs="Arial"/>
          <w:b/>
          <w:sz w:val="24"/>
          <w:szCs w:val="24"/>
          <w:lang w:eastAsia="en-GB"/>
        </w:rPr>
      </w:pPr>
      <w:r w:rsidRPr="00E54270">
        <w:rPr>
          <w:rFonts w:ascii="Arial" w:eastAsia="Times New Roman" w:hAnsi="Arial" w:cs="Arial"/>
          <w:b/>
          <w:sz w:val="24"/>
          <w:szCs w:val="24"/>
        </w:rPr>
        <w:t>Supply Chain Threats</w:t>
      </w:r>
    </w:p>
    <w:p w14:paraId="3603488C" w14:textId="77777777" w:rsidR="00E54270" w:rsidRPr="00E54270" w:rsidRDefault="00E54270" w:rsidP="00C44A6E">
      <w:pPr>
        <w:spacing w:before="100" w:beforeAutospacing="1" w:after="100" w:afterAutospacing="1" w:line="240" w:lineRule="auto"/>
        <w:jc w:val="both"/>
        <w:rPr>
          <w:rFonts w:ascii="Arial" w:eastAsia="Times New Roman" w:hAnsi="Arial" w:cs="Arial"/>
          <w:sz w:val="24"/>
          <w:szCs w:val="24"/>
          <w:lang w:eastAsia="en-GB"/>
        </w:rPr>
      </w:pPr>
      <w:r w:rsidRPr="00E54270">
        <w:rPr>
          <w:rFonts w:ascii="Arial" w:eastAsia="Times New Roman" w:hAnsi="Arial" w:cs="Arial"/>
          <w:sz w:val="24"/>
          <w:szCs w:val="24"/>
          <w:lang w:eastAsia="en-GB"/>
        </w:rPr>
        <w:t xml:space="preserve">Heavy dependence on third-party software suppliers, managed service providers, and cloud services creates substantial indirect security risks for organisations. If a trusted vendor’s environment is compromised, attackers may exploit that access to penetrate internal systems, steal sensitive information, or distribute malicious code. Several well-publicised incidents in recent years have shown how weaknesses within the supply </w:t>
      </w:r>
      <w:r w:rsidRPr="00E54270">
        <w:rPr>
          <w:rFonts w:ascii="Arial" w:eastAsia="Times New Roman" w:hAnsi="Arial" w:cs="Arial"/>
          <w:sz w:val="24"/>
          <w:szCs w:val="24"/>
          <w:lang w:eastAsia="en-GB"/>
        </w:rPr>
        <w:lastRenderedPageBreak/>
        <w:t>chain can spread quickly and impact many organisations at once, greatly increasing both operational disruption and reputational damage.</w:t>
      </w:r>
    </w:p>
    <w:p w14:paraId="3702FD4C" w14:textId="3C6350CD" w:rsidR="00E54270" w:rsidRPr="00E54270" w:rsidRDefault="00E54270" w:rsidP="00C44A6E">
      <w:pPr>
        <w:spacing w:before="100" w:beforeAutospacing="1" w:after="100" w:afterAutospacing="1" w:line="240" w:lineRule="auto"/>
        <w:jc w:val="both"/>
        <w:rPr>
          <w:rFonts w:ascii="Arial" w:eastAsia="Times New Roman" w:hAnsi="Arial" w:cs="Arial"/>
          <w:sz w:val="24"/>
          <w:szCs w:val="24"/>
          <w:lang w:eastAsia="en-GB"/>
        </w:rPr>
      </w:pPr>
      <w:r w:rsidRPr="00E54270">
        <w:rPr>
          <w:rFonts w:ascii="Arial" w:eastAsia="Times New Roman" w:hAnsi="Arial" w:cs="Arial"/>
          <w:sz w:val="24"/>
          <w:szCs w:val="24"/>
          <w:lang w:eastAsia="en-GB"/>
        </w:rPr>
        <w:t>These risks emphasise the need for robust third-party risk management practices, including routine security evaluations, clearly defined contractual security requirements, and ongoing oversight of vendor activities. In addition, organisations should deploy controls to identify and respond to unusual behaviour originating from third-party systems, helping to reduce the likelihood and impact of supply chain-based attacks.</w:t>
      </w:r>
    </w:p>
    <w:p w14:paraId="3B940C10" w14:textId="77777777" w:rsidR="00C779A2" w:rsidRPr="003F2B3E" w:rsidRDefault="00C779A2" w:rsidP="00C44A6E">
      <w:pPr>
        <w:spacing w:after="0"/>
        <w:jc w:val="both"/>
        <w:rPr>
          <w:rFonts w:ascii="Arial" w:hAnsi="Arial" w:cs="Arial"/>
        </w:rPr>
      </w:pPr>
    </w:p>
    <w:p w14:paraId="5CDC5BAC" w14:textId="77777777" w:rsidR="003752A4" w:rsidRPr="003752A4" w:rsidRDefault="003752A4" w:rsidP="00C44A6E">
      <w:pPr>
        <w:pStyle w:val="Cmsor3"/>
        <w:jc w:val="both"/>
        <w:rPr>
          <w:rFonts w:ascii="Arial" w:eastAsia="Times New Roman" w:hAnsi="Arial" w:cs="Arial"/>
          <w:b/>
          <w:color w:val="000000" w:themeColor="text1"/>
        </w:rPr>
      </w:pPr>
      <w:bookmarkStart w:id="3" w:name="_Toc216987462"/>
      <w:r w:rsidRPr="003752A4">
        <w:rPr>
          <w:rFonts w:ascii="Arial" w:eastAsia="Times New Roman" w:hAnsi="Arial" w:cs="Arial"/>
          <w:b/>
          <w:color w:val="000000" w:themeColor="text1"/>
        </w:rPr>
        <w:t>Zero Trust Architecture Overview</w:t>
      </w:r>
      <w:bookmarkEnd w:id="3"/>
    </w:p>
    <w:p w14:paraId="2574545A" w14:textId="58534A24" w:rsidR="003752A4" w:rsidRPr="00CB2103" w:rsidRDefault="003752A4" w:rsidP="00CB2103">
      <w:pPr>
        <w:rPr>
          <w:rFonts w:ascii="Arial" w:hAnsi="Arial" w:cs="Arial"/>
          <w:sz w:val="24"/>
          <w:szCs w:val="24"/>
        </w:rPr>
      </w:pPr>
      <w:r w:rsidRPr="00CB2103">
        <w:rPr>
          <w:rFonts w:ascii="Arial" w:hAnsi="Arial" w:cs="Arial"/>
          <w:sz w:val="24"/>
          <w:szCs w:val="24"/>
        </w:rPr>
        <w:t>Zero Trust Architecture (ZTA), described in NIST Special Publication 800-207, is a cybersecurity framework that emphasizes the ongoing verification of all access requests. Instead of granting trust based on network position or previous authentication, ZTA continuously evaluates user identities, device status, and contextual factors before permitting access to any organisational resource. This detailed, proactive strategy aims to limit lateral movement within networks and mitigate the potential consequences of a security breach.</w:t>
      </w:r>
    </w:p>
    <w:p w14:paraId="14BBA105" w14:textId="773719F3" w:rsidR="003752A4" w:rsidRDefault="003752A4" w:rsidP="00C44A6E">
      <w:pPr>
        <w:pStyle w:val="Cmsor1"/>
        <w:jc w:val="both"/>
        <w:rPr>
          <w:rFonts w:ascii="Arial" w:eastAsia="Times New Roman" w:hAnsi="Arial" w:cs="Arial"/>
          <w:color w:val="000000" w:themeColor="text1"/>
          <w:sz w:val="24"/>
          <w:szCs w:val="24"/>
        </w:rPr>
      </w:pPr>
      <w:bookmarkStart w:id="4" w:name="_Toc216987463"/>
      <w:r w:rsidRPr="003752A4">
        <w:rPr>
          <w:rFonts w:ascii="Arial" w:eastAsia="Times New Roman" w:hAnsi="Arial" w:cs="Arial"/>
          <w:color w:val="000000" w:themeColor="text1"/>
          <w:sz w:val="24"/>
          <w:szCs w:val="24"/>
        </w:rPr>
        <w:t>Core Principles</w:t>
      </w:r>
      <w:bookmarkEnd w:id="4"/>
    </w:p>
    <w:p w14:paraId="17EB7418" w14:textId="77777777" w:rsidR="003752A4" w:rsidRPr="003752A4" w:rsidRDefault="003752A4" w:rsidP="00C44A6E">
      <w:pPr>
        <w:jc w:val="both"/>
      </w:pPr>
    </w:p>
    <w:p w14:paraId="2AB15FE9" w14:textId="77777777" w:rsidR="003752A4" w:rsidRPr="003752A4" w:rsidRDefault="003752A4" w:rsidP="00C44A6E">
      <w:pPr>
        <w:jc w:val="both"/>
        <w:rPr>
          <w:rFonts w:ascii="Arial" w:hAnsi="Arial" w:cs="Arial"/>
          <w:sz w:val="24"/>
          <w:szCs w:val="24"/>
        </w:rPr>
      </w:pPr>
      <w:r w:rsidRPr="003752A4">
        <w:rPr>
          <w:rFonts w:ascii="Arial" w:hAnsi="Arial" w:cs="Arial"/>
          <w:sz w:val="24"/>
          <w:szCs w:val="24"/>
        </w:rPr>
        <w:t>The Zero Trust model is built upon three foundational principles that guide its implementation:</w:t>
      </w:r>
    </w:p>
    <w:p w14:paraId="71B94A8E" w14:textId="77777777" w:rsidR="003752A4" w:rsidRPr="003752A4" w:rsidRDefault="003752A4" w:rsidP="00C44A6E">
      <w:pPr>
        <w:numPr>
          <w:ilvl w:val="0"/>
          <w:numId w:val="1"/>
        </w:numPr>
        <w:jc w:val="both"/>
        <w:rPr>
          <w:rFonts w:ascii="Arial" w:hAnsi="Arial" w:cs="Arial"/>
          <w:sz w:val="24"/>
          <w:szCs w:val="24"/>
        </w:rPr>
      </w:pPr>
      <w:r w:rsidRPr="003752A4">
        <w:rPr>
          <w:rFonts w:ascii="Arial" w:hAnsi="Arial" w:cs="Arial"/>
          <w:sz w:val="24"/>
          <w:szCs w:val="24"/>
        </w:rPr>
        <w:t>Explicit Verification: Every access attempt is rigorously validated using strong authentication methods, such as multi-factor authentication, and evaluated in the context of device health, user behaviour, and environmental factors.</w:t>
      </w:r>
    </w:p>
    <w:p w14:paraId="6C6E0C6A" w14:textId="77777777" w:rsidR="003752A4" w:rsidRPr="003752A4" w:rsidRDefault="003752A4" w:rsidP="00C44A6E">
      <w:pPr>
        <w:numPr>
          <w:ilvl w:val="0"/>
          <w:numId w:val="1"/>
        </w:numPr>
        <w:jc w:val="both"/>
        <w:rPr>
          <w:rFonts w:ascii="Arial" w:hAnsi="Arial" w:cs="Arial"/>
          <w:sz w:val="24"/>
          <w:szCs w:val="24"/>
        </w:rPr>
      </w:pPr>
      <w:r w:rsidRPr="003752A4">
        <w:rPr>
          <w:rFonts w:ascii="Arial" w:hAnsi="Arial" w:cs="Arial"/>
          <w:sz w:val="24"/>
          <w:szCs w:val="24"/>
        </w:rPr>
        <w:t>Least-Privilege Access: Users and devices are granted only the minimum permissions required to perform their roles, implemented through mechanisms such as just-in-time (JIT) privilege elevation and just-enough-access (JEA) policies, thereby limiting exposure to sensitive resources.</w:t>
      </w:r>
    </w:p>
    <w:p w14:paraId="54DF2ED3" w14:textId="77777777" w:rsidR="003752A4" w:rsidRPr="003752A4" w:rsidRDefault="003752A4" w:rsidP="00C44A6E">
      <w:pPr>
        <w:numPr>
          <w:ilvl w:val="0"/>
          <w:numId w:val="1"/>
        </w:numPr>
        <w:jc w:val="both"/>
        <w:rPr>
          <w:rFonts w:ascii="Arial" w:hAnsi="Arial" w:cs="Arial"/>
          <w:sz w:val="24"/>
          <w:szCs w:val="24"/>
        </w:rPr>
      </w:pPr>
      <w:r w:rsidRPr="003752A4">
        <w:rPr>
          <w:rFonts w:ascii="Arial" w:hAnsi="Arial" w:cs="Arial"/>
          <w:sz w:val="24"/>
          <w:szCs w:val="24"/>
        </w:rPr>
        <w:t>Assume Breach: The model operates under the assumption that systems may already be compromised. Controls are implemented to segment workloads, monitor activity continuously, and restrict lateral movement, reducing the overall risk and potential damage from a security incident.</w:t>
      </w:r>
    </w:p>
    <w:p w14:paraId="7CA3C659" w14:textId="77777777" w:rsidR="00E447C6" w:rsidRDefault="00E447C6" w:rsidP="00C44A6E">
      <w:pPr>
        <w:jc w:val="both"/>
        <w:rPr>
          <w:rFonts w:ascii="Arial" w:eastAsia="Times New Roman" w:hAnsi="Arial" w:cs="Arial"/>
          <w:b/>
          <w:sz w:val="24"/>
          <w:szCs w:val="24"/>
        </w:rPr>
      </w:pPr>
    </w:p>
    <w:p w14:paraId="0CD4448A" w14:textId="77777777" w:rsidR="00E447C6" w:rsidRDefault="00E447C6" w:rsidP="00C44A6E">
      <w:pPr>
        <w:jc w:val="both"/>
        <w:rPr>
          <w:rFonts w:ascii="Arial" w:eastAsia="Times New Roman" w:hAnsi="Arial" w:cs="Arial"/>
          <w:b/>
          <w:sz w:val="24"/>
          <w:szCs w:val="24"/>
        </w:rPr>
      </w:pPr>
    </w:p>
    <w:p w14:paraId="600342F8" w14:textId="77777777" w:rsidR="00E447C6" w:rsidRDefault="00E447C6" w:rsidP="00C44A6E">
      <w:pPr>
        <w:jc w:val="both"/>
        <w:rPr>
          <w:rFonts w:ascii="Arial" w:eastAsia="Times New Roman" w:hAnsi="Arial" w:cs="Arial"/>
          <w:b/>
          <w:sz w:val="24"/>
          <w:szCs w:val="24"/>
        </w:rPr>
      </w:pPr>
    </w:p>
    <w:p w14:paraId="2A014BBE" w14:textId="77777777" w:rsidR="00E447C6" w:rsidRDefault="00E447C6" w:rsidP="00C44A6E">
      <w:pPr>
        <w:jc w:val="both"/>
        <w:rPr>
          <w:rFonts w:ascii="Arial" w:eastAsia="Times New Roman" w:hAnsi="Arial" w:cs="Arial"/>
          <w:b/>
          <w:sz w:val="24"/>
          <w:szCs w:val="24"/>
        </w:rPr>
      </w:pPr>
    </w:p>
    <w:p w14:paraId="1B97FC4E" w14:textId="77777777" w:rsidR="00E447C6" w:rsidRDefault="00E447C6" w:rsidP="00C44A6E">
      <w:pPr>
        <w:jc w:val="both"/>
        <w:rPr>
          <w:rFonts w:ascii="Arial" w:eastAsia="Times New Roman" w:hAnsi="Arial" w:cs="Arial"/>
          <w:b/>
          <w:sz w:val="24"/>
          <w:szCs w:val="24"/>
        </w:rPr>
      </w:pPr>
    </w:p>
    <w:p w14:paraId="062D8892" w14:textId="77777777" w:rsidR="00E447C6" w:rsidRDefault="00E447C6" w:rsidP="00C44A6E">
      <w:pPr>
        <w:jc w:val="both"/>
        <w:rPr>
          <w:rFonts w:ascii="Arial" w:eastAsia="Times New Roman" w:hAnsi="Arial" w:cs="Arial"/>
          <w:b/>
          <w:sz w:val="24"/>
          <w:szCs w:val="24"/>
        </w:rPr>
      </w:pPr>
    </w:p>
    <w:p w14:paraId="10172905" w14:textId="77777777" w:rsidR="00E447C6" w:rsidRDefault="00E447C6" w:rsidP="00C44A6E">
      <w:pPr>
        <w:jc w:val="both"/>
        <w:rPr>
          <w:rFonts w:ascii="Arial" w:eastAsia="Times New Roman" w:hAnsi="Arial" w:cs="Arial"/>
          <w:b/>
          <w:sz w:val="24"/>
          <w:szCs w:val="24"/>
        </w:rPr>
      </w:pPr>
    </w:p>
    <w:p w14:paraId="192D6346" w14:textId="77777777" w:rsidR="00E447C6" w:rsidRDefault="00E447C6" w:rsidP="00C44A6E">
      <w:pPr>
        <w:jc w:val="both"/>
        <w:rPr>
          <w:rFonts w:ascii="Arial" w:eastAsia="Times New Roman" w:hAnsi="Arial" w:cs="Arial"/>
          <w:b/>
          <w:sz w:val="24"/>
          <w:szCs w:val="24"/>
        </w:rPr>
      </w:pPr>
    </w:p>
    <w:p w14:paraId="6481B8B0" w14:textId="77777777" w:rsidR="00E447C6" w:rsidRDefault="00E447C6" w:rsidP="00C44A6E">
      <w:pPr>
        <w:jc w:val="both"/>
        <w:rPr>
          <w:rFonts w:ascii="Arial" w:eastAsia="Times New Roman" w:hAnsi="Arial" w:cs="Arial"/>
          <w:b/>
          <w:sz w:val="24"/>
          <w:szCs w:val="24"/>
        </w:rPr>
      </w:pPr>
    </w:p>
    <w:p w14:paraId="1644D3C2" w14:textId="77777777" w:rsidR="00E447C6" w:rsidRDefault="00E447C6" w:rsidP="00C44A6E">
      <w:pPr>
        <w:jc w:val="both"/>
        <w:rPr>
          <w:rFonts w:ascii="Arial" w:eastAsia="Times New Roman" w:hAnsi="Arial" w:cs="Arial"/>
          <w:b/>
          <w:sz w:val="24"/>
          <w:szCs w:val="24"/>
        </w:rPr>
      </w:pPr>
    </w:p>
    <w:p w14:paraId="5CD90D63" w14:textId="77777777" w:rsidR="00E447C6" w:rsidRDefault="00E447C6" w:rsidP="00C44A6E">
      <w:pPr>
        <w:jc w:val="both"/>
        <w:rPr>
          <w:rFonts w:ascii="Arial" w:eastAsia="Times New Roman" w:hAnsi="Arial" w:cs="Arial"/>
          <w:b/>
          <w:sz w:val="24"/>
          <w:szCs w:val="24"/>
        </w:rPr>
      </w:pPr>
    </w:p>
    <w:p w14:paraId="77C6E7B2" w14:textId="77777777" w:rsidR="00E447C6" w:rsidRDefault="00E447C6" w:rsidP="00C44A6E">
      <w:pPr>
        <w:jc w:val="both"/>
        <w:rPr>
          <w:rFonts w:ascii="Arial" w:eastAsia="Times New Roman" w:hAnsi="Arial" w:cs="Arial"/>
          <w:b/>
          <w:sz w:val="24"/>
          <w:szCs w:val="24"/>
        </w:rPr>
      </w:pPr>
    </w:p>
    <w:p w14:paraId="33C3D671" w14:textId="4BF1012D" w:rsidR="003752A4" w:rsidRDefault="003752A4" w:rsidP="00C44A6E">
      <w:pPr>
        <w:jc w:val="both"/>
        <w:rPr>
          <w:rFonts w:ascii="Arial" w:eastAsia="Times New Roman" w:hAnsi="Arial" w:cs="Arial"/>
          <w:b/>
          <w:sz w:val="24"/>
          <w:szCs w:val="24"/>
        </w:rPr>
      </w:pPr>
      <w:r w:rsidRPr="003752A4">
        <w:rPr>
          <w:rFonts w:ascii="Arial" w:eastAsia="Times New Roman" w:hAnsi="Arial" w:cs="Arial"/>
          <w:b/>
          <w:sz w:val="24"/>
          <w:szCs w:val="24"/>
        </w:rPr>
        <w:t>Conceptual Zero Trust Architecture</w:t>
      </w:r>
    </w:p>
    <w:p w14:paraId="46FF844F" w14:textId="77777777" w:rsidR="00E447C6" w:rsidRDefault="00E447C6" w:rsidP="00E447C6">
      <w:pPr>
        <w:spacing w:before="100" w:beforeAutospacing="1" w:after="100" w:afterAutospacing="1" w:line="240" w:lineRule="auto"/>
        <w:rPr>
          <w:rFonts w:ascii="Times New Roman" w:eastAsia="Times New Roman" w:hAnsi="Times New Roman" w:cs="Times New Roman"/>
          <w:noProof/>
          <w:sz w:val="24"/>
          <w:szCs w:val="24"/>
          <w:lang w:eastAsia="en-GB"/>
        </w:rPr>
      </w:pPr>
    </w:p>
    <w:p w14:paraId="10D1617A" w14:textId="012D6EC7" w:rsidR="00E447C6" w:rsidRPr="00E447C6" w:rsidRDefault="00E447C6" w:rsidP="00E447C6">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E447C6">
        <w:rPr>
          <w:rFonts w:ascii="Times New Roman" w:eastAsia="Times New Roman" w:hAnsi="Times New Roman" w:cs="Times New Roman"/>
          <w:noProof/>
          <w:sz w:val="24"/>
          <w:szCs w:val="24"/>
          <w:lang w:eastAsia="en-GB"/>
        </w:rPr>
        <w:drawing>
          <wp:inline distT="0" distB="0" distL="0" distR="0" wp14:anchorId="4F26D21E" wp14:editId="11CAF61C">
            <wp:extent cx="4610100" cy="1463040"/>
            <wp:effectExtent l="0" t="0" r="0" b="3810"/>
            <wp:docPr id="11" name="Kép 11" descr="F:\ChatGPT Image Dec 16, 2025, 09_21_55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ChatGPT Image Dec 16, 2025, 09_21_55 PM.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1571" b="30825"/>
                    <a:stretch/>
                  </pic:blipFill>
                  <pic:spPr bwMode="auto">
                    <a:xfrm>
                      <a:off x="0" y="0"/>
                      <a:ext cx="4610100" cy="1463040"/>
                    </a:xfrm>
                    <a:prstGeom prst="rect">
                      <a:avLst/>
                    </a:prstGeom>
                    <a:noFill/>
                    <a:ln>
                      <a:noFill/>
                    </a:ln>
                    <a:extLst>
                      <a:ext uri="{53640926-AAD7-44D8-BBD7-CCE9431645EC}">
                        <a14:shadowObscured xmlns:a14="http://schemas.microsoft.com/office/drawing/2010/main"/>
                      </a:ext>
                    </a:extLst>
                  </pic:spPr>
                </pic:pic>
              </a:graphicData>
            </a:graphic>
          </wp:inline>
        </w:drawing>
      </w:r>
    </w:p>
    <w:p w14:paraId="572DE9B9" w14:textId="0568304B" w:rsidR="003752A4" w:rsidRPr="003752A4" w:rsidRDefault="003752A4" w:rsidP="00C44A6E">
      <w:pPr>
        <w:jc w:val="both"/>
        <w:rPr>
          <w:rFonts w:ascii="Arial" w:hAnsi="Arial" w:cs="Arial"/>
          <w:sz w:val="24"/>
        </w:rPr>
      </w:pPr>
      <w:r w:rsidRPr="003752A4">
        <w:rPr>
          <w:rFonts w:ascii="Arial" w:hAnsi="Arial" w:cs="Arial"/>
          <w:sz w:val="24"/>
        </w:rPr>
        <w:t>In practice, a Zero Trust environment requires that all users and devices authenticate through a centralised identity provider using multi-factor authentication. Access requests are then evaluated by a policy enforcement point, which determines whether the request meets the organisation’s security requirements before permitting access to specific applications, databases, or systems. Continuous monitoring and logging, facilitated by Security Information and Event Management (SIEM) platforms, provide real-time visibility into user activity and potential threats.</w:t>
      </w:r>
      <w:sdt>
        <w:sdtPr>
          <w:rPr>
            <w:rFonts w:ascii="Arial" w:hAnsi="Arial" w:cs="Arial"/>
            <w:sz w:val="24"/>
          </w:rPr>
          <w:id w:val="-1807461814"/>
          <w:citation/>
        </w:sdtPr>
        <w:sdtContent>
          <w:r w:rsidR="00E447C6">
            <w:rPr>
              <w:rFonts w:ascii="Arial" w:hAnsi="Arial" w:cs="Arial"/>
              <w:sz w:val="24"/>
            </w:rPr>
            <w:fldChar w:fldCharType="begin"/>
          </w:r>
          <w:r w:rsidR="00E447C6">
            <w:rPr>
              <w:rFonts w:ascii="Arial" w:hAnsi="Arial" w:cs="Arial"/>
              <w:sz w:val="24"/>
              <w:lang w:val="hu-HU"/>
            </w:rPr>
            <w:instrText xml:space="preserve"> CITATION Raz24 \l 1038 </w:instrText>
          </w:r>
          <w:r w:rsidR="00E447C6">
            <w:rPr>
              <w:rFonts w:ascii="Arial" w:hAnsi="Arial" w:cs="Arial"/>
              <w:sz w:val="24"/>
            </w:rPr>
            <w:fldChar w:fldCharType="separate"/>
          </w:r>
          <w:r w:rsidR="00EC5F8A">
            <w:rPr>
              <w:rFonts w:ascii="Arial" w:hAnsi="Arial" w:cs="Arial"/>
              <w:noProof/>
              <w:sz w:val="24"/>
              <w:lang w:val="hu-HU"/>
            </w:rPr>
            <w:t xml:space="preserve"> </w:t>
          </w:r>
          <w:r w:rsidR="00EC5F8A" w:rsidRPr="00EC5F8A">
            <w:rPr>
              <w:rFonts w:ascii="Arial" w:hAnsi="Arial" w:cs="Arial"/>
              <w:noProof/>
              <w:sz w:val="24"/>
              <w:lang w:val="hu-HU"/>
            </w:rPr>
            <w:t>[4]</w:t>
          </w:r>
          <w:r w:rsidR="00E447C6">
            <w:rPr>
              <w:rFonts w:ascii="Arial" w:hAnsi="Arial" w:cs="Arial"/>
              <w:sz w:val="24"/>
            </w:rPr>
            <w:fldChar w:fldCharType="end"/>
          </w:r>
        </w:sdtContent>
      </w:sdt>
    </w:p>
    <w:p w14:paraId="176C4D2E" w14:textId="77777777" w:rsidR="003752A4" w:rsidRPr="003752A4" w:rsidRDefault="003752A4" w:rsidP="00C44A6E">
      <w:pPr>
        <w:jc w:val="both"/>
        <w:rPr>
          <w:rFonts w:ascii="Arial" w:hAnsi="Arial" w:cs="Arial"/>
          <w:sz w:val="24"/>
        </w:rPr>
      </w:pPr>
      <w:r w:rsidRPr="003752A4">
        <w:rPr>
          <w:rFonts w:ascii="Arial" w:hAnsi="Arial" w:cs="Arial"/>
          <w:sz w:val="24"/>
        </w:rPr>
        <w:t>This architecture fundamentally eliminates implicit trust within internal networks by placing identity verification, device posture assessment, and policy enforcement at the centre of all security decisions. By combining rigorous authentication, least-privilege access, and continuous monitoring, organisations can strengthen resilience against both external attacks and insider threats while maintaining operational efficiency. Additionally, this model supports hybrid and cloud environments by enabling secure, context-aware access across distributed resources.</w:t>
      </w:r>
    </w:p>
    <w:p w14:paraId="498079A0" w14:textId="61149F37" w:rsidR="003752A4" w:rsidRDefault="003752A4" w:rsidP="00C44A6E">
      <w:pPr>
        <w:jc w:val="both"/>
        <w:rPr>
          <w:rFonts w:ascii="Arial" w:hAnsi="Arial" w:cs="Arial"/>
          <w:sz w:val="24"/>
        </w:rPr>
      </w:pPr>
    </w:p>
    <w:p w14:paraId="6F2CFA36" w14:textId="5D7C3467" w:rsidR="00EC5F8A" w:rsidRDefault="00EC5F8A" w:rsidP="00C44A6E">
      <w:pPr>
        <w:jc w:val="both"/>
        <w:rPr>
          <w:rFonts w:ascii="Arial" w:hAnsi="Arial" w:cs="Arial"/>
          <w:sz w:val="24"/>
        </w:rPr>
      </w:pPr>
    </w:p>
    <w:p w14:paraId="00F3307C" w14:textId="0D708D25" w:rsidR="00EC5F8A" w:rsidRDefault="00EC5F8A" w:rsidP="00C44A6E">
      <w:pPr>
        <w:jc w:val="both"/>
        <w:rPr>
          <w:rFonts w:ascii="Arial" w:hAnsi="Arial" w:cs="Arial"/>
          <w:sz w:val="24"/>
        </w:rPr>
      </w:pPr>
    </w:p>
    <w:p w14:paraId="31E38BED" w14:textId="3489AF68" w:rsidR="00EC5F8A" w:rsidRDefault="00EC5F8A" w:rsidP="00C44A6E">
      <w:pPr>
        <w:jc w:val="both"/>
        <w:rPr>
          <w:rFonts w:ascii="Arial" w:hAnsi="Arial" w:cs="Arial"/>
          <w:sz w:val="24"/>
        </w:rPr>
      </w:pPr>
    </w:p>
    <w:p w14:paraId="211AECE5" w14:textId="77777777" w:rsidR="00EC5F8A" w:rsidRPr="003752A4" w:rsidRDefault="00EC5F8A" w:rsidP="00C44A6E">
      <w:pPr>
        <w:jc w:val="both"/>
        <w:rPr>
          <w:rFonts w:ascii="Arial" w:hAnsi="Arial" w:cs="Arial"/>
          <w:sz w:val="24"/>
        </w:rPr>
      </w:pPr>
      <w:bookmarkStart w:id="5" w:name="_GoBack"/>
      <w:bookmarkEnd w:id="5"/>
    </w:p>
    <w:p w14:paraId="399F8E3D" w14:textId="1A63D100" w:rsidR="003F2B3E" w:rsidRDefault="003F2B3E" w:rsidP="00C44A6E">
      <w:pPr>
        <w:pStyle w:val="Cmsor1"/>
        <w:jc w:val="both"/>
      </w:pPr>
      <w:bookmarkStart w:id="6" w:name="_Toc216987464"/>
      <w:r w:rsidRPr="003F2B3E">
        <w:lastRenderedPageBreak/>
        <w:t>Modern Security Policies</w:t>
      </w:r>
      <w:bookmarkEnd w:id="6"/>
      <w:r w:rsidRPr="003F2B3E">
        <w:t xml:space="preserve"> </w:t>
      </w:r>
    </w:p>
    <w:p w14:paraId="39209E7D" w14:textId="77777777" w:rsidR="00C779A2" w:rsidRDefault="00C779A2" w:rsidP="00C44A6E">
      <w:pPr>
        <w:spacing w:after="0"/>
        <w:jc w:val="both"/>
        <w:rPr>
          <w:rFonts w:ascii="Arial" w:hAnsi="Arial" w:cs="Arial"/>
        </w:rPr>
      </w:pPr>
    </w:p>
    <w:p w14:paraId="3EB32B15" w14:textId="77777777" w:rsidR="00E261F5" w:rsidRDefault="00E261F5" w:rsidP="00E261F5">
      <w:pPr>
        <w:jc w:val="both"/>
        <w:rPr>
          <w:rFonts w:ascii="Arial" w:eastAsia="Times New Roman" w:hAnsi="Arial" w:cs="Arial"/>
          <w:b/>
          <w:sz w:val="24"/>
          <w:szCs w:val="24"/>
        </w:rPr>
      </w:pPr>
      <w:r w:rsidRPr="00266375">
        <w:rPr>
          <w:rFonts w:ascii="Arial" w:eastAsia="Times New Roman" w:hAnsi="Arial" w:cs="Arial"/>
          <w:b/>
          <w:sz w:val="24"/>
          <w:szCs w:val="24"/>
        </w:rPr>
        <w:t>Zero Trust-Aligned Security Policies</w:t>
      </w:r>
    </w:p>
    <w:p w14:paraId="7A88A5E2" w14:textId="77777777" w:rsidR="00E261F5" w:rsidRDefault="00E261F5" w:rsidP="00E261F5">
      <w:pPr>
        <w:jc w:val="both"/>
        <w:rPr>
          <w:rFonts w:ascii="Arial" w:hAnsi="Arial" w:cs="Arial"/>
          <w:sz w:val="24"/>
          <w:szCs w:val="24"/>
        </w:rPr>
      </w:pPr>
      <w:r w:rsidRPr="00266375">
        <w:rPr>
          <w:rFonts w:ascii="Arial" w:hAnsi="Arial" w:cs="Arial"/>
          <w:sz w:val="24"/>
          <w:szCs w:val="24"/>
        </w:rPr>
        <w:t>Security policies establish the governance framework for implementing Zero Trust and are aligned with the NIST CSF functions—Identify, Protect, Detect, Respond, and Recover—alongside the controls defined in ISO/IEC 27001 Annex A.</w:t>
      </w:r>
    </w:p>
    <w:p w14:paraId="6750C676" w14:textId="77777777" w:rsidR="00E261F5" w:rsidRDefault="00E261F5" w:rsidP="00E261F5">
      <w:pPr>
        <w:jc w:val="both"/>
        <w:rPr>
          <w:rFonts w:ascii="Arial" w:hAnsi="Arial" w:cs="Arial"/>
          <w:sz w:val="24"/>
          <w:szCs w:val="24"/>
        </w:rPr>
      </w:pPr>
    </w:p>
    <w:p w14:paraId="20DA8458" w14:textId="77777777" w:rsidR="00E261F5" w:rsidRPr="00266375" w:rsidRDefault="00E261F5" w:rsidP="00E261F5">
      <w:pPr>
        <w:jc w:val="both"/>
        <w:rPr>
          <w:rFonts w:ascii="Arial" w:hAnsi="Arial" w:cs="Arial"/>
          <w:b/>
          <w:sz w:val="24"/>
          <w:szCs w:val="24"/>
        </w:rPr>
      </w:pPr>
      <w:r w:rsidRPr="00266375">
        <w:rPr>
          <w:rFonts w:ascii="Arial" w:hAnsi="Arial" w:cs="Arial"/>
          <w:b/>
          <w:sz w:val="24"/>
          <w:szCs w:val="24"/>
        </w:rPr>
        <w:t>Policy on Identity and Access Management</w:t>
      </w:r>
    </w:p>
    <w:p w14:paraId="7A13F7E3" w14:textId="4BF5A7AA" w:rsidR="00E261F5" w:rsidRDefault="00E261F5" w:rsidP="00E261F5">
      <w:pPr>
        <w:jc w:val="both"/>
        <w:rPr>
          <w:rFonts w:ascii="Arial" w:hAnsi="Arial" w:cs="Arial"/>
          <w:sz w:val="24"/>
          <w:szCs w:val="24"/>
        </w:rPr>
      </w:pPr>
      <w:r w:rsidRPr="00266375">
        <w:rPr>
          <w:rFonts w:ascii="Arial" w:hAnsi="Arial" w:cs="Arial"/>
          <w:sz w:val="24"/>
          <w:szCs w:val="24"/>
        </w:rPr>
        <w:t>The organisation must require multi-factor authentication for all users, including executives and privileged accounts. Identity management should be centralised and seamlessly integrated across both cloud and on-premises environments. Access should be controlled using role-based access policies, with formal reviews carried out every quarter.</w:t>
      </w:r>
    </w:p>
    <w:p w14:paraId="2A2E0F88" w14:textId="77777777" w:rsidR="00E447C6" w:rsidRDefault="00E447C6" w:rsidP="00E261F5">
      <w:pPr>
        <w:jc w:val="both"/>
        <w:rPr>
          <w:rFonts w:ascii="Arial" w:hAnsi="Arial" w:cs="Arial"/>
          <w:sz w:val="24"/>
          <w:szCs w:val="24"/>
        </w:rPr>
      </w:pPr>
    </w:p>
    <w:p w14:paraId="6B19AA16" w14:textId="77777777" w:rsidR="00E261F5" w:rsidRPr="00183631" w:rsidRDefault="00E261F5" w:rsidP="00E261F5">
      <w:pPr>
        <w:jc w:val="both"/>
        <w:rPr>
          <w:rFonts w:ascii="Arial" w:hAnsi="Arial" w:cs="Arial"/>
          <w:b/>
          <w:sz w:val="24"/>
          <w:szCs w:val="24"/>
        </w:rPr>
      </w:pPr>
      <w:r w:rsidRPr="00183631">
        <w:rPr>
          <w:rFonts w:ascii="Arial" w:eastAsia="Times New Roman" w:hAnsi="Arial" w:cs="Arial"/>
          <w:b/>
          <w:sz w:val="24"/>
          <w:szCs w:val="24"/>
        </w:rPr>
        <w:t>Device Security and Posture Policy</w:t>
      </w:r>
    </w:p>
    <w:p w14:paraId="529EFA1D" w14:textId="77777777" w:rsidR="00E261F5" w:rsidRPr="00183631" w:rsidRDefault="00E261F5" w:rsidP="00E261F5">
      <w:pPr>
        <w:jc w:val="both"/>
        <w:rPr>
          <w:rFonts w:ascii="Arial" w:hAnsi="Arial" w:cs="Arial"/>
          <w:sz w:val="24"/>
          <w:szCs w:val="24"/>
        </w:rPr>
      </w:pPr>
      <w:r w:rsidRPr="00183631">
        <w:rPr>
          <w:rFonts w:ascii="Arial" w:hAnsi="Arial" w:cs="Arial"/>
          <w:sz w:val="24"/>
          <w:szCs w:val="24"/>
        </w:rPr>
        <w:t>Access to organisational resources should be limited to authorised and compliant devices. Endpoint Detection and Response (EDR) tools must be implemented on all endpoints, with ongoing evaluations of device health to ensure up-to-date operating systems, applied patches, and proper encryption.</w:t>
      </w:r>
    </w:p>
    <w:p w14:paraId="37EE0892" w14:textId="77777777" w:rsidR="00E261F5" w:rsidRPr="00183631" w:rsidRDefault="00E261F5" w:rsidP="00E261F5">
      <w:pPr>
        <w:jc w:val="both"/>
        <w:rPr>
          <w:rFonts w:ascii="Arial" w:hAnsi="Arial" w:cs="Arial"/>
          <w:b/>
          <w:sz w:val="24"/>
          <w:szCs w:val="24"/>
        </w:rPr>
      </w:pPr>
      <w:r w:rsidRPr="00183631">
        <w:rPr>
          <w:rFonts w:ascii="Arial" w:eastAsia="Times New Roman" w:hAnsi="Arial" w:cs="Arial"/>
          <w:b/>
          <w:sz w:val="24"/>
          <w:szCs w:val="24"/>
        </w:rPr>
        <w:t>Data Protection Policy</w:t>
      </w:r>
    </w:p>
    <w:p w14:paraId="41CBA14E" w14:textId="77777777" w:rsidR="00E261F5" w:rsidRDefault="00E261F5" w:rsidP="00E261F5">
      <w:pPr>
        <w:spacing w:before="100" w:beforeAutospacing="1" w:after="100" w:afterAutospacing="1" w:line="240" w:lineRule="auto"/>
        <w:jc w:val="both"/>
        <w:rPr>
          <w:rFonts w:ascii="Arial" w:eastAsia="Times New Roman" w:hAnsi="Arial" w:cs="Arial"/>
          <w:sz w:val="24"/>
          <w:szCs w:val="24"/>
          <w:lang w:eastAsia="en-GB"/>
        </w:rPr>
      </w:pPr>
      <w:r w:rsidRPr="00183631">
        <w:rPr>
          <w:rFonts w:ascii="Arial" w:eastAsia="Times New Roman" w:hAnsi="Arial" w:cs="Arial"/>
          <w:sz w:val="24"/>
          <w:szCs w:val="24"/>
          <w:lang w:eastAsia="en-GB"/>
        </w:rPr>
        <w:t>Data must be categorised based on its sensitivity, with corresponding security controls applied to each classification. Encryption should be applied to data both at rest and in transit, and Data Loss Prevention (DLP) solutions should be deployed across email, endpoints, and cloud storage environments.</w:t>
      </w:r>
    </w:p>
    <w:p w14:paraId="3BF80620" w14:textId="77777777" w:rsidR="00E261F5" w:rsidRPr="00183631" w:rsidRDefault="00E261F5" w:rsidP="00E261F5">
      <w:pPr>
        <w:spacing w:before="100" w:beforeAutospacing="1" w:after="100" w:afterAutospacing="1" w:line="240" w:lineRule="auto"/>
        <w:jc w:val="both"/>
        <w:rPr>
          <w:rFonts w:ascii="Arial" w:eastAsia="Times New Roman" w:hAnsi="Arial" w:cs="Arial"/>
          <w:b/>
          <w:sz w:val="24"/>
          <w:szCs w:val="24"/>
          <w:lang w:eastAsia="en-GB"/>
        </w:rPr>
      </w:pPr>
      <w:r w:rsidRPr="00183631">
        <w:rPr>
          <w:rFonts w:ascii="Arial" w:eastAsia="Times New Roman" w:hAnsi="Arial" w:cs="Arial"/>
          <w:b/>
          <w:sz w:val="24"/>
          <w:szCs w:val="24"/>
        </w:rPr>
        <w:t>Third-Party and Supply Chain Risk Policy</w:t>
      </w:r>
    </w:p>
    <w:p w14:paraId="350FDCD5" w14:textId="77777777" w:rsidR="00E261F5" w:rsidRDefault="00E261F5" w:rsidP="00E261F5">
      <w:pPr>
        <w:jc w:val="both"/>
        <w:rPr>
          <w:rFonts w:ascii="Arial" w:hAnsi="Arial" w:cs="Arial"/>
          <w:sz w:val="24"/>
          <w:szCs w:val="24"/>
        </w:rPr>
      </w:pPr>
      <w:r w:rsidRPr="00183631">
        <w:rPr>
          <w:rFonts w:ascii="Arial" w:hAnsi="Arial" w:cs="Arial"/>
          <w:sz w:val="24"/>
          <w:szCs w:val="24"/>
        </w:rPr>
        <w:t>Third-party risk evaluations should follow the guidelines of ISO/IEC 27001 and NIST SP 800-161. Supplier agreements must specify security responsibilities and grant audit rights, complemented by continuous monitoring of the vendor’s security posture.</w:t>
      </w:r>
    </w:p>
    <w:p w14:paraId="3C979DBD" w14:textId="77777777" w:rsidR="00E261F5" w:rsidRPr="00DF1666" w:rsidRDefault="00E261F5" w:rsidP="00E261F5">
      <w:pPr>
        <w:jc w:val="both"/>
        <w:rPr>
          <w:rFonts w:ascii="Arial" w:hAnsi="Arial" w:cs="Arial"/>
          <w:b/>
          <w:sz w:val="24"/>
          <w:szCs w:val="24"/>
        </w:rPr>
      </w:pPr>
      <w:r w:rsidRPr="00DF1666">
        <w:rPr>
          <w:rFonts w:ascii="Arial" w:hAnsi="Arial" w:cs="Arial"/>
          <w:b/>
          <w:sz w:val="24"/>
          <w:szCs w:val="24"/>
        </w:rPr>
        <w:t>Policy on Logging and Incident Response</w:t>
      </w:r>
    </w:p>
    <w:p w14:paraId="1F8B24A5" w14:textId="77777777" w:rsidR="00E261F5" w:rsidRDefault="00E261F5" w:rsidP="00E261F5">
      <w:pPr>
        <w:spacing w:before="100" w:beforeAutospacing="1" w:after="100" w:afterAutospacing="1" w:line="240" w:lineRule="auto"/>
        <w:jc w:val="both"/>
        <w:rPr>
          <w:rFonts w:ascii="Arial" w:eastAsia="Times New Roman" w:hAnsi="Arial" w:cs="Arial"/>
          <w:sz w:val="24"/>
          <w:szCs w:val="24"/>
          <w:lang w:eastAsia="en-GB"/>
        </w:rPr>
      </w:pPr>
      <w:r w:rsidRPr="00183631">
        <w:rPr>
          <w:rFonts w:ascii="Arial" w:eastAsia="Times New Roman" w:hAnsi="Arial" w:cs="Arial"/>
          <w:sz w:val="24"/>
          <w:szCs w:val="24"/>
          <w:lang w:eastAsia="en-GB"/>
        </w:rPr>
        <w:t>Detailed logging of authentication events, access attempts, and administrative activities should be enforced. Logs must be retained in accordance with regulatory standards, and defined incident response responsibilities, escalation processes, and communication protocols should be in place.</w:t>
      </w:r>
    </w:p>
    <w:p w14:paraId="336D0391" w14:textId="77777777" w:rsidR="00C779A2" w:rsidRDefault="00C779A2" w:rsidP="00C44A6E">
      <w:pPr>
        <w:spacing w:after="0"/>
        <w:jc w:val="both"/>
        <w:rPr>
          <w:rFonts w:ascii="Arial" w:hAnsi="Arial" w:cs="Arial"/>
        </w:rPr>
      </w:pPr>
    </w:p>
    <w:p w14:paraId="6B9A91DE" w14:textId="77777777" w:rsidR="003F2B3E" w:rsidRDefault="003F2B3E" w:rsidP="00C44A6E">
      <w:pPr>
        <w:pStyle w:val="Cmsor1"/>
        <w:jc w:val="both"/>
      </w:pPr>
      <w:bookmarkStart w:id="7" w:name="_Toc216987465"/>
      <w:r w:rsidRPr="003F2B3E">
        <w:t>Technical Mitigation Measures</w:t>
      </w:r>
      <w:bookmarkEnd w:id="7"/>
      <w:r w:rsidRPr="003F2B3E">
        <w:t xml:space="preserve"> </w:t>
      </w:r>
    </w:p>
    <w:p w14:paraId="23DAE2A4" w14:textId="77777777" w:rsidR="00C779A2" w:rsidRDefault="00C779A2" w:rsidP="00C44A6E">
      <w:pPr>
        <w:spacing w:after="0"/>
        <w:jc w:val="both"/>
        <w:rPr>
          <w:rFonts w:ascii="Arial" w:hAnsi="Arial" w:cs="Arial"/>
        </w:rPr>
      </w:pPr>
    </w:p>
    <w:p w14:paraId="6189B7C6" w14:textId="77777777" w:rsidR="00E261F5" w:rsidRPr="00DF1666" w:rsidRDefault="00E261F5" w:rsidP="00E261F5">
      <w:pPr>
        <w:pStyle w:val="Cmsor3"/>
        <w:jc w:val="both"/>
        <w:rPr>
          <w:rFonts w:ascii="Arial" w:eastAsia="Times New Roman" w:hAnsi="Arial" w:cs="Arial"/>
          <w:b/>
          <w:color w:val="000000" w:themeColor="text1"/>
        </w:rPr>
      </w:pPr>
      <w:bookmarkStart w:id="8" w:name="_Toc216987466"/>
      <w:r w:rsidRPr="00DF1666">
        <w:rPr>
          <w:rFonts w:ascii="Arial" w:eastAsia="Times New Roman" w:hAnsi="Arial" w:cs="Arial"/>
          <w:b/>
          <w:color w:val="000000" w:themeColor="text1"/>
        </w:rPr>
        <w:lastRenderedPageBreak/>
        <w:t>Technical and Administrative Mitigation Measures</w:t>
      </w:r>
      <w:bookmarkEnd w:id="8"/>
    </w:p>
    <w:p w14:paraId="7B5C17D8" w14:textId="1B000459" w:rsidR="00E261F5" w:rsidRPr="00DF1666" w:rsidRDefault="00E261F5" w:rsidP="00E261F5">
      <w:pPr>
        <w:spacing w:before="100" w:beforeAutospacing="1" w:after="100" w:afterAutospacing="1" w:line="240" w:lineRule="auto"/>
        <w:jc w:val="both"/>
        <w:rPr>
          <w:rFonts w:ascii="Arial" w:eastAsia="Times New Roman" w:hAnsi="Arial" w:cs="Arial"/>
          <w:sz w:val="24"/>
          <w:szCs w:val="24"/>
          <w:lang w:eastAsia="en-GB"/>
        </w:rPr>
      </w:pPr>
      <w:r w:rsidRPr="00DF1666">
        <w:rPr>
          <w:rFonts w:ascii="Arial" w:eastAsia="Times New Roman" w:hAnsi="Arial" w:cs="Arial"/>
          <w:sz w:val="24"/>
          <w:szCs w:val="24"/>
          <w:lang w:eastAsia="en-GB"/>
        </w:rPr>
        <w:t>Multi-factor authentication (MFA) should employ phishing-resistant methods, like FIDO2, especially for privileged accounts, and be applied across cloud services, SaaS applications, and secure remote access systems. Privileged Access Management (PAM) solutions should be implemented to separate administrative accounts, enforce just-in-time privilege elevation, and enable session monitoring and recording.</w:t>
      </w:r>
      <w:sdt>
        <w:sdtPr>
          <w:rPr>
            <w:rFonts w:ascii="Arial" w:eastAsia="Times New Roman" w:hAnsi="Arial" w:cs="Arial"/>
            <w:sz w:val="24"/>
            <w:szCs w:val="24"/>
            <w:lang w:eastAsia="en-GB"/>
          </w:rPr>
          <w:id w:val="778998710"/>
          <w:citation/>
        </w:sdtPr>
        <w:sdtContent>
          <w:r w:rsidR="00191F3D">
            <w:rPr>
              <w:rFonts w:ascii="Arial" w:eastAsia="Times New Roman" w:hAnsi="Arial" w:cs="Arial"/>
              <w:sz w:val="24"/>
              <w:szCs w:val="24"/>
              <w:lang w:eastAsia="en-GB"/>
            </w:rPr>
            <w:fldChar w:fldCharType="begin"/>
          </w:r>
          <w:r w:rsidR="00191F3D">
            <w:rPr>
              <w:rFonts w:ascii="Arial" w:eastAsia="Times New Roman" w:hAnsi="Arial" w:cs="Arial"/>
              <w:sz w:val="24"/>
              <w:szCs w:val="24"/>
              <w:lang w:val="hu-HU" w:eastAsia="en-GB"/>
            </w:rPr>
            <w:instrText xml:space="preserve"> CITATION Mic24 \l 1038 </w:instrText>
          </w:r>
          <w:r w:rsidR="00191F3D">
            <w:rPr>
              <w:rFonts w:ascii="Arial" w:eastAsia="Times New Roman" w:hAnsi="Arial" w:cs="Arial"/>
              <w:sz w:val="24"/>
              <w:szCs w:val="24"/>
              <w:lang w:eastAsia="en-GB"/>
            </w:rPr>
            <w:fldChar w:fldCharType="separate"/>
          </w:r>
          <w:r w:rsidR="00EC5F8A">
            <w:rPr>
              <w:rFonts w:ascii="Arial" w:eastAsia="Times New Roman" w:hAnsi="Arial" w:cs="Arial"/>
              <w:noProof/>
              <w:sz w:val="24"/>
              <w:szCs w:val="24"/>
              <w:lang w:val="hu-HU" w:eastAsia="en-GB"/>
            </w:rPr>
            <w:t xml:space="preserve"> </w:t>
          </w:r>
          <w:r w:rsidR="00EC5F8A" w:rsidRPr="00EC5F8A">
            <w:rPr>
              <w:rFonts w:ascii="Arial" w:eastAsia="Times New Roman" w:hAnsi="Arial" w:cs="Arial"/>
              <w:noProof/>
              <w:sz w:val="24"/>
              <w:szCs w:val="24"/>
              <w:lang w:val="hu-HU" w:eastAsia="en-GB"/>
            </w:rPr>
            <w:t>[5]</w:t>
          </w:r>
          <w:r w:rsidR="00191F3D">
            <w:rPr>
              <w:rFonts w:ascii="Arial" w:eastAsia="Times New Roman" w:hAnsi="Arial" w:cs="Arial"/>
              <w:sz w:val="24"/>
              <w:szCs w:val="24"/>
              <w:lang w:eastAsia="en-GB"/>
            </w:rPr>
            <w:fldChar w:fldCharType="end"/>
          </w:r>
        </w:sdtContent>
      </w:sdt>
    </w:p>
    <w:p w14:paraId="170BAF69" w14:textId="77777777" w:rsidR="00E261F5" w:rsidRPr="00DF1666" w:rsidRDefault="00E261F5" w:rsidP="00E261F5">
      <w:pPr>
        <w:pStyle w:val="NormlWeb"/>
        <w:jc w:val="both"/>
        <w:rPr>
          <w:rFonts w:ascii="Arial" w:hAnsi="Arial" w:cs="Arial"/>
          <w:b/>
        </w:rPr>
      </w:pPr>
      <w:r w:rsidRPr="00DF1666">
        <w:rPr>
          <w:rFonts w:ascii="Arial" w:hAnsi="Arial" w:cs="Arial"/>
          <w:b/>
        </w:rPr>
        <w:t>Controls for Endpoint and Network Security</w:t>
      </w:r>
    </w:p>
    <w:p w14:paraId="3654FF06" w14:textId="77777777" w:rsidR="00E261F5" w:rsidRDefault="00E261F5" w:rsidP="00E261F5">
      <w:pPr>
        <w:pStyle w:val="NormlWeb"/>
        <w:jc w:val="both"/>
        <w:rPr>
          <w:rFonts w:ascii="Arial" w:hAnsi="Arial" w:cs="Arial"/>
        </w:rPr>
      </w:pPr>
      <w:r w:rsidRPr="00DF1666">
        <w:rPr>
          <w:rFonts w:ascii="Arial" w:hAnsi="Arial" w:cs="Arial"/>
        </w:rPr>
        <w:t>Endpoint Detection and Response tools should be deployed to identify behavioural indicators of ransomware and other malicious activity, with automated containment of compromised devices. Micro-segmentation should be used to isolate sensitive systems and prevent lateral movement within the network.</w:t>
      </w:r>
    </w:p>
    <w:p w14:paraId="75C865A3" w14:textId="77777777" w:rsidR="00E261F5" w:rsidRDefault="00E261F5" w:rsidP="00E261F5">
      <w:pPr>
        <w:pStyle w:val="NormlWeb"/>
        <w:jc w:val="both"/>
        <w:rPr>
          <w:rFonts w:ascii="Arial" w:eastAsia="Times New Roman" w:hAnsi="Arial" w:cs="Arial"/>
          <w:b/>
        </w:rPr>
      </w:pPr>
      <w:r w:rsidRPr="00DF1666">
        <w:rPr>
          <w:rFonts w:ascii="Arial" w:eastAsia="Times New Roman" w:hAnsi="Arial" w:cs="Arial"/>
          <w:b/>
        </w:rPr>
        <w:t>Cloud and Hybrid Security Controls</w:t>
      </w:r>
    </w:p>
    <w:p w14:paraId="23F023F7" w14:textId="77777777" w:rsidR="00E261F5" w:rsidRDefault="00E261F5" w:rsidP="00E261F5">
      <w:pPr>
        <w:pStyle w:val="NormlWeb"/>
        <w:jc w:val="both"/>
        <w:rPr>
          <w:rFonts w:ascii="Arial" w:hAnsi="Arial" w:cs="Arial"/>
        </w:rPr>
      </w:pPr>
      <w:r w:rsidRPr="00DF1666">
        <w:rPr>
          <w:rFonts w:ascii="Arial" w:hAnsi="Arial" w:cs="Arial"/>
        </w:rPr>
        <w:t>Cloud Security Posture Management (CSPM) tools should be deployed to continuously detect misconfigurations and maintain compliance with CIS Benchmarks and NIST standards. Zero Trust Network Access (ZTNA) should be used instead of traditional VPNs, granting application-level access based on user identity and contextual risk.</w:t>
      </w:r>
    </w:p>
    <w:p w14:paraId="5FEC9591" w14:textId="77777777" w:rsidR="003F2B3E" w:rsidRDefault="003F2B3E" w:rsidP="00C44A6E">
      <w:pPr>
        <w:pStyle w:val="Cmsor1"/>
        <w:jc w:val="both"/>
      </w:pPr>
      <w:bookmarkStart w:id="9" w:name="_Toc216987467"/>
      <w:r w:rsidRPr="003F2B3E">
        <w:t>Proactive Monitoring and Incident Response</w:t>
      </w:r>
      <w:bookmarkEnd w:id="9"/>
      <w:r w:rsidRPr="003F2B3E">
        <w:t xml:space="preserve"> </w:t>
      </w:r>
    </w:p>
    <w:p w14:paraId="7C8CAB32" w14:textId="77777777" w:rsidR="00C44A6E" w:rsidRPr="00DF1666"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DF1666">
        <w:rPr>
          <w:rFonts w:ascii="Arial" w:eastAsia="Times New Roman" w:hAnsi="Arial" w:cs="Arial"/>
          <w:sz w:val="24"/>
          <w:szCs w:val="24"/>
          <w:lang w:eastAsia="en-GB"/>
        </w:rPr>
        <w:t>A Security Information and Event Management (SIEM) system should act as the central hub for security monitoring by collecting and correlating logs from endpoints, identity systems, network devices, and cloud platforms.</w:t>
      </w:r>
    </w:p>
    <w:p w14:paraId="3B90A04A" w14:textId="77777777" w:rsidR="00C44A6E" w:rsidRPr="00DF1666"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DF1666">
        <w:rPr>
          <w:rFonts w:ascii="Arial" w:eastAsia="Times New Roman" w:hAnsi="Arial" w:cs="Arial"/>
          <w:sz w:val="24"/>
          <w:szCs w:val="24"/>
          <w:lang w:eastAsia="en-GB"/>
        </w:rPr>
        <w:t>Security Orchestration, Automation, and Response (SOAR) capabilities should be integrated with the SIEM to enable fast and consistent execution of predefined response actions when threats are detected.</w:t>
      </w:r>
    </w:p>
    <w:p w14:paraId="36620BED" w14:textId="77777777" w:rsidR="00C44A6E" w:rsidRPr="00DF1666"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DF1666">
        <w:rPr>
          <w:rFonts w:ascii="Arial" w:eastAsia="Times New Roman" w:hAnsi="Arial" w:cs="Arial"/>
          <w:sz w:val="24"/>
          <w:szCs w:val="24"/>
          <w:lang w:eastAsia="en-GB"/>
        </w:rPr>
        <w:t>Security events are gathered and analysed by the SIEM, which triggers alerts based on correlation and analytics. SOAR playbooks then automate actions such as containment, eradication, and notifications, followed by post-incident evaluation and ongoing improvement.</w:t>
      </w:r>
    </w:p>
    <w:p w14:paraId="6A706327" w14:textId="72015C2D" w:rsidR="00C44A6E" w:rsidRPr="00DF1666"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DF1666">
        <w:rPr>
          <w:rFonts w:ascii="Arial" w:eastAsia="Times New Roman" w:hAnsi="Arial" w:cs="Arial"/>
          <w:sz w:val="24"/>
          <w:szCs w:val="24"/>
          <w:lang w:eastAsia="en-GB"/>
        </w:rPr>
        <w:t>Incident response should follow the lifecycle defined in NIST SP 800-61, encompassing preparation, detection and analysis, containment and eradication, recovery, and post-incident review.</w:t>
      </w:r>
    </w:p>
    <w:p w14:paraId="771EACDA" w14:textId="77777777" w:rsidR="00C779A2" w:rsidRDefault="00C779A2" w:rsidP="00C44A6E">
      <w:pPr>
        <w:spacing w:after="0"/>
        <w:jc w:val="both"/>
        <w:rPr>
          <w:rFonts w:ascii="Arial" w:hAnsi="Arial" w:cs="Arial"/>
        </w:rPr>
      </w:pPr>
    </w:p>
    <w:p w14:paraId="081D00D9" w14:textId="77777777" w:rsidR="003F2B3E" w:rsidRDefault="003F2B3E" w:rsidP="00C44A6E">
      <w:pPr>
        <w:pStyle w:val="Cmsor1"/>
        <w:jc w:val="both"/>
      </w:pPr>
      <w:bookmarkStart w:id="10" w:name="_Toc216987468"/>
      <w:r w:rsidRPr="003F2B3E">
        <w:t>Continuous Training and Awareness</w:t>
      </w:r>
      <w:bookmarkEnd w:id="10"/>
    </w:p>
    <w:p w14:paraId="55F59270" w14:textId="77777777" w:rsidR="00C44A6E" w:rsidRPr="00C44A6E"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C44A6E">
        <w:rPr>
          <w:rFonts w:ascii="Arial" w:eastAsia="Times New Roman" w:hAnsi="Arial" w:cs="Arial"/>
          <w:sz w:val="24"/>
          <w:szCs w:val="24"/>
          <w:lang w:eastAsia="en-GB"/>
        </w:rPr>
        <w:t>Human behaviour continues to be one of the most targeted attack vectors. Therefore, the organisation should focus on cultivating an ongoing security awareness culture rather than depending solely on occasional training sessions.</w:t>
      </w:r>
    </w:p>
    <w:p w14:paraId="48FFB00C" w14:textId="77777777" w:rsidR="00C44A6E" w:rsidRPr="00C44A6E"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C44A6E">
        <w:rPr>
          <w:rFonts w:ascii="Arial" w:eastAsia="Times New Roman" w:hAnsi="Arial" w:cs="Arial"/>
          <w:sz w:val="24"/>
          <w:szCs w:val="24"/>
          <w:lang w:eastAsia="en-GB"/>
        </w:rPr>
        <w:lastRenderedPageBreak/>
        <w:t>Regular simulated phishing and vishing exercises should be conducted using realistic, AI-driven scenarios, providing immediate feedback and targeted micro-learning content. Training should be tailored to roles, covering executive-level risks like business email compromise, technical response skills for IT personnel, and general security best practices for all staff. The effectiveness of the programme should be measured using metrics such as click rates, reporting rates, and average time to report suspicious activity.</w:t>
      </w:r>
    </w:p>
    <w:p w14:paraId="1411A2A4" w14:textId="77777777" w:rsidR="00C44A6E" w:rsidRPr="00C44A6E" w:rsidRDefault="00C44A6E" w:rsidP="00C44A6E">
      <w:pPr>
        <w:spacing w:before="100" w:beforeAutospacing="1" w:after="100" w:afterAutospacing="1" w:line="240" w:lineRule="auto"/>
        <w:jc w:val="both"/>
        <w:rPr>
          <w:rFonts w:ascii="Arial" w:eastAsia="Times New Roman" w:hAnsi="Arial" w:cs="Arial"/>
          <w:sz w:val="24"/>
          <w:szCs w:val="24"/>
          <w:lang w:eastAsia="en-GB"/>
        </w:rPr>
      </w:pPr>
      <w:r w:rsidRPr="00C44A6E">
        <w:rPr>
          <w:rFonts w:ascii="Arial" w:eastAsia="Times New Roman" w:hAnsi="Arial" w:cs="Arial"/>
          <w:sz w:val="24"/>
          <w:szCs w:val="24"/>
          <w:lang w:eastAsia="en-GB"/>
        </w:rPr>
        <w:t>A strong security culture should be reinforced through visible executive support, positive reinforcement, gamification, and easily accessible, blame-free reporting channels.</w:t>
      </w:r>
    </w:p>
    <w:p w14:paraId="5215BCDA" w14:textId="490DDBBF" w:rsidR="00E261F5" w:rsidRDefault="00E261F5" w:rsidP="00C44A6E">
      <w:pPr>
        <w:pStyle w:val="Cmsor1"/>
        <w:jc w:val="both"/>
      </w:pPr>
    </w:p>
    <w:p w14:paraId="33B4065B" w14:textId="34E2B24A" w:rsidR="008036E7" w:rsidRDefault="008036E7" w:rsidP="008036E7"/>
    <w:p w14:paraId="77DE7F4C" w14:textId="6A77B36F" w:rsidR="008036E7" w:rsidRDefault="008036E7" w:rsidP="008036E7"/>
    <w:p w14:paraId="0D2B9E37" w14:textId="5F2C9A3D" w:rsidR="008036E7" w:rsidRDefault="008036E7" w:rsidP="008036E7"/>
    <w:p w14:paraId="4D25F9D0" w14:textId="40C81870" w:rsidR="008036E7" w:rsidRDefault="008036E7" w:rsidP="008036E7"/>
    <w:p w14:paraId="575E5176" w14:textId="2D668538" w:rsidR="008036E7" w:rsidRPr="008036E7" w:rsidRDefault="008036E7" w:rsidP="008036E7">
      <w:r>
        <w:rPr>
          <w:noProof/>
          <w:lang w:eastAsia="en-GB"/>
        </w:rPr>
        <w:drawing>
          <wp:inline distT="0" distB="0" distL="0" distR="0" wp14:anchorId="51118478" wp14:editId="32852892">
            <wp:extent cx="5731510" cy="4180205"/>
            <wp:effectExtent l="0" t="0" r="2540" b="0"/>
            <wp:docPr id="288" name="Kép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 name="Rajz 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180205"/>
                    </a:xfrm>
                    <a:prstGeom prst="rect">
                      <a:avLst/>
                    </a:prstGeom>
                  </pic:spPr>
                </pic:pic>
              </a:graphicData>
            </a:graphic>
          </wp:inline>
        </w:drawing>
      </w:r>
    </w:p>
    <w:p w14:paraId="2D432EAA" w14:textId="2BCF7DB1" w:rsidR="003F2B3E" w:rsidRDefault="003F2B3E" w:rsidP="00C44A6E">
      <w:pPr>
        <w:pStyle w:val="Cmsor1"/>
        <w:jc w:val="both"/>
      </w:pPr>
      <w:bookmarkStart w:id="11" w:name="_Toc216987469"/>
      <w:r w:rsidRPr="003F2B3E">
        <w:t>Conclusion</w:t>
      </w:r>
      <w:bookmarkEnd w:id="11"/>
    </w:p>
    <w:p w14:paraId="3B833355" w14:textId="77777777" w:rsidR="00E261F5" w:rsidRPr="00E261F5" w:rsidRDefault="00E261F5" w:rsidP="00E261F5">
      <w:pPr>
        <w:spacing w:before="100" w:beforeAutospacing="1" w:after="100" w:afterAutospacing="1" w:line="240" w:lineRule="auto"/>
        <w:rPr>
          <w:rFonts w:ascii="Arial" w:eastAsia="Times New Roman" w:hAnsi="Arial" w:cs="Arial"/>
          <w:sz w:val="24"/>
          <w:szCs w:val="24"/>
          <w:lang w:eastAsia="en-GB"/>
        </w:rPr>
      </w:pPr>
      <w:r w:rsidRPr="00E261F5">
        <w:rPr>
          <w:rFonts w:ascii="Arial" w:eastAsia="Times New Roman" w:hAnsi="Arial" w:cs="Arial"/>
          <w:sz w:val="24"/>
          <w:szCs w:val="24"/>
          <w:lang w:eastAsia="en-GB"/>
        </w:rPr>
        <w:t xml:space="preserve">The current cyber threat environment calls for a shift from traditional perimeter-focused security models to a Zero Trust framework. By proactively addressing modern threats, implementing policies aligned with Zero Trust principles, deploying </w:t>
      </w:r>
      <w:r w:rsidRPr="00E261F5">
        <w:rPr>
          <w:rFonts w:ascii="Arial" w:eastAsia="Times New Roman" w:hAnsi="Arial" w:cs="Arial"/>
          <w:sz w:val="24"/>
          <w:szCs w:val="24"/>
          <w:lang w:eastAsia="en-GB"/>
        </w:rPr>
        <w:lastRenderedPageBreak/>
        <w:t>multiple layers of technical controls, and sustaining continuous monitoring and user education, Vigilant Trust &amp; Asset Management can markedly strengthen its security posture and operational resilience.</w:t>
      </w:r>
    </w:p>
    <w:p w14:paraId="33552882" w14:textId="77777777" w:rsidR="00E261F5" w:rsidRPr="00E261F5" w:rsidRDefault="00E261F5" w:rsidP="00E261F5">
      <w:pPr>
        <w:spacing w:before="100" w:beforeAutospacing="1" w:after="100" w:afterAutospacing="1" w:line="240" w:lineRule="auto"/>
        <w:rPr>
          <w:rFonts w:ascii="Arial" w:eastAsia="Times New Roman" w:hAnsi="Arial" w:cs="Arial"/>
          <w:sz w:val="24"/>
          <w:szCs w:val="24"/>
          <w:lang w:eastAsia="en-GB"/>
        </w:rPr>
      </w:pPr>
      <w:r w:rsidRPr="00E261F5">
        <w:rPr>
          <w:rFonts w:ascii="Arial" w:eastAsia="Times New Roman" w:hAnsi="Arial" w:cs="Arial"/>
          <w:sz w:val="24"/>
          <w:szCs w:val="24"/>
          <w:lang w:eastAsia="en-GB"/>
        </w:rPr>
        <w:t>Drawing on guidance from NIST, CISA, and ENISA, this framework provides a scalable and practical strategy for securing a contemporary financial services environment. Zero Trust should be treated as an ongoing cycle of verification and enhancement, allowing the organisation to effectively respond to an increasingly complex and hostile digital landscape.</w:t>
      </w:r>
    </w:p>
    <w:p w14:paraId="19796DE6" w14:textId="77777777" w:rsidR="00C779A2" w:rsidRDefault="00C779A2" w:rsidP="00C44A6E">
      <w:pPr>
        <w:spacing w:after="0"/>
        <w:jc w:val="both"/>
        <w:rPr>
          <w:rFonts w:ascii="Arial" w:hAnsi="Arial" w:cs="Arial"/>
        </w:rPr>
      </w:pPr>
    </w:p>
    <w:p w14:paraId="6279DA35" w14:textId="77777777" w:rsidR="00C779A2" w:rsidRDefault="00C779A2" w:rsidP="00C44A6E">
      <w:pPr>
        <w:spacing w:after="0"/>
        <w:jc w:val="both"/>
        <w:rPr>
          <w:rFonts w:ascii="Arial" w:hAnsi="Arial" w:cs="Arial"/>
        </w:rPr>
      </w:pPr>
    </w:p>
    <w:p w14:paraId="77B5124B" w14:textId="38BBE095" w:rsidR="00C779A2" w:rsidRDefault="00C779A2" w:rsidP="00C44A6E">
      <w:pPr>
        <w:spacing w:after="0"/>
        <w:jc w:val="both"/>
        <w:rPr>
          <w:rFonts w:ascii="Arial" w:hAnsi="Arial" w:cs="Arial"/>
        </w:rPr>
      </w:pPr>
    </w:p>
    <w:p w14:paraId="1AA38C3F" w14:textId="7EBC74B3" w:rsidR="00E261F5" w:rsidRDefault="00E261F5" w:rsidP="00C44A6E">
      <w:pPr>
        <w:spacing w:after="0"/>
        <w:jc w:val="both"/>
        <w:rPr>
          <w:rFonts w:ascii="Arial" w:hAnsi="Arial" w:cs="Arial"/>
        </w:rPr>
      </w:pPr>
    </w:p>
    <w:p w14:paraId="1ED5E7F2" w14:textId="54D151AB" w:rsidR="00E447C6" w:rsidRDefault="00E447C6" w:rsidP="00C44A6E">
      <w:pPr>
        <w:spacing w:after="0"/>
        <w:jc w:val="both"/>
        <w:rPr>
          <w:rFonts w:ascii="Arial" w:hAnsi="Arial" w:cs="Arial"/>
        </w:rPr>
      </w:pPr>
    </w:p>
    <w:p w14:paraId="7D36F33F" w14:textId="77777777" w:rsidR="00E447C6" w:rsidRDefault="00E447C6" w:rsidP="00C44A6E">
      <w:pPr>
        <w:spacing w:after="0"/>
        <w:jc w:val="both"/>
        <w:rPr>
          <w:rFonts w:ascii="Arial" w:hAnsi="Arial" w:cs="Arial"/>
        </w:rPr>
      </w:pPr>
    </w:p>
    <w:p w14:paraId="788BCECA" w14:textId="77777777" w:rsidR="00C779A2" w:rsidRDefault="00C779A2" w:rsidP="00C44A6E">
      <w:pPr>
        <w:spacing w:after="0"/>
        <w:jc w:val="both"/>
        <w:rPr>
          <w:rFonts w:ascii="Arial" w:hAnsi="Arial" w:cs="Arial"/>
        </w:rPr>
      </w:pPr>
    </w:p>
    <w:p w14:paraId="26890BDA" w14:textId="77777777" w:rsidR="00C779A2" w:rsidRPr="003F2B3E" w:rsidRDefault="00C779A2" w:rsidP="00C44A6E">
      <w:pPr>
        <w:spacing w:after="0"/>
        <w:jc w:val="both"/>
        <w:rPr>
          <w:rFonts w:ascii="Arial" w:hAnsi="Arial" w:cs="Arial"/>
        </w:rPr>
      </w:pPr>
    </w:p>
    <w:p w14:paraId="72987665" w14:textId="77777777" w:rsidR="003F2B3E" w:rsidRDefault="003F2B3E" w:rsidP="00C44A6E">
      <w:pPr>
        <w:pStyle w:val="Cmsor1"/>
        <w:jc w:val="both"/>
      </w:pPr>
      <w:bookmarkStart w:id="12" w:name="_Toc216987470"/>
      <w:r w:rsidRPr="003F2B3E">
        <w:t>References</w:t>
      </w:r>
      <w:bookmarkEnd w:id="12"/>
    </w:p>
    <w:sdt>
      <w:sdtPr>
        <w:rPr>
          <w:lang w:val="hu-HU"/>
        </w:rPr>
        <w:id w:val="-275874142"/>
        <w:docPartObj>
          <w:docPartGallery w:val="Bibliographies"/>
          <w:docPartUnique/>
        </w:docPartObj>
      </w:sdtPr>
      <w:sdtEndPr>
        <w:rPr>
          <w:rFonts w:asciiTheme="minorHAnsi" w:eastAsiaTheme="minorHAnsi" w:hAnsiTheme="minorHAnsi" w:cstheme="minorBidi"/>
          <w:b w:val="0"/>
          <w:color w:val="auto"/>
          <w:sz w:val="22"/>
          <w:szCs w:val="22"/>
          <w:lang w:val="en-GB"/>
        </w:rPr>
      </w:sdtEndPr>
      <w:sdtContent>
        <w:p w14:paraId="49034493" w14:textId="2C19D6DE" w:rsidR="00E447C6" w:rsidRDefault="00E447C6">
          <w:pPr>
            <w:pStyle w:val="Cmsor1"/>
          </w:pPr>
        </w:p>
        <w:sdt>
          <w:sdtPr>
            <w:id w:val="-573587230"/>
            <w:bibliography/>
          </w:sdtPr>
          <w:sdtContent>
            <w:p w14:paraId="4BAB02D1" w14:textId="77777777" w:rsidR="00EC5F8A" w:rsidRDefault="00E447C6">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C5F8A" w14:paraId="1DC51233" w14:textId="77777777">
                <w:trPr>
                  <w:divId w:val="799808738"/>
                  <w:tblCellSpacing w:w="15" w:type="dxa"/>
                </w:trPr>
                <w:tc>
                  <w:tcPr>
                    <w:tcW w:w="50" w:type="pct"/>
                    <w:hideMark/>
                  </w:tcPr>
                  <w:p w14:paraId="2B3EE87C" w14:textId="0346BC1B" w:rsidR="00EC5F8A" w:rsidRDefault="00EC5F8A">
                    <w:pPr>
                      <w:pStyle w:val="Irodalomjegyzk"/>
                      <w:rPr>
                        <w:noProof/>
                        <w:sz w:val="24"/>
                        <w:szCs w:val="24"/>
                      </w:rPr>
                    </w:pPr>
                    <w:r>
                      <w:rPr>
                        <w:noProof/>
                      </w:rPr>
                      <w:t xml:space="preserve">[1] </w:t>
                    </w:r>
                  </w:p>
                </w:tc>
                <w:tc>
                  <w:tcPr>
                    <w:tcW w:w="0" w:type="auto"/>
                    <w:hideMark/>
                  </w:tcPr>
                  <w:p w14:paraId="2769B803" w14:textId="77777777" w:rsidR="00EC5F8A" w:rsidRDefault="00EC5F8A">
                    <w:pPr>
                      <w:pStyle w:val="Irodalomjegyzk"/>
                      <w:rPr>
                        <w:noProof/>
                      </w:rPr>
                    </w:pPr>
                    <w:r>
                      <w:rPr>
                        <w:noProof/>
                      </w:rPr>
                      <w:t>“Blastwave,” [Online]. Available: https://www.blastwave.com/white-paper-zero-trust-shielding-for-manufacturing-networks.</w:t>
                    </w:r>
                  </w:p>
                </w:tc>
              </w:tr>
              <w:tr w:rsidR="00EC5F8A" w14:paraId="4F84918E" w14:textId="77777777">
                <w:trPr>
                  <w:divId w:val="799808738"/>
                  <w:tblCellSpacing w:w="15" w:type="dxa"/>
                </w:trPr>
                <w:tc>
                  <w:tcPr>
                    <w:tcW w:w="50" w:type="pct"/>
                    <w:hideMark/>
                  </w:tcPr>
                  <w:p w14:paraId="2C57F077" w14:textId="77777777" w:rsidR="00EC5F8A" w:rsidRDefault="00EC5F8A">
                    <w:pPr>
                      <w:pStyle w:val="Irodalomjegyzk"/>
                      <w:rPr>
                        <w:noProof/>
                      </w:rPr>
                    </w:pPr>
                    <w:r>
                      <w:rPr>
                        <w:noProof/>
                      </w:rPr>
                      <w:t xml:space="preserve">[2] </w:t>
                    </w:r>
                  </w:p>
                </w:tc>
                <w:tc>
                  <w:tcPr>
                    <w:tcW w:w="0" w:type="auto"/>
                    <w:hideMark/>
                  </w:tcPr>
                  <w:p w14:paraId="44B0D913" w14:textId="77777777" w:rsidR="00EC5F8A" w:rsidRDefault="00EC5F8A">
                    <w:pPr>
                      <w:pStyle w:val="Irodalomjegyzk"/>
                      <w:rPr>
                        <w:noProof/>
                      </w:rPr>
                    </w:pPr>
                    <w:r>
                      <w:rPr>
                        <w:noProof/>
                      </w:rPr>
                      <w:t>“Known Exploited Vulnerabilities (KEV) Catalog. Cybersecurity and Infrastructure Security Agency.,” 2023. [Online]. Available: https://www.cisa.gov/.</w:t>
                    </w:r>
                  </w:p>
                </w:tc>
              </w:tr>
              <w:tr w:rsidR="00EC5F8A" w14:paraId="67775CDF" w14:textId="77777777">
                <w:trPr>
                  <w:divId w:val="799808738"/>
                  <w:tblCellSpacing w:w="15" w:type="dxa"/>
                </w:trPr>
                <w:tc>
                  <w:tcPr>
                    <w:tcW w:w="50" w:type="pct"/>
                    <w:hideMark/>
                  </w:tcPr>
                  <w:p w14:paraId="2BD0E4C1" w14:textId="77777777" w:rsidR="00EC5F8A" w:rsidRDefault="00EC5F8A">
                    <w:pPr>
                      <w:pStyle w:val="Irodalomjegyzk"/>
                      <w:rPr>
                        <w:noProof/>
                      </w:rPr>
                    </w:pPr>
                    <w:r>
                      <w:rPr>
                        <w:noProof/>
                      </w:rPr>
                      <w:t xml:space="preserve">[3] </w:t>
                    </w:r>
                  </w:p>
                </w:tc>
                <w:tc>
                  <w:tcPr>
                    <w:tcW w:w="0" w:type="auto"/>
                    <w:hideMark/>
                  </w:tcPr>
                  <w:p w14:paraId="07E496BC" w14:textId="77777777" w:rsidR="00EC5F8A" w:rsidRDefault="00EC5F8A">
                    <w:pPr>
                      <w:pStyle w:val="Irodalomjegyzk"/>
                      <w:rPr>
                        <w:noProof/>
                      </w:rPr>
                    </w:pPr>
                    <w:r>
                      <w:rPr>
                        <w:noProof/>
                      </w:rPr>
                      <w:t xml:space="preserve">“ENISA Threat Landscape,” 2023. [Online]. </w:t>
                    </w:r>
                  </w:p>
                </w:tc>
              </w:tr>
              <w:tr w:rsidR="00EC5F8A" w14:paraId="0762FE0A" w14:textId="77777777">
                <w:trPr>
                  <w:divId w:val="799808738"/>
                  <w:tblCellSpacing w:w="15" w:type="dxa"/>
                </w:trPr>
                <w:tc>
                  <w:tcPr>
                    <w:tcW w:w="50" w:type="pct"/>
                    <w:hideMark/>
                  </w:tcPr>
                  <w:p w14:paraId="6932C827" w14:textId="77777777" w:rsidR="00EC5F8A" w:rsidRDefault="00EC5F8A">
                    <w:pPr>
                      <w:pStyle w:val="Irodalomjegyzk"/>
                      <w:rPr>
                        <w:noProof/>
                      </w:rPr>
                    </w:pPr>
                    <w:r>
                      <w:rPr>
                        <w:noProof/>
                      </w:rPr>
                      <w:t xml:space="preserve">[4] </w:t>
                    </w:r>
                  </w:p>
                </w:tc>
                <w:tc>
                  <w:tcPr>
                    <w:tcW w:w="0" w:type="auto"/>
                    <w:hideMark/>
                  </w:tcPr>
                  <w:p w14:paraId="5C3564A5" w14:textId="77777777" w:rsidR="00EC5F8A" w:rsidRDefault="00EC5F8A">
                    <w:pPr>
                      <w:pStyle w:val="Irodalomjegyzk"/>
                      <w:rPr>
                        <w:noProof/>
                      </w:rPr>
                    </w:pPr>
                    <w:r>
                      <w:rPr>
                        <w:noProof/>
                      </w:rPr>
                      <w:t xml:space="preserve">C. M. E. G. D. B. Razi Rais, Zero Trust Networks: Building Secure Systems in Untrusted Network, 2024. </w:t>
                    </w:r>
                  </w:p>
                </w:tc>
              </w:tr>
              <w:tr w:rsidR="00EC5F8A" w14:paraId="7D910EE0" w14:textId="77777777">
                <w:trPr>
                  <w:divId w:val="799808738"/>
                  <w:tblCellSpacing w:w="15" w:type="dxa"/>
                </w:trPr>
                <w:tc>
                  <w:tcPr>
                    <w:tcW w:w="50" w:type="pct"/>
                    <w:hideMark/>
                  </w:tcPr>
                  <w:p w14:paraId="7BB86EEA" w14:textId="77777777" w:rsidR="00EC5F8A" w:rsidRDefault="00EC5F8A">
                    <w:pPr>
                      <w:pStyle w:val="Irodalomjegyzk"/>
                      <w:rPr>
                        <w:noProof/>
                      </w:rPr>
                    </w:pPr>
                    <w:r>
                      <w:rPr>
                        <w:noProof/>
                      </w:rPr>
                      <w:t xml:space="preserve">[5] </w:t>
                    </w:r>
                  </w:p>
                </w:tc>
                <w:tc>
                  <w:tcPr>
                    <w:tcW w:w="0" w:type="auto"/>
                    <w:hideMark/>
                  </w:tcPr>
                  <w:p w14:paraId="6D840A6E" w14:textId="77777777" w:rsidR="00EC5F8A" w:rsidRDefault="00EC5F8A">
                    <w:pPr>
                      <w:pStyle w:val="Irodalomjegyzk"/>
                      <w:rPr>
                        <w:noProof/>
                      </w:rPr>
                    </w:pPr>
                    <w:r>
                      <w:rPr>
                        <w:noProof/>
                      </w:rPr>
                      <w:t>M. Herrera, “BCM Metrics,” 2024. [Online]. Available: https://bcmmetrics.com/blog/8-risk-mitigation-controls.</w:t>
                    </w:r>
                  </w:p>
                </w:tc>
              </w:tr>
            </w:tbl>
            <w:p w14:paraId="40F49D63" w14:textId="77777777" w:rsidR="00EC5F8A" w:rsidRDefault="00EC5F8A">
              <w:pPr>
                <w:divId w:val="799808738"/>
                <w:rPr>
                  <w:rFonts w:eastAsia="Times New Roman"/>
                  <w:noProof/>
                </w:rPr>
              </w:pPr>
            </w:p>
            <w:p w14:paraId="1D6A9565" w14:textId="741D3325" w:rsidR="00E447C6" w:rsidRDefault="00E447C6">
              <w:r>
                <w:rPr>
                  <w:b/>
                  <w:bCs/>
                </w:rPr>
                <w:fldChar w:fldCharType="end"/>
              </w:r>
            </w:p>
          </w:sdtContent>
        </w:sdt>
      </w:sdtContent>
    </w:sdt>
    <w:p w14:paraId="5E02F67A" w14:textId="77777777" w:rsidR="00C779A2" w:rsidRDefault="00C779A2" w:rsidP="00C44A6E">
      <w:pPr>
        <w:jc w:val="both"/>
      </w:pPr>
    </w:p>
    <w:p w14:paraId="32B694D7" w14:textId="77777777" w:rsidR="006A40DA" w:rsidRDefault="006A40DA" w:rsidP="00C44A6E">
      <w:pPr>
        <w:jc w:val="both"/>
      </w:pPr>
      <w:r>
        <w:br w:type="page"/>
      </w:r>
    </w:p>
    <w:p w14:paraId="2178D2E0" w14:textId="77777777" w:rsidR="00C779A2" w:rsidRDefault="00C779A2" w:rsidP="00C44A6E">
      <w:pPr>
        <w:jc w:val="both"/>
      </w:pPr>
    </w:p>
    <w:p w14:paraId="333E9BE4" w14:textId="77777777" w:rsidR="00C779A2" w:rsidRPr="00C779A2" w:rsidRDefault="00C779A2" w:rsidP="00C44A6E">
      <w:pPr>
        <w:jc w:val="both"/>
      </w:pPr>
    </w:p>
    <w:p w14:paraId="03EF3C5E" w14:textId="7C619A0D" w:rsidR="003F2B3E" w:rsidRDefault="003F2B3E" w:rsidP="00C44A6E">
      <w:pPr>
        <w:pStyle w:val="Cmsor1"/>
        <w:jc w:val="both"/>
      </w:pPr>
      <w:bookmarkStart w:id="13" w:name="_Toc216987471"/>
      <w:r w:rsidRPr="003F2B3E">
        <w:t>Appendix A: Screenshot of the Board of Directors PowerPoint presentation</w:t>
      </w:r>
      <w:bookmarkEnd w:id="13"/>
    </w:p>
    <w:p w14:paraId="475FED8B" w14:textId="11437AAB" w:rsidR="00CB06CA" w:rsidRDefault="00CB06CA" w:rsidP="00CB06CA"/>
    <w:p w14:paraId="64C5BBB3" w14:textId="482028B6" w:rsidR="00CB06CA" w:rsidRPr="00CB06CA" w:rsidRDefault="00CB06CA" w:rsidP="00CB06CA">
      <w:hyperlink r:id="rId11" w:history="1">
        <w:r w:rsidRPr="00CB06CA">
          <w:rPr>
            <w:rStyle w:val="Hiperhivatkozs"/>
          </w:rPr>
          <w:t>The Powerpoint presentation.</w:t>
        </w:r>
      </w:hyperlink>
    </w:p>
    <w:p w14:paraId="0BEBA104" w14:textId="77777777" w:rsidR="00C779A2" w:rsidRDefault="00C779A2" w:rsidP="00C44A6E">
      <w:pPr>
        <w:spacing w:after="0"/>
        <w:jc w:val="both"/>
        <w:rPr>
          <w:rFonts w:ascii="Arial" w:hAnsi="Arial" w:cs="Arial"/>
        </w:rPr>
      </w:pPr>
    </w:p>
    <w:p w14:paraId="698CD923" w14:textId="77777777" w:rsidR="00C779A2" w:rsidRDefault="00C779A2" w:rsidP="00C44A6E">
      <w:pPr>
        <w:spacing w:after="0"/>
        <w:jc w:val="both"/>
        <w:rPr>
          <w:rFonts w:ascii="Arial" w:hAnsi="Arial" w:cs="Arial"/>
        </w:rPr>
      </w:pPr>
    </w:p>
    <w:p w14:paraId="5B7306E1" w14:textId="2B18B1ED" w:rsidR="00C779A2" w:rsidRDefault="00C66AA5" w:rsidP="00C44A6E">
      <w:pPr>
        <w:spacing w:after="0"/>
        <w:jc w:val="both"/>
        <w:rPr>
          <w:rFonts w:ascii="Arial" w:hAnsi="Arial" w:cs="Arial"/>
        </w:rPr>
      </w:pPr>
      <w:r>
        <w:rPr>
          <w:noProof/>
          <w:lang w:eastAsia="en-GB"/>
        </w:rPr>
        <w:drawing>
          <wp:inline distT="0" distB="0" distL="0" distR="0" wp14:anchorId="6D6E8CF7" wp14:editId="55B0BCD1">
            <wp:extent cx="5731510" cy="2873375"/>
            <wp:effectExtent l="0" t="0" r="2540" b="3175"/>
            <wp:docPr id="289" name="Kép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73375"/>
                    </a:xfrm>
                    <a:prstGeom prst="rect">
                      <a:avLst/>
                    </a:prstGeom>
                  </pic:spPr>
                </pic:pic>
              </a:graphicData>
            </a:graphic>
          </wp:inline>
        </w:drawing>
      </w:r>
    </w:p>
    <w:p w14:paraId="66DBC68B" w14:textId="77777777" w:rsidR="00C779A2" w:rsidRDefault="00C779A2" w:rsidP="00C44A6E">
      <w:pPr>
        <w:spacing w:after="0"/>
        <w:jc w:val="both"/>
        <w:rPr>
          <w:rFonts w:ascii="Arial" w:hAnsi="Arial" w:cs="Arial"/>
        </w:rPr>
      </w:pPr>
    </w:p>
    <w:p w14:paraId="185CB66A" w14:textId="77777777" w:rsidR="00C779A2" w:rsidRDefault="00C779A2" w:rsidP="00C44A6E">
      <w:pPr>
        <w:spacing w:after="0"/>
        <w:jc w:val="both"/>
        <w:rPr>
          <w:rFonts w:ascii="Arial" w:hAnsi="Arial" w:cs="Arial"/>
        </w:rPr>
      </w:pPr>
    </w:p>
    <w:p w14:paraId="37CEB3E9" w14:textId="255052D7" w:rsidR="00C779A2" w:rsidRDefault="00C779A2" w:rsidP="00C44A6E">
      <w:pPr>
        <w:spacing w:after="0"/>
        <w:jc w:val="both"/>
        <w:rPr>
          <w:rFonts w:ascii="Arial" w:hAnsi="Arial" w:cs="Arial"/>
        </w:rPr>
      </w:pPr>
    </w:p>
    <w:p w14:paraId="1586CBC3" w14:textId="0A3EB500" w:rsidR="00C66AA5" w:rsidRDefault="00C66AA5" w:rsidP="00C44A6E">
      <w:pPr>
        <w:spacing w:after="0"/>
        <w:jc w:val="both"/>
        <w:rPr>
          <w:rFonts w:ascii="Arial" w:hAnsi="Arial" w:cs="Arial"/>
        </w:rPr>
      </w:pPr>
      <w:r>
        <w:rPr>
          <w:noProof/>
          <w:lang w:eastAsia="en-GB"/>
        </w:rPr>
        <w:drawing>
          <wp:inline distT="0" distB="0" distL="0" distR="0" wp14:anchorId="22B268A4" wp14:editId="65DD8FFF">
            <wp:extent cx="5731510" cy="2850515"/>
            <wp:effectExtent l="0" t="0" r="2540" b="6985"/>
            <wp:docPr id="290" name="Kép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50515"/>
                    </a:xfrm>
                    <a:prstGeom prst="rect">
                      <a:avLst/>
                    </a:prstGeom>
                  </pic:spPr>
                </pic:pic>
              </a:graphicData>
            </a:graphic>
          </wp:inline>
        </w:drawing>
      </w:r>
    </w:p>
    <w:p w14:paraId="0FD8BC5A" w14:textId="77777777" w:rsidR="00C779A2" w:rsidRDefault="00C779A2" w:rsidP="00C44A6E">
      <w:pPr>
        <w:spacing w:after="0"/>
        <w:jc w:val="both"/>
        <w:rPr>
          <w:rFonts w:ascii="Arial" w:hAnsi="Arial" w:cs="Arial"/>
        </w:rPr>
      </w:pPr>
    </w:p>
    <w:p w14:paraId="08BE7FD9" w14:textId="211D7515" w:rsidR="00C779A2" w:rsidRDefault="00C779A2" w:rsidP="00C44A6E">
      <w:pPr>
        <w:spacing w:after="0"/>
        <w:jc w:val="both"/>
        <w:rPr>
          <w:rFonts w:ascii="Arial" w:hAnsi="Arial" w:cs="Arial"/>
        </w:rPr>
      </w:pPr>
    </w:p>
    <w:p w14:paraId="02215ADC" w14:textId="61A36DE5" w:rsidR="00C66AA5" w:rsidRDefault="00C66AA5" w:rsidP="00C44A6E">
      <w:pPr>
        <w:spacing w:after="0"/>
        <w:jc w:val="both"/>
        <w:rPr>
          <w:rFonts w:ascii="Arial" w:hAnsi="Arial" w:cs="Arial"/>
        </w:rPr>
      </w:pPr>
    </w:p>
    <w:p w14:paraId="55BBCE98" w14:textId="45EC0A2A" w:rsidR="00C66AA5" w:rsidRDefault="00C66AA5" w:rsidP="00C44A6E">
      <w:pPr>
        <w:spacing w:after="0"/>
        <w:jc w:val="both"/>
        <w:rPr>
          <w:rFonts w:ascii="Arial" w:hAnsi="Arial" w:cs="Arial"/>
        </w:rPr>
      </w:pPr>
    </w:p>
    <w:p w14:paraId="0B4ECC92" w14:textId="00A7B753" w:rsidR="00C66AA5" w:rsidRDefault="00C66AA5" w:rsidP="00C44A6E">
      <w:pPr>
        <w:spacing w:after="0"/>
        <w:jc w:val="both"/>
        <w:rPr>
          <w:rFonts w:ascii="Arial" w:hAnsi="Arial" w:cs="Arial"/>
        </w:rPr>
      </w:pPr>
    </w:p>
    <w:p w14:paraId="73398FEE" w14:textId="3151400A" w:rsidR="00C66AA5" w:rsidRDefault="00C66AA5" w:rsidP="00C44A6E">
      <w:pPr>
        <w:spacing w:after="0"/>
        <w:jc w:val="both"/>
        <w:rPr>
          <w:rFonts w:ascii="Arial" w:hAnsi="Arial" w:cs="Arial"/>
        </w:rPr>
      </w:pPr>
    </w:p>
    <w:p w14:paraId="151285C5" w14:textId="064FF0C6" w:rsidR="00C66AA5" w:rsidRDefault="00C66AA5" w:rsidP="00C44A6E">
      <w:pPr>
        <w:spacing w:after="0"/>
        <w:jc w:val="both"/>
        <w:rPr>
          <w:rFonts w:ascii="Arial" w:hAnsi="Arial" w:cs="Arial"/>
        </w:rPr>
      </w:pPr>
      <w:r>
        <w:rPr>
          <w:noProof/>
          <w:lang w:eastAsia="en-GB"/>
        </w:rPr>
        <w:drawing>
          <wp:inline distT="0" distB="0" distL="0" distR="0" wp14:anchorId="43D49613" wp14:editId="357B1A72">
            <wp:extent cx="5731510" cy="2820035"/>
            <wp:effectExtent l="0" t="0" r="2540" b="0"/>
            <wp:docPr id="291" name="Kép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20035"/>
                    </a:xfrm>
                    <a:prstGeom prst="rect">
                      <a:avLst/>
                    </a:prstGeom>
                  </pic:spPr>
                </pic:pic>
              </a:graphicData>
            </a:graphic>
          </wp:inline>
        </w:drawing>
      </w:r>
    </w:p>
    <w:p w14:paraId="0F3B4F53" w14:textId="18A6322B" w:rsidR="00C779A2" w:rsidRDefault="00C779A2" w:rsidP="00C44A6E">
      <w:pPr>
        <w:spacing w:after="0"/>
        <w:jc w:val="both"/>
        <w:rPr>
          <w:rFonts w:ascii="Arial" w:hAnsi="Arial" w:cs="Arial"/>
        </w:rPr>
      </w:pPr>
    </w:p>
    <w:p w14:paraId="3ADF6B7F" w14:textId="6795F047" w:rsidR="00C66AA5" w:rsidRDefault="00C66AA5" w:rsidP="00C44A6E">
      <w:pPr>
        <w:spacing w:after="0"/>
        <w:jc w:val="both"/>
        <w:rPr>
          <w:rFonts w:ascii="Arial" w:hAnsi="Arial" w:cs="Arial"/>
        </w:rPr>
      </w:pPr>
      <w:r>
        <w:rPr>
          <w:noProof/>
          <w:lang w:eastAsia="en-GB"/>
        </w:rPr>
        <w:drawing>
          <wp:inline distT="0" distB="0" distL="0" distR="0" wp14:anchorId="4BD46A09" wp14:editId="510211CB">
            <wp:extent cx="5731510" cy="2909570"/>
            <wp:effectExtent l="0" t="0" r="2540" b="5080"/>
            <wp:docPr id="292" name="Kép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09570"/>
                    </a:xfrm>
                    <a:prstGeom prst="rect">
                      <a:avLst/>
                    </a:prstGeom>
                  </pic:spPr>
                </pic:pic>
              </a:graphicData>
            </a:graphic>
          </wp:inline>
        </w:drawing>
      </w:r>
    </w:p>
    <w:p w14:paraId="7E2FB9EB" w14:textId="27084ED7" w:rsidR="00C66AA5" w:rsidRDefault="00C66AA5" w:rsidP="00C44A6E">
      <w:pPr>
        <w:spacing w:after="0"/>
        <w:jc w:val="both"/>
        <w:rPr>
          <w:rFonts w:ascii="Arial" w:hAnsi="Arial" w:cs="Arial"/>
        </w:rPr>
      </w:pPr>
    </w:p>
    <w:p w14:paraId="04C55A9C" w14:textId="10284467" w:rsidR="00C66AA5" w:rsidRDefault="00C66AA5" w:rsidP="00C44A6E">
      <w:pPr>
        <w:spacing w:after="0"/>
        <w:jc w:val="both"/>
        <w:rPr>
          <w:rFonts w:ascii="Arial" w:hAnsi="Arial" w:cs="Arial"/>
        </w:rPr>
      </w:pPr>
      <w:r>
        <w:rPr>
          <w:noProof/>
          <w:lang w:eastAsia="en-GB"/>
        </w:rPr>
        <w:lastRenderedPageBreak/>
        <w:drawing>
          <wp:inline distT="0" distB="0" distL="0" distR="0" wp14:anchorId="73D4CC7A" wp14:editId="6F9F5C41">
            <wp:extent cx="5731510" cy="3023870"/>
            <wp:effectExtent l="0" t="0" r="2540" b="5080"/>
            <wp:docPr id="293" name="Kép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23870"/>
                    </a:xfrm>
                    <a:prstGeom prst="rect">
                      <a:avLst/>
                    </a:prstGeom>
                  </pic:spPr>
                </pic:pic>
              </a:graphicData>
            </a:graphic>
          </wp:inline>
        </w:drawing>
      </w:r>
    </w:p>
    <w:p w14:paraId="715ECC0F" w14:textId="2FFF205C" w:rsidR="003F2B3E" w:rsidRDefault="003F2B3E" w:rsidP="00C44A6E">
      <w:pPr>
        <w:pStyle w:val="Cmsor1"/>
        <w:jc w:val="both"/>
      </w:pPr>
      <w:bookmarkStart w:id="14" w:name="_Toc216987472"/>
      <w:r w:rsidRPr="003F2B3E">
        <w:t>Appendix B: Screenshot of the Badge</w:t>
      </w:r>
      <w:bookmarkEnd w:id="14"/>
    </w:p>
    <w:p w14:paraId="698930FA" w14:textId="0965AD50" w:rsidR="00C66AA5" w:rsidRDefault="00C66AA5" w:rsidP="00C66AA5"/>
    <w:p w14:paraId="1CB69EF8" w14:textId="2ED5837C" w:rsidR="00C66AA5" w:rsidRPr="00C66AA5" w:rsidRDefault="00C66AA5" w:rsidP="00C66AA5">
      <w:r>
        <w:rPr>
          <w:noProof/>
          <w:lang w:eastAsia="en-GB"/>
        </w:rPr>
        <w:drawing>
          <wp:inline distT="0" distB="0" distL="0" distR="0" wp14:anchorId="502200A4" wp14:editId="625E8E31">
            <wp:extent cx="5731510" cy="4438015"/>
            <wp:effectExtent l="0" t="0" r="2540" b="635"/>
            <wp:docPr id="294" name="Kép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438015"/>
                    </a:xfrm>
                    <a:prstGeom prst="rect">
                      <a:avLst/>
                    </a:prstGeom>
                  </pic:spPr>
                </pic:pic>
              </a:graphicData>
            </a:graphic>
          </wp:inline>
        </w:drawing>
      </w:r>
    </w:p>
    <w:sectPr w:rsidR="00C66AA5" w:rsidRPr="00C66AA5" w:rsidSect="00C779A2">
      <w:footerReference w:type="default" r:id="rId18"/>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C8A576" w14:textId="77777777" w:rsidR="009F642E" w:rsidRDefault="009F642E" w:rsidP="00C779A2">
      <w:pPr>
        <w:spacing w:after="0" w:line="240" w:lineRule="auto"/>
      </w:pPr>
      <w:r>
        <w:separator/>
      </w:r>
    </w:p>
  </w:endnote>
  <w:endnote w:type="continuationSeparator" w:id="0">
    <w:p w14:paraId="5DFDA419" w14:textId="77777777" w:rsidR="009F642E" w:rsidRDefault="009F642E" w:rsidP="00C779A2">
      <w:pPr>
        <w:spacing w:after="0" w:line="240" w:lineRule="auto"/>
      </w:pPr>
      <w:r>
        <w:continuationSeparator/>
      </w:r>
    </w:p>
  </w:endnote>
  <w:endnote w:type="continuationNotice" w:id="1">
    <w:p w14:paraId="5151A7C9" w14:textId="77777777" w:rsidR="009F642E" w:rsidRDefault="009F642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2055141"/>
      <w:docPartObj>
        <w:docPartGallery w:val="Page Numbers (Bottom of Page)"/>
        <w:docPartUnique/>
      </w:docPartObj>
    </w:sdtPr>
    <w:sdtEndPr>
      <w:rPr>
        <w:noProof/>
      </w:rPr>
    </w:sdtEndPr>
    <w:sdtContent>
      <w:p w14:paraId="4FFE2FD7" w14:textId="2A3E5976" w:rsidR="00C779A2" w:rsidRDefault="00C779A2">
        <w:pPr>
          <w:pStyle w:val="llb"/>
          <w:jc w:val="right"/>
        </w:pPr>
        <w:r>
          <w:fldChar w:fldCharType="begin"/>
        </w:r>
        <w:r>
          <w:instrText xml:space="preserve"> PAGE   \* MERGEFORMAT </w:instrText>
        </w:r>
        <w:r>
          <w:fldChar w:fldCharType="separate"/>
        </w:r>
        <w:r w:rsidR="00EC5F8A">
          <w:rPr>
            <w:noProof/>
          </w:rPr>
          <w:t>5</w:t>
        </w:r>
        <w:r>
          <w:rPr>
            <w:noProof/>
          </w:rPr>
          <w:fldChar w:fldCharType="end"/>
        </w:r>
      </w:p>
    </w:sdtContent>
  </w:sdt>
  <w:p w14:paraId="657E21A5" w14:textId="77777777" w:rsidR="00C779A2" w:rsidRDefault="00C779A2">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BE9762" w14:textId="77777777" w:rsidR="009F642E" w:rsidRDefault="009F642E" w:rsidP="00C779A2">
      <w:pPr>
        <w:spacing w:after="0" w:line="240" w:lineRule="auto"/>
      </w:pPr>
      <w:r>
        <w:separator/>
      </w:r>
    </w:p>
  </w:footnote>
  <w:footnote w:type="continuationSeparator" w:id="0">
    <w:p w14:paraId="0CE81F05" w14:textId="77777777" w:rsidR="009F642E" w:rsidRDefault="009F642E" w:rsidP="00C779A2">
      <w:pPr>
        <w:spacing w:after="0" w:line="240" w:lineRule="auto"/>
      </w:pPr>
      <w:r>
        <w:continuationSeparator/>
      </w:r>
    </w:p>
  </w:footnote>
  <w:footnote w:type="continuationNotice" w:id="1">
    <w:p w14:paraId="0E8C7FCE" w14:textId="77777777" w:rsidR="009F642E" w:rsidRDefault="009F642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15538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2B3E"/>
    <w:rsid w:val="00050E53"/>
    <w:rsid w:val="000D6213"/>
    <w:rsid w:val="00183631"/>
    <w:rsid w:val="00191F3D"/>
    <w:rsid w:val="001F1C29"/>
    <w:rsid w:val="00266375"/>
    <w:rsid w:val="002847DB"/>
    <w:rsid w:val="003752A4"/>
    <w:rsid w:val="003F2B3E"/>
    <w:rsid w:val="00516F6D"/>
    <w:rsid w:val="005D5044"/>
    <w:rsid w:val="006A40DA"/>
    <w:rsid w:val="007453F2"/>
    <w:rsid w:val="007C003E"/>
    <w:rsid w:val="008036E7"/>
    <w:rsid w:val="0083507E"/>
    <w:rsid w:val="00926E06"/>
    <w:rsid w:val="00957DA9"/>
    <w:rsid w:val="009F642E"/>
    <w:rsid w:val="00A053C9"/>
    <w:rsid w:val="00A962B0"/>
    <w:rsid w:val="00C27A2A"/>
    <w:rsid w:val="00C44A6E"/>
    <w:rsid w:val="00C66AA5"/>
    <w:rsid w:val="00C779A2"/>
    <w:rsid w:val="00CB06CA"/>
    <w:rsid w:val="00CB2103"/>
    <w:rsid w:val="00DF1666"/>
    <w:rsid w:val="00E261F5"/>
    <w:rsid w:val="00E447C6"/>
    <w:rsid w:val="00E54270"/>
    <w:rsid w:val="00E82DD5"/>
    <w:rsid w:val="00EC5F8A"/>
    <w:rsid w:val="00F376B1"/>
    <w:rsid w:val="00F95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E0558"/>
  <w15:chartTrackingRefBased/>
  <w15:docId w15:val="{C1382D5C-8253-4F03-A9D2-DABB469BD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C779A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Cmsor3">
    <w:name w:val="heading 3"/>
    <w:basedOn w:val="Norml"/>
    <w:next w:val="Norml"/>
    <w:link w:val="Cmsor3Char"/>
    <w:uiPriority w:val="9"/>
    <w:unhideWhenUsed/>
    <w:qFormat/>
    <w:rsid w:val="003752A4"/>
    <w:pPr>
      <w:keepNext/>
      <w:keepLines/>
      <w:spacing w:before="40" w:after="0"/>
      <w:outlineLvl w:val="2"/>
    </w:pPr>
    <w:rPr>
      <w:rFonts w:asciiTheme="majorHAnsi" w:eastAsiaTheme="majorEastAsia" w:hAnsiTheme="majorHAnsi" w:cstheme="majorBidi"/>
      <w:color w:val="1F4D78" w:themeColor="accent1" w:themeShade="7F"/>
      <w:kern w:val="2"/>
      <w:sz w:val="24"/>
      <w:szCs w:val="24"/>
      <w14:ligatures w14:val="standardContextual"/>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customStyle="1" w:styleId="Default">
    <w:name w:val="Default"/>
    <w:rsid w:val="003F2B3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Cmsor1Char">
    <w:name w:val="Címsor 1 Char"/>
    <w:basedOn w:val="Bekezdsalapbettpusa"/>
    <w:link w:val="Cmsor1"/>
    <w:uiPriority w:val="9"/>
    <w:rsid w:val="00C779A2"/>
    <w:rPr>
      <w:rFonts w:asciiTheme="majorHAnsi" w:eastAsiaTheme="majorEastAsia" w:hAnsiTheme="majorHAnsi" w:cstheme="majorBidi"/>
      <w:b/>
      <w:color w:val="2E74B5" w:themeColor="accent1" w:themeShade="BF"/>
      <w:sz w:val="32"/>
      <w:szCs w:val="32"/>
    </w:rPr>
  </w:style>
  <w:style w:type="paragraph" w:styleId="lfej">
    <w:name w:val="header"/>
    <w:basedOn w:val="Norml"/>
    <w:link w:val="lfejChar"/>
    <w:uiPriority w:val="99"/>
    <w:unhideWhenUsed/>
    <w:rsid w:val="00C779A2"/>
    <w:pPr>
      <w:tabs>
        <w:tab w:val="center" w:pos="4513"/>
        <w:tab w:val="right" w:pos="9026"/>
      </w:tabs>
      <w:spacing w:after="0" w:line="240" w:lineRule="auto"/>
    </w:pPr>
  </w:style>
  <w:style w:type="character" w:customStyle="1" w:styleId="lfejChar">
    <w:name w:val="Élőfej Char"/>
    <w:basedOn w:val="Bekezdsalapbettpusa"/>
    <w:link w:val="lfej"/>
    <w:uiPriority w:val="99"/>
    <w:rsid w:val="00C779A2"/>
  </w:style>
  <w:style w:type="paragraph" w:styleId="llb">
    <w:name w:val="footer"/>
    <w:basedOn w:val="Norml"/>
    <w:link w:val="llbChar"/>
    <w:uiPriority w:val="99"/>
    <w:unhideWhenUsed/>
    <w:rsid w:val="00C779A2"/>
    <w:pPr>
      <w:tabs>
        <w:tab w:val="center" w:pos="4513"/>
        <w:tab w:val="right" w:pos="9026"/>
      </w:tabs>
      <w:spacing w:after="0" w:line="240" w:lineRule="auto"/>
    </w:pPr>
  </w:style>
  <w:style w:type="character" w:customStyle="1" w:styleId="llbChar">
    <w:name w:val="Élőláb Char"/>
    <w:basedOn w:val="Bekezdsalapbettpusa"/>
    <w:link w:val="llb"/>
    <w:uiPriority w:val="99"/>
    <w:rsid w:val="00C779A2"/>
  </w:style>
  <w:style w:type="paragraph" w:styleId="Tartalomjegyzkcmsora">
    <w:name w:val="TOC Heading"/>
    <w:basedOn w:val="Cmsor1"/>
    <w:next w:val="Norml"/>
    <w:uiPriority w:val="39"/>
    <w:unhideWhenUsed/>
    <w:qFormat/>
    <w:rsid w:val="00C779A2"/>
    <w:pPr>
      <w:outlineLvl w:val="9"/>
    </w:pPr>
    <w:rPr>
      <w:lang w:val="en-US"/>
    </w:rPr>
  </w:style>
  <w:style w:type="paragraph" w:styleId="TJ1">
    <w:name w:val="toc 1"/>
    <w:basedOn w:val="Norml"/>
    <w:next w:val="Norml"/>
    <w:autoRedefine/>
    <w:uiPriority w:val="39"/>
    <w:unhideWhenUsed/>
    <w:rsid w:val="00C779A2"/>
    <w:pPr>
      <w:spacing w:after="100"/>
    </w:pPr>
  </w:style>
  <w:style w:type="character" w:styleId="Hiperhivatkozs">
    <w:name w:val="Hyperlink"/>
    <w:basedOn w:val="Bekezdsalapbettpusa"/>
    <w:uiPriority w:val="99"/>
    <w:unhideWhenUsed/>
    <w:rsid w:val="00C779A2"/>
    <w:rPr>
      <w:color w:val="0563C1" w:themeColor="hyperlink"/>
      <w:u w:val="single"/>
    </w:rPr>
  </w:style>
  <w:style w:type="paragraph" w:styleId="Nincstrkz">
    <w:name w:val="No Spacing"/>
    <w:link w:val="NincstrkzChar"/>
    <w:uiPriority w:val="1"/>
    <w:qFormat/>
    <w:rsid w:val="00C779A2"/>
    <w:pPr>
      <w:spacing w:after="0" w:line="240" w:lineRule="auto"/>
    </w:pPr>
    <w:rPr>
      <w:rFonts w:eastAsiaTheme="minorEastAsia"/>
      <w:lang w:val="en-US"/>
    </w:rPr>
  </w:style>
  <w:style w:type="character" w:customStyle="1" w:styleId="NincstrkzChar">
    <w:name w:val="Nincs térköz Char"/>
    <w:basedOn w:val="Bekezdsalapbettpusa"/>
    <w:link w:val="Nincstrkz"/>
    <w:uiPriority w:val="1"/>
    <w:rsid w:val="00C779A2"/>
    <w:rPr>
      <w:rFonts w:eastAsiaTheme="minorEastAsia"/>
      <w:lang w:val="en-US"/>
    </w:rPr>
  </w:style>
  <w:style w:type="paragraph" w:styleId="NormlWeb">
    <w:name w:val="Normal (Web)"/>
    <w:basedOn w:val="Norml"/>
    <w:uiPriority w:val="99"/>
    <w:semiHidden/>
    <w:unhideWhenUsed/>
    <w:rsid w:val="00C27A2A"/>
    <w:pPr>
      <w:spacing w:before="100" w:beforeAutospacing="1" w:after="100" w:afterAutospacing="1" w:line="240" w:lineRule="auto"/>
    </w:pPr>
    <w:rPr>
      <w:rFonts w:ascii="Times New Roman" w:eastAsiaTheme="minorEastAsia" w:hAnsi="Times New Roman" w:cs="Times New Roman"/>
      <w:sz w:val="24"/>
      <w:szCs w:val="24"/>
    </w:rPr>
  </w:style>
  <w:style w:type="character" w:styleId="Kiemels">
    <w:name w:val="Emphasis"/>
    <w:basedOn w:val="Bekezdsalapbettpusa"/>
    <w:uiPriority w:val="20"/>
    <w:qFormat/>
    <w:rsid w:val="00C27A2A"/>
    <w:rPr>
      <w:i/>
      <w:iCs/>
    </w:rPr>
  </w:style>
  <w:style w:type="character" w:customStyle="1" w:styleId="Cmsor3Char">
    <w:name w:val="Címsor 3 Char"/>
    <w:basedOn w:val="Bekezdsalapbettpusa"/>
    <w:link w:val="Cmsor3"/>
    <w:uiPriority w:val="9"/>
    <w:rsid w:val="003752A4"/>
    <w:rPr>
      <w:rFonts w:asciiTheme="majorHAnsi" w:eastAsiaTheme="majorEastAsia" w:hAnsiTheme="majorHAnsi" w:cstheme="majorBidi"/>
      <w:color w:val="1F4D78" w:themeColor="accent1" w:themeShade="7F"/>
      <w:kern w:val="2"/>
      <w:sz w:val="24"/>
      <w:szCs w:val="24"/>
      <w14:ligatures w14:val="standardContextual"/>
    </w:rPr>
  </w:style>
  <w:style w:type="paragraph" w:styleId="TJ3">
    <w:name w:val="toc 3"/>
    <w:basedOn w:val="Norml"/>
    <w:next w:val="Norml"/>
    <w:autoRedefine/>
    <w:uiPriority w:val="39"/>
    <w:unhideWhenUsed/>
    <w:rsid w:val="00CB2103"/>
    <w:pPr>
      <w:spacing w:after="100"/>
      <w:ind w:left="440"/>
    </w:pPr>
  </w:style>
  <w:style w:type="paragraph" w:styleId="Irodalomjegyzk">
    <w:name w:val="Bibliography"/>
    <w:basedOn w:val="Norml"/>
    <w:next w:val="Norml"/>
    <w:uiPriority w:val="37"/>
    <w:unhideWhenUsed/>
    <w:rsid w:val="00E44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184033">
      <w:bodyDiv w:val="1"/>
      <w:marLeft w:val="0"/>
      <w:marRight w:val="0"/>
      <w:marTop w:val="0"/>
      <w:marBottom w:val="0"/>
      <w:divBdr>
        <w:top w:val="none" w:sz="0" w:space="0" w:color="auto"/>
        <w:left w:val="none" w:sz="0" w:space="0" w:color="auto"/>
        <w:bottom w:val="none" w:sz="0" w:space="0" w:color="auto"/>
        <w:right w:val="none" w:sz="0" w:space="0" w:color="auto"/>
      </w:divBdr>
    </w:div>
    <w:div w:id="267082876">
      <w:bodyDiv w:val="1"/>
      <w:marLeft w:val="0"/>
      <w:marRight w:val="0"/>
      <w:marTop w:val="0"/>
      <w:marBottom w:val="0"/>
      <w:divBdr>
        <w:top w:val="none" w:sz="0" w:space="0" w:color="auto"/>
        <w:left w:val="none" w:sz="0" w:space="0" w:color="auto"/>
        <w:bottom w:val="none" w:sz="0" w:space="0" w:color="auto"/>
        <w:right w:val="none" w:sz="0" w:space="0" w:color="auto"/>
      </w:divBdr>
    </w:div>
    <w:div w:id="307327680">
      <w:bodyDiv w:val="1"/>
      <w:marLeft w:val="0"/>
      <w:marRight w:val="0"/>
      <w:marTop w:val="0"/>
      <w:marBottom w:val="0"/>
      <w:divBdr>
        <w:top w:val="none" w:sz="0" w:space="0" w:color="auto"/>
        <w:left w:val="none" w:sz="0" w:space="0" w:color="auto"/>
        <w:bottom w:val="none" w:sz="0" w:space="0" w:color="auto"/>
        <w:right w:val="none" w:sz="0" w:space="0" w:color="auto"/>
      </w:divBdr>
      <w:divsChild>
        <w:div w:id="879439342">
          <w:marLeft w:val="0"/>
          <w:marRight w:val="0"/>
          <w:marTop w:val="0"/>
          <w:marBottom w:val="0"/>
          <w:divBdr>
            <w:top w:val="none" w:sz="0" w:space="0" w:color="auto"/>
            <w:left w:val="none" w:sz="0" w:space="0" w:color="auto"/>
            <w:bottom w:val="none" w:sz="0" w:space="0" w:color="auto"/>
            <w:right w:val="none" w:sz="0" w:space="0" w:color="auto"/>
          </w:divBdr>
          <w:divsChild>
            <w:div w:id="1943684396">
              <w:marLeft w:val="0"/>
              <w:marRight w:val="0"/>
              <w:marTop w:val="0"/>
              <w:marBottom w:val="0"/>
              <w:divBdr>
                <w:top w:val="none" w:sz="0" w:space="0" w:color="auto"/>
                <w:left w:val="none" w:sz="0" w:space="0" w:color="auto"/>
                <w:bottom w:val="none" w:sz="0" w:space="0" w:color="auto"/>
                <w:right w:val="none" w:sz="0" w:space="0" w:color="auto"/>
              </w:divBdr>
              <w:divsChild>
                <w:div w:id="1203133990">
                  <w:marLeft w:val="0"/>
                  <w:marRight w:val="0"/>
                  <w:marTop w:val="0"/>
                  <w:marBottom w:val="0"/>
                  <w:divBdr>
                    <w:top w:val="none" w:sz="0" w:space="0" w:color="auto"/>
                    <w:left w:val="none" w:sz="0" w:space="0" w:color="auto"/>
                    <w:bottom w:val="none" w:sz="0" w:space="0" w:color="auto"/>
                    <w:right w:val="none" w:sz="0" w:space="0" w:color="auto"/>
                  </w:divBdr>
                  <w:divsChild>
                    <w:div w:id="1588423633">
                      <w:marLeft w:val="0"/>
                      <w:marRight w:val="0"/>
                      <w:marTop w:val="0"/>
                      <w:marBottom w:val="0"/>
                      <w:divBdr>
                        <w:top w:val="none" w:sz="0" w:space="0" w:color="auto"/>
                        <w:left w:val="none" w:sz="0" w:space="0" w:color="auto"/>
                        <w:bottom w:val="none" w:sz="0" w:space="0" w:color="auto"/>
                        <w:right w:val="none" w:sz="0" w:space="0" w:color="auto"/>
                      </w:divBdr>
                      <w:divsChild>
                        <w:div w:id="1297643744">
                          <w:marLeft w:val="0"/>
                          <w:marRight w:val="0"/>
                          <w:marTop w:val="0"/>
                          <w:marBottom w:val="0"/>
                          <w:divBdr>
                            <w:top w:val="none" w:sz="0" w:space="0" w:color="auto"/>
                            <w:left w:val="none" w:sz="0" w:space="0" w:color="auto"/>
                            <w:bottom w:val="none" w:sz="0" w:space="0" w:color="auto"/>
                            <w:right w:val="none" w:sz="0" w:space="0" w:color="auto"/>
                          </w:divBdr>
                          <w:divsChild>
                            <w:div w:id="1755859898">
                              <w:marLeft w:val="0"/>
                              <w:marRight w:val="0"/>
                              <w:marTop w:val="0"/>
                              <w:marBottom w:val="0"/>
                              <w:divBdr>
                                <w:top w:val="none" w:sz="0" w:space="0" w:color="auto"/>
                                <w:left w:val="none" w:sz="0" w:space="0" w:color="auto"/>
                                <w:bottom w:val="none" w:sz="0" w:space="0" w:color="auto"/>
                                <w:right w:val="none" w:sz="0" w:space="0" w:color="auto"/>
                              </w:divBdr>
                              <w:divsChild>
                                <w:div w:id="88409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4182985">
      <w:bodyDiv w:val="1"/>
      <w:marLeft w:val="0"/>
      <w:marRight w:val="0"/>
      <w:marTop w:val="0"/>
      <w:marBottom w:val="0"/>
      <w:divBdr>
        <w:top w:val="none" w:sz="0" w:space="0" w:color="auto"/>
        <w:left w:val="none" w:sz="0" w:space="0" w:color="auto"/>
        <w:bottom w:val="none" w:sz="0" w:space="0" w:color="auto"/>
        <w:right w:val="none" w:sz="0" w:space="0" w:color="auto"/>
      </w:divBdr>
    </w:div>
    <w:div w:id="411511781">
      <w:bodyDiv w:val="1"/>
      <w:marLeft w:val="0"/>
      <w:marRight w:val="0"/>
      <w:marTop w:val="0"/>
      <w:marBottom w:val="0"/>
      <w:divBdr>
        <w:top w:val="none" w:sz="0" w:space="0" w:color="auto"/>
        <w:left w:val="none" w:sz="0" w:space="0" w:color="auto"/>
        <w:bottom w:val="none" w:sz="0" w:space="0" w:color="auto"/>
        <w:right w:val="none" w:sz="0" w:space="0" w:color="auto"/>
      </w:divBdr>
    </w:div>
    <w:div w:id="429858739">
      <w:bodyDiv w:val="1"/>
      <w:marLeft w:val="0"/>
      <w:marRight w:val="0"/>
      <w:marTop w:val="0"/>
      <w:marBottom w:val="0"/>
      <w:divBdr>
        <w:top w:val="none" w:sz="0" w:space="0" w:color="auto"/>
        <w:left w:val="none" w:sz="0" w:space="0" w:color="auto"/>
        <w:bottom w:val="none" w:sz="0" w:space="0" w:color="auto"/>
        <w:right w:val="none" w:sz="0" w:space="0" w:color="auto"/>
      </w:divBdr>
    </w:div>
    <w:div w:id="479539362">
      <w:bodyDiv w:val="1"/>
      <w:marLeft w:val="0"/>
      <w:marRight w:val="0"/>
      <w:marTop w:val="0"/>
      <w:marBottom w:val="0"/>
      <w:divBdr>
        <w:top w:val="none" w:sz="0" w:space="0" w:color="auto"/>
        <w:left w:val="none" w:sz="0" w:space="0" w:color="auto"/>
        <w:bottom w:val="none" w:sz="0" w:space="0" w:color="auto"/>
        <w:right w:val="none" w:sz="0" w:space="0" w:color="auto"/>
      </w:divBdr>
    </w:div>
    <w:div w:id="489829554">
      <w:bodyDiv w:val="1"/>
      <w:marLeft w:val="0"/>
      <w:marRight w:val="0"/>
      <w:marTop w:val="0"/>
      <w:marBottom w:val="0"/>
      <w:divBdr>
        <w:top w:val="none" w:sz="0" w:space="0" w:color="auto"/>
        <w:left w:val="none" w:sz="0" w:space="0" w:color="auto"/>
        <w:bottom w:val="none" w:sz="0" w:space="0" w:color="auto"/>
        <w:right w:val="none" w:sz="0" w:space="0" w:color="auto"/>
      </w:divBdr>
    </w:div>
    <w:div w:id="615210631">
      <w:bodyDiv w:val="1"/>
      <w:marLeft w:val="0"/>
      <w:marRight w:val="0"/>
      <w:marTop w:val="0"/>
      <w:marBottom w:val="0"/>
      <w:divBdr>
        <w:top w:val="none" w:sz="0" w:space="0" w:color="auto"/>
        <w:left w:val="none" w:sz="0" w:space="0" w:color="auto"/>
        <w:bottom w:val="none" w:sz="0" w:space="0" w:color="auto"/>
        <w:right w:val="none" w:sz="0" w:space="0" w:color="auto"/>
      </w:divBdr>
    </w:div>
    <w:div w:id="711269778">
      <w:bodyDiv w:val="1"/>
      <w:marLeft w:val="0"/>
      <w:marRight w:val="0"/>
      <w:marTop w:val="0"/>
      <w:marBottom w:val="0"/>
      <w:divBdr>
        <w:top w:val="none" w:sz="0" w:space="0" w:color="auto"/>
        <w:left w:val="none" w:sz="0" w:space="0" w:color="auto"/>
        <w:bottom w:val="none" w:sz="0" w:space="0" w:color="auto"/>
        <w:right w:val="none" w:sz="0" w:space="0" w:color="auto"/>
      </w:divBdr>
    </w:div>
    <w:div w:id="712461863">
      <w:bodyDiv w:val="1"/>
      <w:marLeft w:val="0"/>
      <w:marRight w:val="0"/>
      <w:marTop w:val="0"/>
      <w:marBottom w:val="0"/>
      <w:divBdr>
        <w:top w:val="none" w:sz="0" w:space="0" w:color="auto"/>
        <w:left w:val="none" w:sz="0" w:space="0" w:color="auto"/>
        <w:bottom w:val="none" w:sz="0" w:space="0" w:color="auto"/>
        <w:right w:val="none" w:sz="0" w:space="0" w:color="auto"/>
      </w:divBdr>
    </w:div>
    <w:div w:id="799808738">
      <w:bodyDiv w:val="1"/>
      <w:marLeft w:val="0"/>
      <w:marRight w:val="0"/>
      <w:marTop w:val="0"/>
      <w:marBottom w:val="0"/>
      <w:divBdr>
        <w:top w:val="none" w:sz="0" w:space="0" w:color="auto"/>
        <w:left w:val="none" w:sz="0" w:space="0" w:color="auto"/>
        <w:bottom w:val="none" w:sz="0" w:space="0" w:color="auto"/>
        <w:right w:val="none" w:sz="0" w:space="0" w:color="auto"/>
      </w:divBdr>
    </w:div>
    <w:div w:id="843009606">
      <w:bodyDiv w:val="1"/>
      <w:marLeft w:val="0"/>
      <w:marRight w:val="0"/>
      <w:marTop w:val="0"/>
      <w:marBottom w:val="0"/>
      <w:divBdr>
        <w:top w:val="none" w:sz="0" w:space="0" w:color="auto"/>
        <w:left w:val="none" w:sz="0" w:space="0" w:color="auto"/>
        <w:bottom w:val="none" w:sz="0" w:space="0" w:color="auto"/>
        <w:right w:val="none" w:sz="0" w:space="0" w:color="auto"/>
      </w:divBdr>
    </w:div>
    <w:div w:id="896086264">
      <w:bodyDiv w:val="1"/>
      <w:marLeft w:val="0"/>
      <w:marRight w:val="0"/>
      <w:marTop w:val="0"/>
      <w:marBottom w:val="0"/>
      <w:divBdr>
        <w:top w:val="none" w:sz="0" w:space="0" w:color="auto"/>
        <w:left w:val="none" w:sz="0" w:space="0" w:color="auto"/>
        <w:bottom w:val="none" w:sz="0" w:space="0" w:color="auto"/>
        <w:right w:val="none" w:sz="0" w:space="0" w:color="auto"/>
      </w:divBdr>
    </w:div>
    <w:div w:id="969819262">
      <w:bodyDiv w:val="1"/>
      <w:marLeft w:val="0"/>
      <w:marRight w:val="0"/>
      <w:marTop w:val="0"/>
      <w:marBottom w:val="0"/>
      <w:divBdr>
        <w:top w:val="none" w:sz="0" w:space="0" w:color="auto"/>
        <w:left w:val="none" w:sz="0" w:space="0" w:color="auto"/>
        <w:bottom w:val="none" w:sz="0" w:space="0" w:color="auto"/>
        <w:right w:val="none" w:sz="0" w:space="0" w:color="auto"/>
      </w:divBdr>
    </w:div>
    <w:div w:id="1097407951">
      <w:bodyDiv w:val="1"/>
      <w:marLeft w:val="0"/>
      <w:marRight w:val="0"/>
      <w:marTop w:val="0"/>
      <w:marBottom w:val="0"/>
      <w:divBdr>
        <w:top w:val="none" w:sz="0" w:space="0" w:color="auto"/>
        <w:left w:val="none" w:sz="0" w:space="0" w:color="auto"/>
        <w:bottom w:val="none" w:sz="0" w:space="0" w:color="auto"/>
        <w:right w:val="none" w:sz="0" w:space="0" w:color="auto"/>
      </w:divBdr>
    </w:div>
    <w:div w:id="1132599141">
      <w:bodyDiv w:val="1"/>
      <w:marLeft w:val="0"/>
      <w:marRight w:val="0"/>
      <w:marTop w:val="0"/>
      <w:marBottom w:val="0"/>
      <w:divBdr>
        <w:top w:val="none" w:sz="0" w:space="0" w:color="auto"/>
        <w:left w:val="none" w:sz="0" w:space="0" w:color="auto"/>
        <w:bottom w:val="none" w:sz="0" w:space="0" w:color="auto"/>
        <w:right w:val="none" w:sz="0" w:space="0" w:color="auto"/>
      </w:divBdr>
    </w:div>
    <w:div w:id="1252935747">
      <w:bodyDiv w:val="1"/>
      <w:marLeft w:val="0"/>
      <w:marRight w:val="0"/>
      <w:marTop w:val="0"/>
      <w:marBottom w:val="0"/>
      <w:divBdr>
        <w:top w:val="none" w:sz="0" w:space="0" w:color="auto"/>
        <w:left w:val="none" w:sz="0" w:space="0" w:color="auto"/>
        <w:bottom w:val="none" w:sz="0" w:space="0" w:color="auto"/>
        <w:right w:val="none" w:sz="0" w:space="0" w:color="auto"/>
      </w:divBdr>
      <w:divsChild>
        <w:div w:id="1663384729">
          <w:marLeft w:val="0"/>
          <w:marRight w:val="0"/>
          <w:marTop w:val="0"/>
          <w:marBottom w:val="0"/>
          <w:divBdr>
            <w:top w:val="none" w:sz="0" w:space="0" w:color="auto"/>
            <w:left w:val="none" w:sz="0" w:space="0" w:color="auto"/>
            <w:bottom w:val="none" w:sz="0" w:space="0" w:color="auto"/>
            <w:right w:val="none" w:sz="0" w:space="0" w:color="auto"/>
          </w:divBdr>
          <w:divsChild>
            <w:div w:id="1120807354">
              <w:marLeft w:val="0"/>
              <w:marRight w:val="0"/>
              <w:marTop w:val="0"/>
              <w:marBottom w:val="0"/>
              <w:divBdr>
                <w:top w:val="none" w:sz="0" w:space="0" w:color="auto"/>
                <w:left w:val="none" w:sz="0" w:space="0" w:color="auto"/>
                <w:bottom w:val="none" w:sz="0" w:space="0" w:color="auto"/>
                <w:right w:val="none" w:sz="0" w:space="0" w:color="auto"/>
              </w:divBdr>
              <w:divsChild>
                <w:div w:id="1387295483">
                  <w:marLeft w:val="0"/>
                  <w:marRight w:val="0"/>
                  <w:marTop w:val="0"/>
                  <w:marBottom w:val="0"/>
                  <w:divBdr>
                    <w:top w:val="none" w:sz="0" w:space="0" w:color="auto"/>
                    <w:left w:val="none" w:sz="0" w:space="0" w:color="auto"/>
                    <w:bottom w:val="none" w:sz="0" w:space="0" w:color="auto"/>
                    <w:right w:val="none" w:sz="0" w:space="0" w:color="auto"/>
                  </w:divBdr>
                  <w:divsChild>
                    <w:div w:id="1918392185">
                      <w:marLeft w:val="0"/>
                      <w:marRight w:val="0"/>
                      <w:marTop w:val="0"/>
                      <w:marBottom w:val="0"/>
                      <w:divBdr>
                        <w:top w:val="none" w:sz="0" w:space="0" w:color="auto"/>
                        <w:left w:val="none" w:sz="0" w:space="0" w:color="auto"/>
                        <w:bottom w:val="none" w:sz="0" w:space="0" w:color="auto"/>
                        <w:right w:val="none" w:sz="0" w:space="0" w:color="auto"/>
                      </w:divBdr>
                      <w:divsChild>
                        <w:div w:id="1848205138">
                          <w:marLeft w:val="0"/>
                          <w:marRight w:val="0"/>
                          <w:marTop w:val="0"/>
                          <w:marBottom w:val="0"/>
                          <w:divBdr>
                            <w:top w:val="none" w:sz="0" w:space="0" w:color="auto"/>
                            <w:left w:val="none" w:sz="0" w:space="0" w:color="auto"/>
                            <w:bottom w:val="none" w:sz="0" w:space="0" w:color="auto"/>
                            <w:right w:val="none" w:sz="0" w:space="0" w:color="auto"/>
                          </w:divBdr>
                          <w:divsChild>
                            <w:div w:id="962227410">
                              <w:marLeft w:val="0"/>
                              <w:marRight w:val="0"/>
                              <w:marTop w:val="0"/>
                              <w:marBottom w:val="0"/>
                              <w:divBdr>
                                <w:top w:val="none" w:sz="0" w:space="0" w:color="auto"/>
                                <w:left w:val="none" w:sz="0" w:space="0" w:color="auto"/>
                                <w:bottom w:val="none" w:sz="0" w:space="0" w:color="auto"/>
                                <w:right w:val="none" w:sz="0" w:space="0" w:color="auto"/>
                              </w:divBdr>
                              <w:divsChild>
                                <w:div w:id="1614089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4411344">
      <w:bodyDiv w:val="1"/>
      <w:marLeft w:val="0"/>
      <w:marRight w:val="0"/>
      <w:marTop w:val="0"/>
      <w:marBottom w:val="0"/>
      <w:divBdr>
        <w:top w:val="none" w:sz="0" w:space="0" w:color="auto"/>
        <w:left w:val="none" w:sz="0" w:space="0" w:color="auto"/>
        <w:bottom w:val="none" w:sz="0" w:space="0" w:color="auto"/>
        <w:right w:val="none" w:sz="0" w:space="0" w:color="auto"/>
      </w:divBdr>
    </w:div>
    <w:div w:id="1281297172">
      <w:bodyDiv w:val="1"/>
      <w:marLeft w:val="0"/>
      <w:marRight w:val="0"/>
      <w:marTop w:val="0"/>
      <w:marBottom w:val="0"/>
      <w:divBdr>
        <w:top w:val="none" w:sz="0" w:space="0" w:color="auto"/>
        <w:left w:val="none" w:sz="0" w:space="0" w:color="auto"/>
        <w:bottom w:val="none" w:sz="0" w:space="0" w:color="auto"/>
        <w:right w:val="none" w:sz="0" w:space="0" w:color="auto"/>
      </w:divBdr>
    </w:div>
    <w:div w:id="1346205812">
      <w:bodyDiv w:val="1"/>
      <w:marLeft w:val="0"/>
      <w:marRight w:val="0"/>
      <w:marTop w:val="0"/>
      <w:marBottom w:val="0"/>
      <w:divBdr>
        <w:top w:val="none" w:sz="0" w:space="0" w:color="auto"/>
        <w:left w:val="none" w:sz="0" w:space="0" w:color="auto"/>
        <w:bottom w:val="none" w:sz="0" w:space="0" w:color="auto"/>
        <w:right w:val="none" w:sz="0" w:space="0" w:color="auto"/>
      </w:divBdr>
    </w:div>
    <w:div w:id="1504709231">
      <w:bodyDiv w:val="1"/>
      <w:marLeft w:val="0"/>
      <w:marRight w:val="0"/>
      <w:marTop w:val="0"/>
      <w:marBottom w:val="0"/>
      <w:divBdr>
        <w:top w:val="none" w:sz="0" w:space="0" w:color="auto"/>
        <w:left w:val="none" w:sz="0" w:space="0" w:color="auto"/>
        <w:bottom w:val="none" w:sz="0" w:space="0" w:color="auto"/>
        <w:right w:val="none" w:sz="0" w:space="0" w:color="auto"/>
      </w:divBdr>
    </w:div>
    <w:div w:id="1577394314">
      <w:bodyDiv w:val="1"/>
      <w:marLeft w:val="0"/>
      <w:marRight w:val="0"/>
      <w:marTop w:val="0"/>
      <w:marBottom w:val="0"/>
      <w:divBdr>
        <w:top w:val="none" w:sz="0" w:space="0" w:color="auto"/>
        <w:left w:val="none" w:sz="0" w:space="0" w:color="auto"/>
        <w:bottom w:val="none" w:sz="0" w:space="0" w:color="auto"/>
        <w:right w:val="none" w:sz="0" w:space="0" w:color="auto"/>
      </w:divBdr>
    </w:div>
    <w:div w:id="1631787118">
      <w:bodyDiv w:val="1"/>
      <w:marLeft w:val="0"/>
      <w:marRight w:val="0"/>
      <w:marTop w:val="0"/>
      <w:marBottom w:val="0"/>
      <w:divBdr>
        <w:top w:val="none" w:sz="0" w:space="0" w:color="auto"/>
        <w:left w:val="none" w:sz="0" w:space="0" w:color="auto"/>
        <w:bottom w:val="none" w:sz="0" w:space="0" w:color="auto"/>
        <w:right w:val="none" w:sz="0" w:space="0" w:color="auto"/>
      </w:divBdr>
    </w:div>
    <w:div w:id="1827239785">
      <w:bodyDiv w:val="1"/>
      <w:marLeft w:val="0"/>
      <w:marRight w:val="0"/>
      <w:marTop w:val="0"/>
      <w:marBottom w:val="0"/>
      <w:divBdr>
        <w:top w:val="none" w:sz="0" w:space="0" w:color="auto"/>
        <w:left w:val="none" w:sz="0" w:space="0" w:color="auto"/>
        <w:bottom w:val="none" w:sz="0" w:space="0" w:color="auto"/>
        <w:right w:val="none" w:sz="0" w:space="0" w:color="auto"/>
      </w:divBdr>
    </w:div>
    <w:div w:id="1930503456">
      <w:bodyDiv w:val="1"/>
      <w:marLeft w:val="0"/>
      <w:marRight w:val="0"/>
      <w:marTop w:val="0"/>
      <w:marBottom w:val="0"/>
      <w:divBdr>
        <w:top w:val="none" w:sz="0" w:space="0" w:color="auto"/>
        <w:left w:val="none" w:sz="0" w:space="0" w:color="auto"/>
        <w:bottom w:val="none" w:sz="0" w:space="0" w:color="auto"/>
        <w:right w:val="none" w:sz="0" w:space="0" w:color="auto"/>
      </w:divBdr>
      <w:divsChild>
        <w:div w:id="1212618636">
          <w:marLeft w:val="0"/>
          <w:marRight w:val="0"/>
          <w:marTop w:val="0"/>
          <w:marBottom w:val="0"/>
          <w:divBdr>
            <w:top w:val="none" w:sz="0" w:space="0" w:color="auto"/>
            <w:left w:val="none" w:sz="0" w:space="0" w:color="auto"/>
            <w:bottom w:val="none" w:sz="0" w:space="0" w:color="auto"/>
            <w:right w:val="none" w:sz="0" w:space="0" w:color="auto"/>
          </w:divBdr>
          <w:divsChild>
            <w:div w:id="1588348695">
              <w:marLeft w:val="0"/>
              <w:marRight w:val="0"/>
              <w:marTop w:val="0"/>
              <w:marBottom w:val="0"/>
              <w:divBdr>
                <w:top w:val="none" w:sz="0" w:space="0" w:color="auto"/>
                <w:left w:val="none" w:sz="0" w:space="0" w:color="auto"/>
                <w:bottom w:val="none" w:sz="0" w:space="0" w:color="auto"/>
                <w:right w:val="none" w:sz="0" w:space="0" w:color="auto"/>
              </w:divBdr>
              <w:divsChild>
                <w:div w:id="41096746">
                  <w:marLeft w:val="0"/>
                  <w:marRight w:val="0"/>
                  <w:marTop w:val="0"/>
                  <w:marBottom w:val="0"/>
                  <w:divBdr>
                    <w:top w:val="none" w:sz="0" w:space="0" w:color="auto"/>
                    <w:left w:val="none" w:sz="0" w:space="0" w:color="auto"/>
                    <w:bottom w:val="none" w:sz="0" w:space="0" w:color="auto"/>
                    <w:right w:val="none" w:sz="0" w:space="0" w:color="auto"/>
                  </w:divBdr>
                  <w:divsChild>
                    <w:div w:id="1844739828">
                      <w:marLeft w:val="0"/>
                      <w:marRight w:val="0"/>
                      <w:marTop w:val="0"/>
                      <w:marBottom w:val="0"/>
                      <w:divBdr>
                        <w:top w:val="none" w:sz="0" w:space="0" w:color="auto"/>
                        <w:left w:val="none" w:sz="0" w:space="0" w:color="auto"/>
                        <w:bottom w:val="none" w:sz="0" w:space="0" w:color="auto"/>
                        <w:right w:val="none" w:sz="0" w:space="0" w:color="auto"/>
                      </w:divBdr>
                      <w:divsChild>
                        <w:div w:id="1691450413">
                          <w:marLeft w:val="0"/>
                          <w:marRight w:val="0"/>
                          <w:marTop w:val="0"/>
                          <w:marBottom w:val="0"/>
                          <w:divBdr>
                            <w:top w:val="none" w:sz="0" w:space="0" w:color="auto"/>
                            <w:left w:val="none" w:sz="0" w:space="0" w:color="auto"/>
                            <w:bottom w:val="none" w:sz="0" w:space="0" w:color="auto"/>
                            <w:right w:val="none" w:sz="0" w:space="0" w:color="auto"/>
                          </w:divBdr>
                          <w:divsChild>
                            <w:div w:id="1552692530">
                              <w:marLeft w:val="0"/>
                              <w:marRight w:val="0"/>
                              <w:marTop w:val="0"/>
                              <w:marBottom w:val="0"/>
                              <w:divBdr>
                                <w:top w:val="none" w:sz="0" w:space="0" w:color="auto"/>
                                <w:left w:val="none" w:sz="0" w:space="0" w:color="auto"/>
                                <w:bottom w:val="none" w:sz="0" w:space="0" w:color="auto"/>
                                <w:right w:val="none" w:sz="0" w:space="0" w:color="auto"/>
                              </w:divBdr>
                              <w:divsChild>
                                <w:div w:id="28373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6303994">
      <w:bodyDiv w:val="1"/>
      <w:marLeft w:val="0"/>
      <w:marRight w:val="0"/>
      <w:marTop w:val="0"/>
      <w:marBottom w:val="0"/>
      <w:divBdr>
        <w:top w:val="none" w:sz="0" w:space="0" w:color="auto"/>
        <w:left w:val="none" w:sz="0" w:space="0" w:color="auto"/>
        <w:bottom w:val="none" w:sz="0" w:space="0" w:color="auto"/>
        <w:right w:val="none" w:sz="0" w:space="0" w:color="auto"/>
      </w:divBdr>
    </w:div>
    <w:div w:id="2088727435">
      <w:bodyDiv w:val="1"/>
      <w:marLeft w:val="0"/>
      <w:marRight w:val="0"/>
      <w:marTop w:val="0"/>
      <w:marBottom w:val="0"/>
      <w:divBdr>
        <w:top w:val="none" w:sz="0" w:space="0" w:color="auto"/>
        <w:left w:val="none" w:sz="0" w:space="0" w:color="auto"/>
        <w:bottom w:val="none" w:sz="0" w:space="0" w:color="auto"/>
        <w:right w:val="none" w:sz="0" w:space="0" w:color="auto"/>
      </w:divBdr>
    </w:div>
    <w:div w:id="2134008906">
      <w:bodyDiv w:val="1"/>
      <w:marLeft w:val="0"/>
      <w:marRight w:val="0"/>
      <w:marTop w:val="0"/>
      <w:marBottom w:val="0"/>
      <w:divBdr>
        <w:top w:val="none" w:sz="0" w:space="0" w:color="auto"/>
        <w:left w:val="none" w:sz="0" w:space="0" w:color="auto"/>
        <w:bottom w:val="none" w:sz="0" w:space="0" w:color="auto"/>
        <w:right w:val="none" w:sz="0" w:space="0" w:color="auto"/>
      </w:divBdr>
      <w:divsChild>
        <w:div w:id="973633307">
          <w:marLeft w:val="0"/>
          <w:marRight w:val="0"/>
          <w:marTop w:val="0"/>
          <w:marBottom w:val="0"/>
          <w:divBdr>
            <w:top w:val="none" w:sz="0" w:space="0" w:color="auto"/>
            <w:left w:val="none" w:sz="0" w:space="0" w:color="auto"/>
            <w:bottom w:val="none" w:sz="0" w:space="0" w:color="auto"/>
            <w:right w:val="none" w:sz="0" w:space="0" w:color="auto"/>
          </w:divBdr>
          <w:divsChild>
            <w:div w:id="1815179830">
              <w:marLeft w:val="0"/>
              <w:marRight w:val="0"/>
              <w:marTop w:val="0"/>
              <w:marBottom w:val="0"/>
              <w:divBdr>
                <w:top w:val="none" w:sz="0" w:space="0" w:color="auto"/>
                <w:left w:val="none" w:sz="0" w:space="0" w:color="auto"/>
                <w:bottom w:val="none" w:sz="0" w:space="0" w:color="auto"/>
                <w:right w:val="none" w:sz="0" w:space="0" w:color="auto"/>
              </w:divBdr>
              <w:divsChild>
                <w:div w:id="1940327294">
                  <w:marLeft w:val="0"/>
                  <w:marRight w:val="0"/>
                  <w:marTop w:val="0"/>
                  <w:marBottom w:val="0"/>
                  <w:divBdr>
                    <w:top w:val="none" w:sz="0" w:space="0" w:color="auto"/>
                    <w:left w:val="none" w:sz="0" w:space="0" w:color="auto"/>
                    <w:bottom w:val="none" w:sz="0" w:space="0" w:color="auto"/>
                    <w:right w:val="none" w:sz="0" w:space="0" w:color="auto"/>
                  </w:divBdr>
                  <w:divsChild>
                    <w:div w:id="988629257">
                      <w:marLeft w:val="0"/>
                      <w:marRight w:val="0"/>
                      <w:marTop w:val="0"/>
                      <w:marBottom w:val="0"/>
                      <w:divBdr>
                        <w:top w:val="none" w:sz="0" w:space="0" w:color="auto"/>
                        <w:left w:val="none" w:sz="0" w:space="0" w:color="auto"/>
                        <w:bottom w:val="none" w:sz="0" w:space="0" w:color="auto"/>
                        <w:right w:val="none" w:sz="0" w:space="0" w:color="auto"/>
                      </w:divBdr>
                      <w:divsChild>
                        <w:div w:id="1495603110">
                          <w:marLeft w:val="0"/>
                          <w:marRight w:val="0"/>
                          <w:marTop w:val="0"/>
                          <w:marBottom w:val="0"/>
                          <w:divBdr>
                            <w:top w:val="none" w:sz="0" w:space="0" w:color="auto"/>
                            <w:left w:val="none" w:sz="0" w:space="0" w:color="auto"/>
                            <w:bottom w:val="none" w:sz="0" w:space="0" w:color="auto"/>
                            <w:right w:val="none" w:sz="0" w:space="0" w:color="auto"/>
                          </w:divBdr>
                          <w:divsChild>
                            <w:div w:id="159932168">
                              <w:marLeft w:val="0"/>
                              <w:marRight w:val="0"/>
                              <w:marTop w:val="0"/>
                              <w:marBottom w:val="0"/>
                              <w:divBdr>
                                <w:top w:val="none" w:sz="0" w:space="0" w:color="auto"/>
                                <w:left w:val="none" w:sz="0" w:space="0" w:color="auto"/>
                                <w:bottom w:val="none" w:sz="0" w:space="0" w:color="auto"/>
                                <w:right w:val="none" w:sz="0" w:space="0" w:color="auto"/>
                              </w:divBdr>
                              <w:divsChild>
                                <w:div w:id="142248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g/personal/2025455_student_uwtsd_ac_uk/IQDS2wiRtequQppNUXpA2KhdAQPd09JDwp11CxIziDdV3HQ?e=NiPxer"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Kno23</b:Tag>
    <b:SourceType>InternetSite</b:SourceType>
    <b:Guid>{59CB8844-0E3C-453F-9042-77A264AA0292}</b:Guid>
    <b:Title>Known Exploited Vulnerabilities (KEV) Catalog. Cybersecurity and Infrastructure Security Agency.</b:Title>
    <b:Year>2023</b:Year>
    <b:URL>https://www.cisa.gov/</b:URL>
    <b:RefOrder>2</b:RefOrder>
  </b:Source>
  <b:Source>
    <b:Tag>ENI23</b:Tag>
    <b:SourceType>InternetSite</b:SourceType>
    <b:Guid>{479AAF2C-890B-4655-8D7E-856B994977A8}</b:Guid>
    <b:Title>ENISA Threat Landscape</b:Title>
    <b:Year>2023</b:Year>
    <b:RefOrder>3</b:RefOrder>
  </b:Source>
  <b:Source>
    <b:Tag>Raz24</b:Tag>
    <b:SourceType>Book</b:SourceType>
    <b:Guid>{ABF568E8-AE0F-4404-9B90-6CAA5B1AB18A}</b:Guid>
    <b:Title>Zero Trust Networks: Building Secure Systems in Untrusted Network</b:Title>
    <b:Year>2024</b:Year>
    <b:Author>
      <b:Author>
        <b:NameList>
          <b:Person>
            <b:Last>Razi Rais</b:Last>
            <b:First>Christina</b:First>
            <b:Middle>Morillo, Evan Gilman, Doug Barth</b:Middle>
          </b:Person>
        </b:NameList>
      </b:Author>
    </b:Author>
    <b:RefOrder>4</b:RefOrder>
  </b:Source>
  <b:Source>
    <b:Tag>Mic24</b:Tag>
    <b:SourceType>InternetSite</b:SourceType>
    <b:Guid>{9AFDC006-4B1F-41B9-B9B6-34DA832F9F2C}</b:Guid>
    <b:Title>BCM Metrics</b:Title>
    <b:Year>2024</b:Year>
    <b:Author>
      <b:Author>
        <b:NameList>
          <b:Person>
            <b:Last>Herrera</b:Last>
            <b:First>Michael</b:First>
          </b:Person>
        </b:NameList>
      </b:Author>
    </b:Author>
    <b:URL>https://bcmmetrics.com/blog/8-risk-mitigation-controls</b:URL>
    <b:RefOrder>5</b:RefOrder>
  </b:Source>
  <b:Source>
    <b:Tag>Bla</b:Tag>
    <b:SourceType>InternetSite</b:SourceType>
    <b:Guid>{7492ED10-5C90-4A2F-B493-D3AE0A0636E3}</b:Guid>
    <b:Title>Blastwave</b:Title>
    <b:Day>2025</b:Day>
    <b:URL>https://www.blastwave.com/white-paper-zero-trust-shielding-for-manufacturing-networks</b:URL>
    <b:RefOrder>1</b:RefOrder>
  </b:Source>
</b:Sources>
</file>

<file path=customXml/itemProps1.xml><?xml version="1.0" encoding="utf-8"?>
<ds:datastoreItem xmlns:ds="http://schemas.openxmlformats.org/officeDocument/2006/customXml" ds:itemID="{94F364EC-E03C-4BB1-94C6-551456B83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13</Pages>
  <Words>2562</Words>
  <Characters>14608</Characters>
  <Application>Microsoft Office Word</Application>
  <DocSecurity>0</DocSecurity>
  <Lines>121</Lines>
  <Paragraphs>34</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Network and Cyber Security Essentials</vt:lpstr>
      <vt:lpstr/>
    </vt:vector>
  </TitlesOfParts>
  <Company/>
  <LinksUpToDate>false</LinksUpToDate>
  <CharactersWithSpaces>17136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 Security Essentials</dc:title>
  <dc:subject/>
  <dc:creator>Student Name:</dc:creator>
  <cp:keywords/>
  <dc:description/>
  <cp:lastModifiedBy>Istvan Cserny (2025455)</cp:lastModifiedBy>
  <cp:revision>5</cp:revision>
  <dcterms:created xsi:type="dcterms:W3CDTF">2025-12-18T23:31:00Z</dcterms:created>
  <dcterms:modified xsi:type="dcterms:W3CDTF">2025-12-18T23:47:00Z</dcterms:modified>
</cp:coreProperties>
</file>