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notes+xml" PartName="/word/footnot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0">
      <w:pPr>
        <w:contextualSpacing w:val="0"/>
        <w:rPr>
          <w:rFonts w:ascii="Times New Roman" w:cs="Times New Roman" w:eastAsia="Times New Roman" w:hAnsi="Times New Roman"/>
          <w:b w:val="1"/>
        </w:rPr>
      </w:pPr>
      <w:r w:rsidDel="00000000" w:rsidR="00000000" w:rsidRPr="00000000">
        <w:rPr>
          <w:rFonts w:ascii="Times New Roman" w:cs="Times New Roman" w:eastAsia="Times New Roman" w:hAnsi="Times New Roman"/>
          <w:b w:val="1"/>
          <w:rtl w:val="0"/>
        </w:rPr>
        <w:t xml:space="preserve">Explain and unpack the definition of ‘heresy’.</w:t>
      </w:r>
    </w:p>
    <w:p w:rsidR="00000000" w:rsidDel="00000000" w:rsidP="00000000" w:rsidRDefault="00000000" w:rsidRPr="00000000" w14:paraId="00000001">
      <w:pPr>
        <w:contextualSpacing w:val="0"/>
        <w:rPr>
          <w:rFonts w:ascii="Times New Roman" w:cs="Times New Roman" w:eastAsia="Times New Roman" w:hAnsi="Times New Roman"/>
          <w:b w:val="1"/>
        </w:rPr>
      </w:pPr>
      <w:r w:rsidDel="00000000" w:rsidR="00000000" w:rsidRPr="00000000">
        <w:rPr>
          <w:rtl w:val="0"/>
        </w:rPr>
      </w:r>
    </w:p>
    <w:p w:rsidR="00000000" w:rsidDel="00000000" w:rsidP="00000000" w:rsidRDefault="00000000" w:rsidRPr="00000000" w14:paraId="00000002">
      <w:pPr>
        <w:contextualSpacing w:val="0"/>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The Christian faith is said by Evans as needing “to establish how Christian doctrine ‘fitted’ with existing systems of religious belief in the Greek and Roman world</w:t>
      </w:r>
      <w:r w:rsidDel="00000000" w:rsidR="00000000" w:rsidRPr="00000000">
        <w:rPr>
          <w:rFonts w:ascii="Times New Roman" w:cs="Times New Roman" w:eastAsia="Times New Roman" w:hAnsi="Times New Roman"/>
          <w:vertAlign w:val="superscript"/>
        </w:rPr>
        <w:footnoteReference w:customMarkFollows="0" w:id="0"/>
      </w:r>
      <w:r w:rsidDel="00000000" w:rsidR="00000000" w:rsidRPr="00000000">
        <w:rPr>
          <w:rFonts w:ascii="Times New Roman" w:cs="Times New Roman" w:eastAsia="Times New Roman" w:hAnsi="Times New Roman"/>
          <w:rtl w:val="0"/>
        </w:rPr>
        <w:t xml:space="preserve">”. Heresy, therefore, should be defined as a set of teachings that go against consensus as given by Christian scholars and theologians, as they attempt to explain things that would otherwise contradict their beliefs. For instance, many heresies focus on the nature of Jesus, as he is described as being both entirely God and man. Nestorius proposed that Christ was of two natures, one of humanity and another of divinity</w:t>
      </w:r>
      <w:r w:rsidDel="00000000" w:rsidR="00000000" w:rsidRPr="00000000">
        <w:rPr>
          <w:rFonts w:ascii="Times New Roman" w:cs="Times New Roman" w:eastAsia="Times New Roman" w:hAnsi="Times New Roman"/>
          <w:vertAlign w:val="superscript"/>
        </w:rPr>
        <w:footnoteReference w:customMarkFollows="0" w:id="1"/>
      </w:r>
      <w:r w:rsidDel="00000000" w:rsidR="00000000" w:rsidRPr="00000000">
        <w:rPr>
          <w:rFonts w:ascii="Times New Roman" w:cs="Times New Roman" w:eastAsia="Times New Roman" w:hAnsi="Times New Roman"/>
          <w:rtl w:val="0"/>
        </w:rPr>
        <w:t xml:space="preserve">. Orthodox scholars at the Council of Chalcedon rejected this, claiming that that would be suggesting that Jesus’ nature was only a ‘mortal unity’ between God and man, rather than him being both God and man simultaneously</w:t>
      </w:r>
      <w:r w:rsidDel="00000000" w:rsidR="00000000" w:rsidRPr="00000000">
        <w:rPr>
          <w:rFonts w:ascii="Times New Roman" w:cs="Times New Roman" w:eastAsia="Times New Roman" w:hAnsi="Times New Roman"/>
          <w:vertAlign w:val="superscript"/>
        </w:rPr>
        <w:footnoteReference w:customMarkFollows="0" w:id="2"/>
      </w:r>
      <w:r w:rsidDel="00000000" w:rsidR="00000000" w:rsidRPr="00000000">
        <w:rPr>
          <w:rFonts w:ascii="Times New Roman" w:cs="Times New Roman" w:eastAsia="Times New Roman" w:hAnsi="Times New Roman"/>
          <w:rtl w:val="0"/>
        </w:rPr>
        <w:t xml:space="preserve">.</w:t>
      </w:r>
    </w:p>
    <w:p w:rsidR="00000000" w:rsidDel="00000000" w:rsidP="00000000" w:rsidRDefault="00000000" w:rsidRPr="00000000" w14:paraId="00000003">
      <w:pPr>
        <w:contextualSpacing w:val="0"/>
        <w:jc w:val="both"/>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04">
      <w:pPr>
        <w:contextualSpacing w:val="0"/>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The idea of heresy also has an intrinsic political aspect to it, as the way in which doctrine is created is not by what is told to be believed by Christian scholars, but what is rejected by councils like the aforementioned Council of Chalcedon. Because of this, it may be considered that what is seen as heretical in the eyes of the church is only a response to ideas that differed from the people in power at the time. This then holds the connotation that these ideas were then condemned as ‘heresy’ so that it was a slight against the person who put said ideas forward. One example that could be looked at is the supposed response that St Nicholas of Myra made against Arius’ claim at the Council of Nicaea. During Arius’ theses, St Nicholas allegedly got enraged at this, and struck Arius across the face</w:t>
      </w:r>
      <w:r w:rsidDel="00000000" w:rsidR="00000000" w:rsidRPr="00000000">
        <w:rPr>
          <w:rFonts w:ascii="Times New Roman" w:cs="Times New Roman" w:eastAsia="Times New Roman" w:hAnsi="Times New Roman"/>
          <w:vertAlign w:val="superscript"/>
        </w:rPr>
        <w:footnoteReference w:customMarkFollows="0" w:id="3"/>
      </w:r>
      <w:r w:rsidDel="00000000" w:rsidR="00000000" w:rsidRPr="00000000">
        <w:rPr>
          <w:rFonts w:ascii="Times New Roman" w:cs="Times New Roman" w:eastAsia="Times New Roman" w:hAnsi="Times New Roman"/>
          <w:rtl w:val="0"/>
        </w:rPr>
        <w:t xml:space="preserve">. After this was settled, Arius’ became known for creating  the heresy ‘Arianism’, which raises into question that it was because of St Nicholas’ furore over Arius that made the latter heretical.</w:t>
      </w:r>
    </w:p>
    <w:p w:rsidR="00000000" w:rsidDel="00000000" w:rsidP="00000000" w:rsidRDefault="00000000" w:rsidRPr="00000000" w14:paraId="00000005">
      <w:pPr>
        <w:contextualSpacing w:val="0"/>
        <w:jc w:val="both"/>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06">
      <w:pPr>
        <w:contextualSpacing w:val="0"/>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Heresy is important to be looked at in Christological doctrine, as all theologians attempt to do something which was previously not done in early Christianity, which was attempt to bridge the epistemological gap between God and man, however, some are unfortunate and get deemed as heretics for their proposals. Some of these heresies attempt to explain the link of the divine and human, such as the previously mentioned Nestorianism, as well as Apollinarianism</w:t>
      </w:r>
      <w:r w:rsidDel="00000000" w:rsidR="00000000" w:rsidRPr="00000000">
        <w:rPr>
          <w:rFonts w:ascii="Times New Roman" w:cs="Times New Roman" w:eastAsia="Times New Roman" w:hAnsi="Times New Roman"/>
          <w:vertAlign w:val="superscript"/>
        </w:rPr>
        <w:footnoteReference w:customMarkFollows="0" w:id="4"/>
      </w:r>
      <w:r w:rsidDel="00000000" w:rsidR="00000000" w:rsidRPr="00000000">
        <w:rPr>
          <w:rFonts w:ascii="Times New Roman" w:cs="Times New Roman" w:eastAsia="Times New Roman" w:hAnsi="Times New Roman"/>
          <w:rtl w:val="0"/>
        </w:rPr>
        <w:t xml:space="preserve">. However, other heresies they try and explain the Trinity in ways that the Orthodox church rejected, such as Monarchianism</w:t>
      </w:r>
      <w:r w:rsidDel="00000000" w:rsidR="00000000" w:rsidRPr="00000000">
        <w:rPr>
          <w:rFonts w:ascii="Times New Roman" w:cs="Times New Roman" w:eastAsia="Times New Roman" w:hAnsi="Times New Roman"/>
          <w:vertAlign w:val="superscript"/>
        </w:rPr>
        <w:footnoteReference w:customMarkFollows="0" w:id="5"/>
      </w:r>
      <w:r w:rsidDel="00000000" w:rsidR="00000000" w:rsidRPr="00000000">
        <w:rPr>
          <w:rFonts w:ascii="Times New Roman" w:cs="Times New Roman" w:eastAsia="Times New Roman" w:hAnsi="Times New Roman"/>
          <w:rtl w:val="0"/>
        </w:rPr>
        <w:t xml:space="preserve">. The concept of heresy serves as a lesson that humans are fallible and that trying to study and understand the Word of God is a harder task than it lends itself to be. Heresy is important for us to learn, because by learning about what was considered wrong, by definition it should bring scholars closer to what is right. It is also by looking at heresies that we understand why the structure of Orthodoxy is important to Christian theology, as it validates or invalidates certain theological claims that fit the Christian narrative.</w:t>
      </w:r>
      <w:r w:rsidDel="00000000" w:rsidR="00000000" w:rsidRPr="00000000">
        <w:br w:type="page"/>
      </w:r>
      <w:r w:rsidDel="00000000" w:rsidR="00000000" w:rsidRPr="00000000">
        <w:rPr>
          <w:rtl w:val="0"/>
        </w:rPr>
      </w:r>
    </w:p>
    <w:p w:rsidR="00000000" w:rsidDel="00000000" w:rsidP="00000000" w:rsidRDefault="00000000" w:rsidRPr="00000000" w14:paraId="00000007">
      <w:pPr>
        <w:keepNext w:val="0"/>
        <w:keepLines w:val="0"/>
        <w:spacing w:after="80" w:before="0" w:lineRule="auto"/>
        <w:contextualSpacing w:val="0"/>
        <w:jc w:val="both"/>
        <w:rPr>
          <w:rFonts w:ascii="Times New Roman" w:cs="Times New Roman" w:eastAsia="Times New Roman" w:hAnsi="Times New Roman"/>
          <w:b w:val="1"/>
          <w:sz w:val="26"/>
          <w:szCs w:val="26"/>
        </w:rPr>
      </w:pPr>
      <w:r w:rsidDel="00000000" w:rsidR="00000000" w:rsidRPr="00000000">
        <w:rPr>
          <w:rFonts w:ascii="Times New Roman" w:cs="Times New Roman" w:eastAsia="Times New Roman" w:hAnsi="Times New Roman"/>
          <w:b w:val="1"/>
          <w:sz w:val="26"/>
          <w:szCs w:val="26"/>
          <w:rtl w:val="0"/>
        </w:rPr>
        <w:t xml:space="preserve">References</w:t>
      </w:r>
    </w:p>
    <w:p w:rsidR="00000000" w:rsidDel="00000000" w:rsidP="00000000" w:rsidRDefault="00000000" w:rsidRPr="00000000" w14:paraId="00000008">
      <w:pPr>
        <w:spacing w:after="180" w:lineRule="auto"/>
        <w:ind w:left="900" w:hanging="440"/>
        <w:contextualSpacing w:val="0"/>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Berndt, G. and Steinacher, R. (2016). </w:t>
      </w:r>
      <w:r w:rsidDel="00000000" w:rsidR="00000000" w:rsidRPr="00000000">
        <w:rPr>
          <w:rFonts w:ascii="Times New Roman" w:cs="Times New Roman" w:eastAsia="Times New Roman" w:hAnsi="Times New Roman"/>
          <w:i w:val="1"/>
          <w:rtl w:val="0"/>
        </w:rPr>
        <w:t xml:space="preserve">Arianism: Roman heresy and barbarian creed</w:t>
      </w:r>
      <w:r w:rsidDel="00000000" w:rsidR="00000000" w:rsidRPr="00000000">
        <w:rPr>
          <w:rFonts w:ascii="Times New Roman" w:cs="Times New Roman" w:eastAsia="Times New Roman" w:hAnsi="Times New Roman"/>
          <w:rtl w:val="0"/>
        </w:rPr>
        <w:t xml:space="preserve">. London: Routledge.</w:t>
      </w:r>
    </w:p>
    <w:p w:rsidR="00000000" w:rsidDel="00000000" w:rsidP="00000000" w:rsidRDefault="00000000" w:rsidRPr="00000000" w14:paraId="00000009">
      <w:pPr>
        <w:spacing w:after="180" w:lineRule="auto"/>
        <w:ind w:left="900" w:hanging="440"/>
        <w:contextualSpacing w:val="0"/>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Encyclopedia Britannica. (2018). </w:t>
      </w:r>
      <w:r w:rsidDel="00000000" w:rsidR="00000000" w:rsidRPr="00000000">
        <w:rPr>
          <w:rFonts w:ascii="Times New Roman" w:cs="Times New Roman" w:eastAsia="Times New Roman" w:hAnsi="Times New Roman"/>
          <w:i w:val="1"/>
          <w:rtl w:val="0"/>
        </w:rPr>
        <w:t xml:space="preserve">Monarchianism | Christianity</w:t>
      </w:r>
      <w:r w:rsidDel="00000000" w:rsidR="00000000" w:rsidRPr="00000000">
        <w:rPr>
          <w:rFonts w:ascii="Times New Roman" w:cs="Times New Roman" w:eastAsia="Times New Roman" w:hAnsi="Times New Roman"/>
          <w:rtl w:val="0"/>
        </w:rPr>
        <w:t xml:space="preserve">. [online] Available at: https://www.britannica.com/topic/Monarchianism [Accessed 23 Sep. 2018].</w:t>
      </w:r>
    </w:p>
    <w:p w:rsidR="00000000" w:rsidDel="00000000" w:rsidP="00000000" w:rsidRDefault="00000000" w:rsidRPr="00000000" w14:paraId="0000000A">
      <w:pPr>
        <w:spacing w:after="180" w:lineRule="auto"/>
        <w:ind w:left="900" w:hanging="440"/>
        <w:contextualSpacing w:val="0"/>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Evans, G. (2002). </w:t>
      </w:r>
      <w:r w:rsidDel="00000000" w:rsidR="00000000" w:rsidRPr="00000000">
        <w:rPr>
          <w:rFonts w:ascii="Times New Roman" w:cs="Times New Roman" w:eastAsia="Times New Roman" w:hAnsi="Times New Roman"/>
          <w:i w:val="1"/>
          <w:rtl w:val="0"/>
        </w:rPr>
        <w:t xml:space="preserve">A Brief History of Heresy</w:t>
      </w:r>
      <w:r w:rsidDel="00000000" w:rsidR="00000000" w:rsidRPr="00000000">
        <w:rPr>
          <w:rFonts w:ascii="Times New Roman" w:cs="Times New Roman" w:eastAsia="Times New Roman" w:hAnsi="Times New Roman"/>
          <w:rtl w:val="0"/>
        </w:rPr>
        <w:t xml:space="preserve">. Malden M.A.: Blackwell, p.65.</w:t>
      </w:r>
    </w:p>
    <w:p w:rsidR="00000000" w:rsidDel="00000000" w:rsidP="00000000" w:rsidRDefault="00000000" w:rsidRPr="00000000" w14:paraId="0000000B">
      <w:pPr>
        <w:spacing w:after="180" w:lineRule="auto"/>
        <w:ind w:left="900" w:hanging="440"/>
        <w:contextualSpacing w:val="0"/>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McGrath, A. (1998). </w:t>
      </w:r>
      <w:r w:rsidDel="00000000" w:rsidR="00000000" w:rsidRPr="00000000">
        <w:rPr>
          <w:rFonts w:ascii="Times New Roman" w:cs="Times New Roman" w:eastAsia="Times New Roman" w:hAnsi="Times New Roman"/>
          <w:i w:val="1"/>
          <w:rtl w:val="0"/>
        </w:rPr>
        <w:t xml:space="preserve">Historical Theology, An Introduction to the History of Christian Thought. </w:t>
      </w:r>
      <w:r w:rsidDel="00000000" w:rsidR="00000000" w:rsidRPr="00000000">
        <w:rPr>
          <w:rFonts w:ascii="Times New Roman" w:cs="Times New Roman" w:eastAsia="Times New Roman" w:hAnsi="Times New Roman"/>
          <w:rtl w:val="0"/>
        </w:rPr>
        <w:t xml:space="preserve">Oxford: Blackwell Publishers. Chapter 1</w:t>
      </w:r>
    </w:p>
    <w:p w:rsidR="00000000" w:rsidDel="00000000" w:rsidP="00000000" w:rsidRDefault="00000000" w:rsidRPr="00000000" w14:paraId="0000000C">
      <w:pPr>
        <w:spacing w:after="180" w:lineRule="auto"/>
        <w:ind w:left="900" w:hanging="440"/>
        <w:contextualSpacing w:val="0"/>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O'Collins, G. (1995). </w:t>
      </w:r>
      <w:r w:rsidDel="00000000" w:rsidR="00000000" w:rsidRPr="00000000">
        <w:rPr>
          <w:rFonts w:ascii="Times New Roman" w:cs="Times New Roman" w:eastAsia="Times New Roman" w:hAnsi="Times New Roman"/>
          <w:i w:val="1"/>
          <w:rtl w:val="0"/>
        </w:rPr>
        <w:t xml:space="preserve">Christology</w:t>
      </w:r>
      <w:r w:rsidDel="00000000" w:rsidR="00000000" w:rsidRPr="00000000">
        <w:rPr>
          <w:rFonts w:ascii="Times New Roman" w:cs="Times New Roman" w:eastAsia="Times New Roman" w:hAnsi="Times New Roman"/>
          <w:rtl w:val="0"/>
        </w:rPr>
        <w:t xml:space="preserve">. Oxford: Oxford University Press, p.186.</w:t>
      </w:r>
    </w:p>
    <w:p w:rsidR="00000000" w:rsidDel="00000000" w:rsidP="00000000" w:rsidRDefault="00000000" w:rsidRPr="00000000" w14:paraId="0000000D">
      <w:pPr>
        <w:spacing w:after="180" w:lineRule="auto"/>
        <w:ind w:left="900" w:hanging="440"/>
        <w:contextualSpacing w:val="0"/>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Stnicholascenter.org. (2018). </w:t>
      </w:r>
      <w:r w:rsidDel="00000000" w:rsidR="00000000" w:rsidRPr="00000000">
        <w:rPr>
          <w:rFonts w:ascii="Times New Roman" w:cs="Times New Roman" w:eastAsia="Times New Roman" w:hAnsi="Times New Roman"/>
          <w:i w:val="1"/>
          <w:rtl w:val="0"/>
        </w:rPr>
        <w:t xml:space="preserve">Bishop Nicholas Loses His Cool (At The Council Of Nicaea)</w:t>
      </w:r>
      <w:r w:rsidDel="00000000" w:rsidR="00000000" w:rsidRPr="00000000">
        <w:rPr>
          <w:rFonts w:ascii="Times New Roman" w:cs="Times New Roman" w:eastAsia="Times New Roman" w:hAnsi="Times New Roman"/>
          <w:rtl w:val="0"/>
        </w:rPr>
        <w:t xml:space="preserve">. [online] Available at: http://www.stnicholascenter.org/pages/bishop-nicholas-loses-his-cool/ [Accessed 22 Sep. 2018].</w:t>
      </w:r>
    </w:p>
    <w:p w:rsidR="00000000" w:rsidDel="00000000" w:rsidP="00000000" w:rsidRDefault="00000000" w:rsidRPr="00000000" w14:paraId="0000000E">
      <w:pPr>
        <w:contextualSpacing w:val="0"/>
        <w:jc w:val="both"/>
        <w:rPr>
          <w:rFonts w:ascii="Times New Roman" w:cs="Times New Roman" w:eastAsia="Times New Roman" w:hAnsi="Times New Roman"/>
        </w:rPr>
      </w:pPr>
      <w:r w:rsidDel="00000000" w:rsidR="00000000" w:rsidRPr="00000000">
        <w:rPr>
          <w:rtl w:val="0"/>
        </w:rPr>
      </w:r>
    </w:p>
    <w:sectPr>
      <w:pgSz w:h="16834" w:w="11909"/>
      <w:pgMar w:bottom="1440" w:top="1440" w:left="1440" w:right="1440" w:header="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Times New Roman"/>
</w:fonts>
</file>

<file path=word/footnotes.xml><?xml version="1.0" encoding="utf-8"?>
<w:footnot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otnote w:id="0">
    <w:p w:rsidR="00000000" w:rsidDel="00000000" w:rsidP="00000000" w:rsidRDefault="00000000" w:rsidRPr="00000000" w14:paraId="0000000F">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(Evans, 2002)</w:t>
      </w:r>
    </w:p>
  </w:footnote>
  <w:footnote w:id="1">
    <w:p w:rsidR="00000000" w:rsidDel="00000000" w:rsidP="00000000" w:rsidRDefault="00000000" w:rsidRPr="00000000" w14:paraId="00000010">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(O’Collins, 1995)</w:t>
      </w:r>
    </w:p>
  </w:footnote>
  <w:footnote w:id="2">
    <w:p w:rsidR="00000000" w:rsidDel="00000000" w:rsidP="00000000" w:rsidRDefault="00000000" w:rsidRPr="00000000" w14:paraId="00000011">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ibid.</w:t>
      </w:r>
    </w:p>
  </w:footnote>
  <w:footnote w:id="3">
    <w:p w:rsidR="00000000" w:rsidDel="00000000" w:rsidP="00000000" w:rsidRDefault="00000000" w:rsidRPr="00000000" w14:paraId="00000012">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(Stnicholascenter.org, 2018)</w:t>
      </w:r>
    </w:p>
  </w:footnote>
  <w:footnote w:id="4">
    <w:p w:rsidR="00000000" w:rsidDel="00000000" w:rsidP="00000000" w:rsidRDefault="00000000" w:rsidRPr="00000000" w14:paraId="00000013">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(McGrath, 1998)</w:t>
      </w:r>
    </w:p>
  </w:footnote>
  <w:footnote w:id="5">
    <w:p w:rsidR="00000000" w:rsidDel="00000000" w:rsidP="00000000" w:rsidRDefault="00000000" w:rsidRPr="00000000" w14:paraId="00000014">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(Encyclopedia Britannica, 2018)</w:t>
      </w:r>
    </w:p>
  </w:footnote>
</w:footnote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4"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contextualSpacing w:val="1"/>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footnotes" Target="footnotes.xml"/><Relationship Id="rId5" Type="http://schemas.openxmlformats.org/officeDocument/2006/relationships/numbering" Target="numbering.xml"/><Relationship Id="rId6"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