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7E1C3" w14:textId="77777777" w:rsidR="00CE1405" w:rsidRDefault="00CE1405" w:rsidP="00CE1405">
      <w:pPr>
        <w:jc w:val="center"/>
      </w:pPr>
    </w:p>
    <w:p w14:paraId="516CC8C9" w14:textId="77777777" w:rsidR="00CE1405" w:rsidRDefault="00CE1405" w:rsidP="00CE1405">
      <w:pPr>
        <w:pStyle w:val="Title"/>
        <w:jc w:val="center"/>
      </w:pPr>
      <w:r w:rsidRPr="00F667E8">
        <w:t>BMHP50</w:t>
      </w:r>
      <w:r>
        <w:t>23</w:t>
      </w:r>
    </w:p>
    <w:p w14:paraId="555FA3C8" w14:textId="77777777" w:rsidR="00CE1405" w:rsidRDefault="00CE1405" w:rsidP="00CE1405">
      <w:pPr>
        <w:pStyle w:val="Title"/>
        <w:jc w:val="center"/>
      </w:pPr>
      <w:r w:rsidRPr="00D929AA">
        <w:t>Introduction to Physiology</w:t>
      </w:r>
    </w:p>
    <w:p w14:paraId="511B048D" w14:textId="77777777" w:rsidR="00CE1405" w:rsidRDefault="00CE1405" w:rsidP="00CE1405">
      <w:pPr>
        <w:pStyle w:val="Title"/>
        <w:jc w:val="center"/>
        <w:rPr>
          <w:bCs/>
        </w:rPr>
      </w:pPr>
      <w:r>
        <w:t>Component 1: Written Assignment (</w:t>
      </w:r>
      <w:r>
        <w:rPr>
          <w:bCs/>
        </w:rPr>
        <w:t>Case Study Report)</w:t>
      </w:r>
    </w:p>
    <w:p w14:paraId="148A6759" w14:textId="77777777" w:rsidR="00CE1405" w:rsidRDefault="00CE1405" w:rsidP="00CE1405">
      <w:pPr>
        <w:pStyle w:val="Title"/>
        <w:jc w:val="center"/>
        <w:rPr>
          <w:bCs/>
        </w:rPr>
      </w:pPr>
      <w:r>
        <w:rPr>
          <w:bCs/>
        </w:rPr>
        <w:t>Case Study 1</w:t>
      </w:r>
    </w:p>
    <w:p w14:paraId="1CAB77CF" w14:textId="77777777" w:rsidR="00CE1405" w:rsidRPr="000C7413" w:rsidRDefault="00CE1405" w:rsidP="00CE1405">
      <w:pPr>
        <w:jc w:val="center"/>
        <w:rPr>
          <w:bCs/>
        </w:rPr>
      </w:pPr>
    </w:p>
    <w:p w14:paraId="791FF5B2" w14:textId="77777777" w:rsidR="00CE1405" w:rsidRPr="00667F0D" w:rsidRDefault="00CE1405" w:rsidP="00CE1405">
      <w:pPr>
        <w:jc w:val="center"/>
        <w:rPr>
          <w:bCs/>
        </w:rPr>
      </w:pPr>
      <w:r w:rsidRPr="00667F0D">
        <w:rPr>
          <w:bCs/>
        </w:rPr>
        <w:t xml:space="preserve">Name: </w:t>
      </w:r>
      <w:r w:rsidRPr="00667F0D">
        <w:rPr>
          <w:shd w:val="clear" w:color="auto" w:fill="FFFFFF"/>
        </w:rPr>
        <w:t>Princila Manu</w:t>
      </w:r>
    </w:p>
    <w:p w14:paraId="5A21A207" w14:textId="77777777" w:rsidR="00CE1405" w:rsidRPr="00667F0D" w:rsidRDefault="00CE1405" w:rsidP="00CE1405">
      <w:pPr>
        <w:jc w:val="center"/>
      </w:pPr>
      <w:r w:rsidRPr="00667F0D">
        <w:rPr>
          <w:bCs/>
        </w:rPr>
        <w:t>ID: 2330125</w:t>
      </w:r>
    </w:p>
    <w:p w14:paraId="5751C3D4" w14:textId="77777777" w:rsidR="00CE1405" w:rsidRDefault="00CE1405" w:rsidP="00CE1405"/>
    <w:p w14:paraId="76D27B52" w14:textId="77777777" w:rsidR="00CE1405" w:rsidRDefault="00CE1405" w:rsidP="00CE1405"/>
    <w:p w14:paraId="03D1FACB" w14:textId="77777777" w:rsidR="00CE1405" w:rsidRDefault="00CE1405" w:rsidP="00CE1405"/>
    <w:p w14:paraId="298EF6EB" w14:textId="77777777" w:rsidR="00CE1405" w:rsidRDefault="00CE1405" w:rsidP="00CE1405"/>
    <w:p w14:paraId="6CA35F8C" w14:textId="77777777" w:rsidR="00CE1405" w:rsidRDefault="00CE1405" w:rsidP="00CE1405"/>
    <w:p w14:paraId="52957751" w14:textId="77777777" w:rsidR="00CE1405" w:rsidRDefault="00CE1405" w:rsidP="00CE1405"/>
    <w:p w14:paraId="4B0F4933" w14:textId="77777777" w:rsidR="00CE1405" w:rsidRDefault="00CE1405" w:rsidP="00CE1405"/>
    <w:p w14:paraId="2477FD26" w14:textId="77777777" w:rsidR="00CE1405" w:rsidRDefault="00CE1405" w:rsidP="00CE1405"/>
    <w:p w14:paraId="2A37698E" w14:textId="77777777" w:rsidR="00CE1405" w:rsidRDefault="00CE1405" w:rsidP="00CE1405"/>
    <w:p w14:paraId="2AD942C1" w14:textId="77777777" w:rsidR="00CE1405" w:rsidRDefault="00CE1405" w:rsidP="00CE1405"/>
    <w:p w14:paraId="6BE2BB9B" w14:textId="77777777" w:rsidR="00CE1405" w:rsidRDefault="00CE1405" w:rsidP="00CE1405"/>
    <w:p w14:paraId="74440CCF" w14:textId="77777777" w:rsidR="00CE1405" w:rsidRDefault="00CE1405" w:rsidP="00CE1405"/>
    <w:p w14:paraId="71AC69CA" w14:textId="77777777" w:rsidR="00CE1405" w:rsidRDefault="00CE1405" w:rsidP="00CE1405">
      <w:pPr>
        <w:spacing w:line="259" w:lineRule="auto"/>
        <w:jc w:val="left"/>
      </w:pPr>
      <w:r>
        <w:br w:type="page"/>
      </w:r>
    </w:p>
    <w:sdt>
      <w:sdtPr>
        <w:rPr>
          <w:rFonts w:ascii="Times New Roman" w:eastAsiaTheme="minorHAnsi" w:hAnsi="Times New Roman" w:cstheme="minorBidi"/>
          <w:color w:val="auto"/>
          <w:sz w:val="24"/>
          <w:szCs w:val="22"/>
          <w:lang w:val="en-GB"/>
        </w:rPr>
        <w:id w:val="1816980693"/>
        <w:docPartObj>
          <w:docPartGallery w:val="Table of Contents"/>
          <w:docPartUnique/>
        </w:docPartObj>
      </w:sdtPr>
      <w:sdtEndPr>
        <w:rPr>
          <w:b/>
          <w:bCs/>
          <w:noProof/>
        </w:rPr>
      </w:sdtEndPr>
      <w:sdtContent>
        <w:p w14:paraId="7E636FAD" w14:textId="77777777" w:rsidR="00CE1405" w:rsidRDefault="00CE1405" w:rsidP="00CE1405">
          <w:pPr>
            <w:pStyle w:val="TOCHeading"/>
            <w:rPr>
              <w:rFonts w:ascii="Times New Roman" w:eastAsiaTheme="minorHAnsi" w:hAnsi="Times New Roman" w:cstheme="minorBidi"/>
              <w:color w:val="auto"/>
              <w:sz w:val="24"/>
              <w:szCs w:val="22"/>
              <w:lang w:val="en-GB"/>
            </w:rPr>
          </w:pPr>
        </w:p>
        <w:p w14:paraId="47C04572" w14:textId="77777777" w:rsidR="00CE1405" w:rsidRPr="000C7413" w:rsidRDefault="00CE1405" w:rsidP="00CE1405">
          <w:pPr>
            <w:pStyle w:val="TOCHeading"/>
            <w:rPr>
              <w:sz w:val="52"/>
              <w:szCs w:val="52"/>
            </w:rPr>
          </w:pPr>
          <w:r w:rsidRPr="000C7413">
            <w:rPr>
              <w:sz w:val="52"/>
              <w:szCs w:val="52"/>
            </w:rPr>
            <w:t>Table of Contents</w:t>
          </w:r>
        </w:p>
        <w:p w14:paraId="3634FB29" w14:textId="77777777" w:rsidR="00CE1405" w:rsidRPr="000C7413" w:rsidRDefault="00CE1405" w:rsidP="00CE1405">
          <w:pPr>
            <w:pStyle w:val="TOC1"/>
            <w:tabs>
              <w:tab w:val="right" w:leader="dot" w:pos="9350"/>
            </w:tabs>
            <w:rPr>
              <w:rFonts w:asciiTheme="minorHAnsi" w:eastAsiaTheme="minorEastAsia" w:hAnsiTheme="minorHAnsi"/>
              <w:noProof/>
              <w:sz w:val="40"/>
              <w:szCs w:val="40"/>
              <w:lang w:eastAsia="en-GB"/>
            </w:rPr>
          </w:pPr>
          <w:r w:rsidRPr="000C7413">
            <w:rPr>
              <w:sz w:val="44"/>
              <w:szCs w:val="40"/>
            </w:rPr>
            <w:fldChar w:fldCharType="begin"/>
          </w:r>
          <w:r w:rsidRPr="000C7413">
            <w:rPr>
              <w:sz w:val="44"/>
              <w:szCs w:val="40"/>
            </w:rPr>
            <w:instrText xml:space="preserve"> TOC \o "1-3" \h \z \u </w:instrText>
          </w:r>
          <w:r w:rsidRPr="000C7413">
            <w:rPr>
              <w:sz w:val="44"/>
              <w:szCs w:val="40"/>
            </w:rPr>
            <w:fldChar w:fldCharType="separate"/>
          </w:r>
          <w:hyperlink w:anchor="_Toc211589085" w:history="1">
            <w:r w:rsidRPr="000C7413">
              <w:rPr>
                <w:rStyle w:val="Hyperlink"/>
                <w:noProof/>
                <w:sz w:val="44"/>
                <w:szCs w:val="40"/>
              </w:rPr>
              <w:t>Introduction</w:t>
            </w:r>
            <w:r w:rsidRPr="000C7413">
              <w:rPr>
                <w:noProof/>
                <w:webHidden/>
                <w:sz w:val="44"/>
                <w:szCs w:val="40"/>
              </w:rPr>
              <w:tab/>
            </w:r>
            <w:r w:rsidRPr="000C7413">
              <w:rPr>
                <w:noProof/>
                <w:webHidden/>
                <w:sz w:val="44"/>
                <w:szCs w:val="40"/>
              </w:rPr>
              <w:fldChar w:fldCharType="begin"/>
            </w:r>
            <w:r w:rsidRPr="000C7413">
              <w:rPr>
                <w:noProof/>
                <w:webHidden/>
                <w:sz w:val="44"/>
                <w:szCs w:val="40"/>
              </w:rPr>
              <w:instrText xml:space="preserve"> PAGEREF _Toc211589085 \h </w:instrText>
            </w:r>
            <w:r w:rsidRPr="000C7413">
              <w:rPr>
                <w:noProof/>
                <w:webHidden/>
                <w:sz w:val="44"/>
                <w:szCs w:val="40"/>
              </w:rPr>
            </w:r>
            <w:r w:rsidRPr="000C7413">
              <w:rPr>
                <w:noProof/>
                <w:webHidden/>
                <w:sz w:val="44"/>
                <w:szCs w:val="40"/>
              </w:rPr>
              <w:fldChar w:fldCharType="separate"/>
            </w:r>
            <w:r w:rsidRPr="000C7413">
              <w:rPr>
                <w:noProof/>
                <w:webHidden/>
                <w:sz w:val="44"/>
                <w:szCs w:val="40"/>
              </w:rPr>
              <w:t>3</w:t>
            </w:r>
            <w:r w:rsidRPr="000C7413">
              <w:rPr>
                <w:noProof/>
                <w:webHidden/>
                <w:sz w:val="44"/>
                <w:szCs w:val="40"/>
              </w:rPr>
              <w:fldChar w:fldCharType="end"/>
            </w:r>
          </w:hyperlink>
        </w:p>
        <w:p w14:paraId="29941815" w14:textId="77777777" w:rsidR="00CE1405" w:rsidRPr="000C7413" w:rsidRDefault="00CE1405" w:rsidP="00CE1405">
          <w:pPr>
            <w:pStyle w:val="TOC1"/>
            <w:tabs>
              <w:tab w:val="right" w:leader="dot" w:pos="9350"/>
            </w:tabs>
            <w:rPr>
              <w:rFonts w:asciiTheme="minorHAnsi" w:eastAsiaTheme="minorEastAsia" w:hAnsiTheme="minorHAnsi"/>
              <w:noProof/>
              <w:sz w:val="40"/>
              <w:szCs w:val="40"/>
              <w:lang w:eastAsia="en-GB"/>
            </w:rPr>
          </w:pPr>
          <w:hyperlink w:anchor="_Toc211589086" w:history="1">
            <w:r w:rsidRPr="000C7413">
              <w:rPr>
                <w:rStyle w:val="Hyperlink"/>
                <w:noProof/>
                <w:sz w:val="44"/>
                <w:szCs w:val="40"/>
              </w:rPr>
              <w:t>Blood Sugar Regulation</w:t>
            </w:r>
            <w:r w:rsidRPr="000C7413">
              <w:rPr>
                <w:noProof/>
                <w:webHidden/>
                <w:sz w:val="44"/>
                <w:szCs w:val="40"/>
              </w:rPr>
              <w:tab/>
            </w:r>
            <w:r w:rsidRPr="000C7413">
              <w:rPr>
                <w:noProof/>
                <w:webHidden/>
                <w:sz w:val="44"/>
                <w:szCs w:val="40"/>
              </w:rPr>
              <w:fldChar w:fldCharType="begin"/>
            </w:r>
            <w:r w:rsidRPr="000C7413">
              <w:rPr>
                <w:noProof/>
                <w:webHidden/>
                <w:sz w:val="44"/>
                <w:szCs w:val="40"/>
              </w:rPr>
              <w:instrText xml:space="preserve"> PAGEREF _Toc211589086 \h </w:instrText>
            </w:r>
            <w:r w:rsidRPr="000C7413">
              <w:rPr>
                <w:noProof/>
                <w:webHidden/>
                <w:sz w:val="44"/>
                <w:szCs w:val="40"/>
              </w:rPr>
            </w:r>
            <w:r w:rsidRPr="000C7413">
              <w:rPr>
                <w:noProof/>
                <w:webHidden/>
                <w:sz w:val="44"/>
                <w:szCs w:val="40"/>
              </w:rPr>
              <w:fldChar w:fldCharType="separate"/>
            </w:r>
            <w:r w:rsidRPr="000C7413">
              <w:rPr>
                <w:noProof/>
                <w:webHidden/>
                <w:sz w:val="44"/>
                <w:szCs w:val="40"/>
              </w:rPr>
              <w:t>4</w:t>
            </w:r>
            <w:r w:rsidRPr="000C7413">
              <w:rPr>
                <w:noProof/>
                <w:webHidden/>
                <w:sz w:val="44"/>
                <w:szCs w:val="40"/>
              </w:rPr>
              <w:fldChar w:fldCharType="end"/>
            </w:r>
          </w:hyperlink>
        </w:p>
        <w:p w14:paraId="316C9C58" w14:textId="77777777" w:rsidR="00CE1405" w:rsidRPr="000C7413" w:rsidRDefault="00CE1405" w:rsidP="00CE1405">
          <w:pPr>
            <w:pStyle w:val="TOC1"/>
            <w:tabs>
              <w:tab w:val="right" w:leader="dot" w:pos="9350"/>
            </w:tabs>
            <w:rPr>
              <w:rFonts w:asciiTheme="minorHAnsi" w:eastAsiaTheme="minorEastAsia" w:hAnsiTheme="minorHAnsi"/>
              <w:noProof/>
              <w:sz w:val="40"/>
              <w:szCs w:val="40"/>
              <w:lang w:eastAsia="en-GB"/>
            </w:rPr>
          </w:pPr>
          <w:hyperlink w:anchor="_Toc211589087" w:history="1">
            <w:r w:rsidRPr="000C7413">
              <w:rPr>
                <w:rStyle w:val="Hyperlink"/>
                <w:noProof/>
                <w:sz w:val="44"/>
                <w:szCs w:val="40"/>
              </w:rPr>
              <w:t>Cellular Energy Production</w:t>
            </w:r>
            <w:r w:rsidRPr="000C7413">
              <w:rPr>
                <w:noProof/>
                <w:webHidden/>
                <w:sz w:val="44"/>
                <w:szCs w:val="40"/>
              </w:rPr>
              <w:tab/>
            </w:r>
            <w:r w:rsidRPr="000C7413">
              <w:rPr>
                <w:noProof/>
                <w:webHidden/>
                <w:sz w:val="44"/>
                <w:szCs w:val="40"/>
              </w:rPr>
              <w:fldChar w:fldCharType="begin"/>
            </w:r>
            <w:r w:rsidRPr="000C7413">
              <w:rPr>
                <w:noProof/>
                <w:webHidden/>
                <w:sz w:val="44"/>
                <w:szCs w:val="40"/>
              </w:rPr>
              <w:instrText xml:space="preserve"> PAGEREF _Toc211589087 \h </w:instrText>
            </w:r>
            <w:r w:rsidRPr="000C7413">
              <w:rPr>
                <w:noProof/>
                <w:webHidden/>
                <w:sz w:val="44"/>
                <w:szCs w:val="40"/>
              </w:rPr>
            </w:r>
            <w:r w:rsidRPr="000C7413">
              <w:rPr>
                <w:noProof/>
                <w:webHidden/>
                <w:sz w:val="44"/>
                <w:szCs w:val="40"/>
              </w:rPr>
              <w:fldChar w:fldCharType="separate"/>
            </w:r>
            <w:r w:rsidRPr="000C7413">
              <w:rPr>
                <w:noProof/>
                <w:webHidden/>
                <w:sz w:val="44"/>
                <w:szCs w:val="40"/>
              </w:rPr>
              <w:t>6</w:t>
            </w:r>
            <w:r w:rsidRPr="000C7413">
              <w:rPr>
                <w:noProof/>
                <w:webHidden/>
                <w:sz w:val="44"/>
                <w:szCs w:val="40"/>
              </w:rPr>
              <w:fldChar w:fldCharType="end"/>
            </w:r>
          </w:hyperlink>
        </w:p>
        <w:p w14:paraId="2EB6B715" w14:textId="77777777" w:rsidR="00CE1405" w:rsidRPr="000C7413" w:rsidRDefault="00CE1405" w:rsidP="00CE1405">
          <w:pPr>
            <w:pStyle w:val="TOC1"/>
            <w:tabs>
              <w:tab w:val="right" w:leader="dot" w:pos="9350"/>
            </w:tabs>
            <w:rPr>
              <w:rFonts w:asciiTheme="minorHAnsi" w:eastAsiaTheme="minorEastAsia" w:hAnsiTheme="minorHAnsi"/>
              <w:noProof/>
              <w:sz w:val="40"/>
              <w:szCs w:val="40"/>
              <w:lang w:eastAsia="en-GB"/>
            </w:rPr>
          </w:pPr>
          <w:hyperlink w:anchor="_Toc211589088" w:history="1">
            <w:r w:rsidRPr="000C7413">
              <w:rPr>
                <w:rStyle w:val="Hyperlink"/>
                <w:noProof/>
                <w:sz w:val="44"/>
                <w:szCs w:val="40"/>
              </w:rPr>
              <w:t>Monitoring Blood Sugar Levels</w:t>
            </w:r>
            <w:r w:rsidRPr="000C7413">
              <w:rPr>
                <w:noProof/>
                <w:webHidden/>
                <w:sz w:val="44"/>
                <w:szCs w:val="40"/>
              </w:rPr>
              <w:tab/>
            </w:r>
            <w:r w:rsidRPr="000C7413">
              <w:rPr>
                <w:noProof/>
                <w:webHidden/>
                <w:sz w:val="44"/>
                <w:szCs w:val="40"/>
              </w:rPr>
              <w:fldChar w:fldCharType="begin"/>
            </w:r>
            <w:r w:rsidRPr="000C7413">
              <w:rPr>
                <w:noProof/>
                <w:webHidden/>
                <w:sz w:val="44"/>
                <w:szCs w:val="40"/>
              </w:rPr>
              <w:instrText xml:space="preserve"> PAGEREF _Toc211589088 \h </w:instrText>
            </w:r>
            <w:r w:rsidRPr="000C7413">
              <w:rPr>
                <w:noProof/>
                <w:webHidden/>
                <w:sz w:val="44"/>
                <w:szCs w:val="40"/>
              </w:rPr>
            </w:r>
            <w:r w:rsidRPr="000C7413">
              <w:rPr>
                <w:noProof/>
                <w:webHidden/>
                <w:sz w:val="44"/>
                <w:szCs w:val="40"/>
              </w:rPr>
              <w:fldChar w:fldCharType="separate"/>
            </w:r>
            <w:r w:rsidRPr="000C7413">
              <w:rPr>
                <w:noProof/>
                <w:webHidden/>
                <w:sz w:val="44"/>
                <w:szCs w:val="40"/>
              </w:rPr>
              <w:t>8</w:t>
            </w:r>
            <w:r w:rsidRPr="000C7413">
              <w:rPr>
                <w:noProof/>
                <w:webHidden/>
                <w:sz w:val="44"/>
                <w:szCs w:val="40"/>
              </w:rPr>
              <w:fldChar w:fldCharType="end"/>
            </w:r>
          </w:hyperlink>
        </w:p>
        <w:p w14:paraId="329A75AC" w14:textId="77777777" w:rsidR="00CE1405" w:rsidRPr="000C7413" w:rsidRDefault="00CE1405" w:rsidP="00CE1405">
          <w:pPr>
            <w:pStyle w:val="TOC1"/>
            <w:tabs>
              <w:tab w:val="right" w:leader="dot" w:pos="9350"/>
            </w:tabs>
            <w:rPr>
              <w:rFonts w:asciiTheme="minorHAnsi" w:eastAsiaTheme="minorEastAsia" w:hAnsiTheme="minorHAnsi"/>
              <w:noProof/>
              <w:sz w:val="40"/>
              <w:szCs w:val="40"/>
              <w:lang w:eastAsia="en-GB"/>
            </w:rPr>
          </w:pPr>
          <w:hyperlink w:anchor="_Toc211589089" w:history="1">
            <w:r w:rsidRPr="000C7413">
              <w:rPr>
                <w:rStyle w:val="Hyperlink"/>
                <w:noProof/>
                <w:sz w:val="44"/>
                <w:szCs w:val="40"/>
              </w:rPr>
              <w:t>Lifestyle Changes to Improve Diabetes Management</w:t>
            </w:r>
            <w:r w:rsidRPr="000C7413">
              <w:rPr>
                <w:noProof/>
                <w:webHidden/>
                <w:sz w:val="44"/>
                <w:szCs w:val="40"/>
              </w:rPr>
              <w:tab/>
            </w:r>
            <w:r w:rsidRPr="000C7413">
              <w:rPr>
                <w:noProof/>
                <w:webHidden/>
                <w:sz w:val="44"/>
                <w:szCs w:val="40"/>
              </w:rPr>
              <w:fldChar w:fldCharType="begin"/>
            </w:r>
            <w:r w:rsidRPr="000C7413">
              <w:rPr>
                <w:noProof/>
                <w:webHidden/>
                <w:sz w:val="44"/>
                <w:szCs w:val="40"/>
              </w:rPr>
              <w:instrText xml:space="preserve"> PAGEREF _Toc211589089 \h </w:instrText>
            </w:r>
            <w:r w:rsidRPr="000C7413">
              <w:rPr>
                <w:noProof/>
                <w:webHidden/>
                <w:sz w:val="44"/>
                <w:szCs w:val="40"/>
              </w:rPr>
            </w:r>
            <w:r w:rsidRPr="000C7413">
              <w:rPr>
                <w:noProof/>
                <w:webHidden/>
                <w:sz w:val="44"/>
                <w:szCs w:val="40"/>
              </w:rPr>
              <w:fldChar w:fldCharType="separate"/>
            </w:r>
            <w:r w:rsidRPr="000C7413">
              <w:rPr>
                <w:noProof/>
                <w:webHidden/>
                <w:sz w:val="44"/>
                <w:szCs w:val="40"/>
              </w:rPr>
              <w:t>10</w:t>
            </w:r>
            <w:r w:rsidRPr="000C7413">
              <w:rPr>
                <w:noProof/>
                <w:webHidden/>
                <w:sz w:val="44"/>
                <w:szCs w:val="40"/>
              </w:rPr>
              <w:fldChar w:fldCharType="end"/>
            </w:r>
          </w:hyperlink>
        </w:p>
        <w:p w14:paraId="6AA1278A" w14:textId="77777777" w:rsidR="00CE1405" w:rsidRPr="000C7413" w:rsidRDefault="00CE1405" w:rsidP="00CE1405">
          <w:pPr>
            <w:pStyle w:val="TOC1"/>
            <w:tabs>
              <w:tab w:val="right" w:leader="dot" w:pos="9350"/>
            </w:tabs>
            <w:rPr>
              <w:rFonts w:asciiTheme="minorHAnsi" w:eastAsiaTheme="minorEastAsia" w:hAnsiTheme="minorHAnsi"/>
              <w:noProof/>
              <w:sz w:val="40"/>
              <w:szCs w:val="40"/>
              <w:lang w:eastAsia="en-GB"/>
            </w:rPr>
          </w:pPr>
          <w:hyperlink w:anchor="_Toc211589090" w:history="1">
            <w:r w:rsidRPr="000C7413">
              <w:rPr>
                <w:rStyle w:val="Hyperlink"/>
                <w:noProof/>
                <w:sz w:val="44"/>
                <w:szCs w:val="40"/>
              </w:rPr>
              <w:t>Conclusion</w:t>
            </w:r>
            <w:r w:rsidRPr="000C7413">
              <w:rPr>
                <w:noProof/>
                <w:webHidden/>
                <w:sz w:val="44"/>
                <w:szCs w:val="40"/>
              </w:rPr>
              <w:tab/>
            </w:r>
            <w:r w:rsidRPr="000C7413">
              <w:rPr>
                <w:noProof/>
                <w:webHidden/>
                <w:sz w:val="44"/>
                <w:szCs w:val="40"/>
              </w:rPr>
              <w:fldChar w:fldCharType="begin"/>
            </w:r>
            <w:r w:rsidRPr="000C7413">
              <w:rPr>
                <w:noProof/>
                <w:webHidden/>
                <w:sz w:val="44"/>
                <w:szCs w:val="40"/>
              </w:rPr>
              <w:instrText xml:space="preserve"> PAGEREF _Toc211589090 \h </w:instrText>
            </w:r>
            <w:r w:rsidRPr="000C7413">
              <w:rPr>
                <w:noProof/>
                <w:webHidden/>
                <w:sz w:val="44"/>
                <w:szCs w:val="40"/>
              </w:rPr>
            </w:r>
            <w:r w:rsidRPr="000C7413">
              <w:rPr>
                <w:noProof/>
                <w:webHidden/>
                <w:sz w:val="44"/>
                <w:szCs w:val="40"/>
              </w:rPr>
              <w:fldChar w:fldCharType="separate"/>
            </w:r>
            <w:r w:rsidRPr="000C7413">
              <w:rPr>
                <w:noProof/>
                <w:webHidden/>
                <w:sz w:val="44"/>
                <w:szCs w:val="40"/>
              </w:rPr>
              <w:t>12</w:t>
            </w:r>
            <w:r w:rsidRPr="000C7413">
              <w:rPr>
                <w:noProof/>
                <w:webHidden/>
                <w:sz w:val="44"/>
                <w:szCs w:val="40"/>
              </w:rPr>
              <w:fldChar w:fldCharType="end"/>
            </w:r>
          </w:hyperlink>
        </w:p>
        <w:p w14:paraId="4376D417" w14:textId="77777777" w:rsidR="00CE1405" w:rsidRPr="000C7413" w:rsidRDefault="00CE1405" w:rsidP="00CE1405">
          <w:pPr>
            <w:pStyle w:val="TOC1"/>
            <w:tabs>
              <w:tab w:val="right" w:leader="dot" w:pos="9350"/>
            </w:tabs>
            <w:rPr>
              <w:rFonts w:asciiTheme="minorHAnsi" w:eastAsiaTheme="minorEastAsia" w:hAnsiTheme="minorHAnsi"/>
              <w:noProof/>
              <w:sz w:val="40"/>
              <w:szCs w:val="40"/>
              <w:lang w:eastAsia="en-GB"/>
            </w:rPr>
          </w:pPr>
          <w:hyperlink w:anchor="_Toc211589091" w:history="1">
            <w:r w:rsidRPr="000C7413">
              <w:rPr>
                <w:rStyle w:val="Hyperlink"/>
                <w:noProof/>
                <w:sz w:val="44"/>
                <w:szCs w:val="40"/>
              </w:rPr>
              <w:t>References</w:t>
            </w:r>
            <w:r w:rsidRPr="000C7413">
              <w:rPr>
                <w:noProof/>
                <w:webHidden/>
                <w:sz w:val="44"/>
                <w:szCs w:val="40"/>
              </w:rPr>
              <w:tab/>
            </w:r>
            <w:r w:rsidRPr="000C7413">
              <w:rPr>
                <w:noProof/>
                <w:webHidden/>
                <w:sz w:val="44"/>
                <w:szCs w:val="40"/>
              </w:rPr>
              <w:fldChar w:fldCharType="begin"/>
            </w:r>
            <w:r w:rsidRPr="000C7413">
              <w:rPr>
                <w:noProof/>
                <w:webHidden/>
                <w:sz w:val="44"/>
                <w:szCs w:val="40"/>
              </w:rPr>
              <w:instrText xml:space="preserve"> PAGEREF _Toc211589091 \h </w:instrText>
            </w:r>
            <w:r w:rsidRPr="000C7413">
              <w:rPr>
                <w:noProof/>
                <w:webHidden/>
                <w:sz w:val="44"/>
                <w:szCs w:val="40"/>
              </w:rPr>
            </w:r>
            <w:r w:rsidRPr="000C7413">
              <w:rPr>
                <w:noProof/>
                <w:webHidden/>
                <w:sz w:val="44"/>
                <w:szCs w:val="40"/>
              </w:rPr>
              <w:fldChar w:fldCharType="separate"/>
            </w:r>
            <w:r w:rsidRPr="000C7413">
              <w:rPr>
                <w:noProof/>
                <w:webHidden/>
                <w:sz w:val="44"/>
                <w:szCs w:val="40"/>
              </w:rPr>
              <w:t>13</w:t>
            </w:r>
            <w:r w:rsidRPr="000C7413">
              <w:rPr>
                <w:noProof/>
                <w:webHidden/>
                <w:sz w:val="44"/>
                <w:szCs w:val="40"/>
              </w:rPr>
              <w:fldChar w:fldCharType="end"/>
            </w:r>
          </w:hyperlink>
        </w:p>
        <w:p w14:paraId="40B352F8" w14:textId="77777777" w:rsidR="00CE1405" w:rsidRDefault="00CE1405" w:rsidP="00CE1405">
          <w:r w:rsidRPr="000C7413">
            <w:rPr>
              <w:b/>
              <w:bCs/>
              <w:noProof/>
              <w:sz w:val="44"/>
              <w:szCs w:val="40"/>
            </w:rPr>
            <w:fldChar w:fldCharType="end"/>
          </w:r>
        </w:p>
      </w:sdtContent>
    </w:sdt>
    <w:p w14:paraId="3A82BB0D" w14:textId="77777777" w:rsidR="00CE1405" w:rsidRDefault="00CE1405" w:rsidP="00CE1405">
      <w:pPr>
        <w:spacing w:line="259" w:lineRule="auto"/>
        <w:jc w:val="left"/>
      </w:pPr>
      <w:r>
        <w:br w:type="page"/>
      </w:r>
    </w:p>
    <w:p w14:paraId="444EBC16" w14:textId="77777777" w:rsidR="00CE1405" w:rsidRDefault="00CE1405" w:rsidP="00CE1405">
      <w:pPr>
        <w:pStyle w:val="Heading1"/>
      </w:pPr>
      <w:bookmarkStart w:id="0" w:name="_Toc211589085"/>
      <w:r>
        <w:lastRenderedPageBreak/>
        <w:t>Introduction</w:t>
      </w:r>
      <w:bookmarkEnd w:id="0"/>
    </w:p>
    <w:p w14:paraId="1B927415" w14:textId="77777777" w:rsidR="00CE1405" w:rsidRDefault="00CE1405" w:rsidP="00CE1405">
      <w:r>
        <w:t xml:space="preserve">Diabetes is a chronic disease that occurs when the blood sugar levels cannot be controlled in the body </w:t>
      </w:r>
      <w:r w:rsidRPr="00F60147">
        <w:rPr>
          <w:rFonts w:eastAsia="Times New Roman" w:cs="Times New Roman"/>
          <w:szCs w:val="24"/>
          <w:lang w:eastAsia="en-GB"/>
        </w:rPr>
        <w:t>(Saha et al., 2023)</w:t>
      </w:r>
      <w:r>
        <w:t xml:space="preserve">. This happens when pancreas does not produce enough insulin or the body has developed a resistance to insulin. Glucose needs to be transported from the blood into the cell and cannot enter it without insulin (the hormone that transports glucose). These are broadly classified into various types, the major being Type 1, due to autoimmune destruction of the cells that produce insulin, and Type 2 that develops largely as a consequence of lifestyle and vulnerability imparted by genetic factors. Obesity, lack of exercise, unhealthy diet, tobacco use, high blood pressure, and family history are risk factors for Type 2 diabetes </w:t>
      </w:r>
      <w:r w:rsidRPr="00F60147">
        <w:rPr>
          <w:rFonts w:eastAsia="Times New Roman" w:cs="Times New Roman"/>
          <w:szCs w:val="24"/>
          <w:lang w:eastAsia="en-GB"/>
        </w:rPr>
        <w:t>(Nomura et al., 2021)</w:t>
      </w:r>
      <w:r>
        <w:t>. Diabetes is the leading cause of complications such as cardiovascular disease, neuropathy, kidney, and even vision loss. The prevention of complications and maintaining overall health will depend on early management, education, and lifestyle modifications.</w:t>
      </w:r>
    </w:p>
    <w:p w14:paraId="5C7C062B" w14:textId="77777777" w:rsidR="00CE1405" w:rsidRDefault="00CE1405" w:rsidP="00CE1405"/>
    <w:p w14:paraId="1D0596D6" w14:textId="77777777" w:rsidR="00CE1405" w:rsidRDefault="00CE1405" w:rsidP="00CE1405"/>
    <w:p w14:paraId="7A7842D7" w14:textId="77777777" w:rsidR="00CE1405" w:rsidRDefault="00CE1405" w:rsidP="00CE1405"/>
    <w:p w14:paraId="72A92DA9" w14:textId="77777777" w:rsidR="00CE1405" w:rsidRDefault="00CE1405" w:rsidP="00CE1405"/>
    <w:p w14:paraId="5F499A76" w14:textId="77777777" w:rsidR="00CE1405" w:rsidRDefault="00CE1405" w:rsidP="00CE1405"/>
    <w:p w14:paraId="25B79AA1" w14:textId="77777777" w:rsidR="00CE1405" w:rsidRDefault="00CE1405" w:rsidP="00CE1405"/>
    <w:p w14:paraId="0FB3CC56" w14:textId="77777777" w:rsidR="00CE1405" w:rsidRDefault="00CE1405" w:rsidP="00CE1405"/>
    <w:p w14:paraId="7FB2BB68" w14:textId="77777777" w:rsidR="00CE1405" w:rsidRDefault="00CE1405" w:rsidP="00CE1405"/>
    <w:p w14:paraId="06CC7F85" w14:textId="77777777" w:rsidR="00CE1405" w:rsidRDefault="00CE1405" w:rsidP="00CE1405"/>
    <w:p w14:paraId="6E44B2CF" w14:textId="77777777" w:rsidR="00CE1405" w:rsidRDefault="00CE1405" w:rsidP="00CE1405"/>
    <w:p w14:paraId="5C8C9074" w14:textId="77777777" w:rsidR="00CE1405" w:rsidRDefault="00CE1405" w:rsidP="00CE1405"/>
    <w:p w14:paraId="178EA9A7" w14:textId="77777777" w:rsidR="00CE1405" w:rsidRDefault="00CE1405" w:rsidP="00CE1405"/>
    <w:p w14:paraId="570F3AA4" w14:textId="77777777" w:rsidR="00CE1405" w:rsidRPr="00F60147" w:rsidRDefault="00CE1405" w:rsidP="00CE1405">
      <w:pPr>
        <w:rPr>
          <w:rFonts w:eastAsia="Times New Roman" w:cs="Times New Roman"/>
          <w:szCs w:val="24"/>
          <w:lang w:eastAsia="en-GB"/>
        </w:rPr>
      </w:pPr>
    </w:p>
    <w:p w14:paraId="7E4990A6" w14:textId="77777777" w:rsidR="00CE1405" w:rsidRDefault="00CE1405" w:rsidP="00CE1405">
      <w:pPr>
        <w:pStyle w:val="Heading1"/>
      </w:pPr>
      <w:bookmarkStart w:id="1" w:name="_Toc211589086"/>
      <w:r>
        <w:lastRenderedPageBreak/>
        <w:t>Blood Sugar Regulation</w:t>
      </w:r>
      <w:bookmarkEnd w:id="1"/>
    </w:p>
    <w:p w14:paraId="673F1FCC" w14:textId="77777777" w:rsidR="00CE1405" w:rsidRDefault="00CE1405" w:rsidP="00CE1405">
      <w:r w:rsidRPr="00BF6733">
        <w:rPr>
          <w:b/>
        </w:rPr>
        <w:t>Role of Insulin and Glucagon:</w:t>
      </w:r>
      <w:r>
        <w:t xml:space="preserve"> It is the balance of insulin and glucagon acting together that controls blood sugar levels. When people eat, glucose releases into the blood and blood glucose levels will rise </w:t>
      </w:r>
      <w:r w:rsidRPr="00DC0CDD">
        <w:rPr>
          <w:rFonts w:eastAsia="Times New Roman" w:cs="Times New Roman"/>
          <w:szCs w:val="24"/>
          <w:lang w:eastAsia="en-GB"/>
        </w:rPr>
        <w:t>(Butt, 2022)</w:t>
      </w:r>
      <w:r>
        <w:t xml:space="preserve">. This prompts the pancreas to release insulin, which allows muscle and fat cells to take up glucose to use as energy. Although it promotes the conversion of glucose into pyruvate via glycolysis, insulin also promotes gluconeogenesis and glycogenosis to store excess glucose in order to prevent sustained </w:t>
      </w:r>
      <w:proofErr w:type="spellStart"/>
      <w:r>
        <w:t>hyperglycemia</w:t>
      </w:r>
      <w:proofErr w:type="spellEnd"/>
      <w:r>
        <w:t xml:space="preserve"> through the liver. If blood glucose levels decrease in fasting, exercise, or post-prandial interval, the pancreas will release glucagon. Glucagon instructs the liver to convert glycogen (its sugar storage form) to glucose, and to release glucose back into the blood </w:t>
      </w:r>
      <w:r w:rsidRPr="004F0EB6">
        <w:rPr>
          <w:rFonts w:eastAsia="Times New Roman" w:cs="Times New Roman"/>
          <w:szCs w:val="24"/>
          <w:lang w:eastAsia="en-GB"/>
        </w:rPr>
        <w:t>(Shourie and Trivedi, 2025)</w:t>
      </w:r>
      <w:r>
        <w:t>. This interplay of hormones keeps blood glucose within a desirable, utilisable range keeping the underlying cells and organ function running.</w:t>
      </w:r>
    </w:p>
    <w:p w14:paraId="7BB3B9BC" w14:textId="77777777" w:rsidR="00CE1405" w:rsidRDefault="00CE1405" w:rsidP="00CE1405">
      <w:pPr>
        <w:jc w:val="center"/>
        <w:rPr>
          <w:rFonts w:eastAsia="Times New Roman" w:cs="Times New Roman"/>
          <w:szCs w:val="24"/>
          <w:lang w:eastAsia="en-GB"/>
        </w:rPr>
      </w:pPr>
      <w:r>
        <w:rPr>
          <w:noProof/>
          <w:lang w:eastAsia="en-GB"/>
        </w:rPr>
        <w:drawing>
          <wp:inline distT="0" distB="0" distL="0" distR="0" wp14:anchorId="1DA08A72" wp14:editId="32EBF3E2">
            <wp:extent cx="4162425" cy="2228850"/>
            <wp:effectExtent l="0" t="0" r="9525" b="0"/>
            <wp:docPr id="2" name="Picture 2" descr="Hyperglycemi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perglycemia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62425" cy="2228850"/>
                    </a:xfrm>
                    <a:prstGeom prst="rect">
                      <a:avLst/>
                    </a:prstGeom>
                    <a:noFill/>
                    <a:ln>
                      <a:noFill/>
                    </a:ln>
                  </pic:spPr>
                </pic:pic>
              </a:graphicData>
            </a:graphic>
          </wp:inline>
        </w:drawing>
      </w:r>
    </w:p>
    <w:p w14:paraId="38E95F54" w14:textId="77777777" w:rsidR="00CE1405" w:rsidRDefault="00CE1405" w:rsidP="00CE1405">
      <w:pPr>
        <w:jc w:val="center"/>
      </w:pPr>
      <w:r>
        <w:rPr>
          <w:rFonts w:eastAsia="Times New Roman" w:cs="Times New Roman"/>
          <w:szCs w:val="24"/>
          <w:lang w:eastAsia="en-GB"/>
        </w:rPr>
        <w:t xml:space="preserve">Figure 1: </w:t>
      </w:r>
      <w:proofErr w:type="spellStart"/>
      <w:r>
        <w:t>Hyperglycemia</w:t>
      </w:r>
      <w:proofErr w:type="spellEnd"/>
    </w:p>
    <w:p w14:paraId="6BFAE112" w14:textId="77777777" w:rsidR="00CE1405" w:rsidRPr="00DC0CDD" w:rsidRDefault="00CE1405" w:rsidP="00CE1405">
      <w:pPr>
        <w:jc w:val="center"/>
        <w:rPr>
          <w:rFonts w:eastAsia="Times New Roman" w:cs="Times New Roman"/>
          <w:szCs w:val="24"/>
          <w:lang w:eastAsia="en-GB"/>
        </w:rPr>
      </w:pPr>
      <w:r>
        <w:t xml:space="preserve">Source: </w:t>
      </w:r>
      <w:r w:rsidRPr="004F0EB6">
        <w:rPr>
          <w:rFonts w:eastAsia="Times New Roman" w:cs="Times New Roman"/>
          <w:szCs w:val="24"/>
          <w:lang w:eastAsia="en-GB"/>
        </w:rPr>
        <w:t>(Shourie and Trivedi, 2025)</w:t>
      </w:r>
    </w:p>
    <w:p w14:paraId="12995B4A" w14:textId="77777777" w:rsidR="00CE1405" w:rsidRPr="004F0EB6" w:rsidRDefault="00CE1405" w:rsidP="00CE1405">
      <w:pPr>
        <w:rPr>
          <w:rFonts w:eastAsia="Times New Roman" w:cs="Times New Roman"/>
          <w:szCs w:val="24"/>
          <w:lang w:eastAsia="en-GB"/>
        </w:rPr>
      </w:pPr>
      <w:r w:rsidRPr="00BF6733">
        <w:rPr>
          <w:b/>
        </w:rPr>
        <w:t>Homeostatic Mechanisms:</w:t>
      </w:r>
      <w:r>
        <w:t xml:space="preserve"> Homeostasis is how the body keeps its internal environment stable at all times. Maintaining blood glucose homeostasis is of key importance for providing energy to organs that need a constant and reliable energy supply, especially the almost completely glucose dependent brain </w:t>
      </w:r>
      <w:r w:rsidRPr="004F0EB6">
        <w:rPr>
          <w:rFonts w:eastAsia="Times New Roman" w:cs="Times New Roman"/>
          <w:szCs w:val="24"/>
          <w:lang w:eastAsia="en-GB"/>
        </w:rPr>
        <w:t>(Sharma et al., 2022)</w:t>
      </w:r>
      <w:r>
        <w:t xml:space="preserve">. High blood sugars, if maintained, can damage the blood vessels and nerves and may also cause damage to organs, leading to higher chances of cardiovascular disease, neuropathy, kidney dysfunction etc. On the other hand, it can be </w:t>
      </w:r>
      <w:r>
        <w:lastRenderedPageBreak/>
        <w:t xml:space="preserve">responsible for confusion, fainting, seizures, and unconsciousness when symptom of </w:t>
      </w:r>
      <w:proofErr w:type="spellStart"/>
      <w:r>
        <w:t>hypoglycemia</w:t>
      </w:r>
      <w:proofErr w:type="spellEnd"/>
      <w:r>
        <w:t xml:space="preserve"> is severe </w:t>
      </w:r>
      <w:r w:rsidRPr="00B34616">
        <w:rPr>
          <w:rFonts w:eastAsia="Times New Roman" w:cs="Times New Roman"/>
          <w:szCs w:val="24"/>
          <w:lang w:eastAsia="en-GB"/>
        </w:rPr>
        <w:t>(</w:t>
      </w:r>
      <w:proofErr w:type="spellStart"/>
      <w:r w:rsidRPr="00B34616">
        <w:rPr>
          <w:rFonts w:eastAsia="Times New Roman" w:cs="Times New Roman"/>
          <w:szCs w:val="24"/>
          <w:lang w:eastAsia="en-GB"/>
        </w:rPr>
        <w:t>Tsapas</w:t>
      </w:r>
      <w:proofErr w:type="spellEnd"/>
      <w:r w:rsidRPr="00B34616">
        <w:rPr>
          <w:rFonts w:eastAsia="Times New Roman" w:cs="Times New Roman"/>
          <w:szCs w:val="24"/>
          <w:lang w:eastAsia="en-GB"/>
        </w:rPr>
        <w:t xml:space="preserve"> et al., 2021)</w:t>
      </w:r>
      <w:r>
        <w:t>. The pancreas, the liver, and hormones work in collaboration through feedback mechanisms to monitor and stabilise blood sugar as a way of homeostasis, safeguarding health.</w:t>
      </w:r>
    </w:p>
    <w:p w14:paraId="204FE127" w14:textId="77777777" w:rsidR="00CE1405" w:rsidRDefault="00CE1405" w:rsidP="00CE1405">
      <w:r w:rsidRPr="005F5432">
        <w:rPr>
          <w:b/>
        </w:rPr>
        <w:t xml:space="preserve">Influence of Lifestyle Factors: </w:t>
      </w:r>
      <w:r>
        <w:t xml:space="preserve">Blood sugar control is strongly influenced by lifestyle factors. Postprandial glucose spikes depend on dietary composition, meal timing and portion sizes </w:t>
      </w:r>
      <w:r w:rsidRPr="00B34616">
        <w:rPr>
          <w:rFonts w:eastAsia="Times New Roman" w:cs="Times New Roman"/>
          <w:szCs w:val="24"/>
          <w:lang w:eastAsia="en-GB"/>
        </w:rPr>
        <w:t>(Naseri, Esmat and Bahee, 2022)</w:t>
      </w:r>
      <w:r>
        <w:t xml:space="preserve">. Wear and tear on insulin due to frequent episodes of </w:t>
      </w:r>
      <w:proofErr w:type="spellStart"/>
      <w:r>
        <w:t>glycemic</w:t>
      </w:r>
      <w:proofErr w:type="spellEnd"/>
      <w:r>
        <w:t xml:space="preserve"> control is a significant contributor to insulin resistance, and exercise makes sure that insulin maintains its action by promoting effective glucose uptake with greater insulin sensitivity with lower doses of the hormone. Hormones are changed due to stress and lack of sleep which causes higher cortisol levels and  higher blood sugar levels also. By keeping track of such factors, people can choose the right lifestyle, remain in secure blood glucose levels, and avoid any long-term consequences </w:t>
      </w:r>
      <w:r w:rsidRPr="00422E14">
        <w:rPr>
          <w:rFonts w:eastAsia="Times New Roman" w:cs="Times New Roman"/>
          <w:szCs w:val="24"/>
          <w:lang w:eastAsia="en-GB"/>
        </w:rPr>
        <w:t>(Che et al., 2021)</w:t>
      </w:r>
      <w:r>
        <w:t>. Regulating blood sugar levels, both physiologically and through lifestyle measures, plays an important role in maintaining metabolic health and in promoting quality of life among those who are at risk of or already living with diabetes.</w:t>
      </w:r>
    </w:p>
    <w:p w14:paraId="337D62A5" w14:textId="77777777" w:rsidR="00CE1405" w:rsidRDefault="00CE1405" w:rsidP="00CE1405"/>
    <w:p w14:paraId="6C3E26BC" w14:textId="77777777" w:rsidR="00CE1405" w:rsidRDefault="00CE1405" w:rsidP="00CE1405"/>
    <w:p w14:paraId="2760EF7D" w14:textId="77777777" w:rsidR="00CE1405" w:rsidRDefault="00CE1405" w:rsidP="00CE1405"/>
    <w:p w14:paraId="4CD0452F" w14:textId="77777777" w:rsidR="00CE1405" w:rsidRDefault="00CE1405" w:rsidP="00CE1405"/>
    <w:p w14:paraId="6CFAED72" w14:textId="77777777" w:rsidR="00CE1405" w:rsidRDefault="00CE1405" w:rsidP="00CE1405"/>
    <w:p w14:paraId="7174124A" w14:textId="77777777" w:rsidR="00CE1405" w:rsidRDefault="00CE1405" w:rsidP="00CE1405"/>
    <w:p w14:paraId="0CEEA609" w14:textId="77777777" w:rsidR="00CE1405" w:rsidRDefault="00CE1405" w:rsidP="00CE1405"/>
    <w:p w14:paraId="3A645234" w14:textId="77777777" w:rsidR="00CE1405" w:rsidRDefault="00CE1405" w:rsidP="00CE1405"/>
    <w:p w14:paraId="35B271CD" w14:textId="77777777" w:rsidR="00CE1405" w:rsidRDefault="00CE1405" w:rsidP="00CE1405"/>
    <w:p w14:paraId="19C4A84E" w14:textId="77777777" w:rsidR="00CE1405" w:rsidRDefault="00CE1405" w:rsidP="00CE1405"/>
    <w:p w14:paraId="28798238" w14:textId="77777777" w:rsidR="00CE1405" w:rsidRDefault="00CE1405" w:rsidP="00CE1405"/>
    <w:p w14:paraId="58855591" w14:textId="77777777" w:rsidR="00CE1405" w:rsidRPr="00B34616" w:rsidRDefault="00CE1405" w:rsidP="00CE1405">
      <w:pPr>
        <w:rPr>
          <w:rFonts w:eastAsia="Times New Roman" w:cs="Times New Roman"/>
          <w:szCs w:val="24"/>
          <w:lang w:eastAsia="en-GB"/>
        </w:rPr>
      </w:pPr>
    </w:p>
    <w:p w14:paraId="0E30707F" w14:textId="77777777" w:rsidR="00CE1405" w:rsidRDefault="00CE1405" w:rsidP="00CE1405">
      <w:pPr>
        <w:pStyle w:val="Heading1"/>
      </w:pPr>
      <w:bookmarkStart w:id="2" w:name="_Toc211589087"/>
      <w:r>
        <w:t>Cellular Energy Production</w:t>
      </w:r>
      <w:bookmarkEnd w:id="2"/>
    </w:p>
    <w:p w14:paraId="73588349" w14:textId="77777777" w:rsidR="00CE1405" w:rsidRPr="00422E14" w:rsidRDefault="00CE1405" w:rsidP="00CE1405">
      <w:pPr>
        <w:rPr>
          <w:rFonts w:eastAsia="Times New Roman" w:cs="Times New Roman"/>
          <w:szCs w:val="24"/>
          <w:lang w:eastAsia="en-GB"/>
        </w:rPr>
      </w:pPr>
      <w:r w:rsidRPr="0071741A">
        <w:rPr>
          <w:b/>
        </w:rPr>
        <w:t>Glycolysis (Breaking down Glucose):</w:t>
      </w:r>
      <w:r>
        <w:t xml:space="preserve"> All human cells get their main energy source from glucose. In the cytoplasm, one glucose molecule is broken down into two pyruvate molecules in the process of glycolysis. This process has an insignificant amount of ATP energy output </w:t>
      </w:r>
      <w:r w:rsidRPr="00422E14">
        <w:rPr>
          <w:rFonts w:eastAsia="Times New Roman" w:cs="Times New Roman"/>
          <w:szCs w:val="24"/>
          <w:lang w:eastAsia="en-GB"/>
        </w:rPr>
        <w:t>(Caturano et al., 2023)</w:t>
      </w:r>
      <w:r>
        <w:t>. NADH is also generated in glycolysis, which is an electron carrier that will feed into later stages of metabolism. This is an anaerobic stage, so no oxygen is needed. Nevertheless, since energy gain from glycolysis is poor alone, there are further pathways for efficient ATP generation.</w:t>
      </w:r>
    </w:p>
    <w:p w14:paraId="25B18ED8" w14:textId="77777777" w:rsidR="00CE1405" w:rsidRDefault="00CE1405" w:rsidP="00CE1405">
      <w:r w:rsidRPr="0071741A">
        <w:rPr>
          <w:b/>
        </w:rPr>
        <w:t>Aerobic Respiration (Krebs cycle):</w:t>
      </w:r>
      <w:r>
        <w:t xml:space="preserve"> Once pyruvate enters the mitochondria, it is converted to acetyl-CoA. Acetyl-CoA is then added into the Krebs cycle, a sequence of enzyme-mediated reactions. From this cycle, ATP, NADH, and FADH2 are formed based on the high-energy electrons they carry </w:t>
      </w:r>
      <w:r w:rsidRPr="00F726A5">
        <w:rPr>
          <w:rFonts w:eastAsia="Times New Roman" w:cs="Times New Roman"/>
          <w:szCs w:val="24"/>
          <w:lang w:eastAsia="en-GB"/>
        </w:rPr>
        <w:t>(Feng et al., 2023)</w:t>
      </w:r>
      <w:r>
        <w:t>. A by-product is carbon dioxide. The Krebs cycle is necessary for the production of various middlemen and other molecules necessary for many cellular processes. At this point, oxygen availability determines whether energy production will be effective or not.</w:t>
      </w:r>
    </w:p>
    <w:p w14:paraId="27C1A9BF" w14:textId="77777777" w:rsidR="00CE1405" w:rsidRDefault="00CE1405" w:rsidP="00CE1405">
      <w:pPr>
        <w:jc w:val="center"/>
        <w:rPr>
          <w:rFonts w:eastAsia="Times New Roman" w:cs="Times New Roman"/>
          <w:szCs w:val="24"/>
          <w:lang w:eastAsia="en-GB"/>
        </w:rPr>
      </w:pPr>
      <w:r>
        <w:rPr>
          <w:noProof/>
          <w:lang w:eastAsia="en-GB"/>
        </w:rPr>
        <w:drawing>
          <wp:inline distT="0" distB="0" distL="0" distR="0" wp14:anchorId="20F7EEFC" wp14:editId="6297F0C4">
            <wp:extent cx="5667375" cy="3276600"/>
            <wp:effectExtent l="0" t="0" r="0" b="0"/>
            <wp:docPr id="3" name="Picture 3" descr="The process of aerobic respiration - Student Academic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process of aerobic respiration - Student Academic Succes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924" t="5247" r="2706" b="2549"/>
                    <a:stretch/>
                  </pic:blipFill>
                  <pic:spPr bwMode="auto">
                    <a:xfrm>
                      <a:off x="0" y="0"/>
                      <a:ext cx="5669887" cy="3278052"/>
                    </a:xfrm>
                    <a:prstGeom prst="rect">
                      <a:avLst/>
                    </a:prstGeom>
                    <a:noFill/>
                    <a:ln>
                      <a:noFill/>
                    </a:ln>
                    <a:extLst>
                      <a:ext uri="{53640926-AAD7-44D8-BBD7-CCE9431645EC}">
                        <a14:shadowObscured xmlns:a14="http://schemas.microsoft.com/office/drawing/2010/main"/>
                      </a:ext>
                    </a:extLst>
                  </pic:spPr>
                </pic:pic>
              </a:graphicData>
            </a:graphic>
          </wp:inline>
        </w:drawing>
      </w:r>
    </w:p>
    <w:p w14:paraId="4B99BD7B" w14:textId="77777777" w:rsidR="00CE1405" w:rsidRPr="003F763C" w:rsidRDefault="00CE1405" w:rsidP="00CE1405">
      <w:pPr>
        <w:jc w:val="center"/>
      </w:pPr>
      <w:r w:rsidRPr="003F763C">
        <w:rPr>
          <w:rFonts w:eastAsia="Times New Roman" w:cs="Times New Roman"/>
          <w:szCs w:val="24"/>
          <w:lang w:eastAsia="en-GB"/>
        </w:rPr>
        <w:t xml:space="preserve">Figure 2: </w:t>
      </w:r>
      <w:r w:rsidRPr="003F763C">
        <w:t xml:space="preserve">Aerobic Respiration </w:t>
      </w:r>
    </w:p>
    <w:p w14:paraId="64070141" w14:textId="77777777" w:rsidR="00CE1405" w:rsidRPr="00F726A5" w:rsidRDefault="00CE1405" w:rsidP="00CE1405">
      <w:pPr>
        <w:jc w:val="center"/>
        <w:rPr>
          <w:rFonts w:eastAsia="Times New Roman" w:cs="Times New Roman"/>
          <w:szCs w:val="24"/>
          <w:lang w:eastAsia="en-GB"/>
        </w:rPr>
      </w:pPr>
      <w:r>
        <w:lastRenderedPageBreak/>
        <w:t xml:space="preserve">Source: </w:t>
      </w:r>
      <w:r w:rsidRPr="00F726A5">
        <w:rPr>
          <w:rFonts w:eastAsia="Times New Roman" w:cs="Times New Roman"/>
          <w:szCs w:val="24"/>
          <w:lang w:eastAsia="en-GB"/>
        </w:rPr>
        <w:t>(Feng et al., 2023)</w:t>
      </w:r>
    </w:p>
    <w:p w14:paraId="7BC81831" w14:textId="77777777" w:rsidR="00CE1405" w:rsidRPr="00F726A5" w:rsidRDefault="00CE1405" w:rsidP="00CE1405">
      <w:pPr>
        <w:rPr>
          <w:rFonts w:eastAsia="Times New Roman" w:cs="Times New Roman"/>
          <w:szCs w:val="24"/>
          <w:lang w:eastAsia="en-GB"/>
        </w:rPr>
      </w:pPr>
      <w:r w:rsidRPr="0071741A">
        <w:rPr>
          <w:b/>
        </w:rPr>
        <w:t>Electron Transport Chain and ATP Synthesis:</w:t>
      </w:r>
      <w:r>
        <w:t xml:space="preserve"> Electrons from NADH and FADH2 are used in the electron transport chain, which is located in the inner mitochondrial membrane. Finally, Oxygen is the last electron acceptor and it is reduced to water </w:t>
      </w:r>
      <w:r w:rsidRPr="00F726A5">
        <w:rPr>
          <w:rFonts w:eastAsia="Times New Roman" w:cs="Times New Roman"/>
          <w:szCs w:val="24"/>
          <w:lang w:eastAsia="en-GB"/>
        </w:rPr>
        <w:t>(Ma et al., 2024)</w:t>
      </w:r>
      <w:r>
        <w:t>. This results in the movement of electrons and the generation of a proton gradient over the membrane. Solute flows back through ATP synthase, generating massive amounts of ATP. Aerobic respiration produces far more ATP than glycolysis and provides the energy necessary for all cell activity.</w:t>
      </w:r>
    </w:p>
    <w:p w14:paraId="4654FA20" w14:textId="77777777" w:rsidR="00CE1405" w:rsidRDefault="00CE1405" w:rsidP="00CE1405">
      <w:r w:rsidRPr="00D05DBE">
        <w:t xml:space="preserve">The breakdown of glucose provides the energy required to perform muscle contraction, impulse nerve movement and organ functions. Effective consumption of oxygen and sugar is the prevention of fatigue and maintenance of homeostasis. In diabetes, this condition of the head and the blocked glucose intake significantly decreased the ATP levels and energy supply (Taylor and Scholz, 2022). These forces </w:t>
      </w:r>
      <w:r>
        <w:t>control</w:t>
      </w:r>
      <w:r w:rsidRPr="00D05DBE">
        <w:t xml:space="preserve"> the level of concentration of blood glucose and oxygen that is crucial in the normal functioning of cells. Such principles of metabolism testify to the necessity of the regulation of the blood glucose level on the one hand as an increase or a decrease of such an indicator may affect the level of energy and the wellbeing of a person adversely.</w:t>
      </w:r>
    </w:p>
    <w:p w14:paraId="450C6DE0" w14:textId="77777777" w:rsidR="00CE1405" w:rsidRDefault="00CE1405" w:rsidP="00CE1405"/>
    <w:p w14:paraId="08DFF276" w14:textId="77777777" w:rsidR="00CE1405" w:rsidRDefault="00CE1405" w:rsidP="00CE1405"/>
    <w:p w14:paraId="1265424E" w14:textId="77777777" w:rsidR="00CE1405" w:rsidRDefault="00CE1405" w:rsidP="00CE1405"/>
    <w:p w14:paraId="51AD6EF8" w14:textId="77777777" w:rsidR="00CE1405" w:rsidRDefault="00CE1405" w:rsidP="00CE1405"/>
    <w:p w14:paraId="0587089F" w14:textId="77777777" w:rsidR="00CE1405" w:rsidRDefault="00CE1405" w:rsidP="00CE1405"/>
    <w:p w14:paraId="28627E26" w14:textId="77777777" w:rsidR="00CE1405" w:rsidRDefault="00CE1405" w:rsidP="00CE1405"/>
    <w:p w14:paraId="658E4F18" w14:textId="77777777" w:rsidR="00CE1405" w:rsidRDefault="00CE1405" w:rsidP="00CE1405"/>
    <w:p w14:paraId="1F7D3D03" w14:textId="77777777" w:rsidR="00CE1405" w:rsidRDefault="00CE1405" w:rsidP="00CE1405"/>
    <w:p w14:paraId="229A6825" w14:textId="77777777" w:rsidR="00CE1405" w:rsidRDefault="00CE1405" w:rsidP="00CE1405"/>
    <w:p w14:paraId="189A14EE" w14:textId="77777777" w:rsidR="00CE1405" w:rsidRDefault="00CE1405" w:rsidP="00CE1405"/>
    <w:p w14:paraId="6A21BEDB" w14:textId="77777777" w:rsidR="00CE1405" w:rsidRDefault="00CE1405" w:rsidP="00CE1405"/>
    <w:p w14:paraId="2BA3D3F1" w14:textId="77777777" w:rsidR="00CE1405" w:rsidRPr="00F726A5" w:rsidRDefault="00CE1405" w:rsidP="00CE1405">
      <w:pPr>
        <w:rPr>
          <w:rFonts w:eastAsia="Times New Roman" w:cs="Times New Roman"/>
          <w:szCs w:val="24"/>
          <w:lang w:eastAsia="en-GB"/>
        </w:rPr>
      </w:pPr>
    </w:p>
    <w:p w14:paraId="47068C1B" w14:textId="77777777" w:rsidR="00CE1405" w:rsidRPr="00D05DBE" w:rsidRDefault="00CE1405" w:rsidP="00CE1405">
      <w:pPr>
        <w:pStyle w:val="Heading1"/>
      </w:pPr>
      <w:bookmarkStart w:id="3" w:name="_Toc211589088"/>
      <w:r>
        <w:t>Monitoring Blood Sugar Levels</w:t>
      </w:r>
      <w:bookmarkEnd w:id="3"/>
    </w:p>
    <w:p w14:paraId="6139D38E" w14:textId="77777777" w:rsidR="00CE1405" w:rsidRDefault="00CE1405" w:rsidP="00CE1405">
      <w:r>
        <w:t>The level of blood glucose is very important to be monitored and recorded by any patient with the diagnosis of plaque Type 2 Diabetes Mellitus (DM). The observation also offers the information on blood sugar levels compared to the nutritional consumption, physical activity, and medications of a patient (</w:t>
      </w:r>
      <w:proofErr w:type="spellStart"/>
      <w:r>
        <w:t>Tsapas</w:t>
      </w:r>
      <w:proofErr w:type="spellEnd"/>
      <w:r>
        <w:t xml:space="preserve"> et al. 2021). Determining some variation in blood sugar level provides an insight into the ways of reducing blood sugar levels of </w:t>
      </w:r>
      <w:proofErr w:type="spellStart"/>
      <w:r>
        <w:t>hyperglycemia</w:t>
      </w:r>
      <w:proofErr w:type="spellEnd"/>
      <w:r>
        <w:t xml:space="preserve"> and </w:t>
      </w:r>
      <w:proofErr w:type="spellStart"/>
      <w:r>
        <w:t>hypoglycemia</w:t>
      </w:r>
      <w:proofErr w:type="spellEnd"/>
      <w:r>
        <w:t xml:space="preserve"> that are fatal. Such a life skill of predicting a variation in the blood glucose level enables in-time changes in the management strategies that are vital to the safety of a patient and blood glucose control levels in the long term.</w:t>
      </w:r>
    </w:p>
    <w:p w14:paraId="0275D012" w14:textId="77777777" w:rsidR="00CE1405" w:rsidRDefault="00CE1405" w:rsidP="00CE1405">
      <w:pPr>
        <w:jc w:val="center"/>
        <w:rPr>
          <w:rFonts w:eastAsia="Times New Roman" w:cs="Times New Roman"/>
          <w:szCs w:val="24"/>
          <w:lang w:eastAsia="en-GB"/>
        </w:rPr>
      </w:pPr>
      <w:r>
        <w:rPr>
          <w:noProof/>
          <w:lang w:eastAsia="en-GB"/>
        </w:rPr>
        <w:drawing>
          <wp:inline distT="0" distB="0" distL="0" distR="0" wp14:anchorId="79FC8A62" wp14:editId="6855C31E">
            <wp:extent cx="3781425" cy="2667000"/>
            <wp:effectExtent l="0" t="0" r="9525" b="0"/>
            <wp:docPr id="4" name="Picture 4" descr="Type 2 Diabetes: What It Is, Causes, Symptoms &amp;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ype 2 Diabetes: What It Is, Causes, Symptoms &amp; Treatment"/>
                    <pic:cNvPicPr>
                      <a:picLocks noChangeAspect="1" noChangeArrowheads="1"/>
                    </pic:cNvPicPr>
                  </pic:nvPicPr>
                  <pic:blipFill rotWithShape="1">
                    <a:blip r:embed="rId9">
                      <a:extLst>
                        <a:ext uri="{28A0092B-C50C-407E-A947-70E740481C1C}">
                          <a14:useLocalDpi xmlns:a14="http://schemas.microsoft.com/office/drawing/2010/main" val="0"/>
                        </a:ext>
                      </a:extLst>
                    </a:blip>
                    <a:srcRect t="14098" b="6660"/>
                    <a:stretch/>
                  </pic:blipFill>
                  <pic:spPr bwMode="auto">
                    <a:xfrm>
                      <a:off x="0" y="0"/>
                      <a:ext cx="3781425" cy="2667000"/>
                    </a:xfrm>
                    <a:prstGeom prst="rect">
                      <a:avLst/>
                    </a:prstGeom>
                    <a:noFill/>
                    <a:ln>
                      <a:noFill/>
                    </a:ln>
                    <a:extLst>
                      <a:ext uri="{53640926-AAD7-44D8-BBD7-CCE9431645EC}">
                        <a14:shadowObscured xmlns:a14="http://schemas.microsoft.com/office/drawing/2010/main"/>
                      </a:ext>
                    </a:extLst>
                  </pic:spPr>
                </pic:pic>
              </a:graphicData>
            </a:graphic>
          </wp:inline>
        </w:drawing>
      </w:r>
    </w:p>
    <w:p w14:paraId="7CBC0213" w14:textId="77777777" w:rsidR="00CE1405" w:rsidRDefault="00CE1405" w:rsidP="00CE1405">
      <w:pPr>
        <w:jc w:val="center"/>
      </w:pPr>
      <w:r>
        <w:rPr>
          <w:rFonts w:eastAsia="Times New Roman" w:cs="Times New Roman"/>
          <w:szCs w:val="24"/>
          <w:lang w:eastAsia="en-GB"/>
        </w:rPr>
        <w:t xml:space="preserve">Figure 3: </w:t>
      </w:r>
      <w:r>
        <w:t>Type 2 diabetes</w:t>
      </w:r>
    </w:p>
    <w:p w14:paraId="53A8944E" w14:textId="77777777" w:rsidR="00CE1405" w:rsidRPr="00BC6BF4" w:rsidRDefault="00CE1405" w:rsidP="00CE1405">
      <w:pPr>
        <w:jc w:val="center"/>
        <w:rPr>
          <w:rFonts w:eastAsia="Times New Roman" w:cs="Times New Roman"/>
          <w:szCs w:val="24"/>
          <w:lang w:eastAsia="en-GB"/>
        </w:rPr>
      </w:pPr>
      <w:r>
        <w:t xml:space="preserve">Source: </w:t>
      </w:r>
      <w:r w:rsidRPr="00DC3441">
        <w:rPr>
          <w:rFonts w:eastAsia="Times New Roman" w:cs="Times New Roman"/>
          <w:szCs w:val="24"/>
          <w:lang w:eastAsia="en-GB"/>
        </w:rPr>
        <w:t>(</w:t>
      </w:r>
      <w:proofErr w:type="spellStart"/>
      <w:r w:rsidRPr="00DC3441">
        <w:rPr>
          <w:rFonts w:eastAsia="Times New Roman" w:cs="Times New Roman"/>
          <w:szCs w:val="24"/>
          <w:lang w:eastAsia="en-GB"/>
        </w:rPr>
        <w:t>Tsapas</w:t>
      </w:r>
      <w:proofErr w:type="spellEnd"/>
      <w:r w:rsidRPr="00DC3441">
        <w:rPr>
          <w:rFonts w:eastAsia="Times New Roman" w:cs="Times New Roman"/>
          <w:szCs w:val="24"/>
          <w:lang w:eastAsia="en-GB"/>
        </w:rPr>
        <w:t xml:space="preserve"> et al., 2021)</w:t>
      </w:r>
    </w:p>
    <w:p w14:paraId="054E596B" w14:textId="77777777" w:rsidR="00CE1405" w:rsidRDefault="00CE1405" w:rsidP="00CE1405">
      <w:r w:rsidRPr="00BC6BF4">
        <w:rPr>
          <w:b/>
        </w:rPr>
        <w:t>Avoiding Complications:</w:t>
      </w:r>
      <w:r>
        <w:t xml:space="preserve"> Recording the level of blood sugar controls the amount of risk of being affected by complications associated with Type 2 diabetes. High glucose concentrations in the blood over an extended period of time may cause harm to the blood vessels, nerves, and other organs in the form of disease of the cardiovascular system, neuropathy, and kidney ailments (Taylor and Scholz, 2022). Low blood sugar levels are full of dizziness, confusion, and in the worst conditions, the total loss of consciousness. The possibility to detect high and low blood glucose </w:t>
      </w:r>
      <w:r>
        <w:lastRenderedPageBreak/>
        <w:t>dysregulations and take corrective actions prevent blood sugar dysregulation. Through this way the consumers prevent emergencies as well as reduce the risks of long term sustained health complications.</w:t>
      </w:r>
    </w:p>
    <w:p w14:paraId="29C9129F" w14:textId="77777777" w:rsidR="00CE1405" w:rsidRDefault="00CE1405" w:rsidP="00CE1405">
      <w:r w:rsidRPr="00BC6BF4">
        <w:rPr>
          <w:b/>
        </w:rPr>
        <w:t xml:space="preserve">Lifestyle Management: </w:t>
      </w:r>
      <w:r>
        <w:t xml:space="preserve">Evidence shows that the effects of lifestyle decisions could be measured in the structure of the field of lifestyle medicine and the measurement of blood glucose levels. An after eating log can be used to determine the specific nutritional offenders that lead to trips (Shourie and Trivedi, 2025). The effect of exercise on </w:t>
      </w:r>
      <w:proofErr w:type="spellStart"/>
      <w:r>
        <w:t>glycemic</w:t>
      </w:r>
      <w:proofErr w:type="spellEnd"/>
      <w:r>
        <w:t xml:space="preserve"> control is also demonstrated and quantified by the appreciation of what is monitored and learned prior to and after exercise. Stress, sleep, and, in some cases, alcohol could also forsake to the levels of the glucose in the blood (Sharma et al., 2022). This is what informs the change of behaviours in such a way that best and safe levels of glucose are achieved.</w:t>
      </w:r>
    </w:p>
    <w:p w14:paraId="21DC32CF" w14:textId="77777777" w:rsidR="00CE1405" w:rsidRDefault="00CE1405" w:rsidP="00CE1405">
      <w:r w:rsidRPr="00BC6BF4">
        <w:rPr>
          <w:b/>
        </w:rPr>
        <w:t>Improving Self-Efficacy:</w:t>
      </w:r>
      <w:r>
        <w:t xml:space="preserve"> Scheduled follow ups can be used to boost self-esteem and push patients to more aggressive management of the disease. Patients are able to monitor the impact of food, activities, and medication on the level of blood glucose. The available tools such as continuous glucose monitors, mobile apps, and trend analysis methods are easier to track (Saha et al., 2023). More intensive integration with self-observation improves compliance with clinical protocols and provides more positive health changes. Such a self-management is more conducive to positive diabetes control and quality of life, it allows managing diabetes safely and effectively.</w:t>
      </w:r>
    </w:p>
    <w:p w14:paraId="1795E8E6" w14:textId="77777777" w:rsidR="00CE1405" w:rsidRDefault="00CE1405" w:rsidP="00CE1405"/>
    <w:p w14:paraId="6D146DC8" w14:textId="77777777" w:rsidR="00CE1405" w:rsidRDefault="00CE1405" w:rsidP="00CE1405"/>
    <w:p w14:paraId="43C494A2" w14:textId="77777777" w:rsidR="00CE1405" w:rsidRDefault="00CE1405" w:rsidP="00CE1405"/>
    <w:p w14:paraId="6786D1CE" w14:textId="77777777" w:rsidR="00CE1405" w:rsidRDefault="00CE1405" w:rsidP="00CE1405"/>
    <w:p w14:paraId="3A2BCC90" w14:textId="77777777" w:rsidR="00CE1405" w:rsidRDefault="00CE1405" w:rsidP="00CE1405"/>
    <w:p w14:paraId="3D538C66" w14:textId="77777777" w:rsidR="00CE1405" w:rsidRDefault="00CE1405" w:rsidP="00CE1405"/>
    <w:p w14:paraId="493E07F6" w14:textId="77777777" w:rsidR="00CE1405" w:rsidRDefault="00CE1405" w:rsidP="00CE1405"/>
    <w:p w14:paraId="6BC43936" w14:textId="77777777" w:rsidR="00CE1405" w:rsidRDefault="00CE1405" w:rsidP="00CE1405"/>
    <w:p w14:paraId="61D3CC71" w14:textId="77777777" w:rsidR="00CE1405" w:rsidRDefault="00CE1405" w:rsidP="00CE1405"/>
    <w:p w14:paraId="155706C3" w14:textId="77777777" w:rsidR="00CE1405" w:rsidRPr="00DC3441" w:rsidRDefault="00CE1405" w:rsidP="00CE1405">
      <w:pPr>
        <w:rPr>
          <w:rFonts w:eastAsia="Times New Roman" w:cs="Times New Roman"/>
          <w:szCs w:val="24"/>
          <w:lang w:eastAsia="en-GB"/>
        </w:rPr>
      </w:pPr>
    </w:p>
    <w:p w14:paraId="46AB160B" w14:textId="77777777" w:rsidR="00CE1405" w:rsidRDefault="00CE1405" w:rsidP="00CE1405">
      <w:pPr>
        <w:pStyle w:val="Heading1"/>
      </w:pPr>
      <w:bookmarkStart w:id="4" w:name="_Toc211589089"/>
      <w:r>
        <w:t>Lifestyle Changes to Improve Diabetes Management</w:t>
      </w:r>
      <w:bookmarkEnd w:id="4"/>
    </w:p>
    <w:p w14:paraId="2C798E79" w14:textId="77777777" w:rsidR="00CE1405" w:rsidRPr="00BC6BF4" w:rsidRDefault="00CE1405" w:rsidP="00CE1405">
      <w:r w:rsidRPr="00BC6BF4">
        <w:rPr>
          <w:b/>
        </w:rPr>
        <w:t>Food and Nutrition:</w:t>
      </w:r>
      <w:r w:rsidRPr="00BC6BF4">
        <w:t xml:space="preserve"> A healthy diet is one of the factors that help to manage Type 2 diabetes. Whole grains, vegetables, lean proteins, and healthy fats should be eaten in 2-3 portions to control the level of glucose in the blood (Sharma et al., 2022). Refined sugars and processed foods are reduced and they do away with the sugar spikes that cause in the short run insulin intolerance. In addition to this underlying framework of </w:t>
      </w:r>
      <w:proofErr w:type="spellStart"/>
      <w:r w:rsidRPr="00BC6BF4">
        <w:t>glycemic</w:t>
      </w:r>
      <w:proofErr w:type="spellEnd"/>
      <w:r w:rsidRPr="00BC6BF4">
        <w:t xml:space="preserve"> stability, portion control and/or timed meal schedules also offers the supportive frameworks. The nutrition rating may be productively modified with the help of a consult with a registered dietician. </w:t>
      </w:r>
    </w:p>
    <w:p w14:paraId="4E5B6FB4" w14:textId="77777777" w:rsidR="00CE1405" w:rsidRDefault="00CE1405" w:rsidP="00CE1405">
      <w:r w:rsidRPr="00BC6BF4">
        <w:rPr>
          <w:b/>
        </w:rPr>
        <w:t>Physical Activity:</w:t>
      </w:r>
      <w:r w:rsidRPr="00BC6BF4">
        <w:t xml:space="preserve"> Physical activity increases the insulin sensitivity and uptake of glucose by the muscle cells. Walking, cycling or swimming are also good cardio exercises that are good in cardiovascular fitness and also in weight control. This, consequently, enhances muscle and energy consumption. It has been proven that moderate activities carried out every week or higher and at least 10 minutes in one session cause the reduction of blood sugar levels dramatically (Nomura et al., 2021). Planned exercise is good, but exercising in general while walking around (walking, upstairs, and so on) is also good. Exercise is more common and decreases insulin resistance and improves the metabolic profile in the long run.</w:t>
      </w:r>
    </w:p>
    <w:p w14:paraId="24D92BA0" w14:textId="77777777" w:rsidR="00CE1405" w:rsidRDefault="00CE1405" w:rsidP="00CE1405">
      <w:r w:rsidRPr="009754D0">
        <w:rPr>
          <w:b/>
        </w:rPr>
        <w:t>Smoking Cessation and Alcohol Moderation</w:t>
      </w:r>
      <w:r>
        <w:rPr>
          <w:b/>
        </w:rPr>
        <w:t xml:space="preserve"> (Policy Change)</w:t>
      </w:r>
      <w:r w:rsidRPr="009754D0">
        <w:rPr>
          <w:b/>
        </w:rPr>
        <w:t>:</w:t>
      </w:r>
      <w:r>
        <w:t xml:space="preserve"> Within which the risk of developing cardiovascular complications related to Diabetes increases along the lines of smoking, the rest which has to do with the benefits of immediate effect includes: The risk of developing heart disease reduces inflammation, while the function of blood vessels and more of the vessels within the vessels improve. Uncontrolled drinking can contribute to major imbalances in blood glucose control, especially glucose </w:t>
      </w:r>
      <w:proofErr w:type="spellStart"/>
      <w:r>
        <w:t>hypoglycemia</w:t>
      </w:r>
      <w:proofErr w:type="spellEnd"/>
      <w:r>
        <w:t xml:space="preserve"> and </w:t>
      </w:r>
      <w:proofErr w:type="spellStart"/>
      <w:r>
        <w:t>hyperglycemia</w:t>
      </w:r>
      <w:proofErr w:type="spellEnd"/>
      <w:r>
        <w:t xml:space="preserve"> (Naseri, Esmat, and Bahee, 2022). This suggests that the practice of moderate drinking alcohol for the duration of the diabetes, along with rigorously control, and monitoring diabetes is safer than previously regarded. These measures foster the restoration of the internal, self-regulating, and self-balancing metabolic order which is primary to the prevention of complications.</w:t>
      </w:r>
    </w:p>
    <w:p w14:paraId="3A6B6DCB" w14:textId="77777777" w:rsidR="00CE1405" w:rsidRDefault="00CE1405" w:rsidP="00CE1405">
      <w:r w:rsidRPr="009754D0">
        <w:rPr>
          <w:b/>
        </w:rPr>
        <w:t>Stress Management and Sleep with Diabetes</w:t>
      </w:r>
      <w:r>
        <w:rPr>
          <w:b/>
        </w:rPr>
        <w:t xml:space="preserve"> (Policy Change)</w:t>
      </w:r>
      <w:r w:rsidRPr="009754D0">
        <w:rPr>
          <w:b/>
        </w:rPr>
        <w:t>:</w:t>
      </w:r>
      <w:r>
        <w:t xml:space="preserve"> The relation between the whisperer and the metabolism can activate increased levels of glowing in the body which are </w:t>
      </w:r>
      <w:r>
        <w:lastRenderedPageBreak/>
        <w:t>retained due to the invisible body belt and always endured high temperature. The practice and to practice more of these passes is the only possible way to treat these patients with class 2 medicine, and even more, as supportive and additional measures of class 3 medicine (Ma et al., 2024). It is also of necessity that strategy of supporting the strategy has been shown to improve the blood sugar with the insulin. Providing patients with enough dosing and appropriate sleep schedules to allow restoration of the disrupted sleep blood glucose.</w:t>
      </w:r>
    </w:p>
    <w:p w14:paraId="465FE853" w14:textId="77777777" w:rsidR="00CE1405" w:rsidRDefault="00CE1405" w:rsidP="00CE1405"/>
    <w:p w14:paraId="6860A159" w14:textId="77777777" w:rsidR="00CE1405" w:rsidRDefault="00CE1405" w:rsidP="00CE1405"/>
    <w:p w14:paraId="5E1AD46F" w14:textId="77777777" w:rsidR="00CE1405" w:rsidRDefault="00CE1405" w:rsidP="00CE1405"/>
    <w:p w14:paraId="46547EE4" w14:textId="77777777" w:rsidR="00CE1405" w:rsidRDefault="00CE1405" w:rsidP="00CE1405"/>
    <w:p w14:paraId="3294BF21" w14:textId="77777777" w:rsidR="00CE1405" w:rsidRDefault="00CE1405" w:rsidP="00CE1405"/>
    <w:p w14:paraId="0F7527B6" w14:textId="77777777" w:rsidR="00CE1405" w:rsidRDefault="00CE1405" w:rsidP="00CE1405"/>
    <w:p w14:paraId="1C8138FA" w14:textId="77777777" w:rsidR="00CE1405" w:rsidRDefault="00CE1405" w:rsidP="00CE1405"/>
    <w:p w14:paraId="247389B7" w14:textId="77777777" w:rsidR="00CE1405" w:rsidRDefault="00CE1405" w:rsidP="00CE1405"/>
    <w:p w14:paraId="7F770279" w14:textId="77777777" w:rsidR="00CE1405" w:rsidRDefault="00CE1405" w:rsidP="00CE1405"/>
    <w:p w14:paraId="13A6E9B9" w14:textId="77777777" w:rsidR="00CE1405" w:rsidRDefault="00CE1405" w:rsidP="00CE1405"/>
    <w:p w14:paraId="05612B2A" w14:textId="77777777" w:rsidR="00CE1405" w:rsidRDefault="00CE1405" w:rsidP="00CE1405"/>
    <w:p w14:paraId="7BC18C46" w14:textId="77777777" w:rsidR="00CE1405" w:rsidRDefault="00CE1405" w:rsidP="00CE1405"/>
    <w:p w14:paraId="4B2F451A" w14:textId="77777777" w:rsidR="00CE1405" w:rsidRDefault="00CE1405" w:rsidP="00CE1405"/>
    <w:p w14:paraId="6F7AD108" w14:textId="77777777" w:rsidR="00CE1405" w:rsidRDefault="00CE1405" w:rsidP="00CE1405"/>
    <w:p w14:paraId="55B210E6" w14:textId="77777777" w:rsidR="00CE1405" w:rsidRDefault="00CE1405" w:rsidP="00CE1405"/>
    <w:p w14:paraId="2B3F1E19" w14:textId="77777777" w:rsidR="00CE1405" w:rsidRDefault="00CE1405" w:rsidP="00CE1405"/>
    <w:p w14:paraId="2F72770E" w14:textId="77777777" w:rsidR="00CE1405" w:rsidRDefault="00CE1405" w:rsidP="00CE1405"/>
    <w:p w14:paraId="554E22FC" w14:textId="77777777" w:rsidR="00CE1405" w:rsidRPr="00772F12" w:rsidRDefault="00CE1405" w:rsidP="00CE1405">
      <w:pPr>
        <w:rPr>
          <w:rFonts w:eastAsia="Times New Roman" w:cs="Times New Roman"/>
          <w:szCs w:val="24"/>
          <w:lang w:eastAsia="en-GB"/>
        </w:rPr>
      </w:pPr>
    </w:p>
    <w:p w14:paraId="31A101A7" w14:textId="77777777" w:rsidR="00CE1405" w:rsidRDefault="00CE1405" w:rsidP="00CE1405">
      <w:pPr>
        <w:pStyle w:val="Heading1"/>
      </w:pPr>
      <w:bookmarkStart w:id="5" w:name="_Toc211589090"/>
      <w:r>
        <w:lastRenderedPageBreak/>
        <w:t>Conclusion</w:t>
      </w:r>
      <w:bookmarkEnd w:id="5"/>
      <w:r>
        <w:t xml:space="preserve"> </w:t>
      </w:r>
    </w:p>
    <w:p w14:paraId="08C930EC" w14:textId="77777777" w:rsidR="00CE1405" w:rsidRDefault="00CE1405" w:rsidP="00CE1405">
      <w:r>
        <w:t xml:space="preserve">Type 2 diabetics is among the widest spread disease in modern time. Without effective control and management this can be a huge problem for individuals. There are several factors which are responsible for this, blood sugar is among the most important. Thing like physical activity, enough sleep, balanced diet etc. can help. </w:t>
      </w:r>
      <w:r w:rsidRPr="007C7226">
        <w:t>These also reduce chances of long run negative impacts, which could be cardiovascular disease, neuropathy and kidney damage. The most common conditions and the changes in lifestyle enhance self-</w:t>
      </w:r>
      <w:r>
        <w:t>confidence</w:t>
      </w:r>
      <w:r w:rsidRPr="007C7226">
        <w:t xml:space="preserve"> and also </w:t>
      </w:r>
      <w:r>
        <w:t>assist</w:t>
      </w:r>
      <w:r w:rsidRPr="007C7226">
        <w:t xml:space="preserve"> informed decision-making in daily life. The engagement of patients in care plans through the provision of education about the effects of diet, exercise, and stress is enabled. Type 2 diabetes, improvement of overall health, metabolic regulation, and promotion of long-term health can be effectively managed with these types of interventions. Early intervention and self-management should be used to manage the disease.</w:t>
      </w:r>
    </w:p>
    <w:p w14:paraId="29668BA0" w14:textId="77777777" w:rsidR="00CE1405" w:rsidRDefault="00CE1405" w:rsidP="00CE1405"/>
    <w:p w14:paraId="5E075450" w14:textId="77777777" w:rsidR="00CE1405" w:rsidRDefault="00CE1405" w:rsidP="00CE1405"/>
    <w:p w14:paraId="5A3A5D13" w14:textId="77777777" w:rsidR="00CE1405" w:rsidRDefault="00CE1405" w:rsidP="00CE1405"/>
    <w:p w14:paraId="0C117DD8" w14:textId="77777777" w:rsidR="00CE1405" w:rsidRDefault="00CE1405" w:rsidP="00CE1405"/>
    <w:p w14:paraId="16157614" w14:textId="77777777" w:rsidR="00CE1405" w:rsidRDefault="00CE1405" w:rsidP="00CE1405"/>
    <w:p w14:paraId="505F8FFE" w14:textId="77777777" w:rsidR="00CE1405" w:rsidRDefault="00CE1405" w:rsidP="00CE1405"/>
    <w:p w14:paraId="7D23DBFC" w14:textId="77777777" w:rsidR="00CE1405" w:rsidRDefault="00CE1405" w:rsidP="00CE1405"/>
    <w:p w14:paraId="63BB5525" w14:textId="77777777" w:rsidR="00CE1405" w:rsidRDefault="00CE1405" w:rsidP="00CE1405"/>
    <w:p w14:paraId="24BE5D5C" w14:textId="77777777" w:rsidR="00CE1405" w:rsidRDefault="00CE1405" w:rsidP="00CE1405"/>
    <w:p w14:paraId="361061FF" w14:textId="77777777" w:rsidR="00CE1405" w:rsidRDefault="00CE1405" w:rsidP="00CE1405"/>
    <w:p w14:paraId="2D8C49BB" w14:textId="77777777" w:rsidR="00CE1405" w:rsidRDefault="00CE1405" w:rsidP="00CE1405"/>
    <w:p w14:paraId="79F55975" w14:textId="77777777" w:rsidR="00CE1405" w:rsidRPr="00CC12A2" w:rsidRDefault="00CE1405" w:rsidP="00CE1405">
      <w:pPr>
        <w:pStyle w:val="Heading1"/>
      </w:pPr>
      <w:bookmarkStart w:id="6" w:name="_Toc211589091"/>
      <w:r>
        <w:lastRenderedPageBreak/>
        <w:t>References</w:t>
      </w:r>
      <w:bookmarkEnd w:id="6"/>
    </w:p>
    <w:p w14:paraId="5475C521" w14:textId="77777777" w:rsidR="00CE1405" w:rsidRDefault="00CE1405" w:rsidP="00CE1405">
      <w:pPr>
        <w:pStyle w:val="NormalWeb"/>
        <w:spacing w:before="0" w:beforeAutospacing="0" w:after="240" w:afterAutospacing="0" w:line="360" w:lineRule="auto"/>
        <w:jc w:val="both"/>
      </w:pPr>
      <w:r>
        <w:t xml:space="preserve">Butt, S.M. (2022). Management and Treatment of Type 2 Diabetes. </w:t>
      </w:r>
      <w:r>
        <w:rPr>
          <w:i/>
          <w:iCs/>
        </w:rPr>
        <w:t>International Journal of Computations, Information and Manufacturing (IJCIM)</w:t>
      </w:r>
      <w:r>
        <w:t xml:space="preserve">, [online] 2(1). </w:t>
      </w:r>
      <w:proofErr w:type="spellStart"/>
      <w:r>
        <w:t>doi:https</w:t>
      </w:r>
      <w:proofErr w:type="spellEnd"/>
      <w:r>
        <w:t>://doi.org/10.54489/ijcim.v2i1.71.</w:t>
      </w:r>
    </w:p>
    <w:p w14:paraId="451864EB" w14:textId="77777777" w:rsidR="00CE1405" w:rsidRDefault="00CE1405" w:rsidP="00CE1405">
      <w:pPr>
        <w:pStyle w:val="NormalWeb"/>
        <w:spacing w:before="0" w:beforeAutospacing="0" w:after="240" w:afterAutospacing="0" w:line="360" w:lineRule="auto"/>
        <w:jc w:val="both"/>
      </w:pPr>
      <w:r>
        <w:t xml:space="preserve">Caturano, A., D’Angelo, M., </w:t>
      </w:r>
      <w:proofErr w:type="spellStart"/>
      <w:r>
        <w:t>Mormone</w:t>
      </w:r>
      <w:proofErr w:type="spellEnd"/>
      <w:r>
        <w:t xml:space="preserve">, A., Russo, V., Mollica, M.P., Salvatore, T., </w:t>
      </w:r>
      <w:proofErr w:type="spellStart"/>
      <w:r>
        <w:t>Galiero</w:t>
      </w:r>
      <w:proofErr w:type="spellEnd"/>
      <w:r>
        <w:t xml:space="preserve">, R., Rinaldi, L., Vetrano, E., </w:t>
      </w:r>
      <w:proofErr w:type="spellStart"/>
      <w:r>
        <w:t>Marfella</w:t>
      </w:r>
      <w:proofErr w:type="spellEnd"/>
      <w:r>
        <w:t xml:space="preserve">, R., Monda, M., Giordano, A. and Sasso, F.C. (2023). Oxidative Stress in Type 2 Diabetes: Impacts from Pathogenesis to Lifestyle Modifications. </w:t>
      </w:r>
      <w:r>
        <w:rPr>
          <w:i/>
          <w:iCs/>
        </w:rPr>
        <w:t>Current Issues in Molecular Biology</w:t>
      </w:r>
      <w:r>
        <w:t xml:space="preserve">, 45(8), pp.6651–6666. </w:t>
      </w:r>
      <w:proofErr w:type="spellStart"/>
      <w:r>
        <w:t>doi:https</w:t>
      </w:r>
      <w:proofErr w:type="spellEnd"/>
      <w:r>
        <w:t>://doi.org/10.3390/cimb45080420.</w:t>
      </w:r>
    </w:p>
    <w:p w14:paraId="53E474B8" w14:textId="77777777" w:rsidR="00CE1405" w:rsidRDefault="00CE1405" w:rsidP="00CE1405">
      <w:pPr>
        <w:pStyle w:val="NormalWeb"/>
        <w:spacing w:before="0" w:beforeAutospacing="0" w:after="240" w:afterAutospacing="0" w:line="360" w:lineRule="auto"/>
        <w:jc w:val="both"/>
      </w:pPr>
      <w:r>
        <w:t xml:space="preserve">Che, T., Yan, C., Tian, D., Zhang, X., Liu, X. and Wu, Z. (2021). Time-restricted feeding improves blood glucose and insulin sensitivity in overweight patients with type 2 diabetes: a randomised controlled trial. </w:t>
      </w:r>
      <w:r>
        <w:rPr>
          <w:i/>
          <w:iCs/>
        </w:rPr>
        <w:t>Nutrition &amp; Metabolism</w:t>
      </w:r>
      <w:r>
        <w:t xml:space="preserve">, [online] 18(1). </w:t>
      </w:r>
      <w:proofErr w:type="spellStart"/>
      <w:r>
        <w:t>doi:https</w:t>
      </w:r>
      <w:proofErr w:type="spellEnd"/>
      <w:r>
        <w:t>://doi.org/10.1186/s12986-021-00613-9.</w:t>
      </w:r>
    </w:p>
    <w:p w14:paraId="7E5E9F84" w14:textId="77777777" w:rsidR="00CE1405" w:rsidRDefault="00CE1405" w:rsidP="00CE1405">
      <w:pPr>
        <w:pStyle w:val="NormalWeb"/>
        <w:spacing w:before="0" w:beforeAutospacing="0" w:after="240" w:afterAutospacing="0" w:line="360" w:lineRule="auto"/>
        <w:jc w:val="both"/>
      </w:pPr>
      <w:r>
        <w:t xml:space="preserve">Feng, Y., Chen, Y., Wu, X., Chen, J., Zhou, Q., Liu, B., Zhang, L. and Yi, C. (2023). Interplay of energy metabolism and autophagy. </w:t>
      </w:r>
      <w:r>
        <w:rPr>
          <w:i/>
          <w:iCs/>
        </w:rPr>
        <w:t>Autophagy</w:t>
      </w:r>
      <w:r>
        <w:t xml:space="preserve">, 20(1), pp.4–14. </w:t>
      </w:r>
      <w:proofErr w:type="spellStart"/>
      <w:r>
        <w:t>doi:https</w:t>
      </w:r>
      <w:proofErr w:type="spellEnd"/>
      <w:r>
        <w:t>://doi.org/10.1080/15548627.2023.2247300.</w:t>
      </w:r>
    </w:p>
    <w:p w14:paraId="0F1A81A5" w14:textId="77777777" w:rsidR="00CE1405" w:rsidRDefault="00CE1405" w:rsidP="00CE1405">
      <w:pPr>
        <w:pStyle w:val="NormalWeb"/>
        <w:spacing w:before="0" w:beforeAutospacing="0" w:after="240" w:afterAutospacing="0" w:line="360" w:lineRule="auto"/>
        <w:jc w:val="both"/>
      </w:pPr>
      <w:r>
        <w:t xml:space="preserve">Ma, S., Ming, Y., Wu, J. and Cui, G. (2024). Cellular metabolism regulates the differentiation and function of T-cell subsets. </w:t>
      </w:r>
      <w:r>
        <w:rPr>
          <w:i/>
          <w:iCs/>
        </w:rPr>
        <w:t>Cellular and Molecular Immunology</w:t>
      </w:r>
      <w:r>
        <w:t xml:space="preserve">, 21(5), pp.419–435. </w:t>
      </w:r>
      <w:proofErr w:type="spellStart"/>
      <w:r>
        <w:t>doi:https</w:t>
      </w:r>
      <w:proofErr w:type="spellEnd"/>
      <w:r>
        <w:t>://doi.org/10.1038/s41423-024-01148-8.</w:t>
      </w:r>
    </w:p>
    <w:p w14:paraId="06EC3FA2" w14:textId="77777777" w:rsidR="00CE1405" w:rsidRDefault="00CE1405" w:rsidP="00CE1405">
      <w:pPr>
        <w:pStyle w:val="NormalWeb"/>
        <w:spacing w:before="0" w:beforeAutospacing="0" w:after="240" w:afterAutospacing="0" w:line="360" w:lineRule="auto"/>
        <w:jc w:val="both"/>
      </w:pPr>
      <w:r>
        <w:t xml:space="preserve">Naseri, M.W., Esmat, H.A. and Bahee, M.D. (2022). Prevalence of hypertension in Type-2 diabetes mellitus. </w:t>
      </w:r>
      <w:r>
        <w:rPr>
          <w:i/>
          <w:iCs/>
        </w:rPr>
        <w:t>Annals of Medicine and Surgery</w:t>
      </w:r>
      <w:r>
        <w:t xml:space="preserve">, [online] 78, p.103758. </w:t>
      </w:r>
      <w:proofErr w:type="spellStart"/>
      <w:r>
        <w:t>doi:https</w:t>
      </w:r>
      <w:proofErr w:type="spellEnd"/>
      <w:r>
        <w:t>://doi.org/10.1016/j.amsu.2022.103758.</w:t>
      </w:r>
    </w:p>
    <w:p w14:paraId="3051CF2B" w14:textId="77777777" w:rsidR="00CE1405" w:rsidRDefault="00CE1405" w:rsidP="00CE1405">
      <w:pPr>
        <w:pStyle w:val="NormalWeb"/>
        <w:spacing w:before="0" w:beforeAutospacing="0" w:after="240" w:afterAutospacing="0" w:line="360" w:lineRule="auto"/>
        <w:jc w:val="both"/>
      </w:pPr>
      <w:r>
        <w:t xml:space="preserve">Nomura, A., Noguchi, M., Kometani, M., Furukawa, K. and Yoneda, T. (2021). Artificial Intelligence in Current Diabetes Management and Prediction. </w:t>
      </w:r>
      <w:r>
        <w:rPr>
          <w:i/>
          <w:iCs/>
        </w:rPr>
        <w:t>Current Diabetes Reports</w:t>
      </w:r>
      <w:r>
        <w:t xml:space="preserve">, 21(12). </w:t>
      </w:r>
      <w:proofErr w:type="spellStart"/>
      <w:r>
        <w:t>doi:https</w:t>
      </w:r>
      <w:proofErr w:type="spellEnd"/>
      <w:r>
        <w:t>://doi.org/10.1007/s11892-021-01423-2.</w:t>
      </w:r>
    </w:p>
    <w:p w14:paraId="4D8569A1" w14:textId="77777777" w:rsidR="00CE1405" w:rsidRDefault="00CE1405" w:rsidP="00CE1405">
      <w:pPr>
        <w:pStyle w:val="NormalWeb"/>
        <w:spacing w:before="0" w:beforeAutospacing="0" w:after="240" w:afterAutospacing="0" w:line="360" w:lineRule="auto"/>
        <w:jc w:val="both"/>
      </w:pPr>
      <w:r>
        <w:t xml:space="preserve">Saha, T., Rafael Del Caño, Kuldeep Mahato, De, E., Chen, C., Ding, S., Yin, L. and Wang, J. (2023). Wearable Electrochemical Glucose Sensors in Diabetes Management: A Comprehensive </w:t>
      </w:r>
      <w:r>
        <w:lastRenderedPageBreak/>
        <w:t xml:space="preserve">Review. </w:t>
      </w:r>
      <w:r>
        <w:rPr>
          <w:i/>
          <w:iCs/>
        </w:rPr>
        <w:t>Chemical Reviews</w:t>
      </w:r>
      <w:r>
        <w:t xml:space="preserve">, 123(12), pp.7854–7889. </w:t>
      </w:r>
      <w:proofErr w:type="spellStart"/>
      <w:r>
        <w:t>doi:https</w:t>
      </w:r>
      <w:proofErr w:type="spellEnd"/>
      <w:r>
        <w:t>://doi.org/10.1021/acs.chemrev.3c00078.</w:t>
      </w:r>
    </w:p>
    <w:p w14:paraId="12322A7F" w14:textId="77777777" w:rsidR="00CE1405" w:rsidRDefault="00CE1405" w:rsidP="00CE1405">
      <w:pPr>
        <w:pStyle w:val="NormalWeb"/>
        <w:spacing w:before="0" w:beforeAutospacing="0" w:after="240" w:afterAutospacing="0" w:line="360" w:lineRule="auto"/>
        <w:jc w:val="both"/>
      </w:pPr>
      <w:r>
        <w:t xml:space="preserve">Sharma, K., Akre, S., Chakole, S. and Wanjari, M.B. (2022). Stress-Induced diabetes: A review. </w:t>
      </w:r>
      <w:r>
        <w:rPr>
          <w:i/>
          <w:iCs/>
        </w:rPr>
        <w:t>Cureus</w:t>
      </w:r>
      <w:r>
        <w:t xml:space="preserve">, [online] 14(9), p.e29142. </w:t>
      </w:r>
      <w:proofErr w:type="spellStart"/>
      <w:r>
        <w:t>doi:https</w:t>
      </w:r>
      <w:proofErr w:type="spellEnd"/>
      <w:r>
        <w:t>://doi.org/10.7759/cureus.29142.</w:t>
      </w:r>
    </w:p>
    <w:p w14:paraId="2994F7EB" w14:textId="77777777" w:rsidR="00CE1405" w:rsidRDefault="00CE1405" w:rsidP="00CE1405">
      <w:pPr>
        <w:pStyle w:val="NormalWeb"/>
        <w:spacing w:before="0" w:beforeAutospacing="0" w:after="240" w:afterAutospacing="0" w:line="360" w:lineRule="auto"/>
        <w:jc w:val="both"/>
      </w:pPr>
      <w:r>
        <w:t xml:space="preserve">Shourie, P. and Trivedi, A.R. (2025). Beyond Blood Sugar: A Comprehensive Exploration of Diabetes Mellitus and Its Impact on Human Health. </w:t>
      </w:r>
      <w:r>
        <w:rPr>
          <w:i/>
          <w:iCs/>
        </w:rPr>
        <w:t>Undergraduate Research in Natural and Clinical Science and Technology (URNCST) Journal</w:t>
      </w:r>
      <w:r>
        <w:t xml:space="preserve">, 9(4), pp.1–6. </w:t>
      </w:r>
      <w:proofErr w:type="spellStart"/>
      <w:r>
        <w:t>doi:https</w:t>
      </w:r>
      <w:proofErr w:type="spellEnd"/>
      <w:r>
        <w:t>://doi.org/10.26685/urncst.682.</w:t>
      </w:r>
    </w:p>
    <w:p w14:paraId="52F7CB89" w14:textId="77777777" w:rsidR="00CE1405" w:rsidRDefault="00CE1405" w:rsidP="00CE1405">
      <w:pPr>
        <w:pStyle w:val="NormalWeb"/>
        <w:spacing w:before="0" w:beforeAutospacing="0" w:after="240" w:afterAutospacing="0" w:line="360" w:lineRule="auto"/>
        <w:jc w:val="both"/>
      </w:pPr>
      <w:r>
        <w:t xml:space="preserve">Taylor, C.T. and Scholz, C.C. (2022). The effect of HIF on metabolism and immunity. </w:t>
      </w:r>
      <w:r>
        <w:rPr>
          <w:i/>
          <w:iCs/>
        </w:rPr>
        <w:t>Nature Reviews Nephrology</w:t>
      </w:r>
      <w:r>
        <w:t xml:space="preserve">, [online] 18(9), pp.573–587. </w:t>
      </w:r>
      <w:proofErr w:type="spellStart"/>
      <w:r>
        <w:t>doi:https</w:t>
      </w:r>
      <w:proofErr w:type="spellEnd"/>
      <w:r>
        <w:t>://doi.org/10.1038/s41581-022-00587-8.</w:t>
      </w:r>
    </w:p>
    <w:p w14:paraId="07482675" w14:textId="77777777" w:rsidR="00CE1405" w:rsidRDefault="00CE1405" w:rsidP="00CE1405">
      <w:pPr>
        <w:pStyle w:val="NormalWeb"/>
        <w:spacing w:before="0" w:beforeAutospacing="0" w:after="240" w:afterAutospacing="0" w:line="360" w:lineRule="auto"/>
        <w:jc w:val="both"/>
      </w:pPr>
      <w:proofErr w:type="spellStart"/>
      <w:r>
        <w:t>Tsapas</w:t>
      </w:r>
      <w:proofErr w:type="spellEnd"/>
      <w:r>
        <w:t xml:space="preserve">, A., Karagiannis, T., </w:t>
      </w:r>
      <w:proofErr w:type="spellStart"/>
      <w:r>
        <w:t>Kakotrichi</w:t>
      </w:r>
      <w:proofErr w:type="spellEnd"/>
      <w:r>
        <w:t xml:space="preserve">, P., Avgerinos, I., </w:t>
      </w:r>
      <w:proofErr w:type="spellStart"/>
      <w:r>
        <w:t>Mantsiou</w:t>
      </w:r>
      <w:proofErr w:type="spellEnd"/>
      <w:r>
        <w:t xml:space="preserve">, C., </w:t>
      </w:r>
      <w:proofErr w:type="spellStart"/>
      <w:r>
        <w:t>Tousinas</w:t>
      </w:r>
      <w:proofErr w:type="spellEnd"/>
      <w:r>
        <w:t xml:space="preserve">, G., Manolopoulos, A., Liakos, A., </w:t>
      </w:r>
      <w:proofErr w:type="spellStart"/>
      <w:r>
        <w:t>Malandris</w:t>
      </w:r>
      <w:proofErr w:type="spellEnd"/>
      <w:r>
        <w:t xml:space="preserve">, K., Matthews, D.R. and </w:t>
      </w:r>
      <w:proofErr w:type="spellStart"/>
      <w:r>
        <w:t>Bekiari</w:t>
      </w:r>
      <w:proofErr w:type="spellEnd"/>
      <w:r>
        <w:t xml:space="preserve">, E. (2021). Comparative efficacy of glucose‐lowering medications on body weight and blood pressure in patients with type 2 diabetes: A systematic review and network meta‐analysis. </w:t>
      </w:r>
      <w:r>
        <w:rPr>
          <w:i/>
          <w:iCs/>
        </w:rPr>
        <w:t>Diabetes, Obesity and Metabolism</w:t>
      </w:r>
      <w:r>
        <w:t xml:space="preserve">. </w:t>
      </w:r>
      <w:proofErr w:type="spellStart"/>
      <w:r>
        <w:t>doi:https</w:t>
      </w:r>
      <w:proofErr w:type="spellEnd"/>
      <w:r>
        <w:t>://doi.org/10.1111/dom.14451.</w:t>
      </w:r>
    </w:p>
    <w:p w14:paraId="75F80841" w14:textId="77777777" w:rsidR="00CE1405" w:rsidRDefault="00CE1405" w:rsidP="00CE1405"/>
    <w:p w14:paraId="476196D4" w14:textId="77777777" w:rsidR="00CE1405" w:rsidRDefault="00CE1405" w:rsidP="00CE1405"/>
    <w:p w14:paraId="05E42E8B" w14:textId="77777777" w:rsidR="00CE1405" w:rsidRDefault="00CE1405" w:rsidP="00CE1405"/>
    <w:p w14:paraId="1DDA30B6" w14:textId="77777777" w:rsidR="00CE1405" w:rsidRDefault="00CE1405" w:rsidP="00CE1405"/>
    <w:p w14:paraId="568B8205" w14:textId="77777777" w:rsidR="00CE1405" w:rsidRDefault="00CE1405" w:rsidP="00CE1405"/>
    <w:p w14:paraId="4107D3BB" w14:textId="77777777" w:rsidR="00CE1405" w:rsidRDefault="00CE1405" w:rsidP="00CE1405"/>
    <w:p w14:paraId="64528592" w14:textId="77777777" w:rsidR="00CE1405" w:rsidRDefault="00CE1405" w:rsidP="00CE1405"/>
    <w:p w14:paraId="4CDB2DAC" w14:textId="77777777" w:rsidR="00CE1405" w:rsidRDefault="00CE1405" w:rsidP="00CE1405"/>
    <w:p w14:paraId="0F73EE16" w14:textId="77777777" w:rsidR="00CE1405" w:rsidRDefault="00CE1405" w:rsidP="00CE1405"/>
    <w:p w14:paraId="6D818A38" w14:textId="77777777" w:rsidR="00CE1405" w:rsidRDefault="00CE1405" w:rsidP="00CE1405"/>
    <w:p w14:paraId="4A0B62FD" w14:textId="77777777" w:rsidR="00E14EDE" w:rsidRDefault="00E14EDE"/>
    <w:sectPr w:rsidR="00E14EDE" w:rsidSect="00CE1405">
      <w:headerReference w:type="default" r:id="rId10"/>
      <w:footerReference w:type="default" r:id="rId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8441786"/>
      <w:docPartObj>
        <w:docPartGallery w:val="Page Numbers (Bottom of Page)"/>
        <w:docPartUnique/>
      </w:docPartObj>
    </w:sdtPr>
    <w:sdtEndPr>
      <w:rPr>
        <w:noProof/>
      </w:rPr>
    </w:sdtEndPr>
    <w:sdtContent>
      <w:p w14:paraId="36B5E5C2" w14:textId="77777777" w:rsidR="00CE1405" w:rsidRDefault="00CE1405">
        <w:pPr>
          <w:pStyle w:val="Footer"/>
          <w:jc w:val="center"/>
        </w:pPr>
        <w:r>
          <w:fldChar w:fldCharType="begin"/>
        </w:r>
        <w:r>
          <w:instrText xml:space="preserve"> PAGE   \* MERGEFORMAT </w:instrText>
        </w:r>
        <w:r>
          <w:fldChar w:fldCharType="separate"/>
        </w:r>
        <w:r>
          <w:rPr>
            <w:noProof/>
          </w:rPr>
          <w:t>14</w:t>
        </w:r>
        <w:r>
          <w:rPr>
            <w:noProof/>
          </w:rPr>
          <w:fldChar w:fldCharType="end"/>
        </w:r>
      </w:p>
    </w:sdtContent>
  </w:sdt>
  <w:p w14:paraId="7B3C166B" w14:textId="77777777" w:rsidR="00CE1405" w:rsidRDefault="00CE1405">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473258468"/>
      <w:docPartObj>
        <w:docPartGallery w:val="Page Numbers (Top of Page)"/>
        <w:docPartUnique/>
      </w:docPartObj>
    </w:sdtPr>
    <w:sdtEndPr>
      <w:rPr>
        <w:b/>
        <w:bCs/>
        <w:noProof/>
        <w:color w:val="auto"/>
        <w:spacing w:val="0"/>
      </w:rPr>
    </w:sdtEndPr>
    <w:sdtContent>
      <w:p w14:paraId="3D2B36EE" w14:textId="77777777" w:rsidR="00CE1405" w:rsidRDefault="00CE1405" w:rsidP="00F47F48">
        <w:pPr>
          <w:pStyle w:val="Header"/>
          <w:pBdr>
            <w:bottom w:val="single" w:sz="4" w:space="1" w:color="D9D9D9" w:themeColor="background1" w:themeShade="D9"/>
          </w:pBdr>
          <w:tabs>
            <w:tab w:val="right" w:pos="9360"/>
          </w:tabs>
          <w:rPr>
            <w:b/>
            <w:bCs/>
          </w:rPr>
        </w:pPr>
        <w:r>
          <w:rPr>
            <w:color w:val="7F7F7F" w:themeColor="background1" w:themeShade="7F"/>
            <w:spacing w:val="60"/>
          </w:rPr>
          <w:t>2330125</w:t>
        </w:r>
        <w:r>
          <w:rPr>
            <w:color w:val="7F7F7F" w:themeColor="background1" w:themeShade="7F"/>
            <w:spacing w:val="60"/>
          </w:rPr>
          <w:tab/>
        </w:r>
        <w:r>
          <w:rPr>
            <w:color w:val="7F7F7F" w:themeColor="background1" w:themeShade="7F"/>
            <w:spacing w:val="60"/>
          </w:rPr>
          <w:tab/>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DE72AEB" w14:textId="77777777" w:rsidR="00CE1405" w:rsidRDefault="00CE14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405"/>
    <w:rsid w:val="0031295F"/>
    <w:rsid w:val="00CE1405"/>
    <w:rsid w:val="00D616A1"/>
    <w:rsid w:val="00DE29E2"/>
    <w:rsid w:val="00E14E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53F69"/>
  <w15:chartTrackingRefBased/>
  <w15:docId w15:val="{A9009CCD-D739-4276-8934-D84188B0E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405"/>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CE14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14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14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4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4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4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4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4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4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4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14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14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14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14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14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4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4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405"/>
    <w:rPr>
      <w:rFonts w:eastAsiaTheme="majorEastAsia" w:cstheme="majorBidi"/>
      <w:color w:val="272727" w:themeColor="text1" w:themeTint="D8"/>
    </w:rPr>
  </w:style>
  <w:style w:type="paragraph" w:styleId="Title">
    <w:name w:val="Title"/>
    <w:basedOn w:val="Normal"/>
    <w:next w:val="Normal"/>
    <w:link w:val="TitleChar"/>
    <w:uiPriority w:val="10"/>
    <w:qFormat/>
    <w:rsid w:val="00CE14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4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4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4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405"/>
    <w:pPr>
      <w:spacing w:before="160"/>
      <w:jc w:val="center"/>
    </w:pPr>
    <w:rPr>
      <w:i/>
      <w:iCs/>
      <w:color w:val="404040" w:themeColor="text1" w:themeTint="BF"/>
    </w:rPr>
  </w:style>
  <w:style w:type="character" w:customStyle="1" w:styleId="QuoteChar">
    <w:name w:val="Quote Char"/>
    <w:basedOn w:val="DefaultParagraphFont"/>
    <w:link w:val="Quote"/>
    <w:uiPriority w:val="29"/>
    <w:rsid w:val="00CE1405"/>
    <w:rPr>
      <w:i/>
      <w:iCs/>
      <w:color w:val="404040" w:themeColor="text1" w:themeTint="BF"/>
    </w:rPr>
  </w:style>
  <w:style w:type="paragraph" w:styleId="ListParagraph">
    <w:name w:val="List Paragraph"/>
    <w:basedOn w:val="Normal"/>
    <w:uiPriority w:val="34"/>
    <w:qFormat/>
    <w:rsid w:val="00CE1405"/>
    <w:pPr>
      <w:ind w:left="720"/>
      <w:contextualSpacing/>
    </w:pPr>
  </w:style>
  <w:style w:type="character" w:styleId="IntenseEmphasis">
    <w:name w:val="Intense Emphasis"/>
    <w:basedOn w:val="DefaultParagraphFont"/>
    <w:uiPriority w:val="21"/>
    <w:qFormat/>
    <w:rsid w:val="00CE1405"/>
    <w:rPr>
      <w:i/>
      <w:iCs/>
      <w:color w:val="0F4761" w:themeColor="accent1" w:themeShade="BF"/>
    </w:rPr>
  </w:style>
  <w:style w:type="paragraph" w:styleId="IntenseQuote">
    <w:name w:val="Intense Quote"/>
    <w:basedOn w:val="Normal"/>
    <w:next w:val="Normal"/>
    <w:link w:val="IntenseQuoteChar"/>
    <w:uiPriority w:val="30"/>
    <w:qFormat/>
    <w:rsid w:val="00CE14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1405"/>
    <w:rPr>
      <w:i/>
      <w:iCs/>
      <w:color w:val="0F4761" w:themeColor="accent1" w:themeShade="BF"/>
    </w:rPr>
  </w:style>
  <w:style w:type="character" w:styleId="IntenseReference">
    <w:name w:val="Intense Reference"/>
    <w:basedOn w:val="DefaultParagraphFont"/>
    <w:uiPriority w:val="32"/>
    <w:qFormat/>
    <w:rsid w:val="00CE1405"/>
    <w:rPr>
      <w:b/>
      <w:bCs/>
      <w:smallCaps/>
      <w:color w:val="0F4761" w:themeColor="accent1" w:themeShade="BF"/>
      <w:spacing w:val="5"/>
    </w:rPr>
  </w:style>
  <w:style w:type="paragraph" w:styleId="NormalWeb">
    <w:name w:val="Normal (Web)"/>
    <w:basedOn w:val="Normal"/>
    <w:uiPriority w:val="99"/>
    <w:unhideWhenUsed/>
    <w:rsid w:val="00CE1405"/>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CE1405"/>
    <w:rPr>
      <w:color w:val="467886" w:themeColor="hyperlink"/>
      <w:u w:val="single"/>
    </w:rPr>
  </w:style>
  <w:style w:type="paragraph" w:styleId="Footer">
    <w:name w:val="footer"/>
    <w:basedOn w:val="Normal"/>
    <w:link w:val="FooterChar"/>
    <w:uiPriority w:val="99"/>
    <w:unhideWhenUsed/>
    <w:rsid w:val="00CE14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1405"/>
    <w:rPr>
      <w:rFonts w:ascii="Times New Roman" w:hAnsi="Times New Roman"/>
      <w:kern w:val="0"/>
      <w:sz w:val="24"/>
      <w14:ligatures w14:val="none"/>
    </w:rPr>
  </w:style>
  <w:style w:type="paragraph" w:styleId="TOCHeading">
    <w:name w:val="TOC Heading"/>
    <w:basedOn w:val="Heading1"/>
    <w:next w:val="Normal"/>
    <w:uiPriority w:val="39"/>
    <w:unhideWhenUsed/>
    <w:qFormat/>
    <w:rsid w:val="00CE1405"/>
    <w:pPr>
      <w:spacing w:before="240" w:after="0"/>
      <w:outlineLvl w:val="9"/>
    </w:pPr>
    <w:rPr>
      <w:sz w:val="32"/>
      <w:szCs w:val="32"/>
      <w:lang w:val="en-US"/>
    </w:rPr>
  </w:style>
  <w:style w:type="paragraph" w:styleId="TOC1">
    <w:name w:val="toc 1"/>
    <w:basedOn w:val="Normal"/>
    <w:next w:val="Normal"/>
    <w:autoRedefine/>
    <w:uiPriority w:val="39"/>
    <w:unhideWhenUsed/>
    <w:rsid w:val="00CE1405"/>
    <w:pPr>
      <w:spacing w:after="100"/>
    </w:pPr>
  </w:style>
  <w:style w:type="paragraph" w:styleId="Header">
    <w:name w:val="header"/>
    <w:basedOn w:val="Normal"/>
    <w:link w:val="HeaderChar"/>
    <w:uiPriority w:val="99"/>
    <w:unhideWhenUsed/>
    <w:rsid w:val="00CE14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405"/>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9545e35e9522c8908db13d2bc102a92">
  <xsd:schema xmlns:xsd="http://www.w3.org/2001/XMLSchema" xmlns:xs="http://www.w3.org/2001/XMLSchema" xmlns:p="http://schemas.microsoft.com/office/2006/metadata/properties" xmlns:ns3="0085e1a2-9cbf-4b92-866b-21f3c89040b6" targetNamespace="http://schemas.microsoft.com/office/2006/metadata/properties" ma:root="true" ma:fieldsID="cf0ac258ed88f29e9d524e1dd52d2a5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0458BB56-2648-46E0-B66A-81A092FD73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7080BE-6B4A-4C6B-B58F-E2ED7E40F3FA}">
  <ds:schemaRefs>
    <ds:schemaRef ds:uri="http://schemas.microsoft.com/sharepoint/v3/contenttype/forms"/>
  </ds:schemaRefs>
</ds:datastoreItem>
</file>

<file path=customXml/itemProps3.xml><?xml version="1.0" encoding="utf-8"?>
<ds:datastoreItem xmlns:ds="http://schemas.openxmlformats.org/officeDocument/2006/customXml" ds:itemID="{266D707A-FA76-4C9C-9ECB-406B608E2F80}">
  <ds:schemaRefs>
    <ds:schemaRef ds:uri="http://purl.org/dc/dcmitype/"/>
    <ds:schemaRef ds:uri="0085e1a2-9cbf-4b92-866b-21f3c89040b6"/>
    <ds:schemaRef ds:uri="http://schemas.openxmlformats.org/package/2006/metadata/core-properties"/>
    <ds:schemaRef ds:uri="http://schemas.microsoft.com/office/2006/documentManagement/types"/>
    <ds:schemaRef ds:uri="http://purl.org/dc/elements/1.1/"/>
    <ds:schemaRef ds:uri="http://schemas.microsoft.com/office/2006/metadata/properties"/>
    <ds:schemaRef ds:uri="http://www.w3.org/XML/1998/namespace"/>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2597</Words>
  <Characters>14910</Characters>
  <Application>Microsoft Office Word</Application>
  <DocSecurity>0</DocSecurity>
  <Lines>338</Lines>
  <Paragraphs>67</Paragraphs>
  <ScaleCrop>false</ScaleCrop>
  <Company/>
  <LinksUpToDate>false</LinksUpToDate>
  <CharactersWithSpaces>17440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Princila Manu (2330125)</dc:creator>
  <cp:keywords/>
  <dc:description/>
  <cp:lastModifiedBy>Princila Manu (2330125)</cp:lastModifiedBy>
  <cp:revision>2</cp:revision>
  <dcterms:created xsi:type="dcterms:W3CDTF">2025-11-09T17:06:00Z</dcterms:created>
  <dcterms:modified xsi:type="dcterms:W3CDTF">2025-11-09T17:06:00Z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