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44E7A8D4" w:rsidP="44E7A8D4" w:rsidRDefault="44E7A8D4" w14:paraId="621183A2" w14:textId="3B5CE7F3">
      <w:pPr>
        <w:pStyle w:val="NormalWeb"/>
        <w:jc w:val="center"/>
        <w:rPr>
          <w:sz w:val="36"/>
          <w:szCs w:val="36"/>
        </w:rPr>
      </w:pPr>
    </w:p>
    <w:p w:rsidR="44E7A8D4" w:rsidP="44E7A8D4" w:rsidRDefault="44E7A8D4" w14:paraId="47D7026C" w14:textId="2B41B259">
      <w:pPr>
        <w:pStyle w:val="NormalWeb"/>
        <w:jc w:val="center"/>
        <w:rPr>
          <w:sz w:val="36"/>
          <w:szCs w:val="36"/>
        </w:rPr>
      </w:pPr>
    </w:p>
    <w:p w:rsidR="44E7A8D4" w:rsidP="44E7A8D4" w:rsidRDefault="44E7A8D4" w14:paraId="759599EA" w14:textId="61845D8E">
      <w:pPr>
        <w:pStyle w:val="NormalWeb"/>
        <w:jc w:val="center"/>
        <w:rPr>
          <w:sz w:val="36"/>
          <w:szCs w:val="36"/>
        </w:rPr>
      </w:pPr>
    </w:p>
    <w:p w:rsidR="44E7A8D4" w:rsidP="44E7A8D4" w:rsidRDefault="44E7A8D4" w14:paraId="5C183521" w14:textId="5867C2E7">
      <w:pPr>
        <w:pStyle w:val="NormalWeb"/>
        <w:jc w:val="center"/>
        <w:rPr>
          <w:sz w:val="36"/>
          <w:szCs w:val="36"/>
        </w:rPr>
      </w:pPr>
    </w:p>
    <w:p w:rsidR="799033BE" w:rsidP="44E7A8D4" w:rsidRDefault="799033BE" w14:paraId="16B46A7E" w14:textId="2BD86969">
      <w:pPr>
        <w:pStyle w:val="NormalWeb"/>
        <w:jc w:val="center"/>
        <w:rPr>
          <w:sz w:val="36"/>
          <w:szCs w:val="36"/>
        </w:rPr>
      </w:pPr>
      <w:r w:rsidRPr="44E7A8D4" w:rsidR="799033BE">
        <w:rPr>
          <w:sz w:val="36"/>
          <w:szCs w:val="36"/>
        </w:rPr>
        <w:t>FARAH HUSSAIN 2328221</w:t>
      </w:r>
    </w:p>
    <w:p w:rsidR="799033BE" w:rsidP="44E7A8D4" w:rsidRDefault="799033BE" w14:paraId="4058B616" w14:textId="1E334AAE">
      <w:pPr>
        <w:pStyle w:val="NormalWeb"/>
        <w:jc w:val="center"/>
        <w:rPr>
          <w:sz w:val="36"/>
          <w:szCs w:val="36"/>
        </w:rPr>
      </w:pPr>
      <w:r w:rsidRPr="44E7A8D4" w:rsidR="799033BE">
        <w:rPr>
          <w:sz w:val="36"/>
          <w:szCs w:val="36"/>
        </w:rPr>
        <w:t>COMPONENT 2 CHANGEMAKERS</w:t>
      </w:r>
    </w:p>
    <w:p w:rsidR="799033BE" w:rsidP="44E7A8D4" w:rsidRDefault="799033BE" w14:paraId="7B294CC5" w14:textId="4FAF73CC">
      <w:pPr>
        <w:pStyle w:val="NormalWeb"/>
        <w:jc w:val="center"/>
        <w:rPr>
          <w:sz w:val="36"/>
          <w:szCs w:val="36"/>
        </w:rPr>
      </w:pPr>
      <w:r w:rsidRPr="44E7A8D4" w:rsidR="799033BE">
        <w:rPr>
          <w:sz w:val="36"/>
          <w:szCs w:val="36"/>
        </w:rPr>
        <w:t>LECTURER- ALICE CLAYTON</w:t>
      </w:r>
    </w:p>
    <w:p w:rsidR="56D793E1" w:rsidP="44E7A8D4" w:rsidRDefault="56D793E1" w14:paraId="4C880F1E" w14:textId="562C9E23">
      <w:pPr>
        <w:pStyle w:val="NormalWeb"/>
        <w:jc w:val="center"/>
        <w:rPr>
          <w:sz w:val="36"/>
          <w:szCs w:val="36"/>
        </w:rPr>
      </w:pPr>
      <w:r w:rsidRPr="44E7A8D4" w:rsidR="56D793E1">
        <w:rPr>
          <w:sz w:val="36"/>
          <w:szCs w:val="36"/>
        </w:rPr>
        <w:t>BMHP5014</w:t>
      </w:r>
    </w:p>
    <w:p w:rsidR="44E7A8D4" w:rsidP="44E7A8D4" w:rsidRDefault="44E7A8D4" w14:paraId="44D583F0" w14:textId="375E4B48">
      <w:pPr>
        <w:pStyle w:val="NormalWeb"/>
        <w:jc w:val="center"/>
        <w:rPr>
          <w:sz w:val="36"/>
          <w:szCs w:val="36"/>
        </w:rPr>
      </w:pPr>
    </w:p>
    <w:p w:rsidR="002D396C" w:rsidP="002D396C" w:rsidRDefault="002D396C" w14:paraId="47A2DD1A" w14:textId="5C2062B7">
      <w:pPr>
        <w:pStyle w:val="NormalWeb"/>
        <w:jc w:val="center"/>
      </w:pPr>
    </w:p>
    <w:p w:rsidR="002D396C" w:rsidP="44E7A8D4" w:rsidRDefault="002D396C" w14:paraId="4C5082B0" w14:textId="1084BAD2">
      <w:pPr/>
      <w:r>
        <w:br w:type="page"/>
      </w:r>
    </w:p>
    <w:p w:rsidR="002D396C" w:rsidP="002D396C" w:rsidRDefault="002D396C" w14:paraId="16B8591E" w14:textId="40EDFD4E">
      <w:pPr>
        <w:pStyle w:val="NormalWeb"/>
        <w:jc w:val="center"/>
      </w:pPr>
      <w:r w:rsidR="002D396C">
        <w:drawing>
          <wp:inline wp14:editId="72BE3520" wp14:anchorId="0AC263B6">
            <wp:extent cx="4949050" cy="6999514"/>
            <wp:effectExtent l="19050" t="0" r="3950" b="0"/>
            <wp:docPr id="2" name="Picture 1" descr="D:\soumik\Soumalya\2025 Nov\13\Green Illustrated World Health Day Poster.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D:\soumik\Soumalya\2025 Nov\13\Green Illustrated World Health Day Poster.png"/>
                    <pic:cNvPicPr>
                      <a:picLocks noChangeAspect="1" noChangeArrowheads="1"/>
                    </pic:cNvPicPr>
                  </pic:nvPicPr>
                  <pic:blipFill>
                    <a:blip xmlns:r="http://schemas.openxmlformats.org/officeDocument/2006/relationships" r:embed="rId7" cstate="print"/>
                    <a:srcRect/>
                    <a:stretch>
                      <a:fillRect/>
                    </a:stretch>
                  </pic:blipFill>
                  <pic:spPr bwMode="auto">
                    <a:xfrm>
                      <a:off x="0" y="0"/>
                      <a:ext cx="4958764" cy="7013252"/>
                    </a:xfrm>
                    <a:prstGeom prst="rect">
                      <a:avLst/>
                    </a:prstGeom>
                    <a:noFill/>
                    <a:ln w="9525">
                      <a:noFill/>
                      <a:miter lim="800000"/>
                      <a:headEnd/>
                      <a:tailEnd/>
                    </a:ln>
                  </pic:spPr>
                </pic:pic>
              </a:graphicData>
            </a:graphic>
          </wp:inline>
        </w:drawing>
      </w:r>
    </w:p>
    <w:p w:rsidR="00D92826" w:rsidRDefault="00D92826" w14:paraId="393F8E45" w14:textId="77777777">
      <w:pPr>
        <w:spacing w:after="200" w:line="360" w:lineRule="auto"/>
        <w:jc w:val="center"/>
        <w:rPr>
          <w:rFonts w:ascii="Times New Roman" w:hAnsi="Times New Roman" w:eastAsia="Times New Roman" w:cs="Times New Roman"/>
          <w:b/>
          <w:bCs/>
          <w:sz w:val="24"/>
          <w:szCs w:val="24"/>
        </w:rPr>
      </w:pPr>
    </w:p>
    <w:p w:rsidR="00D92826" w:rsidP="00660F48" w:rsidRDefault="001D0538" w14:paraId="5641B3A6" w14:textId="77777777">
      <w:pPr>
        <w:pStyle w:val="Heading1"/>
      </w:pPr>
      <w:bookmarkStart w:name="_Toc213952642" w:id="0"/>
      <w:bookmarkStart w:name="_Toc1320256147" w:id="1"/>
      <w:r>
        <w:lastRenderedPageBreak/>
        <w:t>Part B: Pitch</w:t>
      </w:r>
      <w:bookmarkEnd w:id="0"/>
      <w:bookmarkEnd w:id="1"/>
    </w:p>
    <w:p w:rsidR="00D92826" w:rsidP="00660F48" w:rsidRDefault="001D0538" w14:paraId="3195C531" w14:textId="77777777">
      <w:pPr>
        <w:pStyle w:val="Heading2"/>
      </w:pPr>
      <w:bookmarkStart w:name="_Toc213952643" w:id="2"/>
      <w:bookmarkStart w:name="_Toc794357231" w:id="3"/>
      <w:r>
        <w:t>Introduction</w:t>
      </w:r>
      <w:bookmarkEnd w:id="2"/>
      <w:bookmarkEnd w:id="3"/>
    </w:p>
    <w:p w:rsidR="00D92826" w:rsidRDefault="467ADB32" w14:paraId="59BAB321" w14:textId="45700F2C">
      <w:pPr>
        <w:spacing w:after="200" w:line="360" w:lineRule="auto"/>
        <w:jc w:val="both"/>
        <w:rPr>
          <w:rFonts w:ascii="Times New Roman" w:hAnsi="Times New Roman" w:eastAsia="Times New Roman" w:cs="Times New Roman"/>
          <w:sz w:val="24"/>
          <w:szCs w:val="24"/>
        </w:rPr>
      </w:pPr>
      <w:r w:rsidRPr="1C185FFC">
        <w:rPr>
          <w:rFonts w:ascii="Times New Roman" w:hAnsi="Times New Roman" w:eastAsia="Times New Roman" w:cs="Times New Roman"/>
          <w:sz w:val="24"/>
          <w:szCs w:val="24"/>
        </w:rPr>
        <w:t>All</w:t>
      </w:r>
      <w:r w:rsidRPr="1C185FFC" w:rsidR="001D0538">
        <w:rPr>
          <w:rFonts w:ascii="Times New Roman" w:hAnsi="Times New Roman" w:eastAsia="Times New Roman" w:cs="Times New Roman"/>
          <w:sz w:val="24"/>
          <w:szCs w:val="24"/>
        </w:rPr>
        <w:t xml:space="preserve"> the positives of healthcare digitisation have led to an unintentional and alarming example of the digital divide, isolating older adults and limiting their access to necessary services out of proportion, </w:t>
      </w:r>
      <w:r w:rsidRPr="1C185FFC" w:rsidR="14DDDA34">
        <w:rPr>
          <w:rFonts w:ascii="Times New Roman" w:hAnsi="Times New Roman" w:eastAsia="Times New Roman" w:cs="Times New Roman"/>
          <w:sz w:val="24"/>
          <w:szCs w:val="24"/>
        </w:rPr>
        <w:t>because of</w:t>
      </w:r>
      <w:r w:rsidRPr="1C185FFC" w:rsidR="001D0538">
        <w:rPr>
          <w:rFonts w:ascii="Times New Roman" w:hAnsi="Times New Roman" w:eastAsia="Times New Roman" w:cs="Times New Roman"/>
          <w:sz w:val="24"/>
          <w:szCs w:val="24"/>
        </w:rPr>
        <w:t xml:space="preserve"> the rapid digitisation of healthcare today. Statistics published by Age UK in the UK have painted a bleak picture: the number of people using the internet is increasing, yet 38% of people aged 75 and above are not using it, not to mention that others do not have the confidence to use digital services to perform complicated and challenging tasks, such as managing their healthcare. Such exclusion has real negative consequences, such as the inability to attend a doctor, the inability to deal with chronic illnesses, the inability to use emergency care, and a profound feeling of social isolation that exacerbates the already at-risk groups' health inequities. </w:t>
      </w:r>
    </w:p>
    <w:p w:rsidR="00D92826" w:rsidP="00660F48" w:rsidRDefault="001D0538" w14:paraId="6A76DA05" w14:textId="77777777">
      <w:pPr>
        <w:pStyle w:val="Heading2"/>
      </w:pPr>
      <w:bookmarkStart w:name="_Toc213952644" w:id="4"/>
      <w:bookmarkStart w:name="_Toc1841074189" w:id="5"/>
      <w:r>
        <w:t>Section 1: Detailed Campaign Overview</w:t>
      </w:r>
      <w:bookmarkEnd w:id="4"/>
      <w:bookmarkEnd w:id="5"/>
    </w:p>
    <w:p w:rsidR="00D92826" w:rsidRDefault="001D0538" w14:paraId="6C96D445"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issue that this campaign aims to solve goes way beyond a mere failure to operate a smartphone; it is a complex decision-making problem to access, feel comfortable and belong to someone. A lot of older people genuinely feel anxious when they interact with technology, are afraid of making an expensive error, or feel like they are being left behind by the change process (Falk, 2024). Such technology deteriorates clinical risks, worsens the epidemic of loneliness, and, according to the report of Age UK, more than 2 million residents of England aged over 75 live alone. </w:t>
      </w:r>
    </w:p>
    <w:p w:rsidR="00D92826" w:rsidP="7F783EC0" w:rsidRDefault="001D0538" w14:paraId="7349BC56" w14:textId="7A7A0F1F">
      <w:pPr>
        <w:spacing w:after="200" w:line="360" w:lineRule="auto"/>
        <w:jc w:val="both"/>
        <w:rPr>
          <w:rFonts w:ascii="Times New Roman" w:hAnsi="Times New Roman" w:eastAsia="Times New Roman" w:cs="Times New Roman"/>
          <w:sz w:val="24"/>
          <w:szCs w:val="24"/>
        </w:rPr>
      </w:pPr>
      <w:r w:rsidRPr="7F783EC0">
        <w:rPr>
          <w:rFonts w:ascii="Times New Roman" w:hAnsi="Times New Roman" w:eastAsia="Times New Roman" w:cs="Times New Roman"/>
          <w:sz w:val="24"/>
          <w:szCs w:val="24"/>
        </w:rPr>
        <w:t xml:space="preserve">The curriculum itself is health-oriented and is divided into sessions such as “Session 1: Mastering Video Calls with Family and Clinics, Session 2: Learning </w:t>
      </w:r>
    </w:p>
    <w:p w:rsidR="00D92826" w:rsidP="7F783EC0" w:rsidRDefault="001D0538" w14:paraId="034B0615" w14:textId="0DBB5995">
      <w:pPr>
        <w:spacing w:after="200" w:line="360" w:lineRule="auto"/>
      </w:pPr>
      <w:r>
        <w:br w:type="page"/>
      </w:r>
    </w:p>
    <w:p w:rsidR="00D92826" w:rsidP="7F783EC0" w:rsidRDefault="001D0538" w14:paraId="715A4ED4" w14:textId="5E15299D">
      <w:pPr>
        <w:spacing w:after="200" w:line="360" w:lineRule="auto"/>
        <w:jc w:val="both"/>
        <w:rPr>
          <w:rFonts w:ascii="Times New Roman" w:hAnsi="Times New Roman" w:eastAsia="Times New Roman" w:cs="Times New Roman"/>
          <w:sz w:val="24"/>
          <w:szCs w:val="24"/>
        </w:rPr>
      </w:pPr>
      <w:r w:rsidRPr="7F783EC0">
        <w:rPr>
          <w:rFonts w:ascii="Times New Roman" w:hAnsi="Times New Roman" w:eastAsia="Times New Roman" w:cs="Times New Roman"/>
          <w:sz w:val="24"/>
          <w:szCs w:val="24"/>
        </w:rPr>
        <w:lastRenderedPageBreak/>
        <w:t xml:space="preserve">navigate the NHS App to find Prescriptions and Records, and Session 3: Safely finding reliable health information on the Internet (Public Health England, 2019). </w:t>
      </w:r>
      <w:r w:rsidRPr="7F783EC0" w:rsidR="63FAD9B0">
        <w:rPr>
          <w:rFonts w:ascii="Times New Roman" w:hAnsi="Times New Roman" w:eastAsia="Times New Roman" w:cs="Times New Roman"/>
          <w:sz w:val="24"/>
          <w:szCs w:val="24"/>
        </w:rPr>
        <w:t>To</w:t>
      </w:r>
      <w:r w:rsidRPr="7F783EC0">
        <w:rPr>
          <w:rFonts w:ascii="Times New Roman" w:hAnsi="Times New Roman" w:eastAsia="Times New Roman" w:cs="Times New Roman"/>
          <w:sz w:val="24"/>
          <w:szCs w:val="24"/>
        </w:rPr>
        <w:t xml:space="preserve"> make it truly available, the model involves a collaboration with </w:t>
      </w:r>
      <w:r w:rsidRPr="7F783EC0" w:rsidR="29D7F3FD">
        <w:rPr>
          <w:rFonts w:ascii="Times New Roman" w:hAnsi="Times New Roman" w:eastAsia="Times New Roman" w:cs="Times New Roman"/>
          <w:sz w:val="24"/>
          <w:szCs w:val="24"/>
        </w:rPr>
        <w:t>a realistic</w:t>
      </w:r>
      <w:r w:rsidRPr="7F783EC0">
        <w:rPr>
          <w:rFonts w:ascii="Times New Roman" w:hAnsi="Times New Roman" w:eastAsia="Times New Roman" w:cs="Times New Roman"/>
          <w:sz w:val="24"/>
          <w:szCs w:val="24"/>
        </w:rPr>
        <w:t xml:space="preserve"> local transportation service, such as Community Transport Kent, which specifically targets mobility challenges that impact 40% of individuals in the 70-year-old or older bracket (Rossi, Mariotti and</w:t>
      </w:r>
      <w:r w:rsidR="00F6548B">
        <w:rPr>
          <w:rFonts w:ascii="Times New Roman" w:hAnsi="Times New Roman" w:eastAsia="Times New Roman" w:cs="Times New Roman"/>
          <w:sz w:val="24"/>
          <w:szCs w:val="24"/>
        </w:rPr>
        <w:t xml:space="preserve"> </w:t>
      </w:r>
      <w:proofErr w:type="spellStart"/>
      <w:r w:rsidRPr="7F783EC0">
        <w:rPr>
          <w:rFonts w:ascii="Times New Roman" w:hAnsi="Times New Roman" w:eastAsia="Times New Roman" w:cs="Times New Roman"/>
          <w:sz w:val="24"/>
          <w:szCs w:val="24"/>
        </w:rPr>
        <w:t>Pantelaki</w:t>
      </w:r>
      <w:proofErr w:type="spellEnd"/>
      <w:r w:rsidRPr="7F783EC0">
        <w:rPr>
          <w:rFonts w:ascii="Times New Roman" w:hAnsi="Times New Roman" w:eastAsia="Times New Roman" w:cs="Times New Roman"/>
          <w:sz w:val="24"/>
          <w:szCs w:val="24"/>
        </w:rPr>
        <w:t xml:space="preserve">, 2023). The funding will be pursued by applying to specific funds like The National Lottery Community Fund and the local Integrated Care System grants, which pay attention to the prevention of health. </w:t>
      </w:r>
    </w:p>
    <w:p w:rsidR="00D92826" w:rsidP="00660F48" w:rsidRDefault="001D0538" w14:paraId="308F0D48" w14:textId="77777777">
      <w:pPr>
        <w:pStyle w:val="Heading2"/>
      </w:pPr>
      <w:bookmarkStart w:name="_Toc213952645" w:id="6"/>
      <w:bookmarkStart w:name="_Toc389597299" w:id="7"/>
      <w:r>
        <w:t>Section 2: Analysis of Leadership Framework</w:t>
      </w:r>
      <w:bookmarkEnd w:id="6"/>
      <w:bookmarkEnd w:id="7"/>
    </w:p>
    <w:p w:rsidR="00D92826" w:rsidRDefault="001D0538" w14:paraId="7AFD5D24" w14:textId="77777777">
      <w:pPr>
        <w:spacing w:after="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2.1: Vision and Innovation</w:t>
      </w:r>
    </w:p>
    <w:p w:rsidR="00D92826" w:rsidRDefault="001D0538" w14:paraId="64EB340C"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One of the primary leadership principles of the Trade Skills 4U framework is the ability to envision the future in a clear, compelling way and promote new ways of doing things (Odewole, </w:t>
      </w:r>
      <w:proofErr w:type="spellStart"/>
      <w:r>
        <w:rPr>
          <w:rFonts w:ascii="Times New Roman" w:hAnsi="Times New Roman" w:eastAsia="Times New Roman" w:cs="Times New Roman"/>
          <w:sz w:val="24"/>
          <w:szCs w:val="24"/>
        </w:rPr>
        <w:t>Sobowale</w:t>
      </w:r>
      <w:proofErr w:type="spellEnd"/>
      <w:r>
        <w:rPr>
          <w:rFonts w:ascii="Times New Roman" w:hAnsi="Times New Roman" w:eastAsia="Times New Roman" w:cs="Times New Roman"/>
          <w:sz w:val="24"/>
          <w:szCs w:val="24"/>
        </w:rPr>
        <w:t xml:space="preserve"> and Uzzi, 2023). The vision of the "Connecting Generations" is unquestionable: a community in which digital advancement leads to inclusion, but not exclusion and no one is left alone. However, the truly innovative aspect is not the technology itself, but the caring and communal delivery model (Ppali </w:t>
      </w:r>
      <w:r w:rsidRPr="00F6548B">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2025). It is an innovative, people-focused solution that goes deeper than the single-level approach of simply having a helpline on the tip of the instructional leaflet. Rather, it reframes the issue as not one where it's the teaching of elderly people to use phones, but rather the empowerment of the citizens with the help of the weighted aspect of intergenerational bonding.</w:t>
      </w:r>
    </w:p>
    <w:p w:rsidR="00D92826" w:rsidRDefault="001D0538" w14:paraId="2E38A7DF" w14:textId="77777777">
      <w:pPr>
        <w:spacing w:after="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2.2: Influencing and Communication</w:t>
      </w:r>
    </w:p>
    <w:p w:rsidR="00D92826" w:rsidRDefault="001D0538" w14:paraId="4E8CE4FC"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Another pillar of leadership is exemplary communication and influence, which is very critical in determining the success of the campaign (Vizitiu </w:t>
      </w:r>
      <w:r w:rsidRPr="00F6548B">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 A leader needs to package his message to various stakeholders to develop a coalition of support, and this campaign is one that does it strategically. In the case of older adults, the message should be explicit, reassuring, and communicated using reliable methods such as GP surgeries and local newsletters and concentrate on the actual outcomes, such as staying active and gathering with family (</w:t>
      </w:r>
      <w:proofErr w:type="spellStart"/>
      <w:r>
        <w:rPr>
          <w:rFonts w:ascii="Times New Roman" w:hAnsi="Times New Roman" w:eastAsia="Times New Roman" w:cs="Times New Roman"/>
          <w:sz w:val="24"/>
          <w:szCs w:val="24"/>
        </w:rPr>
        <w:t>Jezrawi</w:t>
      </w:r>
      <w:proofErr w:type="spellEnd"/>
      <w:r>
        <w:rPr>
          <w:rFonts w:ascii="Times New Roman" w:hAnsi="Times New Roman" w:eastAsia="Times New Roman" w:cs="Times New Roman"/>
          <w:sz w:val="24"/>
          <w:szCs w:val="24"/>
        </w:rPr>
        <w:t xml:space="preserve"> </w:t>
      </w:r>
      <w:r w:rsidRPr="00F6548B">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In the case of the possible young volunteers, the message will be positioned in terms of a valued </w:t>
      </w:r>
      <w:r>
        <w:rPr>
          <w:rFonts w:ascii="Times New Roman" w:hAnsi="Times New Roman" w:eastAsia="Times New Roman" w:cs="Times New Roman"/>
          <w:sz w:val="24"/>
          <w:szCs w:val="24"/>
        </w:rPr>
        <w:lastRenderedPageBreak/>
        <w:t xml:space="preserve">development of skills, work experience, and personal satisfaction of giving back, thus encouraging them to volunteer their time and digital nativeness. </w:t>
      </w:r>
    </w:p>
    <w:p w:rsidR="00D92826" w:rsidRDefault="001D0538" w14:paraId="0E39829F" w14:textId="77777777">
      <w:pPr>
        <w:spacing w:after="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2.3: Team Building and Collaboration</w:t>
      </w:r>
    </w:p>
    <w:p w:rsidR="00D92826" w:rsidRDefault="001D0538" w14:paraId="4F54D6E4"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Leadership is concerned with networking and developing networks, and the Connect Generations campaign would construct a multi-stakeholder team proactively (Jayashree, El Barachi and Hamza, 2022). This team is strategically composed of older adults as active participants in their own learning process, young volunteers to become trained as a digital partner, staff of the community centre, which offers a physical address and persuades the local about its persuasiveness, community transport, which addresses a serious barrier of logistics, and grant-awarding organisations, which offer the necessary financial infrastructure (Baranova, 2024). This participatory style is the driving force of the campaign, in that it is these so-called trained young volunteers who get to make intergenerational bonding, that makes the resolution not only technical, but also social, creating bridges between generational schisms and making people feel like they own a common community, which is a key feature of successful collaborative leadership.</w:t>
      </w:r>
    </w:p>
    <w:p w:rsidR="00D92826" w:rsidRDefault="001D0538" w14:paraId="04C4CD76" w14:textId="77777777">
      <w:pPr>
        <w:spacing w:after="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2.4: Problem-Solving and Implementation</w:t>
      </w:r>
    </w:p>
    <w:p w:rsidR="00D92826" w:rsidRDefault="001D0538" w14:paraId="0D0AD92C"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campaign is based on the systematic approach to his/her problem-solving and implementation, i.e., the Design Thinking process (Armenia </w:t>
      </w:r>
      <w:r w:rsidRPr="00F6548B">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The human-centred approach offers a methodical process of leadership in action, such that the solution that is reached is informed as well as empathetic. The initial phase is Empathise, which entails holding interviews with older adults and spending time with the individuals with the aim of knowing their worries and frustrations when forced to face a digital check-in screen (Kennedy </w:t>
      </w:r>
      <w:r w:rsidRPr="00F6548B">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2025). These rough observations are then reconstructed at the Working Defining stage into a concise and concrete statement of the problem: a requirement to find patient untrained, recurring and emotionally intensive coaching, rather than technical training. This brings it to Ideate, where brainstorming develops innovative solutions, such as an intergenerational model, a digital partner. </w:t>
      </w:r>
    </w:p>
    <w:p w:rsidR="00D92826" w:rsidP="00660F48" w:rsidRDefault="001D0538" w14:paraId="743A3463" w14:textId="77777777">
      <w:pPr>
        <w:pStyle w:val="Heading2"/>
      </w:pPr>
      <w:bookmarkStart w:name="_Toc213952646" w:id="8"/>
      <w:bookmarkStart w:name="_Toc295332730" w:id="9"/>
      <w:r>
        <w:lastRenderedPageBreak/>
        <w:t>Section 4: Final and Summative words on the Value Creation.</w:t>
      </w:r>
      <w:bookmarkEnd w:id="8"/>
      <w:bookmarkEnd w:id="9"/>
    </w:p>
    <w:p w:rsidR="00D92826" w:rsidRDefault="001D0538" w14:paraId="77F8BE23" w14:textId="77777777">
      <w:pPr>
        <w:spacing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sum everything up, the Connecting Generations campaign is not just a regular course in digital literacy, but it is a planned-out programme that acquires its power due to the inherent correspondence with the basic principles of leadership. Through the capacity to state a powerful and transformative vision, the use of sophisticated communication tactics, the establishment of true cooperation, and the use of a strict problem-solving method combined with a compassionate approach to a problem, the campaign is established as a multi-dimensional and long-lasting intervention (Lee and So, 2025). The value it brings about is extensive and many-layered: to the service user, it will be additional independence, self-confidence, and social cohesion; to the health system, it will be a lower load on primary care and improved adherence to medications; and to the community, a more cohesive social fabric will be provided by tying young and old. In the end, it shows that leading in the contemporary care is not about having all the answers, but about setting the right conditions by empathy, partnership and outlining the clear perspective of communities flourishing.</w:t>
      </w:r>
    </w:p>
    <w:p w:rsidR="00D92826" w:rsidRDefault="001D0538" w14:paraId="1CA32E71" w14:textId="77777777">
      <w:pPr>
        <w:spacing w:after="200" w:line="360" w:lineRule="auto"/>
        <w:jc w:val="both"/>
        <w:rPr>
          <w:rFonts w:ascii="Times New Roman" w:hAnsi="Times New Roman" w:eastAsia="Times New Roman" w:cs="Times New Roman"/>
          <w:sz w:val="24"/>
          <w:szCs w:val="24"/>
        </w:rPr>
      </w:pPr>
      <w:r>
        <w:br w:type="page"/>
      </w:r>
    </w:p>
    <w:p w:rsidR="00D92826" w:rsidP="00660F48" w:rsidRDefault="001D0538" w14:paraId="3B3963EB" w14:textId="77777777">
      <w:pPr>
        <w:pStyle w:val="Heading1"/>
      </w:pPr>
      <w:bookmarkStart w:name="_Toc213952647" w:id="10"/>
      <w:bookmarkStart w:name="_Toc2142665103" w:id="11"/>
      <w:r>
        <w:lastRenderedPageBreak/>
        <w:t>References</w:t>
      </w:r>
      <w:bookmarkEnd w:id="10"/>
      <w:bookmarkEnd w:id="11"/>
    </w:p>
    <w:p w:rsidR="00D92826" w:rsidRDefault="001D0538" w14:paraId="23BAF10F" w14:textId="0AEE10C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Armenia, S., </w:t>
      </w:r>
      <w:proofErr w:type="spellStart"/>
      <w:r>
        <w:rPr>
          <w:rFonts w:ascii="Times New Roman" w:hAnsi="Times New Roman" w:eastAsia="Times New Roman" w:cs="Times New Roman"/>
          <w:sz w:val="24"/>
          <w:szCs w:val="24"/>
        </w:rPr>
        <w:t>Tsaples</w:t>
      </w:r>
      <w:proofErr w:type="spellEnd"/>
      <w:r>
        <w:rPr>
          <w:rFonts w:ascii="Times New Roman" w:hAnsi="Times New Roman" w:eastAsia="Times New Roman" w:cs="Times New Roman"/>
          <w:sz w:val="24"/>
          <w:szCs w:val="24"/>
        </w:rPr>
        <w:t xml:space="preserve">, G., Onori, R., Pompei, A. and </w:t>
      </w:r>
      <w:proofErr w:type="spellStart"/>
      <w:r>
        <w:rPr>
          <w:rFonts w:ascii="Times New Roman" w:hAnsi="Times New Roman" w:eastAsia="Times New Roman" w:cs="Times New Roman"/>
          <w:sz w:val="24"/>
          <w:szCs w:val="24"/>
        </w:rPr>
        <w:t>Magnuszewski</w:t>
      </w:r>
      <w:proofErr w:type="spellEnd"/>
      <w:r>
        <w:rPr>
          <w:rFonts w:ascii="Times New Roman" w:hAnsi="Times New Roman" w:eastAsia="Times New Roman" w:cs="Times New Roman"/>
          <w:sz w:val="24"/>
          <w:szCs w:val="24"/>
        </w:rPr>
        <w:t>, R. (2022)</w:t>
      </w:r>
      <w:r w:rsidR="00F6548B">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Systems Thinking and Group Concept Mapping for Classification of Marketing Techniques in Mobility Plans</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Sustainability</w:t>
      </w:r>
      <w:r>
        <w:rPr>
          <w:rFonts w:ascii="Times New Roman" w:hAnsi="Times New Roman" w:eastAsia="Times New Roman" w:cs="Times New Roman"/>
          <w:sz w:val="24"/>
          <w:szCs w:val="24"/>
        </w:rPr>
        <w:t xml:space="preserve">, 14(24), p.16936. </w:t>
      </w:r>
      <w:r w:rsidR="007A1AE1">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://doi.org/10.3390/su142416936</w:t>
      </w:r>
      <w:proofErr w:type="gramEnd"/>
      <w:r>
        <w:rPr>
          <w:rFonts w:ascii="Times New Roman" w:hAnsi="Times New Roman" w:eastAsia="Times New Roman" w:cs="Times New Roman"/>
          <w:sz w:val="24"/>
          <w:szCs w:val="24"/>
        </w:rPr>
        <w:t>.</w:t>
      </w:r>
      <w:r w:rsidR="00261960">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00261960">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261960">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55BE9940" w14:textId="0259059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Baranova, P. (2024) </w:t>
      </w:r>
      <w:r w:rsidR="00F6548B">
        <w:rPr>
          <w:rFonts w:ascii="Times New Roman" w:hAnsi="Times New Roman" w:eastAsia="Times New Roman" w:cs="Times New Roman"/>
          <w:sz w:val="24"/>
          <w:szCs w:val="24"/>
        </w:rPr>
        <w:t>‘</w:t>
      </w:r>
      <w:proofErr w:type="gramStart"/>
      <w:r>
        <w:rPr>
          <w:rFonts w:ascii="Times New Roman" w:hAnsi="Times New Roman" w:eastAsia="Times New Roman" w:cs="Times New Roman"/>
          <w:sz w:val="24"/>
          <w:szCs w:val="24"/>
        </w:rPr>
        <w:t>Multi-stakeholder</w:t>
      </w:r>
      <w:proofErr w:type="gramEnd"/>
      <w:r>
        <w:rPr>
          <w:rFonts w:ascii="Times New Roman" w:hAnsi="Times New Roman" w:eastAsia="Times New Roman" w:cs="Times New Roman"/>
          <w:sz w:val="24"/>
          <w:szCs w:val="24"/>
        </w:rPr>
        <w:t xml:space="preserve"> networks as learning settings towards pro-environmental entrepreneurship: Learning through the diversity and policy–practice interface</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The International Journal of Entrepreneurship and Innovation</w:t>
      </w:r>
      <w:r>
        <w:rPr>
          <w:rFonts w:ascii="Times New Roman" w:hAnsi="Times New Roman" w:eastAsia="Times New Roman" w:cs="Times New Roman"/>
          <w:sz w:val="24"/>
          <w:szCs w:val="24"/>
        </w:rPr>
        <w:t xml:space="preserve">. </w:t>
      </w:r>
      <w:r w:rsidR="007060FC">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://doi.org/10.1177/14657503231224613</w:t>
      </w:r>
      <w:proofErr w:type="gramEnd"/>
      <w:r>
        <w:rPr>
          <w:rFonts w:ascii="Times New Roman" w:hAnsi="Times New Roman" w:eastAsia="Times New Roman" w:cs="Times New Roman"/>
          <w:sz w:val="24"/>
          <w:szCs w:val="24"/>
        </w:rPr>
        <w:t>.</w:t>
      </w:r>
      <w:r w:rsidRPr="002500E9" w:rsidR="002500E9">
        <w:rPr>
          <w:rFonts w:ascii="Times New Roman" w:hAnsi="Times New Roman" w:eastAsia="Times New Roman" w:cs="Times New Roman"/>
          <w:sz w:val="24"/>
          <w:szCs w:val="24"/>
        </w:rPr>
        <w:t xml:space="preserve"> </w:t>
      </w:r>
      <w:r w:rsidR="002500E9">
        <w:rPr>
          <w:rFonts w:ascii="Times New Roman" w:hAnsi="Times New Roman" w:eastAsia="Times New Roman" w:cs="Times New Roman"/>
          <w:sz w:val="24"/>
          <w:szCs w:val="24"/>
        </w:rPr>
        <w:t>(Accessed</w:t>
      </w:r>
      <w:r w:rsidR="00F6548B">
        <w:rPr>
          <w:rFonts w:ascii="Times New Roman" w:hAnsi="Times New Roman" w:eastAsia="Times New Roman" w:cs="Times New Roman"/>
          <w:sz w:val="24"/>
          <w:szCs w:val="24"/>
        </w:rPr>
        <w:t>:</w:t>
      </w:r>
      <w:r w:rsidR="002500E9">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2500E9">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0C0A0D10" w14:textId="589C09AA">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Falk, M.A. (2024) </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Causes and Coping Strategies for Technology Anxiety Among the Elderly in the Digital Age</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Journal of Research in Social Science and Humanities</w:t>
      </w:r>
      <w:r>
        <w:rPr>
          <w:rFonts w:ascii="Times New Roman" w:hAnsi="Times New Roman" w:eastAsia="Times New Roman" w:cs="Times New Roman"/>
          <w:sz w:val="24"/>
          <w:szCs w:val="24"/>
        </w:rPr>
        <w:t xml:space="preserve">, 3(10), pp.6–11. Available at: https://www.pioneerpublisher.com/jrssh/article/view/1034 </w:t>
      </w:r>
      <w:r w:rsidR="00B51B91">
        <w:rPr>
          <w:rFonts w:ascii="Times New Roman" w:hAnsi="Times New Roman" w:eastAsia="Times New Roman" w:cs="Times New Roman"/>
          <w:sz w:val="24"/>
          <w:szCs w:val="24"/>
        </w:rPr>
        <w:t>(Accessed</w:t>
      </w:r>
      <w:r w:rsidR="00F6548B">
        <w:rPr>
          <w:rFonts w:ascii="Times New Roman" w:hAnsi="Times New Roman" w:eastAsia="Times New Roman" w:cs="Times New Roman"/>
          <w:sz w:val="24"/>
          <w:szCs w:val="24"/>
        </w:rPr>
        <w:t>:</w:t>
      </w:r>
      <w:r w:rsidR="00B51B91">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B51B91">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78A3C5FF" w14:textId="2F4F432A">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Jayashree, P., El Barachi, M. and Hamza, F. (2022) </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Practice of Sustainability Leadership: A Multi-Stakeholder Inclusive Framework</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Sustainability</w:t>
      </w:r>
      <w:r>
        <w:rPr>
          <w:rFonts w:ascii="Times New Roman" w:hAnsi="Times New Roman" w:eastAsia="Times New Roman" w:cs="Times New Roman"/>
          <w:sz w:val="24"/>
          <w:szCs w:val="24"/>
        </w:rPr>
        <w:t xml:space="preserve">, 14(10), p.6346. </w:t>
      </w:r>
      <w:r w:rsidR="008D4E8E">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://doi.org/10.3390/su14106346</w:t>
      </w:r>
      <w:proofErr w:type="gramEnd"/>
      <w:r>
        <w:rPr>
          <w:rFonts w:ascii="Times New Roman" w:hAnsi="Times New Roman" w:eastAsia="Times New Roman" w:cs="Times New Roman"/>
          <w:sz w:val="24"/>
          <w:szCs w:val="24"/>
        </w:rPr>
        <w:t>.</w:t>
      </w:r>
      <w:r w:rsidRPr="00B51B91" w:rsidR="00B51B91">
        <w:rPr>
          <w:rFonts w:ascii="Times New Roman" w:hAnsi="Times New Roman" w:eastAsia="Times New Roman" w:cs="Times New Roman"/>
          <w:sz w:val="24"/>
          <w:szCs w:val="24"/>
        </w:rPr>
        <w:t xml:space="preserve"> </w:t>
      </w:r>
      <w:r w:rsidR="00B51B91">
        <w:rPr>
          <w:rFonts w:ascii="Times New Roman" w:hAnsi="Times New Roman" w:eastAsia="Times New Roman" w:cs="Times New Roman"/>
          <w:sz w:val="24"/>
          <w:szCs w:val="24"/>
        </w:rPr>
        <w:t>(Accessed</w:t>
      </w:r>
      <w:r w:rsidR="00F6548B">
        <w:rPr>
          <w:rFonts w:ascii="Times New Roman" w:hAnsi="Times New Roman" w:eastAsia="Times New Roman" w:cs="Times New Roman"/>
          <w:sz w:val="24"/>
          <w:szCs w:val="24"/>
        </w:rPr>
        <w:t>:</w:t>
      </w:r>
      <w:r w:rsidR="00B51B91">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B51B91">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3DEFC7C4" w14:textId="308E1449">
      <w:pPr>
        <w:spacing w:after="240"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Jezrawi</w:t>
      </w:r>
      <w:proofErr w:type="spellEnd"/>
      <w:r>
        <w:rPr>
          <w:rFonts w:ascii="Times New Roman" w:hAnsi="Times New Roman" w:eastAsia="Times New Roman" w:cs="Times New Roman"/>
          <w:sz w:val="24"/>
          <w:szCs w:val="24"/>
        </w:rPr>
        <w:t xml:space="preserve">, R., Balakumar, S., Masud, R., </w:t>
      </w:r>
      <w:proofErr w:type="spellStart"/>
      <w:r>
        <w:rPr>
          <w:rFonts w:ascii="Times New Roman" w:hAnsi="Times New Roman" w:eastAsia="Times New Roman" w:cs="Times New Roman"/>
          <w:sz w:val="24"/>
          <w:szCs w:val="24"/>
        </w:rPr>
        <w:t>Gabizon</w:t>
      </w:r>
      <w:proofErr w:type="spellEnd"/>
      <w:r>
        <w:rPr>
          <w:rFonts w:ascii="Times New Roman" w:hAnsi="Times New Roman" w:eastAsia="Times New Roman" w:cs="Times New Roman"/>
          <w:sz w:val="24"/>
          <w:szCs w:val="24"/>
        </w:rPr>
        <w:t xml:space="preserve">, I., Bhagirath, V., Varughese, J., Brown, M., Trottier, D., Schwalm, J., </w:t>
      </w:r>
      <w:proofErr w:type="spellStart"/>
      <w:r>
        <w:rPr>
          <w:rFonts w:ascii="Times New Roman" w:hAnsi="Times New Roman" w:eastAsia="Times New Roman" w:cs="Times New Roman"/>
          <w:sz w:val="24"/>
          <w:szCs w:val="24"/>
        </w:rPr>
        <w:t>McGillion</w:t>
      </w:r>
      <w:proofErr w:type="spellEnd"/>
      <w:r>
        <w:rPr>
          <w:rFonts w:ascii="Times New Roman" w:hAnsi="Times New Roman" w:eastAsia="Times New Roman" w:cs="Times New Roman"/>
          <w:sz w:val="24"/>
          <w:szCs w:val="24"/>
        </w:rPr>
        <w:t xml:space="preserve">, M., Alvarez, E. and Lokker, C. (2022) </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Patient and physician perspectives on the use and outcome measures of mHealth apps: Exploratory survey and focus group study</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DIGITAL HEALTH</w:t>
      </w:r>
      <w:r>
        <w:rPr>
          <w:rFonts w:ascii="Times New Roman" w:hAnsi="Times New Roman" w:eastAsia="Times New Roman" w:cs="Times New Roman"/>
          <w:sz w:val="24"/>
          <w:szCs w:val="24"/>
        </w:rPr>
        <w:t xml:space="preserve">, 8, p.205520762211027. </w:t>
      </w:r>
      <w:r w:rsidR="000D0539">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://doi.org/10.1177/20552076221102773</w:t>
      </w:r>
      <w:proofErr w:type="gramEnd"/>
      <w:r>
        <w:rPr>
          <w:rFonts w:ascii="Times New Roman" w:hAnsi="Times New Roman" w:eastAsia="Times New Roman" w:cs="Times New Roman"/>
          <w:sz w:val="24"/>
          <w:szCs w:val="24"/>
        </w:rPr>
        <w:t>.</w:t>
      </w:r>
      <w:r w:rsidRPr="00056F15" w:rsidR="00056F15">
        <w:rPr>
          <w:rFonts w:ascii="Times New Roman" w:hAnsi="Times New Roman" w:eastAsia="Times New Roman" w:cs="Times New Roman"/>
          <w:sz w:val="24"/>
          <w:szCs w:val="24"/>
        </w:rPr>
        <w:t xml:space="preserve"> </w:t>
      </w:r>
      <w:r w:rsidR="00056F15">
        <w:rPr>
          <w:rFonts w:ascii="Times New Roman" w:hAnsi="Times New Roman" w:eastAsia="Times New Roman" w:cs="Times New Roman"/>
          <w:sz w:val="24"/>
          <w:szCs w:val="24"/>
        </w:rPr>
        <w:t>(Accessed</w:t>
      </w:r>
      <w:r w:rsidR="00F6548B">
        <w:rPr>
          <w:rFonts w:ascii="Times New Roman" w:hAnsi="Times New Roman" w:eastAsia="Times New Roman" w:cs="Times New Roman"/>
          <w:sz w:val="24"/>
          <w:szCs w:val="24"/>
        </w:rPr>
        <w:t>:</w:t>
      </w:r>
      <w:r w:rsidR="00056F15">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056F15">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32CF750F" w14:textId="644BC2B7">
      <w:pPr>
        <w:spacing w:after="240" w:line="360" w:lineRule="auto"/>
        <w:jc w:val="both"/>
        <w:rPr>
          <w:rFonts w:ascii="Times New Roman" w:hAnsi="Times New Roman" w:eastAsia="Times New Roman" w:cs="Times New Roman"/>
          <w:sz w:val="24"/>
          <w:szCs w:val="24"/>
        </w:rPr>
      </w:pPr>
      <w:r w:rsidRPr="44E7A8D4" w:rsidR="001D0538">
        <w:rPr>
          <w:rFonts w:ascii="Times New Roman" w:hAnsi="Times New Roman" w:eastAsia="Times New Roman" w:cs="Times New Roman"/>
          <w:sz w:val="24"/>
          <w:szCs w:val="24"/>
        </w:rPr>
        <w:t xml:space="preserve">Kennedy, S., </w:t>
      </w:r>
      <w:r w:rsidRPr="44E7A8D4" w:rsidR="001D0538">
        <w:rPr>
          <w:rFonts w:ascii="Times New Roman" w:hAnsi="Times New Roman" w:eastAsia="Times New Roman" w:cs="Times New Roman"/>
          <w:sz w:val="24"/>
          <w:szCs w:val="24"/>
        </w:rPr>
        <w:t>Grewatsch</w:t>
      </w:r>
      <w:r w:rsidRPr="44E7A8D4" w:rsidR="001D0538">
        <w:rPr>
          <w:rFonts w:ascii="Times New Roman" w:hAnsi="Times New Roman" w:eastAsia="Times New Roman" w:cs="Times New Roman"/>
          <w:sz w:val="24"/>
          <w:szCs w:val="24"/>
        </w:rPr>
        <w:t xml:space="preserve">, S., </w:t>
      </w:r>
      <w:r w:rsidRPr="44E7A8D4" w:rsidR="001D0538">
        <w:rPr>
          <w:rFonts w:ascii="Times New Roman" w:hAnsi="Times New Roman" w:eastAsia="Times New Roman" w:cs="Times New Roman"/>
          <w:sz w:val="24"/>
          <w:szCs w:val="24"/>
        </w:rPr>
        <w:t>Liboni</w:t>
      </w:r>
      <w:r w:rsidRPr="44E7A8D4" w:rsidR="001D0538">
        <w:rPr>
          <w:rFonts w:ascii="Times New Roman" w:hAnsi="Times New Roman" w:eastAsia="Times New Roman" w:cs="Times New Roman"/>
          <w:sz w:val="24"/>
          <w:szCs w:val="24"/>
        </w:rPr>
        <w:t xml:space="preserve">, L. and </w:t>
      </w:r>
      <w:r w:rsidRPr="44E7A8D4" w:rsidR="001D0538">
        <w:rPr>
          <w:rFonts w:ascii="Times New Roman" w:hAnsi="Times New Roman" w:eastAsia="Times New Roman" w:cs="Times New Roman"/>
          <w:sz w:val="24"/>
          <w:szCs w:val="24"/>
        </w:rPr>
        <w:t>Cezarino</w:t>
      </w:r>
      <w:r w:rsidRPr="44E7A8D4" w:rsidR="001D0538">
        <w:rPr>
          <w:rFonts w:ascii="Times New Roman" w:hAnsi="Times New Roman" w:eastAsia="Times New Roman" w:cs="Times New Roman"/>
          <w:sz w:val="24"/>
          <w:szCs w:val="24"/>
        </w:rPr>
        <w:t xml:space="preserve">, L.O. (2025) </w:t>
      </w:r>
      <w:r w:rsidRPr="44E7A8D4" w:rsidR="00F6548B">
        <w:rPr>
          <w:rFonts w:ascii="Times New Roman" w:hAnsi="Times New Roman" w:eastAsia="Times New Roman" w:cs="Times New Roman"/>
          <w:sz w:val="24"/>
          <w:szCs w:val="24"/>
        </w:rPr>
        <w:t>‘</w:t>
      </w:r>
      <w:r w:rsidRPr="44E7A8D4" w:rsidR="001D0538">
        <w:rPr>
          <w:rFonts w:ascii="Times New Roman" w:hAnsi="Times New Roman" w:eastAsia="Times New Roman" w:cs="Times New Roman"/>
          <w:sz w:val="24"/>
          <w:szCs w:val="24"/>
        </w:rPr>
        <w:t>Teaching a Systems Approach to Address the Sustainability Management Disconnect</w:t>
      </w:r>
      <w:r w:rsidRPr="44E7A8D4" w:rsidR="00F6548B">
        <w:rPr>
          <w:rFonts w:ascii="Times New Roman" w:hAnsi="Times New Roman" w:eastAsia="Times New Roman" w:cs="Times New Roman"/>
          <w:sz w:val="24"/>
          <w:szCs w:val="24"/>
        </w:rPr>
        <w:t>’,</w:t>
      </w:r>
      <w:r w:rsidRPr="44E7A8D4" w:rsidR="001D0538">
        <w:rPr>
          <w:rFonts w:ascii="Times New Roman" w:hAnsi="Times New Roman" w:eastAsia="Times New Roman" w:cs="Times New Roman"/>
          <w:sz w:val="24"/>
          <w:szCs w:val="24"/>
        </w:rPr>
        <w:t xml:space="preserve"> </w:t>
      </w:r>
      <w:r w:rsidRPr="44E7A8D4" w:rsidR="001D0538">
        <w:rPr>
          <w:rFonts w:ascii="Times New Roman" w:hAnsi="Times New Roman" w:eastAsia="Times New Roman" w:cs="Times New Roman"/>
          <w:i w:val="1"/>
          <w:iCs w:val="1"/>
          <w:sz w:val="24"/>
          <w:szCs w:val="24"/>
        </w:rPr>
        <w:t>Business &amp; Society</w:t>
      </w:r>
      <w:r w:rsidRPr="44E7A8D4" w:rsidR="001D0538">
        <w:rPr>
          <w:rFonts w:ascii="Times New Roman" w:hAnsi="Times New Roman" w:eastAsia="Times New Roman" w:cs="Times New Roman"/>
          <w:sz w:val="24"/>
          <w:szCs w:val="24"/>
        </w:rPr>
        <w:t xml:space="preserve">. </w:t>
      </w:r>
      <w:r w:rsidRPr="44E7A8D4" w:rsidR="00F64A62">
        <w:rPr>
          <w:rFonts w:ascii="Times New Roman" w:hAnsi="Times New Roman" w:eastAsia="Times New Roman" w:cs="Times New Roman"/>
          <w:sz w:val="24"/>
          <w:szCs w:val="24"/>
        </w:rPr>
        <w:t xml:space="preserve">Available at: </w:t>
      </w:r>
      <w:r w:rsidRPr="44E7A8D4" w:rsidR="001D0538">
        <w:rPr>
          <w:rFonts w:ascii="Times New Roman" w:hAnsi="Times New Roman" w:eastAsia="Times New Roman" w:cs="Times New Roman"/>
          <w:sz w:val="24"/>
          <w:szCs w:val="24"/>
        </w:rPr>
        <w:t>doi:https</w:t>
      </w:r>
      <w:r w:rsidRPr="44E7A8D4" w:rsidR="001D0538">
        <w:rPr>
          <w:rFonts w:ascii="Times New Roman" w:hAnsi="Times New Roman" w:eastAsia="Times New Roman" w:cs="Times New Roman"/>
          <w:sz w:val="24"/>
          <w:szCs w:val="24"/>
        </w:rPr>
        <w:t>://doi.org/10.1177/00076503251324569</w:t>
      </w:r>
      <w:r w:rsidRPr="44E7A8D4" w:rsidR="001D0538">
        <w:rPr>
          <w:rFonts w:ascii="Times New Roman" w:hAnsi="Times New Roman" w:eastAsia="Times New Roman" w:cs="Times New Roman"/>
          <w:sz w:val="24"/>
          <w:szCs w:val="24"/>
        </w:rPr>
        <w:t>.</w:t>
      </w:r>
      <w:r w:rsidRPr="44E7A8D4" w:rsidR="00193D7C">
        <w:rPr>
          <w:rFonts w:ascii="Times New Roman" w:hAnsi="Times New Roman" w:eastAsia="Times New Roman" w:cs="Times New Roman"/>
          <w:sz w:val="24"/>
          <w:szCs w:val="24"/>
        </w:rPr>
        <w:t xml:space="preserve"> (Accessed</w:t>
      </w:r>
      <w:r w:rsidRPr="44E7A8D4" w:rsidR="00F6548B">
        <w:rPr>
          <w:rFonts w:ascii="Times New Roman" w:hAnsi="Times New Roman" w:eastAsia="Times New Roman" w:cs="Times New Roman"/>
          <w:sz w:val="24"/>
          <w:szCs w:val="24"/>
        </w:rPr>
        <w:t>:</w:t>
      </w:r>
      <w:r w:rsidRPr="44E7A8D4" w:rsidR="00193D7C">
        <w:rPr>
          <w:rFonts w:ascii="Times New Roman" w:hAnsi="Times New Roman" w:eastAsia="Times New Roman" w:cs="Times New Roman"/>
          <w:sz w:val="24"/>
          <w:szCs w:val="24"/>
        </w:rPr>
        <w:t xml:space="preserve"> 13 Nov</w:t>
      </w:r>
      <w:r w:rsidRPr="44E7A8D4" w:rsidR="00F6548B">
        <w:rPr>
          <w:rFonts w:ascii="Times New Roman" w:hAnsi="Times New Roman" w:eastAsia="Times New Roman" w:cs="Times New Roman"/>
          <w:sz w:val="24"/>
          <w:szCs w:val="24"/>
        </w:rPr>
        <w:t>ember</w:t>
      </w:r>
      <w:r w:rsidRPr="44E7A8D4" w:rsidR="00193D7C">
        <w:rPr>
          <w:rFonts w:ascii="Times New Roman" w:hAnsi="Times New Roman" w:eastAsia="Times New Roman" w:cs="Times New Roman"/>
          <w:sz w:val="24"/>
          <w:szCs w:val="24"/>
        </w:rPr>
        <w:t xml:space="preserve"> 2025)</w:t>
      </w:r>
      <w:r w:rsidRPr="44E7A8D4" w:rsidR="00F6548B">
        <w:rPr>
          <w:rFonts w:ascii="Times New Roman" w:hAnsi="Times New Roman" w:eastAsia="Times New Roman" w:cs="Times New Roman"/>
          <w:sz w:val="24"/>
          <w:szCs w:val="24"/>
        </w:rPr>
        <w:t>.</w:t>
      </w:r>
      <w:r w:rsidRPr="44E7A8D4" w:rsidR="56011B31">
        <w:rPr>
          <w:rFonts w:ascii="Times New Roman" w:hAnsi="Times New Roman" w:eastAsia="Times New Roman" w:cs="Times New Roman"/>
          <w:sz w:val="24"/>
          <w:szCs w:val="24"/>
        </w:rPr>
        <w:t xml:space="preserve">    </w:t>
      </w:r>
      <w:r w:rsidRPr="44E7A8D4" w:rsidR="79039382">
        <w:rPr>
          <w:rFonts w:ascii="Times New Roman" w:hAnsi="Times New Roman" w:eastAsia="Times New Roman" w:cs="Times New Roman"/>
          <w:sz w:val="24"/>
          <w:szCs w:val="24"/>
        </w:rPr>
        <w:t>hhj</w:t>
      </w:r>
    </w:p>
    <w:p w:rsidR="00D92826" w:rsidRDefault="001D0538" w14:paraId="5BCA8588" w14:textId="27FA043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Lee, C. and So, H. (2025) </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Focusing on the PISA 2022 creative thinking problems</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Educational Technology &amp; Society</w:t>
      </w:r>
      <w:r>
        <w:rPr>
          <w:rFonts w:ascii="Times New Roman" w:hAnsi="Times New Roman" w:eastAsia="Times New Roman" w:cs="Times New Roman"/>
          <w:sz w:val="24"/>
          <w:szCs w:val="24"/>
        </w:rPr>
        <w:t xml:space="preserve">, 28(4), pp.241–258. </w:t>
      </w:r>
      <w:r w:rsidR="00351EF0">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://doi.org/10.2307/48839367</w:t>
      </w:r>
      <w:proofErr w:type="gramEnd"/>
      <w:r>
        <w:rPr>
          <w:rFonts w:ascii="Times New Roman" w:hAnsi="Times New Roman" w:eastAsia="Times New Roman" w:cs="Times New Roman"/>
          <w:sz w:val="24"/>
          <w:szCs w:val="24"/>
        </w:rPr>
        <w:t>.</w:t>
      </w:r>
      <w:r w:rsidR="004906A0">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004906A0">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4906A0">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03719E62" w14:textId="68FD316F">
      <w:pPr>
        <w:spacing w:after="240" w:line="360" w:lineRule="auto"/>
        <w:jc w:val="both"/>
        <w:rPr>
          <w:rFonts w:ascii="Times New Roman" w:hAnsi="Times New Roman" w:eastAsia="Times New Roman" w:cs="Times New Roman"/>
          <w:sz w:val="24"/>
          <w:szCs w:val="24"/>
        </w:rPr>
      </w:pPr>
      <w:r w:rsidRPr="1C185FFC">
        <w:rPr>
          <w:rFonts w:ascii="Times New Roman" w:hAnsi="Times New Roman" w:eastAsia="Times New Roman" w:cs="Times New Roman"/>
          <w:sz w:val="24"/>
          <w:szCs w:val="24"/>
        </w:rPr>
        <w:lastRenderedPageBreak/>
        <w:t xml:space="preserve">Odewole, P.O., </w:t>
      </w:r>
      <w:proofErr w:type="spellStart"/>
      <w:r w:rsidRPr="1C185FFC">
        <w:rPr>
          <w:rFonts w:ascii="Times New Roman" w:hAnsi="Times New Roman" w:eastAsia="Times New Roman" w:cs="Times New Roman"/>
          <w:sz w:val="24"/>
          <w:szCs w:val="24"/>
        </w:rPr>
        <w:t>Sobowale</w:t>
      </w:r>
      <w:proofErr w:type="spellEnd"/>
      <w:r w:rsidRPr="1C185FFC">
        <w:rPr>
          <w:rFonts w:ascii="Times New Roman" w:hAnsi="Times New Roman" w:eastAsia="Times New Roman" w:cs="Times New Roman"/>
          <w:sz w:val="24"/>
          <w:szCs w:val="24"/>
        </w:rPr>
        <w:t>, T.O. and Uzzi, F.O. (2023)</w:t>
      </w:r>
      <w:r w:rsidR="00F6548B">
        <w:rPr>
          <w:rFonts w:ascii="Times New Roman" w:hAnsi="Times New Roman" w:eastAsia="Times New Roman" w:cs="Times New Roman"/>
          <w:sz w:val="24"/>
          <w:szCs w:val="24"/>
        </w:rPr>
        <w:t xml:space="preserve"> ‘</w:t>
      </w:r>
      <w:r w:rsidRPr="1C185FFC">
        <w:rPr>
          <w:rFonts w:ascii="Times New Roman" w:hAnsi="Times New Roman" w:eastAsia="Times New Roman" w:cs="Times New Roman"/>
          <w:sz w:val="24"/>
          <w:szCs w:val="24"/>
        </w:rPr>
        <w:t xml:space="preserve">The Place of Design Education in Achieving 4IR Sustainability through the 4Cs </w:t>
      </w:r>
      <w:bookmarkStart w:name="_Int_FLAC6T7d" w:id="12"/>
      <w:proofErr w:type="gramStart"/>
      <w:r w:rsidRPr="1C185FFC">
        <w:rPr>
          <w:rFonts w:ascii="Times New Roman" w:hAnsi="Times New Roman" w:eastAsia="Times New Roman" w:cs="Times New Roman"/>
          <w:sz w:val="24"/>
          <w:szCs w:val="24"/>
        </w:rPr>
        <w:t>Skill-sets</w:t>
      </w:r>
      <w:bookmarkEnd w:id="12"/>
      <w:proofErr w:type="gramEnd"/>
      <w:r w:rsidR="00F6548B">
        <w:rPr>
          <w:rFonts w:ascii="Times New Roman" w:hAnsi="Times New Roman" w:eastAsia="Times New Roman" w:cs="Times New Roman"/>
          <w:sz w:val="24"/>
          <w:szCs w:val="24"/>
        </w:rPr>
        <w:t xml:space="preserve">’, </w:t>
      </w:r>
      <w:r w:rsidRPr="1C185FFC">
        <w:rPr>
          <w:rFonts w:ascii="Times New Roman" w:hAnsi="Times New Roman" w:eastAsia="Times New Roman" w:cs="Times New Roman"/>
          <w:i/>
          <w:iCs/>
          <w:sz w:val="24"/>
          <w:szCs w:val="24"/>
        </w:rPr>
        <w:t>Design and Technology Education</w:t>
      </w:r>
      <w:r w:rsidRPr="1C185FFC">
        <w:rPr>
          <w:rFonts w:ascii="Times New Roman" w:hAnsi="Times New Roman" w:eastAsia="Times New Roman" w:cs="Times New Roman"/>
          <w:sz w:val="24"/>
          <w:szCs w:val="24"/>
        </w:rPr>
        <w:t xml:space="preserve">, 28(2), pp.89–106. Available at: https://eric.ed.gov/?id=EJ1410243 </w:t>
      </w:r>
      <w:r w:rsidRPr="1C185FFC" w:rsidR="00AE6A36">
        <w:rPr>
          <w:rFonts w:ascii="Times New Roman" w:hAnsi="Times New Roman" w:eastAsia="Times New Roman" w:cs="Times New Roman"/>
          <w:sz w:val="24"/>
          <w:szCs w:val="24"/>
        </w:rPr>
        <w:t>(Accessed</w:t>
      </w:r>
      <w:r w:rsidR="00F6548B">
        <w:rPr>
          <w:rFonts w:ascii="Times New Roman" w:hAnsi="Times New Roman" w:eastAsia="Times New Roman" w:cs="Times New Roman"/>
          <w:sz w:val="24"/>
          <w:szCs w:val="24"/>
        </w:rPr>
        <w:t>:</w:t>
      </w:r>
      <w:r w:rsidRPr="1C185FFC" w:rsidR="00AE6A36">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Pr="1C185FFC" w:rsidR="00AE6A36">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38D5BF43" w14:textId="7D23282A">
      <w:pPr>
        <w:spacing w:after="240" w:line="360" w:lineRule="auto"/>
        <w:jc w:val="both"/>
        <w:rPr>
          <w:rFonts w:ascii="Times New Roman" w:hAnsi="Times New Roman" w:eastAsia="Times New Roman" w:cs="Times New Roman"/>
          <w:sz w:val="24"/>
          <w:szCs w:val="24"/>
        </w:rPr>
      </w:pPr>
      <w:r w:rsidRPr="1C185FFC">
        <w:rPr>
          <w:rFonts w:ascii="Times New Roman" w:hAnsi="Times New Roman" w:eastAsia="Times New Roman" w:cs="Times New Roman"/>
          <w:sz w:val="24"/>
          <w:szCs w:val="24"/>
        </w:rPr>
        <w:t xml:space="preserve">Ppali, S., Cheung, E., Covaci, A., She, W.-J. and Ang, C.S. (2025) </w:t>
      </w:r>
      <w:r w:rsidR="00F6548B">
        <w:rPr>
          <w:rFonts w:ascii="Times New Roman" w:hAnsi="Times New Roman" w:eastAsia="Times New Roman" w:cs="Times New Roman"/>
          <w:sz w:val="24"/>
          <w:szCs w:val="24"/>
        </w:rPr>
        <w:t>‘</w:t>
      </w:r>
      <w:r w:rsidRPr="1C185FFC">
        <w:rPr>
          <w:rFonts w:ascii="Times New Roman" w:hAnsi="Times New Roman" w:eastAsia="Times New Roman" w:cs="Times New Roman"/>
          <w:sz w:val="24"/>
          <w:szCs w:val="24"/>
        </w:rPr>
        <w:t xml:space="preserve">Creating with Care: Co-Designing Immersive Experiences through </w:t>
      </w:r>
      <w:bookmarkStart w:name="_Int_ZpkDCkYP" w:id="13"/>
      <w:proofErr w:type="gramStart"/>
      <w:r w:rsidRPr="1C185FFC">
        <w:rPr>
          <w:rFonts w:ascii="Times New Roman" w:hAnsi="Times New Roman" w:eastAsia="Times New Roman" w:cs="Times New Roman"/>
          <w:sz w:val="24"/>
          <w:szCs w:val="24"/>
        </w:rPr>
        <w:t>Art-Making</w:t>
      </w:r>
      <w:bookmarkEnd w:id="13"/>
      <w:proofErr w:type="gramEnd"/>
      <w:r w:rsidRPr="1C185FFC">
        <w:rPr>
          <w:rFonts w:ascii="Times New Roman" w:hAnsi="Times New Roman" w:eastAsia="Times New Roman" w:cs="Times New Roman"/>
          <w:sz w:val="24"/>
          <w:szCs w:val="24"/>
        </w:rPr>
        <w:t xml:space="preserve"> with People Living with Dementia</w:t>
      </w:r>
      <w:r w:rsidR="00F6548B">
        <w:rPr>
          <w:rFonts w:ascii="Times New Roman" w:hAnsi="Times New Roman" w:eastAsia="Times New Roman" w:cs="Times New Roman"/>
          <w:sz w:val="24"/>
          <w:szCs w:val="24"/>
        </w:rPr>
        <w:t xml:space="preserve">’, </w:t>
      </w:r>
      <w:r w:rsidRPr="1C185FFC">
        <w:rPr>
          <w:rFonts w:ascii="Times New Roman" w:hAnsi="Times New Roman" w:eastAsia="Times New Roman" w:cs="Times New Roman"/>
          <w:i/>
          <w:iCs/>
          <w:sz w:val="24"/>
          <w:szCs w:val="24"/>
        </w:rPr>
        <w:t>Springer</w:t>
      </w:r>
      <w:r w:rsidRPr="1C185FFC">
        <w:rPr>
          <w:rFonts w:ascii="Times New Roman" w:hAnsi="Times New Roman" w:eastAsia="Times New Roman" w:cs="Times New Roman"/>
          <w:sz w:val="24"/>
          <w:szCs w:val="24"/>
        </w:rPr>
        <w:t xml:space="preserve">, pp.1–18. </w:t>
      </w:r>
      <w:r w:rsidRPr="1C185FFC" w:rsidR="002C6BEF">
        <w:rPr>
          <w:rFonts w:ascii="Times New Roman" w:hAnsi="Times New Roman" w:eastAsia="Times New Roman" w:cs="Times New Roman"/>
          <w:sz w:val="24"/>
          <w:szCs w:val="24"/>
        </w:rPr>
        <w:t xml:space="preserve">Available at: </w:t>
      </w:r>
      <w:proofErr w:type="spellStart"/>
      <w:proofErr w:type="gramStart"/>
      <w:r w:rsidRPr="1C185FFC">
        <w:rPr>
          <w:rFonts w:ascii="Times New Roman" w:hAnsi="Times New Roman" w:eastAsia="Times New Roman" w:cs="Times New Roman"/>
          <w:sz w:val="24"/>
          <w:szCs w:val="24"/>
        </w:rPr>
        <w:t>doi:https</w:t>
      </w:r>
      <w:proofErr w:type="spellEnd"/>
      <w:r w:rsidRPr="1C185FFC">
        <w:rPr>
          <w:rFonts w:ascii="Times New Roman" w:hAnsi="Times New Roman" w:eastAsia="Times New Roman" w:cs="Times New Roman"/>
          <w:sz w:val="24"/>
          <w:szCs w:val="24"/>
        </w:rPr>
        <w:t>://doi.org/10.1145/3706598.3714101</w:t>
      </w:r>
      <w:proofErr w:type="gramEnd"/>
      <w:r w:rsidRPr="1C185FFC">
        <w:rPr>
          <w:rFonts w:ascii="Times New Roman" w:hAnsi="Times New Roman" w:eastAsia="Times New Roman" w:cs="Times New Roman"/>
          <w:sz w:val="24"/>
          <w:szCs w:val="24"/>
        </w:rPr>
        <w:t>.</w:t>
      </w:r>
      <w:r w:rsidRPr="1C185FFC" w:rsidR="00520A9C">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Pr="1C185FFC" w:rsidR="00520A9C">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Pr="1C185FFC" w:rsidR="00520A9C">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7B1746E0" w14:textId="313F04B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Public Health England (2019) </w:t>
      </w:r>
      <w:r>
        <w:rPr>
          <w:rFonts w:ascii="Times New Roman" w:hAnsi="Times New Roman" w:eastAsia="Times New Roman" w:cs="Times New Roman"/>
          <w:i/>
          <w:iCs/>
          <w:sz w:val="24"/>
          <w:szCs w:val="24"/>
        </w:rPr>
        <w:t>Rapid Review to Update Evidence for the Healthy Child Programme 0-5</w:t>
      </w:r>
      <w:r>
        <w:rPr>
          <w:rFonts w:ascii="Times New Roman" w:hAnsi="Times New Roman" w:eastAsia="Times New Roman" w:cs="Times New Roman"/>
          <w:sz w:val="24"/>
          <w:szCs w:val="24"/>
        </w:rPr>
        <w:t xml:space="preserve"> Available at: </w:t>
      </w:r>
      <w:hyperlink w:history="1" r:id="rId8">
        <w:r w:rsidRPr="00A45D37" w:rsidR="00A54696">
          <w:rPr>
            <w:rStyle w:val="Hyperlink"/>
            <w:rFonts w:ascii="Times New Roman" w:hAnsi="Times New Roman" w:eastAsia="Times New Roman" w:cs="Times New Roman"/>
            <w:sz w:val="24"/>
            <w:szCs w:val="24"/>
          </w:rPr>
          <w:t>https://assets.publishing.service.gov.uk/media/5a74fd6540f0b6399b2afc9e/150520RapidReviewHealthyChildProg_UPDATE_poisons_final.pdf</w:t>
        </w:r>
      </w:hyperlink>
      <w:r>
        <w:rPr>
          <w:rFonts w:ascii="Times New Roman" w:hAnsi="Times New Roman" w:eastAsia="Times New Roman" w:cs="Times New Roman"/>
          <w:sz w:val="24"/>
          <w:szCs w:val="24"/>
        </w:rPr>
        <w:t>.</w:t>
      </w:r>
      <w:r w:rsidR="00A54696">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00A54696">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A54696">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470701E6" w14:textId="6AA7267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Rossi, F., Mariotti, I. and Evangelia </w:t>
      </w:r>
      <w:proofErr w:type="spellStart"/>
      <w:r>
        <w:rPr>
          <w:rFonts w:ascii="Times New Roman" w:hAnsi="Times New Roman" w:eastAsia="Times New Roman" w:cs="Times New Roman"/>
          <w:sz w:val="24"/>
          <w:szCs w:val="24"/>
        </w:rPr>
        <w:t>Pantelaki</w:t>
      </w:r>
      <w:proofErr w:type="spellEnd"/>
      <w:r>
        <w:rPr>
          <w:rFonts w:ascii="Times New Roman" w:hAnsi="Times New Roman" w:eastAsia="Times New Roman" w:cs="Times New Roman"/>
          <w:sz w:val="24"/>
          <w:szCs w:val="24"/>
        </w:rPr>
        <w:t xml:space="preserve"> (2023)</w:t>
      </w:r>
      <w:r w:rsidR="00F6548B">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Local public transport and neighbourhood satisfaction: The effect on older adults’ subjective wellbeing</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Research in Transportation Business &amp; Management</w:t>
      </w:r>
      <w:r>
        <w:rPr>
          <w:rFonts w:ascii="Times New Roman" w:hAnsi="Times New Roman" w:eastAsia="Times New Roman" w:cs="Times New Roman"/>
          <w:sz w:val="24"/>
          <w:szCs w:val="24"/>
        </w:rPr>
        <w:t xml:space="preserve">, 51, pp.101058–101058. </w:t>
      </w:r>
      <w:r w:rsidR="007048EB">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://doi.org/10.1016/j.rtbm.2023.101058</w:t>
      </w:r>
      <w:proofErr w:type="gramEnd"/>
      <w:r>
        <w:rPr>
          <w:rFonts w:ascii="Times New Roman" w:hAnsi="Times New Roman" w:eastAsia="Times New Roman" w:cs="Times New Roman"/>
          <w:sz w:val="24"/>
          <w:szCs w:val="24"/>
        </w:rPr>
        <w:t>.</w:t>
      </w:r>
      <w:r w:rsidR="00CA50EB">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00CA50EB">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CA50EB">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1D0538" w14:paraId="72E0BE93" w14:textId="35701A8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Vizitiu, A., </w:t>
      </w:r>
      <w:proofErr w:type="spellStart"/>
      <w:r>
        <w:rPr>
          <w:rFonts w:ascii="Times New Roman" w:hAnsi="Times New Roman" w:eastAsia="Times New Roman" w:cs="Times New Roman"/>
          <w:sz w:val="24"/>
          <w:szCs w:val="24"/>
        </w:rPr>
        <w:t>Chihaia</w:t>
      </w:r>
      <w:proofErr w:type="spellEnd"/>
      <w:r>
        <w:rPr>
          <w:rFonts w:ascii="Times New Roman" w:hAnsi="Times New Roman" w:eastAsia="Times New Roman" w:cs="Times New Roman"/>
          <w:sz w:val="24"/>
          <w:szCs w:val="24"/>
        </w:rPr>
        <w:t>, A.S., Matis, C. and Matis, C. (2024)</w:t>
      </w:r>
      <w:r w:rsidR="00F6548B">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The Impact of Communication Campaigns in Increasing Organizational Performance</w:t>
      </w:r>
      <w:r w:rsidR="00F6548B">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 xml:space="preserve">Annals of </w:t>
      </w:r>
      <w:proofErr w:type="spellStart"/>
      <w:r>
        <w:rPr>
          <w:rFonts w:ascii="Times New Roman" w:hAnsi="Times New Roman" w:eastAsia="Times New Roman" w:cs="Times New Roman"/>
          <w:i/>
          <w:iCs/>
          <w:sz w:val="24"/>
          <w:szCs w:val="24"/>
        </w:rPr>
        <w:t>Dunarea</w:t>
      </w:r>
      <w:proofErr w:type="spellEnd"/>
      <w:r>
        <w:rPr>
          <w:rFonts w:ascii="Times New Roman" w:hAnsi="Times New Roman" w:eastAsia="Times New Roman" w:cs="Times New Roman"/>
          <w:i/>
          <w:iCs/>
          <w:sz w:val="24"/>
          <w:szCs w:val="24"/>
        </w:rPr>
        <w:t xml:space="preserve"> de Jos University of Galati Fascicle I Economics and Applied Informatics</w:t>
      </w:r>
      <w:r>
        <w:rPr>
          <w:rFonts w:ascii="Times New Roman" w:hAnsi="Times New Roman" w:eastAsia="Times New Roman" w:cs="Times New Roman"/>
          <w:sz w:val="24"/>
          <w:szCs w:val="24"/>
        </w:rPr>
        <w:t xml:space="preserve">, 30(3), pp.233–242. </w:t>
      </w:r>
      <w:r w:rsidR="005802B4">
        <w:rPr>
          <w:rFonts w:ascii="Times New Roman" w:hAnsi="Times New Roman" w:eastAsia="Times New Roman" w:cs="Times New Roman"/>
          <w:sz w:val="24"/>
          <w:szCs w:val="24"/>
        </w:rPr>
        <w:t xml:space="preserve">Available at: </w:t>
      </w:r>
      <w:proofErr w:type="spellStart"/>
      <w:proofErr w:type="gramStart"/>
      <w:r>
        <w:rPr>
          <w:rFonts w:ascii="Times New Roman" w:hAnsi="Times New Roman" w:eastAsia="Times New Roman" w:cs="Times New Roman"/>
          <w:sz w:val="24"/>
          <w:szCs w:val="24"/>
        </w:rPr>
        <w:t>doi:https</w:t>
      </w:r>
      <w:proofErr w:type="spellEnd"/>
      <w:r>
        <w:rPr>
          <w:rFonts w:ascii="Times New Roman" w:hAnsi="Times New Roman" w:eastAsia="Times New Roman" w:cs="Times New Roman"/>
          <w:sz w:val="24"/>
          <w:szCs w:val="24"/>
        </w:rPr>
        <w:t>://doi.org/10.35219/eai15840409449</w:t>
      </w:r>
      <w:proofErr w:type="gramEnd"/>
      <w:r>
        <w:rPr>
          <w:rFonts w:ascii="Times New Roman" w:hAnsi="Times New Roman" w:eastAsia="Times New Roman" w:cs="Times New Roman"/>
          <w:sz w:val="24"/>
          <w:szCs w:val="24"/>
        </w:rPr>
        <w:t>.</w:t>
      </w:r>
      <w:r w:rsidR="007E30E9">
        <w:rPr>
          <w:rFonts w:ascii="Times New Roman" w:hAnsi="Times New Roman" w:eastAsia="Times New Roman" w:cs="Times New Roman"/>
          <w:sz w:val="24"/>
          <w:szCs w:val="24"/>
        </w:rPr>
        <w:t xml:space="preserve"> (Accessed</w:t>
      </w:r>
      <w:r w:rsidR="00F6548B">
        <w:rPr>
          <w:rFonts w:ascii="Times New Roman" w:hAnsi="Times New Roman" w:eastAsia="Times New Roman" w:cs="Times New Roman"/>
          <w:sz w:val="24"/>
          <w:szCs w:val="24"/>
        </w:rPr>
        <w:t>:</w:t>
      </w:r>
      <w:r w:rsidR="007E30E9">
        <w:rPr>
          <w:rFonts w:ascii="Times New Roman" w:hAnsi="Times New Roman" w:eastAsia="Times New Roman" w:cs="Times New Roman"/>
          <w:sz w:val="24"/>
          <w:szCs w:val="24"/>
        </w:rPr>
        <w:t xml:space="preserve"> 13 Nov</w:t>
      </w:r>
      <w:r w:rsidR="00F6548B">
        <w:rPr>
          <w:rFonts w:ascii="Times New Roman" w:hAnsi="Times New Roman" w:eastAsia="Times New Roman" w:cs="Times New Roman"/>
          <w:sz w:val="24"/>
          <w:szCs w:val="24"/>
        </w:rPr>
        <w:t>ember</w:t>
      </w:r>
      <w:r w:rsidR="007E30E9">
        <w:rPr>
          <w:rFonts w:ascii="Times New Roman" w:hAnsi="Times New Roman" w:eastAsia="Times New Roman" w:cs="Times New Roman"/>
          <w:sz w:val="24"/>
          <w:szCs w:val="24"/>
        </w:rPr>
        <w:t xml:space="preserve"> 2025)</w:t>
      </w:r>
      <w:r w:rsidR="00F6548B">
        <w:rPr>
          <w:rFonts w:ascii="Times New Roman" w:hAnsi="Times New Roman" w:eastAsia="Times New Roman" w:cs="Times New Roman"/>
          <w:sz w:val="24"/>
          <w:szCs w:val="24"/>
        </w:rPr>
        <w:t>.</w:t>
      </w:r>
    </w:p>
    <w:p w:rsidR="00D92826" w:rsidRDefault="00D92826" w14:paraId="32FC0E6E" w14:textId="77777777">
      <w:pPr>
        <w:spacing w:after="200" w:line="360" w:lineRule="auto"/>
        <w:jc w:val="both"/>
        <w:rPr>
          <w:rFonts w:ascii="Times New Roman" w:hAnsi="Times New Roman" w:eastAsia="Times New Roman" w:cs="Times New Roman"/>
          <w:sz w:val="24"/>
          <w:szCs w:val="24"/>
        </w:rPr>
      </w:pPr>
    </w:p>
    <w:sectPr w:rsidR="00D92826" w:rsidSect="004A58B7">
      <w:foot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E7A17" w:rsidP="004A58B7" w:rsidRDefault="004E7A17" w14:paraId="475709F7" w14:textId="77777777">
      <w:pPr>
        <w:spacing w:line="240" w:lineRule="auto"/>
      </w:pPr>
      <w:r>
        <w:separator/>
      </w:r>
    </w:p>
  </w:endnote>
  <w:endnote w:type="continuationSeparator" w:id="0">
    <w:p w:rsidR="004E7A17" w:rsidP="004A58B7" w:rsidRDefault="004E7A17" w14:paraId="601180D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96994D03-738E-4522-8CDB-F63D46055D85}" r:id="rId1"/>
  </w:font>
  <w:font w:name="Vrinda">
    <w:panose1 w:val="00000400000000000000"/>
    <w:charset w:val="00"/>
    <w:family w:val="swiss"/>
    <w:pitch w:val="variable"/>
    <w:sig w:usb0="00010003" w:usb1="00000000" w:usb2="00000000" w:usb3="00000000" w:csb0="00000001" w:csb1="00000000"/>
    <w:embedRegular w:fontKey="{99B49933-23A4-4228-B00A-45719D2457F6}" r:id="rId2"/>
  </w:font>
  <w:font w:name="Tahoma">
    <w:panose1 w:val="020B0604030504040204"/>
    <w:charset w:val="00"/>
    <w:family w:val="swiss"/>
    <w:pitch w:val="variable"/>
    <w:sig w:usb0="E1002EFF" w:usb1="C000605B" w:usb2="00000029" w:usb3="00000000" w:csb0="000101FF" w:csb1="00000000"/>
    <w:embedRegular w:fontKey="{33C3523B-5D69-49F7-AF9A-2473278823ED}" r:id="rId3"/>
  </w:font>
  <w:font w:name="Cambria">
    <w:panose1 w:val="02040503050406030204"/>
    <w:charset w:val="00"/>
    <w:family w:val="roman"/>
    <w:pitch w:val="variable"/>
    <w:sig w:usb0="E00006FF" w:usb1="420024FF" w:usb2="02000000" w:usb3="00000000" w:csb0="0000019F" w:csb1="00000000"/>
    <w:embedRegular w:fontKey="{917B581A-E9FF-4198-B41D-446C6992B8CB}"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1389758"/>
      <w:docPartObj>
        <w:docPartGallery w:val="Page Numbers (Bottom of Page)"/>
        <w:docPartUnique/>
      </w:docPartObj>
    </w:sdtPr>
    <w:sdtEndPr>
      <w:rPr>
        <w:rFonts w:ascii="Times New Roman" w:hAnsi="Times New Roman" w:cs="Times New Roman"/>
        <w:noProof/>
        <w:sz w:val="20"/>
        <w:szCs w:val="20"/>
      </w:rPr>
    </w:sdtEndPr>
    <w:sdtContent>
      <w:p w:rsidRPr="004A58B7" w:rsidR="004A58B7" w:rsidRDefault="00891203" w14:paraId="64F6BFA3" w14:textId="77777777">
        <w:pPr>
          <w:pStyle w:val="Footer"/>
          <w:jc w:val="right"/>
          <w:rPr>
            <w:rFonts w:ascii="Times New Roman" w:hAnsi="Times New Roman" w:cs="Times New Roman"/>
            <w:sz w:val="20"/>
            <w:szCs w:val="20"/>
          </w:rPr>
        </w:pPr>
        <w:r w:rsidRPr="004A58B7">
          <w:rPr>
            <w:rFonts w:ascii="Times New Roman" w:hAnsi="Times New Roman" w:cs="Times New Roman"/>
            <w:sz w:val="20"/>
            <w:szCs w:val="20"/>
          </w:rPr>
          <w:fldChar w:fldCharType="begin"/>
        </w:r>
        <w:r w:rsidRPr="004A58B7" w:rsidR="004A58B7">
          <w:rPr>
            <w:rFonts w:ascii="Times New Roman" w:hAnsi="Times New Roman" w:cs="Times New Roman"/>
            <w:sz w:val="20"/>
            <w:szCs w:val="20"/>
          </w:rPr>
          <w:instrText xml:space="preserve"> PAGE   \* MERGEFORMAT </w:instrText>
        </w:r>
        <w:r w:rsidRPr="004A58B7">
          <w:rPr>
            <w:rFonts w:ascii="Times New Roman" w:hAnsi="Times New Roman" w:cs="Times New Roman"/>
            <w:sz w:val="20"/>
            <w:szCs w:val="20"/>
          </w:rPr>
          <w:fldChar w:fldCharType="separate"/>
        </w:r>
        <w:r w:rsidR="00C4194D">
          <w:rPr>
            <w:rFonts w:ascii="Times New Roman" w:hAnsi="Times New Roman" w:cs="Times New Roman"/>
            <w:noProof/>
            <w:sz w:val="20"/>
            <w:szCs w:val="20"/>
          </w:rPr>
          <w:t>2</w:t>
        </w:r>
        <w:r w:rsidRPr="004A58B7">
          <w:rPr>
            <w:rFonts w:ascii="Times New Roman" w:hAnsi="Times New Roman" w:cs="Times New Roman"/>
            <w:noProof/>
            <w:sz w:val="20"/>
            <w:szCs w:val="20"/>
          </w:rPr>
          <w:fldChar w:fldCharType="end"/>
        </w:r>
      </w:p>
    </w:sdtContent>
  </w:sdt>
  <w:p w:rsidR="004A58B7" w:rsidRDefault="004A58B7" w14:paraId="6922C74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E7A17" w:rsidP="004A58B7" w:rsidRDefault="004E7A17" w14:paraId="27D68934" w14:textId="77777777">
      <w:pPr>
        <w:spacing w:line="240" w:lineRule="auto"/>
      </w:pPr>
      <w:r>
        <w:separator/>
      </w:r>
    </w:p>
  </w:footnote>
  <w:footnote w:type="continuationSeparator" w:id="0">
    <w:p w:rsidR="004E7A17" w:rsidP="004A58B7" w:rsidRDefault="004E7A17" w14:paraId="5E9AB606" w14:textId="77777777">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C3kt3TvEn9P7u" int2:id="G4EtDILF">
      <int2:state int2:value="Rejected" int2:type="spell"/>
    </int2:textHash>
    <int2:textHash int2:hashCode="oQBBT+qyP4p1rN" int2:id="u37fFBDC">
      <int2:state int2:value="Rejected" int2:type="spell"/>
    </int2:textHash>
    <int2:textHash int2:hashCode="Utfs4Cp/ebuBaG" int2:id="BFISOBlE">
      <int2:state int2:value="Rejected" int2:type="spell"/>
    </int2:textHash>
    <int2:textHash int2:hashCode="yBWBdxOHfxnUby" int2:id="OVErpllM">
      <int2:state int2:value="Rejected" int2:type="spell"/>
    </int2:textHash>
    <int2:textHash int2:hashCode="0xgHqqUen/rTx2" int2:id="jorUTFT7">
      <int2:state int2:value="Rejected" int2:type="spell"/>
    </int2:textHash>
    <int2:textHash int2:hashCode="Y5srKifEG1Z2Vg" int2:id="EuGl714I">
      <int2:state int2:value="Rejected" int2:type="spell"/>
    </int2:textHash>
    <int2:textHash int2:hashCode="TVtubjt7p/JmtI" int2:id="j7OBCcWJ">
      <int2:state int2:value="Rejected" int2:type="spell"/>
    </int2:textHash>
    <int2:textHash int2:hashCode="YxoRnwzn7d+y+t" int2:id="NRPOFTfg">
      <int2:state int2:value="Rejected" int2:type="spell"/>
    </int2:textHash>
    <int2:textHash int2:hashCode="IwLgOUKx7pQNDT" int2:id="AH6u73qo">
      <int2:state int2:value="Rejected" int2:type="spell"/>
    </int2:textHash>
    <int2:textHash int2:hashCode="DTTcwT7Vnu94an" int2:id="cWK2q3Ql">
      <int2:state int2:value="Rejected" int2:type="spell"/>
    </int2:textHash>
    <int2:textHash int2:hashCode="3VVfACJYXeZz+v" int2:id="fWJb5LFd">
      <int2:state int2:value="Rejected" int2:type="spell"/>
    </int2:textHash>
    <int2:textHash int2:hashCode="A/bbBH6Xtwcb3Q" int2:id="bHrDYroT">
      <int2:state int2:value="Rejected" int2:type="spell"/>
    </int2:textHash>
    <int2:bookmark int2:bookmarkName="_Int_ZpkDCkYP" int2:invalidationBookmarkName="" int2:hashCode="C+S/OyfjWx0YNT" int2:id="PAXdzmjf">
      <int2:state int2:value="Rejected" int2:type="gram"/>
    </int2:bookmark>
    <int2:bookmark int2:bookmarkName="_Int_FLAC6T7d" int2:invalidationBookmarkName="" int2:hashCode="75qWafBjMkm3xU" int2:id="lwkTUrXN">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826"/>
    <w:rsid w:val="00056F15"/>
    <w:rsid w:val="000D0539"/>
    <w:rsid w:val="000F1281"/>
    <w:rsid w:val="00193D7C"/>
    <w:rsid w:val="001D0538"/>
    <w:rsid w:val="002500E9"/>
    <w:rsid w:val="00261960"/>
    <w:rsid w:val="002C6BEF"/>
    <w:rsid w:val="002D396C"/>
    <w:rsid w:val="00351EF0"/>
    <w:rsid w:val="004906A0"/>
    <w:rsid w:val="004A58B7"/>
    <w:rsid w:val="004E7A17"/>
    <w:rsid w:val="00520A9C"/>
    <w:rsid w:val="005802B4"/>
    <w:rsid w:val="005D3D5A"/>
    <w:rsid w:val="00660F48"/>
    <w:rsid w:val="007048EB"/>
    <w:rsid w:val="007060FC"/>
    <w:rsid w:val="007A1AE1"/>
    <w:rsid w:val="007E30E9"/>
    <w:rsid w:val="00891203"/>
    <w:rsid w:val="008D4E8E"/>
    <w:rsid w:val="009710DE"/>
    <w:rsid w:val="00A54696"/>
    <w:rsid w:val="00AE0913"/>
    <w:rsid w:val="00AE6A36"/>
    <w:rsid w:val="00B311BD"/>
    <w:rsid w:val="00B51B91"/>
    <w:rsid w:val="00BC2845"/>
    <w:rsid w:val="00C0098F"/>
    <w:rsid w:val="00C4194D"/>
    <w:rsid w:val="00CA50EB"/>
    <w:rsid w:val="00D478F1"/>
    <w:rsid w:val="00D92826"/>
    <w:rsid w:val="00F34EB4"/>
    <w:rsid w:val="00F64A62"/>
    <w:rsid w:val="00F6548B"/>
    <w:rsid w:val="02212676"/>
    <w:rsid w:val="07857706"/>
    <w:rsid w:val="0BA624E9"/>
    <w:rsid w:val="0D7DAF3C"/>
    <w:rsid w:val="14DDDA34"/>
    <w:rsid w:val="19BDA26C"/>
    <w:rsid w:val="1AAAD6D7"/>
    <w:rsid w:val="1C185FFC"/>
    <w:rsid w:val="1D01BC68"/>
    <w:rsid w:val="29D7F3FD"/>
    <w:rsid w:val="377D9191"/>
    <w:rsid w:val="406DC995"/>
    <w:rsid w:val="44E7A8D4"/>
    <w:rsid w:val="467ADB32"/>
    <w:rsid w:val="487D5467"/>
    <w:rsid w:val="4DD8ABEA"/>
    <w:rsid w:val="5327B576"/>
    <w:rsid w:val="56011B31"/>
    <w:rsid w:val="56D793E1"/>
    <w:rsid w:val="63FAD9B0"/>
    <w:rsid w:val="6E0FBCE6"/>
    <w:rsid w:val="6E5E31FD"/>
    <w:rsid w:val="71CF8BBA"/>
    <w:rsid w:val="731C5887"/>
    <w:rsid w:val="73EC517E"/>
    <w:rsid w:val="771AF6D8"/>
    <w:rsid w:val="79039382"/>
    <w:rsid w:val="799033BE"/>
    <w:rsid w:val="7F783EC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7BFE9"/>
  <w15:docId w15:val="{9B6C8FE4-CDF5-4E81-A74A-F15B214D1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91203"/>
  </w:style>
  <w:style w:type="paragraph" w:styleId="Heading1">
    <w:name w:val="heading 1"/>
    <w:basedOn w:val="Normal"/>
    <w:next w:val="Normal"/>
    <w:autoRedefine/>
    <w:uiPriority w:val="9"/>
    <w:qFormat/>
    <w:rsid w:val="00660F4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660F48"/>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89120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9120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91203"/>
    <w:pPr>
      <w:keepNext/>
      <w:keepLines/>
      <w:spacing w:before="240" w:after="80"/>
      <w:outlineLvl w:val="4"/>
    </w:pPr>
    <w:rPr>
      <w:color w:val="666666"/>
    </w:rPr>
  </w:style>
  <w:style w:type="paragraph" w:styleId="Heading6">
    <w:name w:val="heading 6"/>
    <w:basedOn w:val="Normal"/>
    <w:next w:val="Normal"/>
    <w:uiPriority w:val="9"/>
    <w:semiHidden/>
    <w:unhideWhenUsed/>
    <w:qFormat/>
    <w:rsid w:val="00891203"/>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rsid w:val="00891203"/>
    <w:tblPr>
      <w:tblCellMar>
        <w:top w:w="100" w:type="dxa"/>
        <w:left w:w="100" w:type="dxa"/>
        <w:bottom w:w="100" w:type="dxa"/>
        <w:right w:w="100" w:type="dxa"/>
      </w:tblCellMar>
    </w:tblPr>
  </w:style>
  <w:style w:type="paragraph" w:styleId="Title">
    <w:name w:val="Title"/>
    <w:basedOn w:val="Normal"/>
    <w:next w:val="Normal"/>
    <w:uiPriority w:val="10"/>
    <w:qFormat/>
    <w:rsid w:val="00891203"/>
    <w:pPr>
      <w:keepNext/>
      <w:keepLines/>
      <w:spacing w:after="60"/>
    </w:pPr>
    <w:rPr>
      <w:sz w:val="52"/>
      <w:szCs w:val="52"/>
    </w:rPr>
  </w:style>
  <w:style w:type="paragraph" w:styleId="Subtitle">
    <w:name w:val="Subtitle"/>
    <w:basedOn w:val="Normal"/>
    <w:next w:val="Normal"/>
    <w:uiPriority w:val="11"/>
    <w:qFormat/>
    <w:rsid w:val="00891203"/>
    <w:pPr>
      <w:keepNext/>
      <w:keepLines/>
      <w:spacing w:after="320"/>
    </w:pPr>
    <w:rPr>
      <w:color w:val="666666"/>
      <w:sz w:val="30"/>
      <w:szCs w:val="30"/>
    </w:rPr>
  </w:style>
  <w:style w:type="paragraph" w:styleId="Header">
    <w:name w:val="header"/>
    <w:basedOn w:val="Normal"/>
    <w:link w:val="HeaderChar"/>
    <w:uiPriority w:val="99"/>
    <w:unhideWhenUsed/>
    <w:rsid w:val="004A58B7"/>
    <w:pPr>
      <w:tabs>
        <w:tab w:val="center" w:pos="4513"/>
        <w:tab w:val="right" w:pos="9026"/>
      </w:tabs>
      <w:spacing w:line="240" w:lineRule="auto"/>
    </w:pPr>
  </w:style>
  <w:style w:type="character" w:styleId="HeaderChar" w:customStyle="1">
    <w:name w:val="Header Char"/>
    <w:basedOn w:val="DefaultParagraphFont"/>
    <w:link w:val="Header"/>
    <w:uiPriority w:val="99"/>
    <w:rsid w:val="004A58B7"/>
  </w:style>
  <w:style w:type="paragraph" w:styleId="Footer">
    <w:name w:val="footer"/>
    <w:basedOn w:val="Normal"/>
    <w:link w:val="FooterChar"/>
    <w:uiPriority w:val="99"/>
    <w:unhideWhenUsed/>
    <w:rsid w:val="004A58B7"/>
    <w:pPr>
      <w:tabs>
        <w:tab w:val="center" w:pos="4513"/>
        <w:tab w:val="right" w:pos="9026"/>
      </w:tabs>
      <w:spacing w:line="240" w:lineRule="auto"/>
    </w:pPr>
  </w:style>
  <w:style w:type="character" w:styleId="FooterChar" w:customStyle="1">
    <w:name w:val="Footer Char"/>
    <w:basedOn w:val="DefaultParagraphFont"/>
    <w:link w:val="Footer"/>
    <w:uiPriority w:val="99"/>
    <w:rsid w:val="004A58B7"/>
  </w:style>
  <w:style w:type="paragraph" w:styleId="TOCHeading">
    <w:name w:val="TOC Heading"/>
    <w:basedOn w:val="Heading1"/>
    <w:next w:val="Normal"/>
    <w:uiPriority w:val="39"/>
    <w:unhideWhenUsed/>
    <w:qFormat/>
    <w:rsid w:val="00660F48"/>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60F48"/>
    <w:pPr>
      <w:spacing w:after="100"/>
    </w:pPr>
  </w:style>
  <w:style w:type="paragraph" w:styleId="TOC2">
    <w:name w:val="toc 2"/>
    <w:basedOn w:val="Normal"/>
    <w:next w:val="Normal"/>
    <w:autoRedefine/>
    <w:uiPriority w:val="39"/>
    <w:unhideWhenUsed/>
    <w:rsid w:val="00660F48"/>
    <w:pPr>
      <w:spacing w:after="100"/>
      <w:ind w:left="220"/>
    </w:pPr>
  </w:style>
  <w:style w:type="character" w:styleId="Hyperlink">
    <w:name w:val="Hyperlink"/>
    <w:basedOn w:val="DefaultParagraphFont"/>
    <w:uiPriority w:val="99"/>
    <w:unhideWhenUsed/>
    <w:rsid w:val="00660F48"/>
    <w:rPr>
      <w:color w:val="0000FF" w:themeColor="hyperlink"/>
      <w:u w:val="single"/>
    </w:rPr>
  </w:style>
  <w:style w:type="paragraph" w:styleId="BalloonText">
    <w:name w:val="Balloon Text"/>
    <w:basedOn w:val="Normal"/>
    <w:link w:val="BalloonTextChar"/>
    <w:uiPriority w:val="99"/>
    <w:semiHidden/>
    <w:unhideWhenUsed/>
    <w:rsid w:val="002D396C"/>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D396C"/>
    <w:rPr>
      <w:rFonts w:ascii="Tahoma" w:hAnsi="Tahoma" w:cs="Tahoma"/>
      <w:sz w:val="16"/>
      <w:szCs w:val="16"/>
    </w:rPr>
  </w:style>
  <w:style w:type="paragraph" w:styleId="NormalWeb">
    <w:name w:val="Normal (Web)"/>
    <w:basedOn w:val="Normal"/>
    <w:uiPriority w:val="99"/>
    <w:semiHidden/>
    <w:unhideWhenUsed/>
    <w:rsid w:val="002D396C"/>
    <w:pPr>
      <w:spacing w:before="100" w:beforeAutospacing="1" w:after="100" w:afterAutospacing="1" w:line="240" w:lineRule="auto"/>
    </w:pPr>
    <w:rPr>
      <w:rFonts w:ascii="Times New Roman" w:hAnsi="Times New Roman" w:eastAsia="Times New Roman" w:cs="Times New Roman"/>
      <w:sz w:val="24"/>
      <w:szCs w:val="24"/>
      <w:lang w:val="en-US" w:eastAsia="en-US"/>
    </w:rPr>
  </w:style>
  <w:style w:type="character" w:styleId="UnresolvedMention">
    <w:name w:val="Unresolved Mention"/>
    <w:basedOn w:val="DefaultParagraphFont"/>
    <w:uiPriority w:val="99"/>
    <w:semiHidden/>
    <w:unhideWhenUsed/>
    <w:rsid w:val="00A54696"/>
    <w:rPr>
      <w:color w:val="605E5C"/>
      <w:shd w:val="clear" w:color="auto" w:fill="E1DFDD"/>
    </w:rPr>
  </w:style>
  <w:style w:type="table" w:styleId="TableGrid">
    <w:name w:val="Table Grid"/>
    <w:basedOn w:val="TableNormal"/>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907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assets.publishing.service.gov.uk/media/5a74fd6540f0b6399b2afc9e/150520RapidReviewHealthyChildProg_UPDATE_poisons_final.pdf" TargetMode="External" Id="rId8" /><Relationship Type="http://schemas.openxmlformats.org/officeDocument/2006/relationships/settings" Target="settings.xml" Id="rId3" /><Relationship Type="http://schemas.openxmlformats.org/officeDocument/2006/relationships/image" Target="media/image1.png"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723AA-1378-4BA8-8920-6868AD07C2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Alice Clayton</dc:creator>
  <lastModifiedBy>Farah Hussain (2328221)</lastModifiedBy>
  <revision>3</revision>
  <dcterms:created xsi:type="dcterms:W3CDTF">2025-11-17T09:39:00.0000000Z</dcterms:created>
  <dcterms:modified xsi:type="dcterms:W3CDTF">2025-11-17T11:29:18.3693307Z</dcterms:modified>
</coreProperties>
</file>