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D76AC" w14:textId="2EC2B363" w:rsidR="00A61B43" w:rsidRPr="009306CD" w:rsidRDefault="009C6989" w:rsidP="009C6989">
      <w:pPr>
        <w:pStyle w:val="IntenseQuote"/>
        <w:rPr>
          <w:b/>
          <w:bCs/>
          <w:sz w:val="32"/>
          <w:szCs w:val="32"/>
          <w:u w:val="single"/>
        </w:rPr>
      </w:pPr>
      <w:r w:rsidRPr="009306CD">
        <w:rPr>
          <w:b/>
          <w:bCs/>
          <w:sz w:val="32"/>
          <w:szCs w:val="32"/>
          <w:u w:val="single"/>
        </w:rPr>
        <w:t xml:space="preserve">Site Investigation Case Study </w:t>
      </w:r>
    </w:p>
    <w:p w14:paraId="11E39264" w14:textId="5CB4C941" w:rsidR="009C6989" w:rsidRPr="009306CD" w:rsidRDefault="009C6989" w:rsidP="009C6989">
      <w:pPr>
        <w:pStyle w:val="IntenseQuote"/>
        <w:rPr>
          <w:b/>
          <w:bCs/>
          <w:sz w:val="32"/>
          <w:szCs w:val="32"/>
          <w:u w:val="single"/>
        </w:rPr>
      </w:pPr>
      <w:r w:rsidRPr="009306CD">
        <w:rPr>
          <w:b/>
          <w:bCs/>
          <w:sz w:val="32"/>
          <w:szCs w:val="32"/>
          <w:u w:val="single"/>
        </w:rPr>
        <w:t xml:space="preserve">Proposed Restaurant and Ice Cream Parlour Development- Swansea Foreshore </w:t>
      </w:r>
    </w:p>
    <w:p w14:paraId="23AEF99B" w14:textId="51970CDC" w:rsidR="009C6989" w:rsidRDefault="009C6989" w:rsidP="009C6989">
      <w:pPr>
        <w:jc w:val="center"/>
        <w:rPr>
          <w:b/>
          <w:bCs/>
        </w:rPr>
      </w:pPr>
      <w:r w:rsidRPr="009C6989">
        <w:rPr>
          <w:b/>
          <w:bCs/>
        </w:rPr>
        <w:t>Written by Seren Adams</w:t>
      </w:r>
    </w:p>
    <w:p w14:paraId="0E1F85CB" w14:textId="759FC5E4" w:rsidR="009C6989" w:rsidRPr="009C6989" w:rsidRDefault="009C6989" w:rsidP="009C6989">
      <w:r w:rsidRPr="009C6989">
        <w:t>Student ID: 2502932</w:t>
      </w:r>
    </w:p>
    <w:p w14:paraId="44CE9827" w14:textId="4B3DAB80" w:rsidR="009C6989" w:rsidRPr="009C6989" w:rsidRDefault="009C6989" w:rsidP="009C6989">
      <w:r w:rsidRPr="009C6989">
        <w:t>Date: 16</w:t>
      </w:r>
      <w:r w:rsidRPr="009C6989">
        <w:rPr>
          <w:vertAlign w:val="superscript"/>
        </w:rPr>
        <w:t>th</w:t>
      </w:r>
      <w:r w:rsidRPr="009C6989">
        <w:t xml:space="preserve"> March 2026</w:t>
      </w:r>
    </w:p>
    <w:p w14:paraId="68B92DB4" w14:textId="774AAFEE" w:rsidR="009C6989" w:rsidRDefault="009C6989" w:rsidP="009C6989">
      <w:r w:rsidRPr="009C6989">
        <w:t xml:space="preserve">Word Count: </w:t>
      </w:r>
      <w:r w:rsidR="00C10F5E">
        <w:t>21</w:t>
      </w:r>
      <w:r w:rsidR="00F91C91">
        <w:t>30</w:t>
      </w:r>
    </w:p>
    <w:p w14:paraId="3AC67B17" w14:textId="27688177" w:rsidR="009C6989" w:rsidRDefault="009C6989" w:rsidP="009C6989">
      <w:r>
        <w:rPr>
          <w:noProof/>
        </w:rPr>
        <w:drawing>
          <wp:anchor distT="0" distB="0" distL="114300" distR="114300" simplePos="0" relativeHeight="251658240" behindDoc="0" locked="0" layoutInCell="1" allowOverlap="1" wp14:anchorId="29266D29" wp14:editId="1FC8DDF6">
            <wp:simplePos x="0" y="0"/>
            <wp:positionH relativeFrom="column">
              <wp:posOffset>-7620</wp:posOffset>
            </wp:positionH>
            <wp:positionV relativeFrom="paragraph">
              <wp:posOffset>377825</wp:posOffset>
            </wp:positionV>
            <wp:extent cx="5417820" cy="4067175"/>
            <wp:effectExtent l="0" t="0" r="0" b="9525"/>
            <wp:wrapSquare wrapText="bothSides"/>
            <wp:docPr id="140335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17820" cy="4067175"/>
                    </a:xfrm>
                    <a:prstGeom prst="rect">
                      <a:avLst/>
                    </a:prstGeom>
                    <a:noFill/>
                  </pic:spPr>
                </pic:pic>
              </a:graphicData>
            </a:graphic>
            <wp14:sizeRelH relativeFrom="margin">
              <wp14:pctWidth>0</wp14:pctWidth>
            </wp14:sizeRelH>
            <wp14:sizeRelV relativeFrom="margin">
              <wp14:pctHeight>0</wp14:pctHeight>
            </wp14:sizeRelV>
          </wp:anchor>
        </w:drawing>
      </w:r>
    </w:p>
    <w:p w14:paraId="4DDC8220" w14:textId="32595040" w:rsidR="009C6989" w:rsidRDefault="009C6989" w:rsidP="009C6989"/>
    <w:p w14:paraId="7AE82C7C" w14:textId="51112722" w:rsidR="009C6989" w:rsidRDefault="009C6989" w:rsidP="009C6989"/>
    <w:p w14:paraId="633D4CF1" w14:textId="04CA371A" w:rsidR="009C6989" w:rsidRDefault="009C6989" w:rsidP="009C6989"/>
    <w:p w14:paraId="248969F0" w14:textId="67934A4A" w:rsidR="009C6989" w:rsidRDefault="009C6989" w:rsidP="009C6989"/>
    <w:p w14:paraId="42759DFA" w14:textId="77777777" w:rsidR="00C85268" w:rsidRPr="009306CD" w:rsidRDefault="00C85268" w:rsidP="00C85268">
      <w:pPr>
        <w:pStyle w:val="IntenseQuote"/>
        <w:rPr>
          <w:b/>
          <w:bCs/>
          <w:sz w:val="32"/>
          <w:szCs w:val="32"/>
          <w:u w:val="single"/>
        </w:rPr>
      </w:pPr>
      <w:r w:rsidRPr="009306CD">
        <w:rPr>
          <w:b/>
          <w:bCs/>
          <w:sz w:val="32"/>
          <w:szCs w:val="32"/>
          <w:u w:val="single"/>
        </w:rPr>
        <w:lastRenderedPageBreak/>
        <w:t xml:space="preserve">Table of Contents </w:t>
      </w:r>
    </w:p>
    <w:p w14:paraId="353A450E" w14:textId="77777777" w:rsidR="00C85268" w:rsidRDefault="00C85268" w:rsidP="00C85268"/>
    <w:p w14:paraId="1777FDA2" w14:textId="77777777" w:rsidR="00C85268" w:rsidRDefault="00C85268" w:rsidP="00C85268">
      <w:r>
        <w:t>Title Page………………………………………………………………………………………………………1</w:t>
      </w:r>
    </w:p>
    <w:p w14:paraId="7149F7A1" w14:textId="77777777" w:rsidR="00C85268" w:rsidRDefault="00C85268" w:rsidP="00C85268">
      <w:r>
        <w:t>Table of Contents………………………………………………………………………………………</w:t>
      </w:r>
      <w:proofErr w:type="gramStart"/>
      <w:r>
        <w:t>…..</w:t>
      </w:r>
      <w:proofErr w:type="gramEnd"/>
      <w:r>
        <w:t>2</w:t>
      </w:r>
    </w:p>
    <w:p w14:paraId="2B1AA362" w14:textId="1BB734ED" w:rsidR="00C85268" w:rsidRPr="00E82A5E" w:rsidRDefault="00E82A5E" w:rsidP="00C85268">
      <w:r>
        <w:t>Introduction………………………………………………………………………………………………….3</w:t>
      </w:r>
    </w:p>
    <w:p w14:paraId="25547329" w14:textId="70D50A10" w:rsidR="00C85268" w:rsidRPr="00B95DB3" w:rsidRDefault="00B95DB3" w:rsidP="00C85268">
      <w:r>
        <w:t>Historical Background…………………………………………………………………………………….4</w:t>
      </w:r>
      <w:r w:rsidR="00DA0FBB">
        <w:t>-5</w:t>
      </w:r>
    </w:p>
    <w:p w14:paraId="374C16BB" w14:textId="4ACD9658" w:rsidR="00C85268" w:rsidRDefault="00DA0FBB" w:rsidP="00C85268">
      <w:r>
        <w:t xml:space="preserve">Preliminary </w:t>
      </w:r>
      <w:r w:rsidR="00A67161">
        <w:t>ground conditions &amp; recommended strategy………………………………………6</w:t>
      </w:r>
    </w:p>
    <w:p w14:paraId="07D72C1C" w14:textId="6499ED3D" w:rsidR="00C85268" w:rsidRDefault="00A7455F" w:rsidP="00C85268">
      <w:r>
        <w:t>Highest risk factors &amp; Regulations…………………………………………………………………</w:t>
      </w:r>
      <w:proofErr w:type="gramStart"/>
      <w:r>
        <w:t>…..</w:t>
      </w:r>
      <w:proofErr w:type="gramEnd"/>
      <w:r>
        <w:t>7</w:t>
      </w:r>
    </w:p>
    <w:p w14:paraId="2B699777" w14:textId="399EA7D0" w:rsidR="00AC0F58" w:rsidRDefault="00AC0F58" w:rsidP="00C85268">
      <w:r>
        <w:t>Authorities &amp; stakeholders &amp; Foundation Justification………………………………………</w:t>
      </w:r>
      <w:proofErr w:type="gramStart"/>
      <w:r>
        <w:t>…..</w:t>
      </w:r>
      <w:proofErr w:type="gramEnd"/>
      <w:r>
        <w:t>8</w:t>
      </w:r>
    </w:p>
    <w:p w14:paraId="794441A4" w14:textId="1908824A" w:rsidR="00AC0F58" w:rsidRDefault="00AC0F58" w:rsidP="00C85268">
      <w:r>
        <w:t>Pile Foundations…………………………………………………………………………………………</w:t>
      </w:r>
      <w:proofErr w:type="gramStart"/>
      <w:r>
        <w:t>…..</w:t>
      </w:r>
      <w:proofErr w:type="gramEnd"/>
      <w:r>
        <w:t>9</w:t>
      </w:r>
    </w:p>
    <w:p w14:paraId="68493041" w14:textId="0C532E00" w:rsidR="00AC0F58" w:rsidRDefault="00AC0F58" w:rsidP="00C85268">
      <w:r>
        <w:t>References…………………………………………………………………………………………………….10</w:t>
      </w:r>
    </w:p>
    <w:p w14:paraId="3B84889F" w14:textId="77777777" w:rsidR="00AC0F58" w:rsidRPr="00AC0F58" w:rsidRDefault="00AC0F58" w:rsidP="00C85268"/>
    <w:p w14:paraId="4A8365AA" w14:textId="77777777" w:rsidR="00C85268" w:rsidRDefault="00C85268" w:rsidP="00C85268">
      <w:pPr>
        <w:rPr>
          <w:b/>
          <w:bCs/>
        </w:rPr>
      </w:pPr>
    </w:p>
    <w:p w14:paraId="0792E272" w14:textId="77777777" w:rsidR="00C85268" w:rsidRDefault="00C85268" w:rsidP="00C85268">
      <w:pPr>
        <w:rPr>
          <w:b/>
          <w:bCs/>
        </w:rPr>
      </w:pPr>
    </w:p>
    <w:p w14:paraId="620094F2" w14:textId="77777777" w:rsidR="00C85268" w:rsidRDefault="00C85268" w:rsidP="00C85268">
      <w:pPr>
        <w:rPr>
          <w:b/>
          <w:bCs/>
        </w:rPr>
      </w:pPr>
    </w:p>
    <w:p w14:paraId="160C8C7D" w14:textId="77777777" w:rsidR="00C85268" w:rsidRDefault="00C85268" w:rsidP="00C85268">
      <w:pPr>
        <w:rPr>
          <w:b/>
          <w:bCs/>
        </w:rPr>
      </w:pPr>
    </w:p>
    <w:p w14:paraId="2A3194F6" w14:textId="77777777" w:rsidR="00C85268" w:rsidRDefault="00C85268" w:rsidP="00C85268">
      <w:pPr>
        <w:rPr>
          <w:b/>
          <w:bCs/>
        </w:rPr>
      </w:pPr>
    </w:p>
    <w:p w14:paraId="033200EE" w14:textId="77777777" w:rsidR="00C85268" w:rsidRDefault="00C85268" w:rsidP="00C85268">
      <w:pPr>
        <w:rPr>
          <w:b/>
          <w:bCs/>
        </w:rPr>
      </w:pPr>
    </w:p>
    <w:p w14:paraId="1867B41F" w14:textId="77777777" w:rsidR="00C85268" w:rsidRDefault="00C85268" w:rsidP="00C85268">
      <w:pPr>
        <w:rPr>
          <w:b/>
          <w:bCs/>
        </w:rPr>
      </w:pPr>
    </w:p>
    <w:p w14:paraId="08271839" w14:textId="77777777" w:rsidR="00C85268" w:rsidRDefault="00C85268" w:rsidP="00C85268">
      <w:pPr>
        <w:rPr>
          <w:b/>
          <w:bCs/>
        </w:rPr>
      </w:pPr>
    </w:p>
    <w:p w14:paraId="478576EC" w14:textId="77777777" w:rsidR="00C85268" w:rsidRDefault="00C85268" w:rsidP="00C85268">
      <w:pPr>
        <w:rPr>
          <w:b/>
          <w:bCs/>
        </w:rPr>
      </w:pPr>
    </w:p>
    <w:p w14:paraId="5F0E8AAF" w14:textId="77777777" w:rsidR="00C85268" w:rsidRDefault="00C85268" w:rsidP="00C85268">
      <w:pPr>
        <w:rPr>
          <w:b/>
          <w:bCs/>
        </w:rPr>
      </w:pPr>
    </w:p>
    <w:p w14:paraId="1A9AC79A" w14:textId="77777777" w:rsidR="00C85268" w:rsidRDefault="00C85268" w:rsidP="00C85268">
      <w:pPr>
        <w:rPr>
          <w:b/>
          <w:bCs/>
        </w:rPr>
      </w:pPr>
    </w:p>
    <w:p w14:paraId="6C2AFBF5" w14:textId="77777777" w:rsidR="00C85268" w:rsidRDefault="00C85268" w:rsidP="00C85268">
      <w:pPr>
        <w:rPr>
          <w:b/>
          <w:bCs/>
        </w:rPr>
      </w:pPr>
    </w:p>
    <w:p w14:paraId="4B53B150" w14:textId="77777777" w:rsidR="00C85268" w:rsidRDefault="00C85268" w:rsidP="00C85268">
      <w:pPr>
        <w:rPr>
          <w:b/>
          <w:bCs/>
        </w:rPr>
      </w:pPr>
    </w:p>
    <w:p w14:paraId="22253207" w14:textId="77777777" w:rsidR="00C85268" w:rsidRDefault="00C85268" w:rsidP="00C85268">
      <w:pPr>
        <w:rPr>
          <w:b/>
          <w:bCs/>
        </w:rPr>
      </w:pPr>
    </w:p>
    <w:p w14:paraId="11E3375B" w14:textId="77777777" w:rsidR="00C85268" w:rsidRDefault="00C85268" w:rsidP="00C85268">
      <w:pPr>
        <w:rPr>
          <w:b/>
          <w:bCs/>
        </w:rPr>
      </w:pPr>
    </w:p>
    <w:p w14:paraId="30AE63FC" w14:textId="77777777" w:rsidR="00C85268" w:rsidRDefault="00C85268" w:rsidP="00C85268">
      <w:pPr>
        <w:rPr>
          <w:b/>
          <w:bCs/>
        </w:rPr>
      </w:pPr>
    </w:p>
    <w:p w14:paraId="5481CF21" w14:textId="77777777" w:rsidR="00C85268" w:rsidRDefault="00C85268" w:rsidP="00C85268">
      <w:pPr>
        <w:rPr>
          <w:b/>
          <w:bCs/>
        </w:rPr>
      </w:pPr>
    </w:p>
    <w:p w14:paraId="68731316" w14:textId="77777777" w:rsidR="00C85268" w:rsidRDefault="00C85268" w:rsidP="00C85268">
      <w:pPr>
        <w:rPr>
          <w:b/>
          <w:bCs/>
        </w:rPr>
      </w:pPr>
    </w:p>
    <w:p w14:paraId="2FB79013" w14:textId="70AF2EFB" w:rsidR="009C6989" w:rsidRPr="009306CD" w:rsidRDefault="004B1E7C" w:rsidP="00245519">
      <w:pPr>
        <w:pStyle w:val="ListParagraph"/>
        <w:numPr>
          <w:ilvl w:val="0"/>
          <w:numId w:val="6"/>
        </w:numPr>
        <w:rPr>
          <w:b/>
          <w:bCs/>
          <w:u w:val="single"/>
        </w:rPr>
      </w:pPr>
      <w:r w:rsidRPr="009306CD">
        <w:rPr>
          <w:b/>
          <w:bCs/>
          <w:u w:val="single"/>
        </w:rPr>
        <w:t>Introduction</w:t>
      </w:r>
    </w:p>
    <w:p w14:paraId="024BEE80" w14:textId="55DC0E9A" w:rsidR="00591E9E" w:rsidRDefault="00591E9E" w:rsidP="009C6989">
      <w:r>
        <w:t xml:space="preserve">The </w:t>
      </w:r>
      <w:r w:rsidR="00083CD1">
        <w:t>proposed development comprises</w:t>
      </w:r>
      <w:r>
        <w:t xml:space="preserve"> a joint </w:t>
      </w:r>
      <w:r w:rsidR="00083CD1">
        <w:t xml:space="preserve">venture </w:t>
      </w:r>
      <w:r>
        <w:t>between the City and County of Swansea and Marriott Hotels</w:t>
      </w:r>
      <w:r w:rsidR="00083CD1">
        <w:t>, l</w:t>
      </w:r>
      <w:r>
        <w:t>ocated on</w:t>
      </w:r>
      <w:r w:rsidR="00083CD1">
        <w:t xml:space="preserve"> the</w:t>
      </w:r>
      <w:r>
        <w:t xml:space="preserve"> Swansea Foreshore</w:t>
      </w:r>
      <w:r w:rsidR="003A4CDA">
        <w:t xml:space="preserve"> between County Hall and the existing Marriott Hotel. </w:t>
      </w:r>
      <w:r>
        <w:t>T</w:t>
      </w:r>
      <w:r w:rsidR="00543154">
        <w:t xml:space="preserve">he scheme involves the construction of a multi-functional building with an approximate gross internal floor area of 2000m2, incorporating a restaurant, café bar, ice cream parlour and commercial kitchen at ground floor level, alongside meeting rooms, staff facilities and a </w:t>
      </w:r>
      <w:r w:rsidR="00F96CF5">
        <w:t>manager’s</w:t>
      </w:r>
      <w:r w:rsidR="00543154">
        <w:t xml:space="preserve"> apartment at upper level. The design includes a glazed façade opening onto the promenade, reflecting the leisure focused character of the surrounding Maritime Quarter. </w:t>
      </w:r>
      <w:r w:rsidR="007B3827">
        <w:t xml:space="preserve"> </w:t>
      </w:r>
    </w:p>
    <w:p w14:paraId="580F4EC2" w14:textId="2A13D05F" w:rsidR="00591E9E" w:rsidRDefault="006C1BA4" w:rsidP="009C6989">
      <w:r>
        <w:t>This report presents a</w:t>
      </w:r>
      <w:r w:rsidR="008861D0">
        <w:t xml:space="preserve"> preliminary desktop study </w:t>
      </w:r>
      <w:r>
        <w:t>undertaken at the feasibility stage, with the aim of informing a future detailed site investigation.</w:t>
      </w:r>
      <w:r w:rsidR="008861D0">
        <w:t xml:space="preserve"> </w:t>
      </w:r>
      <w:r>
        <w:t xml:space="preserve">The assessment evaluates the historical development </w:t>
      </w:r>
      <w:r w:rsidR="00E90B5F">
        <w:t xml:space="preserve">of the site, identifies key geotechnical risks, and proposes an appropriate ground investigation strategy. In addition, relevant regulations, stakeholders and foundation solutions are considered in relation to the anticipated ground conditions. </w:t>
      </w:r>
      <w:r w:rsidR="003A434E">
        <w:t xml:space="preserve"> </w:t>
      </w:r>
    </w:p>
    <w:p w14:paraId="0EEF336D" w14:textId="1AB90ED5" w:rsidR="004B1E7C" w:rsidRDefault="00115A08" w:rsidP="009C6989">
      <w:r>
        <w:t>A thorough understanding of subsurface conditions is key in construction</w:t>
      </w:r>
      <w:r w:rsidR="00DD618E">
        <w:t>, as ground behaviour directly influences foundation design, structural performance and project viability.</w:t>
      </w:r>
      <w:r w:rsidR="00777225">
        <w:t xml:space="preserve"> Early identification of p</w:t>
      </w:r>
      <w:r w:rsidR="00E90B5F">
        <w:t>otential</w:t>
      </w:r>
      <w:r w:rsidR="00777225">
        <w:t xml:space="preserve"> risks </w:t>
      </w:r>
      <w:r w:rsidR="00E90B5F">
        <w:t xml:space="preserve">such as contamination, weak strata or </w:t>
      </w:r>
      <w:r w:rsidR="006E37E4">
        <w:t>groundwater</w:t>
      </w:r>
      <w:r w:rsidR="00E90B5F">
        <w:t xml:space="preserve"> issues </w:t>
      </w:r>
      <w:r w:rsidR="006E37E4">
        <w:t xml:space="preserve">enables mitigation strategies to be implemented, reducing the likelihood of structural failure, delays and cost overruns. </w:t>
      </w:r>
    </w:p>
    <w:p w14:paraId="1F076649" w14:textId="2739CC2D" w:rsidR="00776520" w:rsidRDefault="00776520" w:rsidP="009C6989">
      <w:r>
        <w:rPr>
          <w:noProof/>
        </w:rPr>
        <w:lastRenderedPageBreak/>
        <w:drawing>
          <wp:inline distT="0" distB="0" distL="0" distR="0" wp14:anchorId="6F5AAFB0" wp14:editId="74BB1386">
            <wp:extent cx="5731510" cy="2891155"/>
            <wp:effectExtent l="0" t="0" r="2540" b="4445"/>
            <wp:docPr id="1284640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40263" name="Picture 1284640263"/>
                    <pic:cNvPicPr/>
                  </pic:nvPicPr>
                  <pic:blipFill>
                    <a:blip r:embed="rId6">
                      <a:extLst>
                        <a:ext uri="{28A0092B-C50C-407E-A947-70E740481C1C}">
                          <a14:useLocalDpi xmlns:a14="http://schemas.microsoft.com/office/drawing/2010/main" val="0"/>
                        </a:ext>
                      </a:extLst>
                    </a:blip>
                    <a:stretch>
                      <a:fillRect/>
                    </a:stretch>
                  </pic:blipFill>
                  <pic:spPr>
                    <a:xfrm>
                      <a:off x="0" y="0"/>
                      <a:ext cx="5731510" cy="2891155"/>
                    </a:xfrm>
                    <a:prstGeom prst="rect">
                      <a:avLst/>
                    </a:prstGeom>
                  </pic:spPr>
                </pic:pic>
              </a:graphicData>
            </a:graphic>
          </wp:inline>
        </w:drawing>
      </w:r>
    </w:p>
    <w:p w14:paraId="44697FF5" w14:textId="6F789ADB" w:rsidR="00777225" w:rsidRPr="00835D21" w:rsidRDefault="008C1C0D" w:rsidP="009C6989">
      <w:pPr>
        <w:rPr>
          <w:b/>
          <w:bCs/>
        </w:rPr>
      </w:pPr>
      <w:r w:rsidRPr="00835D21">
        <w:rPr>
          <w:b/>
          <w:bCs/>
        </w:rPr>
        <w:t xml:space="preserve">Figure 1: Aerial view of Swansea Marina </w:t>
      </w:r>
      <w:r w:rsidR="001D68A8" w:rsidRPr="00835D21">
        <w:rPr>
          <w:b/>
          <w:bCs/>
        </w:rPr>
        <w:t>illustrating the proposed development site located</w:t>
      </w:r>
      <w:r w:rsidR="002B1B57" w:rsidRPr="00835D21">
        <w:rPr>
          <w:b/>
          <w:bCs/>
        </w:rPr>
        <w:t xml:space="preserve"> between County Hall and the Marriott Hotel, adjacent to the River Tawe</w:t>
      </w:r>
      <w:r w:rsidR="00FF264B">
        <w:rPr>
          <w:b/>
          <w:bCs/>
        </w:rPr>
        <w:t xml:space="preserve"> (Source: Google Maps, 2026). </w:t>
      </w:r>
    </w:p>
    <w:p w14:paraId="1F8437E3" w14:textId="77777777" w:rsidR="004659D5" w:rsidRDefault="004659D5" w:rsidP="004659D5"/>
    <w:p w14:paraId="1F3588F8" w14:textId="3B408BB2" w:rsidR="00777225" w:rsidRPr="004659D5" w:rsidRDefault="009306CD" w:rsidP="004659D5">
      <w:pPr>
        <w:rPr>
          <w:b/>
          <w:bCs/>
        </w:rPr>
      </w:pPr>
      <w:r>
        <w:rPr>
          <w:b/>
          <w:bCs/>
        </w:rPr>
        <w:t xml:space="preserve">2.0 </w:t>
      </w:r>
      <w:r w:rsidR="00777225" w:rsidRPr="009306CD">
        <w:rPr>
          <w:b/>
          <w:bCs/>
          <w:u w:val="single"/>
        </w:rPr>
        <w:t xml:space="preserve">Historical Background </w:t>
      </w:r>
      <w:r w:rsidR="00245519" w:rsidRPr="009306CD">
        <w:rPr>
          <w:b/>
          <w:bCs/>
          <w:u w:val="single"/>
        </w:rPr>
        <w:t>of the Site</w:t>
      </w:r>
      <w:r w:rsidR="00245519" w:rsidRPr="004659D5">
        <w:rPr>
          <w:b/>
          <w:bCs/>
        </w:rPr>
        <w:t xml:space="preserve"> </w:t>
      </w:r>
      <w:r w:rsidR="00777225" w:rsidRPr="004659D5">
        <w:rPr>
          <w:b/>
          <w:bCs/>
        </w:rPr>
        <w:t xml:space="preserve"> </w:t>
      </w:r>
    </w:p>
    <w:p w14:paraId="38565D7D" w14:textId="49DD9A34" w:rsidR="004659D5" w:rsidRPr="00100F36" w:rsidRDefault="00EA3926" w:rsidP="00100F36">
      <w:pPr>
        <w:ind w:left="360"/>
      </w:pPr>
      <w:r>
        <w:t xml:space="preserve">The Swansea </w:t>
      </w:r>
      <w:r w:rsidR="002E25C3">
        <w:t xml:space="preserve">foreshore site is </w:t>
      </w:r>
      <w:r w:rsidR="00CF6B78">
        <w:t xml:space="preserve">situated </w:t>
      </w:r>
      <w:r w:rsidR="002E25C3">
        <w:t xml:space="preserve">within </w:t>
      </w:r>
      <w:r w:rsidR="00537B2C">
        <w:t xml:space="preserve">an area </w:t>
      </w:r>
      <w:r w:rsidR="00CF6B78">
        <w:t>that</w:t>
      </w:r>
      <w:r w:rsidR="00537B2C">
        <w:t xml:space="preserve"> has undergone significant </w:t>
      </w:r>
      <w:r w:rsidR="00CF6B78">
        <w:t xml:space="preserve">industrial and post-industrial </w:t>
      </w:r>
      <w:r w:rsidR="00537B2C">
        <w:t>transformation since the mid- 19</w:t>
      </w:r>
      <w:r w:rsidR="00537B2C" w:rsidRPr="00537B2C">
        <w:rPr>
          <w:vertAlign w:val="superscript"/>
        </w:rPr>
        <w:t>th</w:t>
      </w:r>
      <w:r w:rsidR="00537B2C">
        <w:t xml:space="preserve"> century. During </w:t>
      </w:r>
      <w:r w:rsidR="001620AD">
        <w:t>this period,</w:t>
      </w:r>
      <w:r w:rsidR="00537B2C">
        <w:t xml:space="preserve"> Swansea </w:t>
      </w:r>
      <w:r w:rsidR="007649E7">
        <w:t>developed into</w:t>
      </w:r>
      <w:r w:rsidR="001620AD">
        <w:t xml:space="preserve"> a major global centre for</w:t>
      </w:r>
      <w:r w:rsidR="001E3B19">
        <w:t xml:space="preserve"> copper smelting and coal export</w:t>
      </w:r>
      <w:r w:rsidR="001620AD">
        <w:t xml:space="preserve">, </w:t>
      </w:r>
      <w:r w:rsidR="00F80C64">
        <w:t>which required the construction of</w:t>
      </w:r>
      <w:r w:rsidR="001620AD">
        <w:t xml:space="preserve"> extensive dock infrastructure and</w:t>
      </w:r>
      <w:r w:rsidR="00A03B7C">
        <w:t xml:space="preserve"> the reclamation of land</w:t>
      </w:r>
      <w:r w:rsidR="001620AD">
        <w:t xml:space="preserve"> along Swansea Bay</w:t>
      </w:r>
      <w:r w:rsidR="00A03B7C">
        <w:t xml:space="preserve"> (City and County of Swansea, 2023). </w:t>
      </w:r>
      <w:r w:rsidR="001620AD">
        <w:t xml:space="preserve"> </w:t>
      </w:r>
      <w:r w:rsidR="008306B9">
        <w:t xml:space="preserve">This process of land reclamation </w:t>
      </w:r>
      <w:r w:rsidR="00876D63">
        <w:t xml:space="preserve">typically </w:t>
      </w:r>
      <w:r w:rsidR="008306B9">
        <w:t xml:space="preserve">involved the </w:t>
      </w:r>
      <w:r w:rsidR="00876D63">
        <w:t xml:space="preserve">deposition </w:t>
      </w:r>
      <w:r w:rsidR="008306B9">
        <w:t xml:space="preserve">of large </w:t>
      </w:r>
      <w:r w:rsidR="00876D63">
        <w:t>volumes</w:t>
      </w:r>
      <w:r w:rsidR="008306B9">
        <w:t xml:space="preserve"> of made ground, often consisting of mixed </w:t>
      </w:r>
      <w:r w:rsidR="00100F36">
        <w:t>and uncontrolled materials</w:t>
      </w:r>
      <w:r w:rsidR="00876D63">
        <w:t xml:space="preserve"> such as industrial waste and dredged sediments (Tomlinson and Woodward, 2015). </w:t>
      </w:r>
      <w:r w:rsidR="00100F36">
        <w:t xml:space="preserve"> As shown in </w:t>
      </w:r>
      <w:r w:rsidR="00C458A6">
        <w:t>F</w:t>
      </w:r>
      <w:r w:rsidR="00100F36">
        <w:t xml:space="preserve">igure 2, the extensive dock network required significant land </w:t>
      </w:r>
      <w:r w:rsidR="00CF69D1">
        <w:t xml:space="preserve">reclamation, contributing to the presence of made ground across the Swansea Marina area. </w:t>
      </w:r>
    </w:p>
    <w:p w14:paraId="240A575E" w14:textId="6748B7E0" w:rsidR="00313000" w:rsidRDefault="00313000" w:rsidP="00EA3926">
      <w:pPr>
        <w:ind w:left="360"/>
        <w:rPr>
          <w:b/>
          <w:bCs/>
        </w:rPr>
      </w:pPr>
    </w:p>
    <w:p w14:paraId="07B34CDA" w14:textId="3FA1751F" w:rsidR="00A81444" w:rsidRPr="007A42E3" w:rsidRDefault="00A81444" w:rsidP="00EA3926">
      <w:pPr>
        <w:ind w:left="360"/>
        <w:rPr>
          <w:b/>
          <w:bCs/>
        </w:rPr>
      </w:pPr>
    </w:p>
    <w:p w14:paraId="6060E280" w14:textId="618E2513" w:rsidR="004659D5" w:rsidRDefault="00CF69D1" w:rsidP="00EA3926">
      <w:pPr>
        <w:ind w:left="360"/>
      </w:pPr>
      <w:r>
        <w:rPr>
          <w:noProof/>
        </w:rPr>
        <w:lastRenderedPageBreak/>
        <w:drawing>
          <wp:anchor distT="0" distB="0" distL="114300" distR="114300" simplePos="0" relativeHeight="251659264" behindDoc="0" locked="0" layoutInCell="1" allowOverlap="1" wp14:anchorId="312334AD" wp14:editId="5ABD5A04">
            <wp:simplePos x="0" y="0"/>
            <wp:positionH relativeFrom="margin">
              <wp:posOffset>211455</wp:posOffset>
            </wp:positionH>
            <wp:positionV relativeFrom="paragraph">
              <wp:posOffset>7620</wp:posOffset>
            </wp:positionV>
            <wp:extent cx="5170805" cy="2895600"/>
            <wp:effectExtent l="0" t="0" r="0" b="0"/>
            <wp:wrapSquare wrapText="bothSides"/>
            <wp:docPr id="1013557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55771" name="Picture 101355771"/>
                    <pic:cNvPicPr/>
                  </pic:nvPicPr>
                  <pic:blipFill>
                    <a:blip r:embed="rId7">
                      <a:extLst>
                        <a:ext uri="{28A0092B-C50C-407E-A947-70E740481C1C}">
                          <a14:useLocalDpi xmlns:a14="http://schemas.microsoft.com/office/drawing/2010/main" val="0"/>
                        </a:ext>
                      </a:extLst>
                    </a:blip>
                    <a:stretch>
                      <a:fillRect/>
                    </a:stretch>
                  </pic:blipFill>
                  <pic:spPr>
                    <a:xfrm>
                      <a:off x="0" y="0"/>
                      <a:ext cx="5170805" cy="2895600"/>
                    </a:xfrm>
                    <a:prstGeom prst="rect">
                      <a:avLst/>
                    </a:prstGeom>
                  </pic:spPr>
                </pic:pic>
              </a:graphicData>
            </a:graphic>
            <wp14:sizeRelH relativeFrom="margin">
              <wp14:pctWidth>0</wp14:pctWidth>
            </wp14:sizeRelH>
            <wp14:sizeRelV relativeFrom="margin">
              <wp14:pctHeight>0</wp14:pctHeight>
            </wp14:sizeRelV>
          </wp:anchor>
        </w:drawing>
      </w:r>
    </w:p>
    <w:p w14:paraId="5270A806" w14:textId="6C8B0060" w:rsidR="00971A05" w:rsidRDefault="00971A05" w:rsidP="00EA3926">
      <w:pPr>
        <w:ind w:left="360"/>
      </w:pPr>
    </w:p>
    <w:p w14:paraId="384A5684" w14:textId="634B6E61" w:rsidR="00971A05" w:rsidRDefault="00971A05" w:rsidP="00EA3926">
      <w:pPr>
        <w:ind w:left="360"/>
      </w:pPr>
    </w:p>
    <w:p w14:paraId="0901405D" w14:textId="5105AB6C" w:rsidR="00971A05" w:rsidRDefault="00971A05" w:rsidP="00EA3926">
      <w:pPr>
        <w:ind w:left="360"/>
      </w:pPr>
    </w:p>
    <w:p w14:paraId="2930D07C" w14:textId="6588A401" w:rsidR="00971A05" w:rsidRDefault="00100F36" w:rsidP="00EA3926">
      <w:pPr>
        <w:ind w:left="360"/>
      </w:pPr>
      <w:r w:rsidRPr="007A42E3">
        <w:rPr>
          <w:b/>
          <w:bCs/>
        </w:rPr>
        <w:t xml:space="preserve">Figure 2: Historical map of Swansea docklands </w:t>
      </w:r>
      <w:r>
        <w:rPr>
          <w:b/>
          <w:bCs/>
        </w:rPr>
        <w:t>illustrating dock expansion and industrial land use in the 19</w:t>
      </w:r>
      <w:r w:rsidRPr="00A81444">
        <w:rPr>
          <w:b/>
          <w:bCs/>
          <w:vertAlign w:val="superscript"/>
        </w:rPr>
        <w:t>th</w:t>
      </w:r>
      <w:r>
        <w:rPr>
          <w:b/>
          <w:bCs/>
        </w:rPr>
        <w:t xml:space="preserve"> and early 20</w:t>
      </w:r>
      <w:r w:rsidRPr="00A81444">
        <w:rPr>
          <w:b/>
          <w:bCs/>
          <w:vertAlign w:val="superscript"/>
        </w:rPr>
        <w:t>th</w:t>
      </w:r>
      <w:r>
        <w:rPr>
          <w:b/>
          <w:bCs/>
        </w:rPr>
        <w:t xml:space="preserve"> centuries.</w:t>
      </w:r>
    </w:p>
    <w:p w14:paraId="2CD4AA0D" w14:textId="77777777" w:rsidR="00971A05" w:rsidRDefault="00971A05" w:rsidP="00EA3926">
      <w:pPr>
        <w:ind w:left="360"/>
      </w:pPr>
    </w:p>
    <w:p w14:paraId="15673046" w14:textId="77777777" w:rsidR="00971A05" w:rsidRDefault="00971A05" w:rsidP="00EA3926">
      <w:pPr>
        <w:ind w:left="360"/>
      </w:pPr>
    </w:p>
    <w:p w14:paraId="32305EEF" w14:textId="77777777" w:rsidR="00971A05" w:rsidRDefault="00971A05" w:rsidP="00EA3926">
      <w:pPr>
        <w:ind w:left="360"/>
      </w:pPr>
    </w:p>
    <w:p w14:paraId="73AC6439" w14:textId="77777777" w:rsidR="00971A05" w:rsidRDefault="00971A05" w:rsidP="00EA3926">
      <w:pPr>
        <w:ind w:left="360"/>
      </w:pPr>
    </w:p>
    <w:p w14:paraId="549CD135" w14:textId="476BE0A7" w:rsidR="00971A05" w:rsidRPr="00CA504B" w:rsidRDefault="00971A05" w:rsidP="00EA3926">
      <w:pPr>
        <w:ind w:left="360"/>
        <w:rPr>
          <w:b/>
          <w:bCs/>
        </w:rPr>
      </w:pPr>
      <w:r w:rsidRPr="00CA504B">
        <w:rPr>
          <w:b/>
          <w:bCs/>
          <w:noProof/>
        </w:rPr>
        <w:drawing>
          <wp:anchor distT="0" distB="0" distL="114300" distR="114300" simplePos="0" relativeHeight="251660288" behindDoc="0" locked="0" layoutInCell="1" allowOverlap="1" wp14:anchorId="2BD68C77" wp14:editId="34FBE162">
            <wp:simplePos x="0" y="0"/>
            <wp:positionH relativeFrom="margin">
              <wp:posOffset>130175</wp:posOffset>
            </wp:positionH>
            <wp:positionV relativeFrom="paragraph">
              <wp:posOffset>0</wp:posOffset>
            </wp:positionV>
            <wp:extent cx="5402580" cy="3166745"/>
            <wp:effectExtent l="0" t="0" r="7620" b="0"/>
            <wp:wrapThrough wrapText="bothSides">
              <wp:wrapPolygon edited="0">
                <wp:start x="0" y="0"/>
                <wp:lineTo x="0" y="21440"/>
                <wp:lineTo x="21554" y="21440"/>
                <wp:lineTo x="21554" y="0"/>
                <wp:lineTo x="0" y="0"/>
              </wp:wrapPolygon>
            </wp:wrapThrough>
            <wp:docPr id="1276663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66320" name="Picture 127666320"/>
                    <pic:cNvPicPr/>
                  </pic:nvPicPr>
                  <pic:blipFill>
                    <a:blip r:embed="rId8">
                      <a:extLst>
                        <a:ext uri="{28A0092B-C50C-407E-A947-70E740481C1C}">
                          <a14:useLocalDpi xmlns:a14="http://schemas.microsoft.com/office/drawing/2010/main" val="0"/>
                        </a:ext>
                      </a:extLst>
                    </a:blip>
                    <a:stretch>
                      <a:fillRect/>
                    </a:stretch>
                  </pic:blipFill>
                  <pic:spPr>
                    <a:xfrm>
                      <a:off x="0" y="0"/>
                      <a:ext cx="5402580" cy="3166745"/>
                    </a:xfrm>
                    <a:prstGeom prst="rect">
                      <a:avLst/>
                    </a:prstGeom>
                  </pic:spPr>
                </pic:pic>
              </a:graphicData>
            </a:graphic>
            <wp14:sizeRelH relativeFrom="margin">
              <wp14:pctWidth>0</wp14:pctWidth>
            </wp14:sizeRelH>
            <wp14:sizeRelV relativeFrom="margin">
              <wp14:pctHeight>0</wp14:pctHeight>
            </wp14:sizeRelV>
          </wp:anchor>
        </w:drawing>
      </w:r>
      <w:r w:rsidRPr="00CA504B">
        <w:rPr>
          <w:b/>
          <w:bCs/>
        </w:rPr>
        <w:t xml:space="preserve">Figure 3: </w:t>
      </w:r>
      <w:r w:rsidR="003515E3" w:rsidRPr="00CA504B">
        <w:rPr>
          <w:b/>
          <w:bCs/>
        </w:rPr>
        <w:t>historical image of Swansea docklands illustrating industrial activity, rail transport and maritime operations in the late 19</w:t>
      </w:r>
      <w:r w:rsidR="003515E3" w:rsidRPr="00CA504B">
        <w:rPr>
          <w:b/>
          <w:bCs/>
          <w:vertAlign w:val="superscript"/>
        </w:rPr>
        <w:t>th</w:t>
      </w:r>
      <w:r w:rsidR="003515E3" w:rsidRPr="00CA504B">
        <w:rPr>
          <w:b/>
          <w:bCs/>
        </w:rPr>
        <w:t xml:space="preserve"> and early 20</w:t>
      </w:r>
      <w:r w:rsidR="003515E3" w:rsidRPr="00CA504B">
        <w:rPr>
          <w:b/>
          <w:bCs/>
          <w:vertAlign w:val="superscript"/>
        </w:rPr>
        <w:t>th</w:t>
      </w:r>
      <w:r w:rsidR="003515E3" w:rsidRPr="00CA504B">
        <w:rPr>
          <w:b/>
          <w:bCs/>
        </w:rPr>
        <w:t xml:space="preserve"> centuries. </w:t>
      </w:r>
    </w:p>
    <w:p w14:paraId="350C4916" w14:textId="44F85DFD" w:rsidR="00A75262" w:rsidRDefault="00624456" w:rsidP="00EA3926">
      <w:pPr>
        <w:ind w:left="360"/>
      </w:pPr>
      <w:r>
        <w:t>Throughout</w:t>
      </w:r>
      <w:r w:rsidR="00BF586C">
        <w:t xml:space="preserve"> </w:t>
      </w:r>
      <w:r w:rsidR="00A75262">
        <w:t>the late 19</w:t>
      </w:r>
      <w:r w:rsidR="00A75262" w:rsidRPr="00A75262">
        <w:rPr>
          <w:vertAlign w:val="superscript"/>
        </w:rPr>
        <w:t>th</w:t>
      </w:r>
      <w:r w:rsidR="00A75262">
        <w:t xml:space="preserve"> and early 20</w:t>
      </w:r>
      <w:r w:rsidR="00A75262" w:rsidRPr="00A75262">
        <w:rPr>
          <w:vertAlign w:val="superscript"/>
        </w:rPr>
        <w:t>th</w:t>
      </w:r>
      <w:r w:rsidR="00A75262">
        <w:t xml:space="preserve"> </w:t>
      </w:r>
      <w:r w:rsidR="00FB5311">
        <w:t>centur</w:t>
      </w:r>
      <w:r>
        <w:t xml:space="preserve">y, </w:t>
      </w:r>
      <w:r w:rsidR="00F3660A">
        <w:t>Swansea</w:t>
      </w:r>
      <w:r w:rsidR="00FB5311">
        <w:t xml:space="preserve"> docklands bec</w:t>
      </w:r>
      <w:r w:rsidR="00F3660A">
        <w:t>ame</w:t>
      </w:r>
      <w:r w:rsidR="00FB5311">
        <w:t xml:space="preserve"> </w:t>
      </w:r>
      <w:r>
        <w:t>heavily industrialised,</w:t>
      </w:r>
      <w:r w:rsidR="00BF586C">
        <w:t xml:space="preserve"> </w:t>
      </w:r>
      <w:r w:rsidR="00ED027D">
        <w:t xml:space="preserve">supporting extensive maritime trade through the development of </w:t>
      </w:r>
      <w:r w:rsidR="00ED027D">
        <w:lastRenderedPageBreak/>
        <w:t>shipping</w:t>
      </w:r>
      <w:r>
        <w:t xml:space="preserve"> </w:t>
      </w:r>
      <w:r w:rsidR="00787613">
        <w:t xml:space="preserve">infrastructure, warehouses, rail </w:t>
      </w:r>
      <w:r w:rsidR="00401892">
        <w:t>connections</w:t>
      </w:r>
      <w:r w:rsidR="00787613">
        <w:t xml:space="preserve"> </w:t>
      </w:r>
      <w:r w:rsidR="00401892">
        <w:t>and processing facilities</w:t>
      </w:r>
      <w:r w:rsidR="0092549D">
        <w:t xml:space="preserve"> (City and County of Swansea, 2023).</w:t>
      </w:r>
      <w:r w:rsidR="001643DE">
        <w:t xml:space="preserve"> </w:t>
      </w:r>
      <w:r w:rsidR="00297968">
        <w:t xml:space="preserve">As illustrated in Figure </w:t>
      </w:r>
      <w:r w:rsidR="00CA1C9D">
        <w:t>3</w:t>
      </w:r>
      <w:r w:rsidR="00297968">
        <w:t xml:space="preserve">, </w:t>
      </w:r>
      <w:r w:rsidR="00CB72C8">
        <w:t>this period was characterised by intensive dock activity</w:t>
      </w:r>
      <w:r w:rsidR="00297968">
        <w:t xml:space="preserve">, with rail infrastructure and loading equipment </w:t>
      </w:r>
      <w:r w:rsidR="00CB72C8">
        <w:t>facilitating</w:t>
      </w:r>
      <w:r w:rsidR="00297968">
        <w:t xml:space="preserve"> large scale coal export and industrial </w:t>
      </w:r>
      <w:r w:rsidR="00CB72C8">
        <w:t>operations</w:t>
      </w:r>
      <w:r w:rsidR="00297968">
        <w:t xml:space="preserve">. </w:t>
      </w:r>
      <w:r w:rsidR="001643DE">
        <w:t xml:space="preserve">However, the </w:t>
      </w:r>
      <w:r w:rsidR="00EE3505">
        <w:t>decline of heavy industry during the mid-20</w:t>
      </w:r>
      <w:r w:rsidR="00EE3505" w:rsidRPr="00EE3505">
        <w:rPr>
          <w:vertAlign w:val="superscript"/>
        </w:rPr>
        <w:t>th</w:t>
      </w:r>
      <w:r w:rsidR="00EE3505">
        <w:t xml:space="preserve"> century </w:t>
      </w:r>
      <w:r w:rsidR="00D8638C">
        <w:t>led to widespread dereliction</w:t>
      </w:r>
      <w:r w:rsidR="00CB72C8">
        <w:t xml:space="preserve"> across the dockland areas</w:t>
      </w:r>
      <w:r w:rsidR="00D8638C">
        <w:t xml:space="preserve">. </w:t>
      </w:r>
      <w:r w:rsidR="00EE3505">
        <w:t xml:space="preserve">The closure of South Dock in 1969 marked a significant turning point, </w:t>
      </w:r>
      <w:r w:rsidR="00C46EA5">
        <w:t>after which the are</w:t>
      </w:r>
      <w:r w:rsidR="00CB72C8">
        <w:t>a</w:t>
      </w:r>
      <w:r w:rsidR="00C46EA5">
        <w:t xml:space="preserve"> underwent regeneration</w:t>
      </w:r>
      <w:r w:rsidR="00856A2D">
        <w:t xml:space="preserve"> (City and County of Swansea, 2023). </w:t>
      </w:r>
    </w:p>
    <w:p w14:paraId="43C7093E" w14:textId="4BDF8A8B" w:rsidR="00EE3505" w:rsidRPr="00EA3926" w:rsidRDefault="00EE3505" w:rsidP="00EA3926">
      <w:pPr>
        <w:ind w:left="360"/>
      </w:pPr>
      <w:r>
        <w:t xml:space="preserve">From the late 1970s onwards, </w:t>
      </w:r>
      <w:r w:rsidR="00C46EA5">
        <w:t>the Swansea Marina development transformed the former d</w:t>
      </w:r>
      <w:r w:rsidR="00F5789E">
        <w:t xml:space="preserve">ocklands into a </w:t>
      </w:r>
      <w:r w:rsidR="008E0012">
        <w:t>mixed-use</w:t>
      </w:r>
      <w:r w:rsidR="00F5789E">
        <w:t xml:space="preserve"> </w:t>
      </w:r>
      <w:r w:rsidR="00082FA3">
        <w:t>residential and leisure area as part of a wider regeneration strategy (City and County of Swansea, 202</w:t>
      </w:r>
      <w:r w:rsidR="0085739A">
        <w:t>4</w:t>
      </w:r>
      <w:r w:rsidR="00082FA3">
        <w:t xml:space="preserve">). </w:t>
      </w:r>
      <w:r w:rsidR="00F5789E">
        <w:t>Despite this re</w:t>
      </w:r>
      <w:r w:rsidR="00082FA3">
        <w:t>development</w:t>
      </w:r>
      <w:r w:rsidR="00F5789E">
        <w:t xml:space="preserve">, the legacy of historical industrial activity </w:t>
      </w:r>
      <w:r w:rsidR="00327416">
        <w:t xml:space="preserve">continues to influence the underlying </w:t>
      </w:r>
      <w:r w:rsidR="00F5789E">
        <w:t xml:space="preserve">ground </w:t>
      </w:r>
      <w:r w:rsidR="00616770">
        <w:t>conditions</w:t>
      </w:r>
      <w:r w:rsidR="00F5789E">
        <w:t xml:space="preserve">, particularly </w:t>
      </w:r>
      <w:r w:rsidR="00327416">
        <w:t xml:space="preserve">through the presence of </w:t>
      </w:r>
      <w:r w:rsidR="00F5789E">
        <w:t>made ground and potential contamination</w:t>
      </w:r>
      <w:r w:rsidR="008E0012">
        <w:t xml:space="preserve">. </w:t>
      </w:r>
      <w:r w:rsidR="002078AF">
        <w:t xml:space="preserve">Made ground associated with reclaimed dockland sites is often variable and poorly compacted, presenting challenges for foundation design (Tomlinson and Woodward, 2015). </w:t>
      </w:r>
      <w:r w:rsidR="00923E10">
        <w:t xml:space="preserve">In addition, historic industrial processes may have introduced contaminants such as hydrocarbons and heavy metals into the soil, posing environmental and construction </w:t>
      </w:r>
      <w:r w:rsidR="00DE72F2">
        <w:t xml:space="preserve">risks (Environment Agency, 2020). These factors are critical in assessing geotechnical risk and determining appropriate construction solutions. </w:t>
      </w:r>
    </w:p>
    <w:p w14:paraId="11E6CC80" w14:textId="77777777" w:rsidR="00C86EEB" w:rsidRDefault="00C86EEB" w:rsidP="00C86EEB">
      <w:pPr>
        <w:pStyle w:val="ListParagraph"/>
        <w:rPr>
          <w:b/>
          <w:bCs/>
        </w:rPr>
      </w:pPr>
    </w:p>
    <w:p w14:paraId="6E4B85FB" w14:textId="7F4840B1" w:rsidR="000B6647" w:rsidRPr="00DA0FBB" w:rsidRDefault="000B6647" w:rsidP="00245519">
      <w:pPr>
        <w:pStyle w:val="ListParagraph"/>
        <w:numPr>
          <w:ilvl w:val="0"/>
          <w:numId w:val="5"/>
        </w:numPr>
        <w:rPr>
          <w:b/>
          <w:bCs/>
          <w:u w:val="single"/>
        </w:rPr>
      </w:pPr>
      <w:r w:rsidRPr="00DA0FBB">
        <w:rPr>
          <w:b/>
          <w:bCs/>
          <w:u w:val="single"/>
        </w:rPr>
        <w:t xml:space="preserve">Preliminary </w:t>
      </w:r>
      <w:r w:rsidR="002824F4" w:rsidRPr="00DA0FBB">
        <w:rPr>
          <w:b/>
          <w:bCs/>
          <w:u w:val="single"/>
        </w:rPr>
        <w:t xml:space="preserve">Ground Conditions </w:t>
      </w:r>
    </w:p>
    <w:p w14:paraId="39FF5961" w14:textId="603C79EC" w:rsidR="00545CD2" w:rsidRDefault="0077040F" w:rsidP="00545CD2">
      <w:pPr>
        <w:ind w:left="360"/>
      </w:pPr>
      <w:r>
        <w:t xml:space="preserve">The historical use of the </w:t>
      </w:r>
      <w:r w:rsidR="007B4AAF">
        <w:t>site</w:t>
      </w:r>
      <w:r w:rsidR="0029316B">
        <w:t xml:space="preserve"> as reclaimed dockland</w:t>
      </w:r>
      <w:r w:rsidR="007B4AAF">
        <w:t xml:space="preserve"> </w:t>
      </w:r>
      <w:r w:rsidR="0029316B">
        <w:t>introduce</w:t>
      </w:r>
      <w:r w:rsidR="007B4AAF">
        <w:t>s</w:t>
      </w:r>
      <w:r w:rsidR="0029316B">
        <w:t xml:space="preserve"> </w:t>
      </w:r>
      <w:r w:rsidR="007B4AAF">
        <w:t>several significant geotechnical risks.</w:t>
      </w:r>
      <w:r w:rsidR="0029316B">
        <w:t xml:space="preserve"> </w:t>
      </w:r>
      <w:r w:rsidR="007B4AAF">
        <w:t>T</w:t>
      </w:r>
      <w:r w:rsidR="0001461C">
        <w:t>he presence of made ground</w:t>
      </w:r>
      <w:r w:rsidR="007B4AAF">
        <w:t xml:space="preserve"> is a primary concern, as such materials are inherently variable, loosely compacted and often contain voids</w:t>
      </w:r>
      <w:r w:rsidR="006E567F">
        <w:t>. This results in low bearing capacity and an increased risk of both total and differential settlement</w:t>
      </w:r>
      <w:r w:rsidR="00A92CD8">
        <w:t>, which can adversely affect structural integrity</w:t>
      </w:r>
      <w:r w:rsidR="000B7825">
        <w:t xml:space="preserve"> </w:t>
      </w:r>
      <w:r w:rsidR="00FF193F">
        <w:t xml:space="preserve">(Tomlinson and Woodward, 2015). </w:t>
      </w:r>
    </w:p>
    <w:p w14:paraId="2FC7434B" w14:textId="5BBCCFBF" w:rsidR="00FF193F" w:rsidRDefault="00EB4389" w:rsidP="00545CD2">
      <w:pPr>
        <w:ind w:left="360"/>
      </w:pPr>
      <w:r>
        <w:t>In addition</w:t>
      </w:r>
      <w:r w:rsidR="004955A8">
        <w:t xml:space="preserve">, </w:t>
      </w:r>
      <w:r>
        <w:t xml:space="preserve">contamination </w:t>
      </w:r>
      <w:r w:rsidR="004955A8">
        <w:t xml:space="preserve">is a key risk due to the </w:t>
      </w:r>
      <w:r w:rsidR="00A35DEC">
        <w:t>site’s</w:t>
      </w:r>
      <w:r w:rsidR="004955A8">
        <w:t xml:space="preserve"> industrial heritage.</w:t>
      </w:r>
      <w:r>
        <w:t xml:space="preserve"> </w:t>
      </w:r>
      <w:r w:rsidR="00A35DEC">
        <w:t xml:space="preserve">Activities such as fuel storage, metal processing and coal handling may have introduced </w:t>
      </w:r>
      <w:r w:rsidR="001209BC">
        <w:t>hydrocarbons, heavy metals and other pollutants into the soil.</w:t>
      </w:r>
      <w:r w:rsidR="00910CB3">
        <w:t xml:space="preserve"> </w:t>
      </w:r>
      <w:r w:rsidR="001209BC">
        <w:t xml:space="preserve">These </w:t>
      </w:r>
      <w:r w:rsidR="00910CB3">
        <w:t>contaminants pose risk</w:t>
      </w:r>
      <w:r w:rsidR="001209BC">
        <w:t>s</w:t>
      </w:r>
      <w:r w:rsidR="00910CB3">
        <w:t xml:space="preserve"> to human health</w:t>
      </w:r>
      <w:r w:rsidR="00F5488B">
        <w:t xml:space="preserve">, groundwater and construction workers, and may necessitate remediation measures </w:t>
      </w:r>
      <w:r w:rsidR="00910CB3">
        <w:t xml:space="preserve">(Environment Agency, 2020). </w:t>
      </w:r>
    </w:p>
    <w:p w14:paraId="4A963D33" w14:textId="7FF84675" w:rsidR="00DC5526" w:rsidRPr="00D1393E" w:rsidRDefault="00F5488B" w:rsidP="00545CD2">
      <w:pPr>
        <w:ind w:left="360"/>
      </w:pPr>
      <w:r>
        <w:t>T</w:t>
      </w:r>
      <w:r w:rsidR="00E74494">
        <w:t>he coastal location</w:t>
      </w:r>
      <w:r w:rsidR="00DC45BC">
        <w:t xml:space="preserve"> of the site</w:t>
      </w:r>
      <w:r w:rsidR="00E74494">
        <w:t xml:space="preserve"> </w:t>
      </w:r>
      <w:r>
        <w:t>further complicates</w:t>
      </w:r>
      <w:r w:rsidR="00E74494">
        <w:t xml:space="preserve"> </w:t>
      </w:r>
      <w:r w:rsidR="00DC45BC">
        <w:t xml:space="preserve">the </w:t>
      </w:r>
      <w:r w:rsidR="00E74494">
        <w:t>ground conditions</w:t>
      </w:r>
      <w:r>
        <w:t>.</w:t>
      </w:r>
      <w:r w:rsidR="00E74494">
        <w:t xml:space="preserve"> </w:t>
      </w:r>
      <w:r w:rsidR="006777A6">
        <w:t>High groundwater levels</w:t>
      </w:r>
      <w:r>
        <w:t xml:space="preserve">, influenced by tidal fluctuations, can reduce effective stress </w:t>
      </w:r>
      <w:r w:rsidR="006D3D40">
        <w:t>with</w:t>
      </w:r>
      <w:r>
        <w:t>in soils and compromise stability during excavation</w:t>
      </w:r>
      <w:r w:rsidR="006D3D40">
        <w:t xml:space="preserve"> (BS 5930, 2015). In addition, s</w:t>
      </w:r>
      <w:r w:rsidR="003B376A">
        <w:t xml:space="preserve">oft marine deposits, </w:t>
      </w:r>
      <w:r w:rsidR="006D3D40">
        <w:t>such as silts and clays commonly found in coastal environments</w:t>
      </w:r>
      <w:r w:rsidR="0031021B">
        <w:t xml:space="preserve">, are likely to </w:t>
      </w:r>
      <w:r w:rsidR="003B376A">
        <w:t>exhibit</w:t>
      </w:r>
      <w:r w:rsidR="0031021B">
        <w:t xml:space="preserve"> low shear strength and</w:t>
      </w:r>
      <w:r w:rsidR="003B376A">
        <w:t xml:space="preserve"> high compressibility, </w:t>
      </w:r>
      <w:r w:rsidR="003B376A">
        <w:lastRenderedPageBreak/>
        <w:t xml:space="preserve">increasing the </w:t>
      </w:r>
      <w:r w:rsidR="0031021B">
        <w:t xml:space="preserve">risk of long-term settlement (Tomlinson and Woodward, 2015). Evidence from nearby borehole data suggests that such deposits may be present beneath the site, reinforcing the need for careful geotechnical assessment and appropriate foundation design. </w:t>
      </w:r>
      <w:r w:rsidR="003B376A">
        <w:t xml:space="preserve"> </w:t>
      </w:r>
    </w:p>
    <w:p w14:paraId="2617805D" w14:textId="77777777" w:rsidR="004579CA" w:rsidRDefault="004579CA" w:rsidP="000B6647">
      <w:pPr>
        <w:ind w:left="360"/>
      </w:pPr>
    </w:p>
    <w:p w14:paraId="34E08ADF" w14:textId="73F6B986" w:rsidR="008342D4" w:rsidRDefault="008342D4" w:rsidP="000B6647">
      <w:pPr>
        <w:ind w:left="360"/>
      </w:pPr>
    </w:p>
    <w:p w14:paraId="179EDDC0" w14:textId="77777777" w:rsidR="008342D4" w:rsidRDefault="008342D4" w:rsidP="000B6647">
      <w:pPr>
        <w:ind w:left="360"/>
      </w:pPr>
    </w:p>
    <w:p w14:paraId="5CDDD041" w14:textId="1CF520AE" w:rsidR="008342D4" w:rsidRPr="0013344D" w:rsidRDefault="008342D4" w:rsidP="00245519">
      <w:pPr>
        <w:pStyle w:val="ListParagraph"/>
        <w:numPr>
          <w:ilvl w:val="0"/>
          <w:numId w:val="5"/>
        </w:numPr>
        <w:rPr>
          <w:b/>
          <w:bCs/>
          <w:u w:val="single"/>
        </w:rPr>
      </w:pPr>
      <w:r w:rsidRPr="0013344D">
        <w:rPr>
          <w:b/>
          <w:bCs/>
          <w:u w:val="single"/>
        </w:rPr>
        <w:t xml:space="preserve">Recommended Site Investigation Strategy </w:t>
      </w:r>
    </w:p>
    <w:p w14:paraId="4F841202" w14:textId="43283A75" w:rsidR="007E5BE9" w:rsidRDefault="003B376A" w:rsidP="00550D87">
      <w:r>
        <w:t>A</w:t>
      </w:r>
      <w:r w:rsidR="002F30DD">
        <w:t xml:space="preserve"> </w:t>
      </w:r>
      <w:r>
        <w:t xml:space="preserve">comprehensive </w:t>
      </w:r>
      <w:r w:rsidR="002F30DD">
        <w:t xml:space="preserve">site investigation </w:t>
      </w:r>
      <w:r>
        <w:t>should be undertaken</w:t>
      </w:r>
      <w:r w:rsidR="00190B4E">
        <w:t xml:space="preserve"> in accordance with BS 5930</w:t>
      </w:r>
      <w:r w:rsidR="00C423CD">
        <w:t>:2015 and Eurocode 7</w:t>
      </w:r>
      <w:r>
        <w:t xml:space="preserve"> </w:t>
      </w:r>
      <w:proofErr w:type="gramStart"/>
      <w:r w:rsidR="00866B09">
        <w:t xml:space="preserve">in order </w:t>
      </w:r>
      <w:r w:rsidR="00377506">
        <w:t>to</w:t>
      </w:r>
      <w:proofErr w:type="gramEnd"/>
      <w:r>
        <w:t xml:space="preserve"> accurately characterise subsurface conditions</w:t>
      </w:r>
      <w:r w:rsidR="00466EB9">
        <w:t xml:space="preserve"> and inform foundation design (BS 5930</w:t>
      </w:r>
      <w:r w:rsidR="006324C3">
        <w:t xml:space="preserve">, 2015; BS EN 1997-1, 2004). </w:t>
      </w:r>
      <w:r w:rsidR="00C5070A">
        <w:t>Given the variability of made ground and the presence of soft underlying strata, a combination of intrusive and non-intrusive techniques is essential</w:t>
      </w:r>
      <w:r w:rsidR="00BF0607">
        <w:t xml:space="preserve"> to obtain reliable data. </w:t>
      </w:r>
    </w:p>
    <w:p w14:paraId="0082B1EE" w14:textId="556BCF3B" w:rsidR="00EC3965" w:rsidRDefault="00C5070A" w:rsidP="00550D87">
      <w:r>
        <w:t>B</w:t>
      </w:r>
      <w:r w:rsidR="00AF5A7C">
        <w:t>orehole drilling should be carried out</w:t>
      </w:r>
      <w:r>
        <w:t xml:space="preserve"> across the site to establish the soil profile and </w:t>
      </w:r>
      <w:r w:rsidR="00A76417">
        <w:t>determine</w:t>
      </w:r>
      <w:r>
        <w:t xml:space="preserve"> the depth of competent bearing strata.</w:t>
      </w:r>
      <w:r w:rsidR="00AF5A7C">
        <w:t xml:space="preserve"> </w:t>
      </w:r>
      <w:r w:rsidR="00C22A97">
        <w:t xml:space="preserve">Standard Penetration </w:t>
      </w:r>
      <w:r w:rsidR="002C36A2">
        <w:t xml:space="preserve">Tests conducted within the boreholes </w:t>
      </w:r>
      <w:r w:rsidR="00E45837">
        <w:t>provide an indication of</w:t>
      </w:r>
      <w:r w:rsidR="002C36A2">
        <w:t xml:space="preserve"> soil density and strength</w:t>
      </w:r>
      <w:r w:rsidR="002C0201">
        <w:t>, while l</w:t>
      </w:r>
      <w:r w:rsidR="00EE63C1">
        <w:t>aboratory testing of recovered samples</w:t>
      </w:r>
      <w:r w:rsidR="002C0201">
        <w:t xml:space="preserve"> allows for the</w:t>
      </w:r>
      <w:r w:rsidR="00EE63C1">
        <w:t xml:space="preserve"> determin</w:t>
      </w:r>
      <w:r w:rsidR="002C0201">
        <w:t>ation</w:t>
      </w:r>
      <w:r w:rsidR="00DE5A0A">
        <w:t xml:space="preserve"> of key</w:t>
      </w:r>
      <w:r w:rsidR="00EE63C1">
        <w:t xml:space="preserve"> parameters such as moisture content, shear strength and compressibility</w:t>
      </w:r>
      <w:r w:rsidR="00DE5A0A">
        <w:t xml:space="preserve"> (Tomlinson and Woodward, 2015). </w:t>
      </w:r>
    </w:p>
    <w:p w14:paraId="687BB92B" w14:textId="49ACD6C6" w:rsidR="00995366" w:rsidRDefault="00DD5A69" w:rsidP="00550D87">
      <w:r>
        <w:t xml:space="preserve">Trial pits should be excavated </w:t>
      </w:r>
      <w:r w:rsidR="004C2644">
        <w:t xml:space="preserve">to </w:t>
      </w:r>
      <w:r w:rsidR="00DE5A0A">
        <w:t xml:space="preserve">assess </w:t>
      </w:r>
      <w:r w:rsidR="004C2644">
        <w:t xml:space="preserve">near surface conditions </w:t>
      </w:r>
      <w:r w:rsidR="00967818">
        <w:t xml:space="preserve">and </w:t>
      </w:r>
      <w:r w:rsidR="00E16CD8">
        <w:t xml:space="preserve">identify </w:t>
      </w:r>
      <w:r w:rsidR="00967818">
        <w:t xml:space="preserve">potential obstructions or </w:t>
      </w:r>
      <w:r w:rsidR="00E16CD8">
        <w:t xml:space="preserve">buried structures. </w:t>
      </w:r>
      <w:r w:rsidR="004813B3">
        <w:t>In addition, g</w:t>
      </w:r>
      <w:r w:rsidR="00B22F42">
        <w:t>roundwater</w:t>
      </w:r>
      <w:r w:rsidR="000A45CD">
        <w:t xml:space="preserve"> monitoring </w:t>
      </w:r>
      <w:r w:rsidR="00995366">
        <w:t xml:space="preserve">installations </w:t>
      </w:r>
      <w:r w:rsidR="000A45CD">
        <w:t xml:space="preserve">should be </w:t>
      </w:r>
      <w:r w:rsidR="004813B3">
        <w:t xml:space="preserve">implemented </w:t>
      </w:r>
      <w:r w:rsidR="000A45CD">
        <w:t xml:space="preserve">to </w:t>
      </w:r>
      <w:r w:rsidR="00995366">
        <w:t>assess</w:t>
      </w:r>
      <w:r w:rsidR="000A45CD">
        <w:t xml:space="preserve"> </w:t>
      </w:r>
      <w:r w:rsidR="00995366">
        <w:t>fluctuations over time, particularly in re</w:t>
      </w:r>
      <w:r w:rsidR="004813B3">
        <w:t>sponse</w:t>
      </w:r>
      <w:r w:rsidR="00995366">
        <w:t xml:space="preserve"> to tidal influence</w:t>
      </w:r>
      <w:r w:rsidR="004813B3">
        <w:t xml:space="preserve">, which is a key consideration for coastal sites (BS 5930, 2015). </w:t>
      </w:r>
    </w:p>
    <w:p w14:paraId="2C9122C4" w14:textId="6D2BBC76" w:rsidR="00C0758B" w:rsidRDefault="000A45CD" w:rsidP="00550D87">
      <w:r>
        <w:t xml:space="preserve"> </w:t>
      </w:r>
      <w:r w:rsidR="00995366">
        <w:t>C</w:t>
      </w:r>
      <w:r w:rsidR="00ED1DF8">
        <w:t xml:space="preserve">hemical testing </w:t>
      </w:r>
      <w:r w:rsidR="004813B3">
        <w:t xml:space="preserve">of soil samples </w:t>
      </w:r>
      <w:r w:rsidR="00995366">
        <w:t>is also required to assess contamination levels and inform any necessary remediation strategies. This is particularly important given the industrial history of the site</w:t>
      </w:r>
      <w:r w:rsidR="004813B3">
        <w:t xml:space="preserve">, as contaminants such as hydrocarbons and heavy metals may be present (Environment Agency, 2020). </w:t>
      </w:r>
    </w:p>
    <w:p w14:paraId="71B7A035" w14:textId="48A4EB88" w:rsidR="005859DA" w:rsidRPr="0013344D" w:rsidRDefault="00C578D0" w:rsidP="00245519">
      <w:pPr>
        <w:pStyle w:val="ListParagraph"/>
        <w:numPr>
          <w:ilvl w:val="0"/>
          <w:numId w:val="5"/>
        </w:numPr>
        <w:rPr>
          <w:b/>
          <w:bCs/>
          <w:u w:val="single"/>
        </w:rPr>
      </w:pPr>
      <w:r w:rsidRPr="0013344D">
        <w:rPr>
          <w:b/>
          <w:bCs/>
          <w:u w:val="single"/>
        </w:rPr>
        <w:t xml:space="preserve">Highest Risk Factors </w:t>
      </w:r>
    </w:p>
    <w:p w14:paraId="3F64C8AD" w14:textId="2E4CEB51" w:rsidR="009F08F2" w:rsidRDefault="00C578D0" w:rsidP="00C578D0">
      <w:pPr>
        <w:ind w:left="360"/>
      </w:pPr>
      <w:r>
        <w:t xml:space="preserve">The </w:t>
      </w:r>
      <w:r w:rsidR="0077090F">
        <w:t>most significant risks associated with th</w:t>
      </w:r>
      <w:r w:rsidR="009F08F2">
        <w:t>e</w:t>
      </w:r>
      <w:r w:rsidR="0077090F">
        <w:t xml:space="preserve"> site </w:t>
      </w:r>
      <w:r w:rsidR="00D67B02">
        <w:t>include</w:t>
      </w:r>
      <w:r w:rsidR="00996A3E">
        <w:t xml:space="preserve"> the presence of made ground, </w:t>
      </w:r>
      <w:r w:rsidR="00D67B02">
        <w:t xml:space="preserve">potential </w:t>
      </w:r>
      <w:r w:rsidR="00996A3E">
        <w:t xml:space="preserve">contamination and high groundwater levels. </w:t>
      </w:r>
      <w:r w:rsidR="00D67B02">
        <w:t>T</w:t>
      </w:r>
      <w:r w:rsidR="009F08F2">
        <w:t xml:space="preserve">he variability </w:t>
      </w:r>
      <w:r w:rsidR="009F18D8">
        <w:t xml:space="preserve">and low strength of made ground represent the greatest structural risk, as </w:t>
      </w:r>
      <w:r w:rsidR="00D67B02">
        <w:t xml:space="preserve">such materials </w:t>
      </w:r>
      <w:r w:rsidR="003642C2">
        <w:t xml:space="preserve">are often poorly compacted and highly heterogeneous, resulting in reduced bearing capacity and an increased likelihood of differential settlement (Tomlinson and Woodward, 2015). </w:t>
      </w:r>
    </w:p>
    <w:p w14:paraId="33A5B58B" w14:textId="28ABE85D" w:rsidR="00C578D0" w:rsidRDefault="00CD4C53" w:rsidP="00C578D0">
      <w:pPr>
        <w:ind w:left="360"/>
      </w:pPr>
      <w:r>
        <w:t xml:space="preserve">Contamination </w:t>
      </w:r>
      <w:r w:rsidR="009F18D8">
        <w:t>p</w:t>
      </w:r>
      <w:r w:rsidR="004A584C">
        <w:t>resents</w:t>
      </w:r>
      <w:r w:rsidR="009F18D8">
        <w:t xml:space="preserve"> both environmental and financial risks, as remediation </w:t>
      </w:r>
      <w:r w:rsidR="004A584C">
        <w:t xml:space="preserve">processes </w:t>
      </w:r>
      <w:r w:rsidR="009F18D8">
        <w:t>can be complex</w:t>
      </w:r>
      <w:r w:rsidR="004A584C">
        <w:t>, time consuming</w:t>
      </w:r>
      <w:r w:rsidR="009F18D8">
        <w:t xml:space="preserve"> and costly. </w:t>
      </w:r>
      <w:r w:rsidR="00274458">
        <w:t xml:space="preserve">Historic industrial activities </w:t>
      </w:r>
      <w:r w:rsidR="00274458">
        <w:lastRenderedPageBreak/>
        <w:t xml:space="preserve">associated with dockland use may have introduced pollutants such as hydrocarbons and heavy metals into the soil, which must be identified and managed appropriately (Environment Agency, 2020). </w:t>
      </w:r>
    </w:p>
    <w:p w14:paraId="31E572F4" w14:textId="58A2AD01" w:rsidR="00B95666" w:rsidRDefault="00B95666" w:rsidP="00C578D0">
      <w:pPr>
        <w:ind w:left="360"/>
      </w:pPr>
      <w:r>
        <w:t xml:space="preserve">High groundwater levels further increase construction complexity, particularly during excavation works, where water ingress can reduce soil stability and </w:t>
      </w:r>
      <w:r w:rsidR="00D96CE8">
        <w:t xml:space="preserve">require dewatering techniques. Groundwater conditions are especially significant in coastal environments, where </w:t>
      </w:r>
      <w:r w:rsidR="0024133C">
        <w:t xml:space="preserve">tidal fluctuations can influence water levels and soil behaviours (BS 5930, 2015). </w:t>
      </w:r>
    </w:p>
    <w:p w14:paraId="4DA47D0C" w14:textId="43304B59" w:rsidR="00A234D3" w:rsidRDefault="00A234D3" w:rsidP="00C578D0">
      <w:pPr>
        <w:ind w:left="360"/>
      </w:pPr>
      <w:r>
        <w:t>These risks are interlinked and must be considered collectively when designing both the site investigation</w:t>
      </w:r>
      <w:r w:rsidR="00FF2AE4">
        <w:t xml:space="preserve"> strategy</w:t>
      </w:r>
      <w:r>
        <w:t xml:space="preserve"> and foundation system</w:t>
      </w:r>
      <w:r w:rsidR="00FF2AE4">
        <w:t xml:space="preserve">, </w:t>
      </w:r>
      <w:proofErr w:type="gramStart"/>
      <w:r w:rsidR="00FF2AE4">
        <w:t>in order to</w:t>
      </w:r>
      <w:proofErr w:type="gramEnd"/>
      <w:r w:rsidR="00FF2AE4">
        <w:t xml:space="preserve"> ensure safe and effective construction. </w:t>
      </w:r>
    </w:p>
    <w:p w14:paraId="323C3EF9" w14:textId="755F8C91" w:rsidR="00D569D7" w:rsidRPr="0013344D" w:rsidRDefault="00D569D7" w:rsidP="00245519">
      <w:pPr>
        <w:pStyle w:val="ListParagraph"/>
        <w:numPr>
          <w:ilvl w:val="0"/>
          <w:numId w:val="5"/>
        </w:numPr>
        <w:rPr>
          <w:b/>
          <w:bCs/>
          <w:u w:val="single"/>
        </w:rPr>
      </w:pPr>
      <w:r w:rsidRPr="0013344D">
        <w:rPr>
          <w:b/>
          <w:bCs/>
          <w:u w:val="single"/>
        </w:rPr>
        <w:t xml:space="preserve">Regulations and Codes of Practice </w:t>
      </w:r>
    </w:p>
    <w:p w14:paraId="20FECD37" w14:textId="3B71B06C" w:rsidR="00D569D7" w:rsidRDefault="00A234D3" w:rsidP="00D569D7">
      <w:pPr>
        <w:ind w:left="360"/>
      </w:pPr>
      <w:r>
        <w:t>All s</w:t>
      </w:r>
      <w:r w:rsidR="00D569D7">
        <w:t>ite investigation and foundation design</w:t>
      </w:r>
      <w:r w:rsidR="003648B0">
        <w:t xml:space="preserve"> works</w:t>
      </w:r>
      <w:r w:rsidR="00D569D7">
        <w:t xml:space="preserve"> must comply with </w:t>
      </w:r>
      <w:r w:rsidR="003648B0">
        <w:t xml:space="preserve">relevant legislation </w:t>
      </w:r>
      <w:r w:rsidR="00A02AE8">
        <w:t xml:space="preserve">and </w:t>
      </w:r>
      <w:r w:rsidR="008628DC">
        <w:t xml:space="preserve">industry </w:t>
      </w:r>
      <w:r w:rsidR="00A02AE8">
        <w:t>standard</w:t>
      </w:r>
      <w:r w:rsidR="00C30C40">
        <w:t>s</w:t>
      </w:r>
      <w:r w:rsidR="008628DC">
        <w:t xml:space="preserve"> to ensure structural safety and regulatory compliance. Key standards applicable to this development include: </w:t>
      </w:r>
    </w:p>
    <w:p w14:paraId="62798E07" w14:textId="3C6FB188" w:rsidR="00D569D7" w:rsidRDefault="00D569D7" w:rsidP="00D569D7">
      <w:pPr>
        <w:pStyle w:val="ListParagraph"/>
        <w:numPr>
          <w:ilvl w:val="0"/>
          <w:numId w:val="2"/>
        </w:numPr>
      </w:pPr>
      <w:r>
        <w:t xml:space="preserve">Building Regulations 2010- Approved Document A (Structure) </w:t>
      </w:r>
    </w:p>
    <w:p w14:paraId="59FC9094" w14:textId="03FC62CD" w:rsidR="00D569D7" w:rsidRDefault="00D569D7" w:rsidP="00D569D7">
      <w:pPr>
        <w:pStyle w:val="ListParagraph"/>
        <w:numPr>
          <w:ilvl w:val="0"/>
          <w:numId w:val="2"/>
        </w:numPr>
      </w:pPr>
      <w:r>
        <w:t xml:space="preserve">BS 5930:2015- Code of Practice for Ground </w:t>
      </w:r>
      <w:r w:rsidR="002C66FB">
        <w:t>Investigation</w:t>
      </w:r>
    </w:p>
    <w:p w14:paraId="6EAD611F" w14:textId="1C68C819" w:rsidR="00D569D7" w:rsidRDefault="002C66FB" w:rsidP="00D569D7">
      <w:pPr>
        <w:pStyle w:val="ListParagraph"/>
        <w:numPr>
          <w:ilvl w:val="0"/>
          <w:numId w:val="2"/>
        </w:numPr>
        <w:rPr>
          <w:lang w:val="fr-FR"/>
        </w:rPr>
      </w:pPr>
      <w:r w:rsidRPr="002C66FB">
        <w:rPr>
          <w:lang w:val="fr-FR"/>
        </w:rPr>
        <w:t xml:space="preserve">BS EN 1997 (Eurocode 7) - </w:t>
      </w:r>
      <w:proofErr w:type="spellStart"/>
      <w:r w:rsidRPr="002C66FB">
        <w:rPr>
          <w:lang w:val="fr-FR"/>
        </w:rPr>
        <w:t>Geotechnical</w:t>
      </w:r>
      <w:proofErr w:type="spellEnd"/>
      <w:r w:rsidRPr="002C66FB">
        <w:rPr>
          <w:lang w:val="fr-FR"/>
        </w:rPr>
        <w:t xml:space="preserve"> Des</w:t>
      </w:r>
      <w:r>
        <w:rPr>
          <w:lang w:val="fr-FR"/>
        </w:rPr>
        <w:t xml:space="preserve">ign </w:t>
      </w:r>
    </w:p>
    <w:p w14:paraId="3B3F4205" w14:textId="2462C5E0" w:rsidR="002C66FB" w:rsidRDefault="002C66FB" w:rsidP="00D569D7">
      <w:pPr>
        <w:pStyle w:val="ListParagraph"/>
        <w:numPr>
          <w:ilvl w:val="0"/>
          <w:numId w:val="2"/>
        </w:numPr>
      </w:pPr>
      <w:r w:rsidRPr="002C66FB">
        <w:t xml:space="preserve">CDM </w:t>
      </w:r>
      <w:r w:rsidR="00DD749A">
        <w:t xml:space="preserve">(Design and Management_ Regulations 2015 </w:t>
      </w:r>
      <w:r w:rsidR="006570F0">
        <w:t xml:space="preserve"> </w:t>
      </w:r>
      <w:r>
        <w:t xml:space="preserve"> </w:t>
      </w:r>
    </w:p>
    <w:p w14:paraId="432B4F2A" w14:textId="5C8B9FB6" w:rsidR="002C66FB" w:rsidRPr="0098750B" w:rsidRDefault="006F095D" w:rsidP="004D0745">
      <w:r w:rsidRPr="0098750B">
        <w:t>T</w:t>
      </w:r>
      <w:r w:rsidR="006570F0">
        <w:t xml:space="preserve">hese frameworks </w:t>
      </w:r>
      <w:r w:rsidR="00846C52">
        <w:t xml:space="preserve">provide guidance on structural design, ground investigation procedures and construction safety management. Compliance with these standards ensures that the development is designed and constructed safely, with consideration given to ground conditions, load bearing capacity and </w:t>
      </w:r>
      <w:r w:rsidR="009C2AD9">
        <w:t>long-term</w:t>
      </w:r>
      <w:r w:rsidR="00846C52">
        <w:t xml:space="preserve"> structural performance. </w:t>
      </w:r>
      <w:r w:rsidR="00DC4783">
        <w:t xml:space="preserve"> </w:t>
      </w:r>
    </w:p>
    <w:p w14:paraId="636A83AC" w14:textId="3C59F377" w:rsidR="004D0745" w:rsidRPr="0013344D" w:rsidRDefault="004D0745" w:rsidP="00245519">
      <w:pPr>
        <w:pStyle w:val="ListParagraph"/>
        <w:numPr>
          <w:ilvl w:val="0"/>
          <w:numId w:val="5"/>
        </w:numPr>
        <w:rPr>
          <w:b/>
          <w:bCs/>
          <w:u w:val="single"/>
        </w:rPr>
      </w:pPr>
      <w:r w:rsidRPr="0013344D">
        <w:rPr>
          <w:b/>
          <w:bCs/>
          <w:u w:val="single"/>
        </w:rPr>
        <w:t xml:space="preserve">Local Authorities and Stakeholders </w:t>
      </w:r>
    </w:p>
    <w:p w14:paraId="7381494E" w14:textId="3A4E02F8" w:rsidR="00872DDF" w:rsidRDefault="00FE0BB6" w:rsidP="00872DDF">
      <w:r>
        <w:t>Key stakeholders involved in the pro</w:t>
      </w:r>
      <w:r w:rsidR="00495F84">
        <w:t xml:space="preserve">posed development </w:t>
      </w:r>
      <w:r>
        <w:t xml:space="preserve">include: </w:t>
      </w:r>
    </w:p>
    <w:p w14:paraId="14B6A780" w14:textId="59391EF5" w:rsidR="00FE0BB6" w:rsidRPr="00FC6FF6" w:rsidRDefault="00FE0BB6" w:rsidP="00FE0BB6">
      <w:pPr>
        <w:pStyle w:val="ListParagraph"/>
        <w:numPr>
          <w:ilvl w:val="0"/>
          <w:numId w:val="7"/>
        </w:numPr>
        <w:rPr>
          <w:b/>
          <w:bCs/>
        </w:rPr>
      </w:pPr>
      <w:r>
        <w:t xml:space="preserve">City and County of Swansea Council </w:t>
      </w:r>
      <w:r w:rsidR="00FC6FF6">
        <w:t xml:space="preserve">Civic Centre, </w:t>
      </w:r>
      <w:proofErr w:type="spellStart"/>
      <w:r w:rsidR="00FC6FF6">
        <w:t>Oystermouth</w:t>
      </w:r>
      <w:proofErr w:type="spellEnd"/>
      <w:r w:rsidR="00FC6FF6">
        <w:t xml:space="preserve"> Road, Swansea, SA1 3SN</w:t>
      </w:r>
    </w:p>
    <w:p w14:paraId="76D9FC9B" w14:textId="242F13B7" w:rsidR="00FC6FF6" w:rsidRPr="007268E1" w:rsidRDefault="00FC6FF6" w:rsidP="00FE0BB6">
      <w:pPr>
        <w:pStyle w:val="ListParagraph"/>
        <w:numPr>
          <w:ilvl w:val="0"/>
          <w:numId w:val="7"/>
        </w:numPr>
        <w:rPr>
          <w:b/>
          <w:bCs/>
        </w:rPr>
      </w:pPr>
      <w:r>
        <w:t xml:space="preserve">Natural Resources Wales </w:t>
      </w:r>
      <w:r w:rsidR="007268E1">
        <w:t>Ty Cambria, 29 Newport Road, Cardiff, CF24 0TP</w:t>
      </w:r>
    </w:p>
    <w:p w14:paraId="47E24E11" w14:textId="59F0D180" w:rsidR="007268E1" w:rsidRPr="007268E1" w:rsidRDefault="007268E1" w:rsidP="00FE0BB6">
      <w:pPr>
        <w:pStyle w:val="ListParagraph"/>
        <w:numPr>
          <w:ilvl w:val="0"/>
          <w:numId w:val="7"/>
        </w:numPr>
        <w:rPr>
          <w:b/>
          <w:bCs/>
        </w:rPr>
      </w:pPr>
      <w:r>
        <w:t xml:space="preserve">Swansea Building Control Services </w:t>
      </w:r>
    </w:p>
    <w:p w14:paraId="10C91FB3" w14:textId="496FF2FC" w:rsidR="007268E1" w:rsidRPr="00D02F0A" w:rsidRDefault="00D02F0A" w:rsidP="00FE0BB6">
      <w:pPr>
        <w:pStyle w:val="ListParagraph"/>
        <w:numPr>
          <w:ilvl w:val="0"/>
          <w:numId w:val="7"/>
        </w:numPr>
        <w:rPr>
          <w:b/>
          <w:bCs/>
        </w:rPr>
      </w:pPr>
      <w:r>
        <w:t xml:space="preserve">Environmental Health Department </w:t>
      </w:r>
    </w:p>
    <w:p w14:paraId="282AA132" w14:textId="77777777" w:rsidR="00EF67B8" w:rsidRDefault="00D02F0A" w:rsidP="00D02F0A">
      <w:r>
        <w:t xml:space="preserve">These organisations </w:t>
      </w:r>
      <w:r w:rsidR="00EF67B8">
        <w:t xml:space="preserve">play a critical role in the approval, regulation and oversight of the development. The City and County of Swansea Council is responsible for planning approval and ensuring that the development aligns with local planning policies. Natural Resource Wales oversees environmental protection, including the management of potential contamination and impacts on groundwater. </w:t>
      </w:r>
    </w:p>
    <w:p w14:paraId="5F3E7166" w14:textId="55709BC7" w:rsidR="00D02F0A" w:rsidRPr="00D02F0A" w:rsidRDefault="00EF67B8" w:rsidP="00D02F0A">
      <w:r>
        <w:lastRenderedPageBreak/>
        <w:t xml:space="preserve">Building Control Services ensure that the design and construction comply with Building Regulations, particularly in relation to structural safety. The environmental Health Department may also be involved in assessing risks associated with land contamination and ensuring that appropriate mitigation measures are implemented. </w:t>
      </w:r>
      <w:r w:rsidR="00F364B5">
        <w:t xml:space="preserve"> </w:t>
      </w:r>
    </w:p>
    <w:p w14:paraId="517D9D4F" w14:textId="7EF25101" w:rsidR="00872DDF" w:rsidRPr="0013344D" w:rsidRDefault="00B46E4E" w:rsidP="00245519">
      <w:pPr>
        <w:pStyle w:val="ListParagraph"/>
        <w:numPr>
          <w:ilvl w:val="0"/>
          <w:numId w:val="5"/>
        </w:numPr>
        <w:rPr>
          <w:b/>
          <w:bCs/>
          <w:u w:val="single"/>
        </w:rPr>
      </w:pPr>
      <w:r w:rsidRPr="0013344D">
        <w:rPr>
          <w:b/>
          <w:bCs/>
          <w:u w:val="single"/>
        </w:rPr>
        <w:t xml:space="preserve">Foundation Justification </w:t>
      </w:r>
    </w:p>
    <w:p w14:paraId="73D4A6C8" w14:textId="736599DB" w:rsidR="000F54FC" w:rsidRDefault="001C58B0" w:rsidP="001C58B0">
      <w:pPr>
        <w:ind w:left="360"/>
      </w:pPr>
      <w:r>
        <w:t xml:space="preserve">Based on the anticipated </w:t>
      </w:r>
      <w:r w:rsidR="00665471">
        <w:t xml:space="preserve">ground conditions derived from nearby borehole data, shallow foundation solutions such as raft foundations </w:t>
      </w:r>
      <w:r w:rsidR="003D3CF8">
        <w:t xml:space="preserve">are unlikely to be suitable. The presence of made ground and soft compressible deposits would result in </w:t>
      </w:r>
      <w:r w:rsidR="00140184">
        <w:t xml:space="preserve">low bearing capacity and an increased risk of excessive and differential settlement, </w:t>
      </w:r>
      <w:r w:rsidR="00614205">
        <w:t xml:space="preserve">potentially leading to structural instability (Tomlinson and Woodward, 2015). </w:t>
      </w:r>
      <w:r w:rsidR="003D3CF8">
        <w:t xml:space="preserve"> </w:t>
      </w:r>
      <w:r w:rsidR="00DA47F6">
        <w:t xml:space="preserve"> </w:t>
      </w:r>
    </w:p>
    <w:p w14:paraId="7A44ADC6" w14:textId="6C3B020B" w:rsidR="00695A2B" w:rsidRDefault="00E56792" w:rsidP="001C58B0">
      <w:pPr>
        <w:ind w:left="360"/>
      </w:pPr>
      <w:r>
        <w:t>A piled foundation system is therefore considered the most appropriate solution. Piles</w:t>
      </w:r>
      <w:r w:rsidR="00AA5C5C">
        <w:t xml:space="preserve"> function by transferring</w:t>
      </w:r>
      <w:r>
        <w:t xml:space="preserve"> structural loads through weak upper layers into deeper, more </w:t>
      </w:r>
      <w:r w:rsidR="00695A2B">
        <w:t xml:space="preserve">competent strata such as dense sands or glacial deposits, </w:t>
      </w:r>
      <w:r w:rsidR="00CF22A3">
        <w:t>which provide sufficient load bearing capacity (BS EN 1997-1, 2004). This approach effectively bypasses problematic near surface conditions identified within the site.</w:t>
      </w:r>
      <w:r w:rsidR="00FD1FBB" w:rsidRPr="00FD1FBB">
        <w:rPr>
          <w:noProof/>
        </w:rPr>
        <w:t xml:space="preserve"> </w:t>
      </w:r>
      <w:r w:rsidR="00CF22A3">
        <w:t xml:space="preserve"> </w:t>
      </w:r>
      <w:r w:rsidR="00024436">
        <w:t xml:space="preserve">As </w:t>
      </w:r>
      <w:r w:rsidR="00112D76">
        <w:t xml:space="preserve">illustrated in Figure </w:t>
      </w:r>
      <w:r w:rsidR="00C458A6">
        <w:t>4</w:t>
      </w:r>
      <w:r w:rsidR="00112D76">
        <w:t xml:space="preserve">, piled foundations transfer </w:t>
      </w:r>
      <w:r w:rsidR="0028277B">
        <w:t xml:space="preserve">structural </w:t>
      </w:r>
      <w:r w:rsidR="00112D76">
        <w:t xml:space="preserve">loads through weak layers into deeper more competent </w:t>
      </w:r>
      <w:r w:rsidR="00E5210D">
        <w:t xml:space="preserve">strata, reducing settlement and improving overall stability. </w:t>
      </w:r>
    </w:p>
    <w:p w14:paraId="7341750F" w14:textId="542C967A" w:rsidR="00FD1FBB" w:rsidRDefault="00E5210D" w:rsidP="001C58B0">
      <w:pPr>
        <w:ind w:left="360"/>
      </w:pPr>
      <w:r>
        <w:rPr>
          <w:noProof/>
        </w:rPr>
        <w:drawing>
          <wp:anchor distT="0" distB="0" distL="114300" distR="114300" simplePos="0" relativeHeight="251661312" behindDoc="0" locked="0" layoutInCell="1" allowOverlap="1" wp14:anchorId="334BC07E" wp14:editId="14530AD3">
            <wp:simplePos x="0" y="0"/>
            <wp:positionH relativeFrom="margin">
              <wp:posOffset>352425</wp:posOffset>
            </wp:positionH>
            <wp:positionV relativeFrom="paragraph">
              <wp:posOffset>6985</wp:posOffset>
            </wp:positionV>
            <wp:extent cx="4838700" cy="4286250"/>
            <wp:effectExtent l="0" t="0" r="0" b="0"/>
            <wp:wrapSquare wrapText="bothSides"/>
            <wp:docPr id="42273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736621" name="Picture 4227366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38700" cy="4286250"/>
                    </a:xfrm>
                    <a:prstGeom prst="rect">
                      <a:avLst/>
                    </a:prstGeom>
                  </pic:spPr>
                </pic:pic>
              </a:graphicData>
            </a:graphic>
            <wp14:sizeRelH relativeFrom="margin">
              <wp14:pctWidth>0</wp14:pctWidth>
            </wp14:sizeRelH>
            <wp14:sizeRelV relativeFrom="margin">
              <wp14:pctHeight>0</wp14:pctHeight>
            </wp14:sizeRelV>
          </wp:anchor>
        </w:drawing>
      </w:r>
    </w:p>
    <w:p w14:paraId="5DCA6A2B" w14:textId="4FF70FF9" w:rsidR="00145183" w:rsidRDefault="00145183" w:rsidP="001C58B0">
      <w:pPr>
        <w:ind w:left="360"/>
      </w:pPr>
    </w:p>
    <w:p w14:paraId="7B7FD65C" w14:textId="77777777" w:rsidR="00145183" w:rsidRDefault="00145183" w:rsidP="001C58B0">
      <w:pPr>
        <w:ind w:left="360"/>
      </w:pPr>
    </w:p>
    <w:p w14:paraId="6EBFA621" w14:textId="77777777" w:rsidR="00145183" w:rsidRDefault="00145183" w:rsidP="001C58B0">
      <w:pPr>
        <w:ind w:left="360"/>
      </w:pPr>
    </w:p>
    <w:p w14:paraId="6453BCFC" w14:textId="77777777" w:rsidR="00145183" w:rsidRDefault="00145183" w:rsidP="001C58B0">
      <w:pPr>
        <w:ind w:left="360"/>
      </w:pPr>
    </w:p>
    <w:p w14:paraId="60259549" w14:textId="77777777" w:rsidR="00145183" w:rsidRDefault="00145183" w:rsidP="001C58B0">
      <w:pPr>
        <w:ind w:left="360"/>
      </w:pPr>
    </w:p>
    <w:p w14:paraId="6254F90F" w14:textId="77777777" w:rsidR="00145183" w:rsidRDefault="00145183" w:rsidP="001C58B0">
      <w:pPr>
        <w:ind w:left="360"/>
      </w:pPr>
    </w:p>
    <w:p w14:paraId="65943604" w14:textId="77777777" w:rsidR="00145183" w:rsidRDefault="00145183" w:rsidP="001C58B0">
      <w:pPr>
        <w:ind w:left="360"/>
      </w:pPr>
    </w:p>
    <w:p w14:paraId="6D0220B4" w14:textId="77777777" w:rsidR="00145183" w:rsidRDefault="00145183" w:rsidP="001C58B0">
      <w:pPr>
        <w:ind w:left="360"/>
      </w:pPr>
      <w:r>
        <w:t xml:space="preserve">    </w:t>
      </w:r>
    </w:p>
    <w:p w14:paraId="6D3E0CBE" w14:textId="77777777" w:rsidR="00145183" w:rsidRDefault="00145183" w:rsidP="001C58B0">
      <w:pPr>
        <w:ind w:left="360"/>
      </w:pPr>
    </w:p>
    <w:p w14:paraId="50BD75DC" w14:textId="77777777" w:rsidR="00145183" w:rsidRDefault="00145183" w:rsidP="001C58B0">
      <w:pPr>
        <w:ind w:left="360"/>
      </w:pPr>
    </w:p>
    <w:p w14:paraId="21C9DC23" w14:textId="7F744F56" w:rsidR="00E141DC" w:rsidRPr="00E141DC" w:rsidRDefault="00145183" w:rsidP="00145183">
      <w:pPr>
        <w:ind w:left="360"/>
        <w:rPr>
          <w:b/>
          <w:bCs/>
        </w:rPr>
      </w:pPr>
      <w:r w:rsidRPr="00E141DC">
        <w:rPr>
          <w:b/>
          <w:bCs/>
        </w:rPr>
        <w:lastRenderedPageBreak/>
        <w:t xml:space="preserve">Figure </w:t>
      </w:r>
      <w:r w:rsidR="00C458A6">
        <w:rPr>
          <w:b/>
          <w:bCs/>
        </w:rPr>
        <w:t>4</w:t>
      </w:r>
      <w:r w:rsidRPr="00E141DC">
        <w:rPr>
          <w:b/>
          <w:bCs/>
        </w:rPr>
        <w:t xml:space="preserve">: Piled foundation system illustrating </w:t>
      </w:r>
      <w:r w:rsidR="00E141DC" w:rsidRPr="00E141DC">
        <w:rPr>
          <w:b/>
          <w:bCs/>
        </w:rPr>
        <w:t xml:space="preserve">load transfer from superstructure through reinforced concrete piles into competent bearing strata. </w:t>
      </w:r>
    </w:p>
    <w:p w14:paraId="500408BB" w14:textId="77777777" w:rsidR="00E141DC" w:rsidRDefault="00E141DC" w:rsidP="00145183">
      <w:pPr>
        <w:ind w:left="360"/>
      </w:pPr>
    </w:p>
    <w:p w14:paraId="602F3286" w14:textId="580EEF6D" w:rsidR="00E56792" w:rsidRDefault="00145183" w:rsidP="00145183">
      <w:pPr>
        <w:ind w:left="360"/>
      </w:pPr>
      <w:r>
        <w:t xml:space="preserve">Both driven and bored piles may be considered. However, given the proximity of existing structures such as the Marriott Hotel and County Hall, bored piles are </w:t>
      </w:r>
      <w:r w:rsidR="00695A2B">
        <w:t>preferable due to reduced vibration and noise</w:t>
      </w:r>
      <w:r w:rsidR="00DA588A">
        <w:t xml:space="preserve"> levels during installation.</w:t>
      </w:r>
      <w:r w:rsidR="00695A2B">
        <w:t xml:space="preserve"> Although potentially more costly, this method </w:t>
      </w:r>
      <w:r w:rsidR="00A92A95">
        <w:t>minimises the</w:t>
      </w:r>
      <w:r w:rsidR="00695A2B">
        <w:t xml:space="preserve"> risk of damage to adjacent buildings and reduces the likelihood </w:t>
      </w:r>
      <w:r w:rsidR="00600888">
        <w:t>of project delay</w:t>
      </w:r>
      <w:r w:rsidR="00424A53">
        <w:t xml:space="preserve">s or claims arising from construction related disturbance. </w:t>
      </w:r>
    </w:p>
    <w:p w14:paraId="1CC1DC6B" w14:textId="0D530C2F" w:rsidR="00600888" w:rsidRDefault="00600888" w:rsidP="001C58B0">
      <w:pPr>
        <w:ind w:left="360"/>
      </w:pPr>
      <w:r>
        <w:t xml:space="preserve">From both an engineering and risk management perspective, piled foundations provide a reliable and predictable solution for this type of site. </w:t>
      </w:r>
      <w:r w:rsidR="00B123DE">
        <w:t>Their ability to achieve load transfer to competent strata ensure</w:t>
      </w:r>
      <w:r w:rsidR="001120B2">
        <w:t>s</w:t>
      </w:r>
      <w:r w:rsidR="00B123DE">
        <w:t xml:space="preserve"> long term structural performance, particularly in reclaimed </w:t>
      </w:r>
      <w:r w:rsidR="008E4F20">
        <w:t xml:space="preserve">dockland environments where ground </w:t>
      </w:r>
      <w:r w:rsidR="002E5FAF">
        <w:t xml:space="preserve">conditions are highly variable. </w:t>
      </w:r>
    </w:p>
    <w:p w14:paraId="779E3C94" w14:textId="6A09D7EB" w:rsidR="003C7231" w:rsidRPr="002D2F2D" w:rsidRDefault="00767933" w:rsidP="00562B7A">
      <w:pPr>
        <w:ind w:left="360"/>
        <w:rPr>
          <w:b/>
          <w:bCs/>
        </w:rPr>
      </w:pPr>
      <w:r>
        <w:rPr>
          <w:b/>
          <w:bCs/>
        </w:rPr>
        <w:t>8</w:t>
      </w:r>
      <w:r w:rsidR="004237A3" w:rsidRPr="002D2F2D">
        <w:rPr>
          <w:b/>
          <w:bCs/>
        </w:rPr>
        <w:t xml:space="preserve">.2 </w:t>
      </w:r>
      <w:r w:rsidR="004237A3" w:rsidRPr="0013344D">
        <w:rPr>
          <w:b/>
          <w:bCs/>
          <w:u w:val="single"/>
        </w:rPr>
        <w:t>Type of Pile Foundations</w:t>
      </w:r>
    </w:p>
    <w:p w14:paraId="613DA53E" w14:textId="77777777" w:rsidR="00B97858" w:rsidRDefault="004237A3" w:rsidP="00562B7A">
      <w:pPr>
        <w:ind w:left="360"/>
      </w:pPr>
      <w:r>
        <w:t xml:space="preserve">When </w:t>
      </w:r>
      <w:r w:rsidR="0060323C">
        <w:t>selecting an appropriate piling method for the proposed development</w:t>
      </w:r>
      <w:r>
        <w:t xml:space="preserve">, both bored concrete piles and driven piles should be considered. </w:t>
      </w:r>
    </w:p>
    <w:p w14:paraId="0D4A699E" w14:textId="55B009F7" w:rsidR="00074455" w:rsidRDefault="00ED32D4" w:rsidP="00562B7A">
      <w:pPr>
        <w:ind w:left="360"/>
      </w:pPr>
      <w:r>
        <w:t>Bored piles are constru</w:t>
      </w:r>
      <w:r w:rsidR="00B97858">
        <w:t>cted</w:t>
      </w:r>
      <w:r>
        <w:t xml:space="preserve"> by drilling into the ground </w:t>
      </w:r>
      <w:r w:rsidR="00151887">
        <w:t>and</w:t>
      </w:r>
      <w:r w:rsidR="00B01399">
        <w:t xml:space="preserve"> filling</w:t>
      </w:r>
      <w:r w:rsidR="00086829">
        <w:t xml:space="preserve"> the excavation with reinforced concrete. This method generates m</w:t>
      </w:r>
      <w:r w:rsidR="008E2CEA">
        <w:t xml:space="preserve">inimal vibration </w:t>
      </w:r>
      <w:r w:rsidR="00646FAE">
        <w:t xml:space="preserve">and noise, </w:t>
      </w:r>
      <w:r w:rsidR="008E2CEA">
        <w:t xml:space="preserve">making it particularly suitable for sites </w:t>
      </w:r>
      <w:proofErr w:type="gramStart"/>
      <w:r w:rsidR="00646FAE">
        <w:t>in close proximity</w:t>
      </w:r>
      <w:r w:rsidR="008E2CEA">
        <w:t xml:space="preserve"> to</w:t>
      </w:r>
      <w:proofErr w:type="gramEnd"/>
      <w:r w:rsidR="008E2CEA">
        <w:t xml:space="preserve"> existing structures</w:t>
      </w:r>
      <w:r w:rsidR="00646FAE">
        <w:t>,</w:t>
      </w:r>
      <w:r w:rsidR="008E2CEA">
        <w:t xml:space="preserve"> such as the Marriott Hotel and County </w:t>
      </w:r>
      <w:r w:rsidR="00854B6F">
        <w:t>Hall, where</w:t>
      </w:r>
      <w:r w:rsidR="000126C9">
        <w:t xml:space="preserve"> reducing the risk of structural disturbance is essential (Tomlinson and Woodward, 2015). </w:t>
      </w:r>
    </w:p>
    <w:p w14:paraId="17BA1B14" w14:textId="4BA507C5" w:rsidR="004237A3" w:rsidRDefault="00C27AB0" w:rsidP="00562B7A">
      <w:pPr>
        <w:ind w:left="360"/>
      </w:pPr>
      <w:r>
        <w:t>In contrast</w:t>
      </w:r>
      <w:r w:rsidR="00F775C7">
        <w:t xml:space="preserve">, driven piles are installed by </w:t>
      </w:r>
      <w:r>
        <w:t>mechanically driving</w:t>
      </w:r>
      <w:r w:rsidR="00F775C7">
        <w:t xml:space="preserve"> pref</w:t>
      </w:r>
      <w:r w:rsidR="00F328A1">
        <w:t>abricated piles into the ground</w:t>
      </w:r>
      <w:r>
        <w:t xml:space="preserve"> using impact or vibratory methods. </w:t>
      </w:r>
      <w:r w:rsidR="003132F8">
        <w:t xml:space="preserve">While this approach can offer cost efficiencies and faster installation, it </w:t>
      </w:r>
      <w:r w:rsidR="00450BFC">
        <w:t>produces</w:t>
      </w:r>
      <w:r w:rsidR="003132F8">
        <w:t xml:space="preserve"> significant vibration and </w:t>
      </w:r>
      <w:r w:rsidR="00AA6D13">
        <w:t>noise</w:t>
      </w:r>
      <w:r w:rsidR="00450BFC">
        <w:t xml:space="preserve">, </w:t>
      </w:r>
      <w:r w:rsidR="0088462C">
        <w:t>increasing the risk</w:t>
      </w:r>
      <w:r w:rsidR="00AA6D13">
        <w:t xml:space="preserve"> </w:t>
      </w:r>
      <w:r w:rsidR="0088462C">
        <w:t xml:space="preserve">of disruption and potential damage to adjacent structures (Tomlinson and Woodward, 2015). </w:t>
      </w:r>
    </w:p>
    <w:p w14:paraId="0B545AB2" w14:textId="62EFA494" w:rsidR="002D2F2D" w:rsidRDefault="00F5129C" w:rsidP="00AF3C55">
      <w:pPr>
        <w:ind w:left="360"/>
      </w:pPr>
      <w:r>
        <w:t>From a QS</w:t>
      </w:r>
      <w:r w:rsidR="00D27176">
        <w:t xml:space="preserve"> and risk management</w:t>
      </w:r>
      <w:r>
        <w:t xml:space="preserve"> perspective, </w:t>
      </w:r>
      <w:r w:rsidR="00D27176">
        <w:t xml:space="preserve">the selection of piling method requires a balance between </w:t>
      </w:r>
      <w:r w:rsidR="00DD025D">
        <w:t xml:space="preserve">initial cost and overall project risk. </w:t>
      </w:r>
      <w:r>
        <w:t xml:space="preserve"> </w:t>
      </w:r>
      <w:r w:rsidR="00FC04C7">
        <w:t xml:space="preserve">Although driven piles may </w:t>
      </w:r>
      <w:r w:rsidR="0088462C">
        <w:t>have</w:t>
      </w:r>
      <w:r w:rsidR="00FC04C7">
        <w:t xml:space="preserve"> lower upfront costs, the potential for vibration related damage, </w:t>
      </w:r>
      <w:r w:rsidR="00EC01E5">
        <w:t xml:space="preserve">delays and associated claims may increase </w:t>
      </w:r>
      <w:r w:rsidR="00D36992">
        <w:t>overall</w:t>
      </w:r>
      <w:r w:rsidR="00EC01E5">
        <w:t xml:space="preserve"> project cost. </w:t>
      </w:r>
      <w:r w:rsidR="00D36992">
        <w:t>B</w:t>
      </w:r>
      <w:r w:rsidR="00EC01E5">
        <w:t xml:space="preserve">ored piles, while more expensive, </w:t>
      </w:r>
      <w:r w:rsidR="00142755">
        <w:t>provide</w:t>
      </w:r>
      <w:r w:rsidR="00EC01E5">
        <w:t xml:space="preserve"> a lower risk </w:t>
      </w:r>
      <w:r w:rsidR="00142755">
        <w:t xml:space="preserve">and more controlled solution in sensitive environments. </w:t>
      </w:r>
      <w:r w:rsidR="00EC01E5">
        <w:t xml:space="preserve"> </w:t>
      </w:r>
      <w:r w:rsidR="008D0862">
        <w:t xml:space="preserve"> </w:t>
      </w:r>
    </w:p>
    <w:p w14:paraId="7A6A8AE9" w14:textId="6626B878" w:rsidR="00470797" w:rsidRPr="001B0189" w:rsidRDefault="00E92C80" w:rsidP="00AF3C55">
      <w:pPr>
        <w:ind w:left="360"/>
      </w:pPr>
      <w:r>
        <w:t xml:space="preserve">Given </w:t>
      </w:r>
      <w:r w:rsidR="006C4CFC">
        <w:t>the proximity of existing infrastructure and the variable ground conditions identified through pr</w:t>
      </w:r>
      <w:r w:rsidR="0074686B">
        <w:t xml:space="preserve">eliminary assessment and nearby borehole data, bored piling is considered the most appropriate </w:t>
      </w:r>
      <w:r w:rsidR="00E30350">
        <w:t>method for this development</w:t>
      </w:r>
      <w:r w:rsidR="000A38D8">
        <w:t xml:space="preserve">, offering a more </w:t>
      </w:r>
      <w:r w:rsidR="000A38D8">
        <w:lastRenderedPageBreak/>
        <w:t xml:space="preserve">predictable and reliable construction process, in line with established geotechnical practice (BS EN 1997- 1, 2004). </w:t>
      </w:r>
    </w:p>
    <w:p w14:paraId="472FBC32" w14:textId="6B9381F2" w:rsidR="00E666E4" w:rsidRPr="0013344D" w:rsidRDefault="00E16F80" w:rsidP="0013344D">
      <w:pPr>
        <w:pStyle w:val="ListParagraph"/>
        <w:numPr>
          <w:ilvl w:val="0"/>
          <w:numId w:val="8"/>
        </w:numPr>
        <w:rPr>
          <w:b/>
          <w:bCs/>
          <w:u w:val="single"/>
        </w:rPr>
      </w:pPr>
      <w:r w:rsidRPr="0013344D">
        <w:rPr>
          <w:b/>
          <w:bCs/>
          <w:u w:val="single"/>
        </w:rPr>
        <w:t xml:space="preserve">Conclusion </w:t>
      </w:r>
    </w:p>
    <w:p w14:paraId="3154FFD1" w14:textId="4212A73B" w:rsidR="00C277A6" w:rsidRDefault="008C17DE" w:rsidP="00E16F80">
      <w:pPr>
        <w:ind w:left="360"/>
      </w:pPr>
      <w:r>
        <w:t xml:space="preserve">The Swansea foreshore site presents </w:t>
      </w:r>
      <w:r w:rsidR="002A76B3">
        <w:t>a range of significant</w:t>
      </w:r>
      <w:r>
        <w:t xml:space="preserve"> geotechnical </w:t>
      </w:r>
      <w:r w:rsidR="003A7F24">
        <w:t>challenges due to its industrial history a</w:t>
      </w:r>
      <w:r w:rsidR="003717BC">
        <w:t>nd coastal location. The presence of made ground</w:t>
      </w:r>
      <w:r w:rsidR="00AE46B2">
        <w:t xml:space="preserve">, </w:t>
      </w:r>
      <w:r w:rsidR="00D905CB">
        <w:t xml:space="preserve">potential </w:t>
      </w:r>
      <w:r w:rsidR="00AE46B2">
        <w:t xml:space="preserve">contamination and high groundwater </w:t>
      </w:r>
      <w:r w:rsidR="00785956">
        <w:t>levels ne</w:t>
      </w:r>
      <w:r w:rsidR="00B520BA">
        <w:t>cessitates</w:t>
      </w:r>
      <w:r w:rsidR="00785956">
        <w:t xml:space="preserve"> a comprehensive </w:t>
      </w:r>
      <w:r w:rsidR="00D905CB">
        <w:t xml:space="preserve">and carefully planned </w:t>
      </w:r>
      <w:r w:rsidR="00785956">
        <w:t xml:space="preserve">site investigation. </w:t>
      </w:r>
    </w:p>
    <w:p w14:paraId="48DD0720" w14:textId="25FC6C62" w:rsidR="00785956" w:rsidRDefault="00785956" w:rsidP="00E16F80">
      <w:pPr>
        <w:ind w:left="360"/>
      </w:pPr>
      <w:r>
        <w:t xml:space="preserve">Analysis of nearby </w:t>
      </w:r>
      <w:r w:rsidR="00B3746B">
        <w:t xml:space="preserve">borehole </w:t>
      </w:r>
      <w:r w:rsidR="004E4930">
        <w:t xml:space="preserve">data </w:t>
      </w:r>
      <w:r w:rsidR="00BA7FB4">
        <w:t>indicates</w:t>
      </w:r>
      <w:r w:rsidR="004E4930">
        <w:t xml:space="preserve"> that weak </w:t>
      </w:r>
      <w:r w:rsidR="00BA7FB4">
        <w:t xml:space="preserve">and </w:t>
      </w:r>
      <w:r w:rsidR="00211D72">
        <w:t xml:space="preserve">compressible </w:t>
      </w:r>
      <w:r w:rsidR="004E4930">
        <w:t xml:space="preserve">surface layers overlie more competent strata at depth, supporting the </w:t>
      </w:r>
      <w:r w:rsidR="00211D72">
        <w:t xml:space="preserve">selection </w:t>
      </w:r>
      <w:r w:rsidR="004E4930">
        <w:t>of</w:t>
      </w:r>
      <w:r w:rsidR="00211D72">
        <w:t xml:space="preserve"> a</w:t>
      </w:r>
      <w:r w:rsidR="004E4930">
        <w:t xml:space="preserve"> piled foundation</w:t>
      </w:r>
      <w:r w:rsidR="00211D72">
        <w:t xml:space="preserve"> system a</w:t>
      </w:r>
      <w:r w:rsidR="009558FC">
        <w:t>s</w:t>
      </w:r>
      <w:r w:rsidR="00211D72">
        <w:t xml:space="preserve"> the most appropriate solution (Tomlinson and Woodward, 201</w:t>
      </w:r>
      <w:r w:rsidR="00C458A6">
        <w:t>5</w:t>
      </w:r>
      <w:r w:rsidR="00211D72">
        <w:t xml:space="preserve">). </w:t>
      </w:r>
      <w:r w:rsidR="004E4930">
        <w:t xml:space="preserve"> Through</w:t>
      </w:r>
      <w:r w:rsidR="00211D72">
        <w:t xml:space="preserve"> the impl</w:t>
      </w:r>
      <w:r w:rsidR="00F62813">
        <w:t>ementation of</w:t>
      </w:r>
      <w:r w:rsidR="004E4930">
        <w:t xml:space="preserve"> appropriate </w:t>
      </w:r>
      <w:r w:rsidR="00F62813">
        <w:t xml:space="preserve">site </w:t>
      </w:r>
      <w:r w:rsidR="004E4930">
        <w:t>investigation</w:t>
      </w:r>
      <w:r w:rsidR="00F62813">
        <w:t xml:space="preserve"> techniques, informed foundation design and adherence to relevant standards, including BS 5930</w:t>
      </w:r>
      <w:r w:rsidR="003D03DF">
        <w:t xml:space="preserve"> and Eurocode 7, the risks associated with the site can be effectively managed. </w:t>
      </w:r>
    </w:p>
    <w:p w14:paraId="40D1234A" w14:textId="41B5C3E7" w:rsidR="003D03DF" w:rsidRDefault="003D03DF" w:rsidP="00E16F80">
      <w:pPr>
        <w:ind w:left="360"/>
      </w:pPr>
      <w:r>
        <w:t>Overall, this approach enables the safe and sustainable development of the site, ensuring long term structural performance while addressing the challenges</w:t>
      </w:r>
      <w:r w:rsidR="003B753A">
        <w:t xml:space="preserve"> associated with reclaimed dockland environments. </w:t>
      </w:r>
    </w:p>
    <w:p w14:paraId="43C83BB2" w14:textId="77777777" w:rsidR="00C277A6" w:rsidRDefault="00C277A6" w:rsidP="00E16F80">
      <w:pPr>
        <w:ind w:left="360"/>
      </w:pPr>
    </w:p>
    <w:p w14:paraId="68C5F4C8" w14:textId="77777777" w:rsidR="00C277A6" w:rsidRDefault="00C277A6" w:rsidP="00E16F80">
      <w:pPr>
        <w:ind w:left="360"/>
      </w:pPr>
    </w:p>
    <w:p w14:paraId="4BCC1C64" w14:textId="77777777" w:rsidR="00C277A6" w:rsidRDefault="00C277A6" w:rsidP="00E16F80">
      <w:pPr>
        <w:ind w:left="360"/>
      </w:pPr>
    </w:p>
    <w:p w14:paraId="2F1E2F12" w14:textId="09FBCCBC" w:rsidR="00C277A6" w:rsidRDefault="00C277A6" w:rsidP="00E16F80">
      <w:pPr>
        <w:ind w:left="360"/>
        <w:rPr>
          <w:u w:val="single"/>
        </w:rPr>
      </w:pPr>
      <w:r w:rsidRPr="00FD18DA">
        <w:rPr>
          <w:u w:val="single"/>
        </w:rPr>
        <w:t xml:space="preserve">References </w:t>
      </w:r>
    </w:p>
    <w:p w14:paraId="390E09F4" w14:textId="683CBD9D" w:rsidR="006321FA" w:rsidRDefault="006321FA" w:rsidP="006321FA">
      <w:pPr>
        <w:ind w:left="360"/>
      </w:pPr>
      <w:r>
        <w:t xml:space="preserve">BS 5930 (2015) </w:t>
      </w:r>
      <w:r w:rsidRPr="006321FA">
        <w:rPr>
          <w:i/>
          <w:iCs/>
        </w:rPr>
        <w:t>Code of practice for ground investigations.</w:t>
      </w:r>
      <w:r>
        <w:t xml:space="preserve"> London: British Standards Institution. </w:t>
      </w:r>
    </w:p>
    <w:p w14:paraId="283EA49D" w14:textId="5C0D1EB3" w:rsidR="00F2511D" w:rsidRDefault="00F2511D" w:rsidP="00F2511D">
      <w:pPr>
        <w:ind w:left="360"/>
      </w:pPr>
      <w:r w:rsidRPr="00B520BA">
        <w:t xml:space="preserve">BS EN 1997-1 (2004) Eurocode 7: Geotechnical design. </w:t>
      </w:r>
      <w:r w:rsidRPr="00982D3D">
        <w:t xml:space="preserve">London: British </w:t>
      </w:r>
      <w:r>
        <w:t xml:space="preserve">Standards Institution. </w:t>
      </w:r>
    </w:p>
    <w:p w14:paraId="6EC72261" w14:textId="5B18D0E8" w:rsidR="009A7149" w:rsidRDefault="009A7149" w:rsidP="009A7149">
      <w:pPr>
        <w:ind w:left="360"/>
      </w:pPr>
      <w:r>
        <w:t>City and County of Swansea (2022) Life after the Lords of Gower- 19</w:t>
      </w:r>
      <w:r w:rsidRPr="007F5BA4">
        <w:rPr>
          <w:vertAlign w:val="superscript"/>
        </w:rPr>
        <w:t>th</w:t>
      </w:r>
      <w:r>
        <w:t xml:space="preserve"> century. Available at: </w:t>
      </w:r>
      <w:hyperlink r:id="rId10" w:history="1">
        <w:r w:rsidRPr="00522388">
          <w:rPr>
            <w:color w:val="0000FF"/>
            <w:u w:val="single"/>
          </w:rPr>
          <w:t>Life after the Lords of Gower - 19th century - Swansea</w:t>
        </w:r>
      </w:hyperlink>
      <w:r>
        <w:t xml:space="preserve"> (Accessed: 16</w:t>
      </w:r>
      <w:r w:rsidRPr="006751D7">
        <w:rPr>
          <w:vertAlign w:val="superscript"/>
        </w:rPr>
        <w:t>th</w:t>
      </w:r>
      <w:r>
        <w:t xml:space="preserve"> April 2026). </w:t>
      </w:r>
    </w:p>
    <w:p w14:paraId="4447968D" w14:textId="7BDB957C" w:rsidR="00F25D35" w:rsidRDefault="00F25D35" w:rsidP="00F25D35">
      <w:pPr>
        <w:ind w:left="360"/>
      </w:pPr>
      <w:r>
        <w:t xml:space="preserve">City and County of Swansea. (2023) Planning Committee: </w:t>
      </w:r>
      <w:r w:rsidR="006B6A7F">
        <w:t xml:space="preserve">Public Reports Pack, 9 May 2023. Available at: </w:t>
      </w:r>
      <w:hyperlink r:id="rId11" w:history="1">
        <w:r w:rsidR="00244942" w:rsidRPr="007A5904">
          <w:rPr>
            <w:rStyle w:val="Hyperlink"/>
          </w:rPr>
          <w:t>https://swansea.moderngov.co.uk/documents/g11013/Public%20reports%20pack%20Tuesday%2009-May-2023%2014.00%20Planning%20Committee.pdf</w:t>
        </w:r>
      </w:hyperlink>
      <w:r w:rsidR="00244942">
        <w:t xml:space="preserve"> (Accessed: 16</w:t>
      </w:r>
      <w:r w:rsidR="00244942">
        <w:rPr>
          <w:vertAlign w:val="superscript"/>
        </w:rPr>
        <w:t xml:space="preserve"> </w:t>
      </w:r>
      <w:r w:rsidR="00244942">
        <w:t xml:space="preserve">April 2026). </w:t>
      </w:r>
    </w:p>
    <w:p w14:paraId="380DF820" w14:textId="46D0397C" w:rsidR="00F25D35" w:rsidRDefault="00F25D35" w:rsidP="00F25D35">
      <w:pPr>
        <w:ind w:left="360"/>
      </w:pPr>
      <w:r>
        <w:t xml:space="preserve">City and County of Swansea (2023) </w:t>
      </w:r>
      <w:r w:rsidRPr="000E5FEC">
        <w:rPr>
          <w:i/>
          <w:iCs/>
        </w:rPr>
        <w:t>Planning Committee: Schedule, 5 September</w:t>
      </w:r>
      <w:r>
        <w:t xml:space="preserve"> </w:t>
      </w:r>
      <w:r w:rsidRPr="000E5FEC">
        <w:rPr>
          <w:i/>
          <w:iCs/>
        </w:rPr>
        <w:t>2023.</w:t>
      </w:r>
      <w:r>
        <w:t xml:space="preserve"> </w:t>
      </w:r>
      <w:r w:rsidRPr="005F7E06">
        <w:t xml:space="preserve">Available at : </w:t>
      </w:r>
      <w:hyperlink r:id="rId12" w:history="1">
        <w:r w:rsidRPr="007A5904">
          <w:rPr>
            <w:rStyle w:val="Hyperlink"/>
          </w:rPr>
          <w:t>https://swansea.moderngov.co.uk/documents/s96039/05.3%20-</w:t>
        </w:r>
        <w:r w:rsidRPr="007A5904">
          <w:rPr>
            <w:rStyle w:val="Hyperlink"/>
          </w:rPr>
          <w:lastRenderedPageBreak/>
          <w:t>%20SCHEDULE%20-%205TH%20SEPTEMBER%202023.pdf</w:t>
        </w:r>
      </w:hyperlink>
      <w:r w:rsidRPr="005F7E06">
        <w:t xml:space="preserve"> </w:t>
      </w:r>
      <w:r>
        <w:t>(Accessed: 17</w:t>
      </w:r>
      <w:r w:rsidRPr="000E5FEC">
        <w:rPr>
          <w:vertAlign w:val="superscript"/>
        </w:rPr>
        <w:t>th</w:t>
      </w:r>
      <w:r>
        <w:t xml:space="preserve"> April 2026). </w:t>
      </w:r>
    </w:p>
    <w:p w14:paraId="0D4C9F90" w14:textId="31AAACA9" w:rsidR="00F25D35" w:rsidRDefault="00F25D35" w:rsidP="00F25D35">
      <w:pPr>
        <w:ind w:left="360"/>
      </w:pPr>
      <w:r>
        <w:t xml:space="preserve">Environment Agency (2020) </w:t>
      </w:r>
      <w:r w:rsidRPr="000E5FEC">
        <w:rPr>
          <w:i/>
          <w:iCs/>
        </w:rPr>
        <w:t>Land contamination risk management guidance.</w:t>
      </w:r>
      <w:r>
        <w:t xml:space="preserve"> Available at </w:t>
      </w:r>
      <w:hyperlink r:id="rId13" w:history="1">
        <w:r>
          <w:rPr>
            <w:rStyle w:val="Hyperlink"/>
          </w:rPr>
          <w:t>Land contamination risk management (LCRM) - GOV.UK</w:t>
        </w:r>
      </w:hyperlink>
      <w:r>
        <w:t xml:space="preserve"> (Accessed: 25</w:t>
      </w:r>
      <w:r w:rsidRPr="008A5026">
        <w:rPr>
          <w:vertAlign w:val="superscript"/>
        </w:rPr>
        <w:t>th</w:t>
      </w:r>
      <w:r>
        <w:t xml:space="preserve"> March 2026). </w:t>
      </w:r>
    </w:p>
    <w:p w14:paraId="054F98A3" w14:textId="2C4446AF" w:rsidR="003423F6" w:rsidRPr="006321FA" w:rsidRDefault="00F25D35" w:rsidP="003423F6">
      <w:pPr>
        <w:ind w:left="360"/>
      </w:pPr>
      <w:r>
        <w:t xml:space="preserve">Mellett, C. (2017). </w:t>
      </w:r>
      <w:r w:rsidRPr="000E5FEC">
        <w:rPr>
          <w:i/>
          <w:iCs/>
        </w:rPr>
        <w:t>Swansea Bay WwTW Wind Turbine.</w:t>
      </w:r>
      <w:r>
        <w:t xml:space="preserve"> </w:t>
      </w:r>
      <w:r w:rsidRPr="00E26CF0">
        <w:t xml:space="preserve">Available </w:t>
      </w:r>
      <w:r w:rsidR="003423F6" w:rsidRPr="00E26CF0">
        <w:t>at:</w:t>
      </w:r>
      <w:r w:rsidRPr="00E26CF0">
        <w:t xml:space="preserve"> </w:t>
      </w:r>
      <w:hyperlink r:id="rId14" w:history="1">
        <w:r w:rsidR="003423F6" w:rsidRPr="007A5904">
          <w:rPr>
            <w:rStyle w:val="Hyperlink"/>
          </w:rPr>
          <w:t>https://waterprojectsonline.com/case-studies/swansea-bay-wwtw-wind-turbine/</w:t>
        </w:r>
      </w:hyperlink>
      <w:r w:rsidR="003423F6">
        <w:t xml:space="preserve"> </w:t>
      </w:r>
      <w:r>
        <w:t>(Accessed 16</w:t>
      </w:r>
      <w:r w:rsidRPr="008A5026">
        <w:rPr>
          <w:vertAlign w:val="superscript"/>
        </w:rPr>
        <w:t>th</w:t>
      </w:r>
      <w:r>
        <w:t xml:space="preserve"> April 2026). </w:t>
      </w:r>
    </w:p>
    <w:p w14:paraId="4665D1AB" w14:textId="31EB2C5B" w:rsidR="00F25D35" w:rsidRDefault="003423F6" w:rsidP="003423F6">
      <w:r>
        <w:t xml:space="preserve"> </w:t>
      </w:r>
      <w:r w:rsidR="00F25D35">
        <w:t xml:space="preserve">Swansea Marina (n.d.). Vibrant City by the Sea. Available at: </w:t>
      </w:r>
      <w:hyperlink r:id="rId15" w:history="1">
        <w:r w:rsidR="00F25D35" w:rsidRPr="00F95FB0">
          <w:rPr>
            <w:color w:val="0000FF"/>
            <w:u w:val="single"/>
          </w:rPr>
          <w:t>Swansea Marina — Vibrant City by the Sea</w:t>
        </w:r>
      </w:hyperlink>
      <w:r w:rsidR="00F25D35">
        <w:t xml:space="preserve"> (Accessed: 16</w:t>
      </w:r>
      <w:r w:rsidR="00F25D35" w:rsidRPr="005A4D85">
        <w:rPr>
          <w:vertAlign w:val="superscript"/>
        </w:rPr>
        <w:t>th</w:t>
      </w:r>
      <w:r w:rsidR="00F25D35">
        <w:t xml:space="preserve"> April 2026). </w:t>
      </w:r>
    </w:p>
    <w:p w14:paraId="47EAB39C" w14:textId="5535C4AF" w:rsidR="00C277A6" w:rsidRDefault="00C277A6" w:rsidP="00E16F80">
      <w:pPr>
        <w:ind w:left="360"/>
      </w:pPr>
      <w:r>
        <w:t xml:space="preserve">Tomlinson, M. and Woodward, J. (2015) </w:t>
      </w:r>
      <w:r w:rsidR="00DC669F">
        <w:rPr>
          <w:i/>
          <w:iCs/>
        </w:rPr>
        <w:t>Pile Design and Construction Practice. 6</w:t>
      </w:r>
      <w:r w:rsidR="00DC669F" w:rsidRPr="00DC669F">
        <w:rPr>
          <w:i/>
          <w:iCs/>
          <w:vertAlign w:val="superscript"/>
        </w:rPr>
        <w:t>th</w:t>
      </w:r>
      <w:r w:rsidR="00DC669F">
        <w:rPr>
          <w:i/>
          <w:iCs/>
        </w:rPr>
        <w:t xml:space="preserve"> </w:t>
      </w:r>
      <w:proofErr w:type="spellStart"/>
      <w:r w:rsidR="00DC669F">
        <w:rPr>
          <w:i/>
          <w:iCs/>
        </w:rPr>
        <w:t>edn</w:t>
      </w:r>
      <w:proofErr w:type="spellEnd"/>
      <w:r w:rsidR="00DC669F">
        <w:rPr>
          <w:i/>
          <w:iCs/>
        </w:rPr>
        <w:t xml:space="preserve">. London: CRC Press. </w:t>
      </w:r>
    </w:p>
    <w:p w14:paraId="796158A0" w14:textId="77777777" w:rsidR="00C277A6" w:rsidRPr="00982D3D" w:rsidRDefault="00C277A6" w:rsidP="00E16F80">
      <w:pPr>
        <w:ind w:left="360"/>
      </w:pPr>
    </w:p>
    <w:p w14:paraId="3117E06E" w14:textId="77777777" w:rsidR="009C6989" w:rsidRPr="00982D3D" w:rsidRDefault="009C6989" w:rsidP="009C6989"/>
    <w:p w14:paraId="185D1001" w14:textId="77777777" w:rsidR="009C6989" w:rsidRPr="00982D3D" w:rsidRDefault="009C6989" w:rsidP="009C6989"/>
    <w:p w14:paraId="206A86B0" w14:textId="77777777" w:rsidR="009C6989" w:rsidRPr="00982D3D" w:rsidRDefault="009C6989" w:rsidP="009C6989"/>
    <w:p w14:paraId="5BA5A3A8" w14:textId="77777777" w:rsidR="009C6989" w:rsidRPr="00982D3D" w:rsidRDefault="009C6989" w:rsidP="009C6989"/>
    <w:p w14:paraId="79491A0B" w14:textId="77777777" w:rsidR="009C6989" w:rsidRPr="00982D3D" w:rsidRDefault="009C6989" w:rsidP="009C6989"/>
    <w:p w14:paraId="30B9DB48" w14:textId="77777777" w:rsidR="009C6989" w:rsidRPr="00982D3D" w:rsidRDefault="009C6989" w:rsidP="009C6989"/>
    <w:p w14:paraId="5004EFEC" w14:textId="77777777" w:rsidR="009C6989" w:rsidRPr="00982D3D" w:rsidRDefault="009C6989" w:rsidP="009C6989"/>
    <w:p w14:paraId="7084B425" w14:textId="77777777" w:rsidR="009C6989" w:rsidRPr="00982D3D" w:rsidRDefault="009C6989" w:rsidP="009C6989"/>
    <w:p w14:paraId="4C9C95A7" w14:textId="77777777" w:rsidR="009C6989" w:rsidRPr="00982D3D" w:rsidRDefault="009C6989" w:rsidP="009C6989"/>
    <w:p w14:paraId="052E31B8" w14:textId="77777777" w:rsidR="009C6989" w:rsidRPr="00982D3D" w:rsidRDefault="009C6989" w:rsidP="009C6989"/>
    <w:p w14:paraId="2CFD690F" w14:textId="77777777" w:rsidR="009C6989" w:rsidRPr="00982D3D" w:rsidRDefault="009C6989" w:rsidP="009C6989"/>
    <w:p w14:paraId="6AB5B1DC" w14:textId="77777777" w:rsidR="009C6989" w:rsidRPr="00982D3D" w:rsidRDefault="009C6989" w:rsidP="009C6989"/>
    <w:p w14:paraId="7E57A262" w14:textId="77777777" w:rsidR="009C6989" w:rsidRPr="00982D3D" w:rsidRDefault="009C6989" w:rsidP="009C6989"/>
    <w:p w14:paraId="2876995C" w14:textId="77777777" w:rsidR="009C6989" w:rsidRPr="00982D3D" w:rsidRDefault="009C6989" w:rsidP="009C6989"/>
    <w:p w14:paraId="62347D94" w14:textId="77777777" w:rsidR="009C6989" w:rsidRPr="00982D3D" w:rsidRDefault="009C6989" w:rsidP="009C6989"/>
    <w:p w14:paraId="4DCA7DE7" w14:textId="77777777" w:rsidR="009C6989" w:rsidRPr="00982D3D" w:rsidRDefault="009C6989" w:rsidP="009C6989"/>
    <w:p w14:paraId="5EC9E7F4" w14:textId="77777777" w:rsidR="009C6989" w:rsidRPr="00982D3D" w:rsidRDefault="009C6989" w:rsidP="009C6989"/>
    <w:p w14:paraId="2A277B98" w14:textId="77777777" w:rsidR="009C6989" w:rsidRPr="00982D3D" w:rsidRDefault="009C6989" w:rsidP="009C6989"/>
    <w:p w14:paraId="42879137" w14:textId="77777777" w:rsidR="009C6989" w:rsidRPr="00982D3D" w:rsidRDefault="009C6989" w:rsidP="009C6989"/>
    <w:p w14:paraId="1264B8FE" w14:textId="77777777" w:rsidR="009C6989" w:rsidRPr="00982D3D" w:rsidRDefault="009C6989" w:rsidP="009C6989"/>
    <w:p w14:paraId="1CFFA953" w14:textId="77777777" w:rsidR="009C6989" w:rsidRPr="00982D3D" w:rsidRDefault="009C6989" w:rsidP="009C6989"/>
    <w:p w14:paraId="4EADC3F9" w14:textId="77777777" w:rsidR="009C6989" w:rsidRPr="00982D3D" w:rsidRDefault="009C6989" w:rsidP="009C6989"/>
    <w:p w14:paraId="7AD2F3B3" w14:textId="77777777" w:rsidR="009C6989" w:rsidRPr="00982D3D" w:rsidRDefault="009C6989" w:rsidP="009C6989"/>
    <w:p w14:paraId="5CE40FCC" w14:textId="77777777" w:rsidR="009C6989" w:rsidRPr="00982D3D" w:rsidRDefault="009C6989" w:rsidP="009C6989"/>
    <w:p w14:paraId="6F1AD27C" w14:textId="77777777" w:rsidR="009C6989" w:rsidRPr="00982D3D" w:rsidRDefault="009C6989" w:rsidP="009C6989"/>
    <w:p w14:paraId="5A4568C3" w14:textId="77777777" w:rsidR="009C6989" w:rsidRPr="00982D3D" w:rsidRDefault="009C6989" w:rsidP="009C6989"/>
    <w:p w14:paraId="6E119A80" w14:textId="77777777" w:rsidR="009C6989" w:rsidRPr="00982D3D" w:rsidRDefault="009C6989" w:rsidP="009C6989"/>
    <w:p w14:paraId="0D2AAB66" w14:textId="77777777" w:rsidR="009C6989" w:rsidRPr="00982D3D" w:rsidRDefault="009C6989" w:rsidP="009C6989"/>
    <w:p w14:paraId="09A9489B" w14:textId="77777777" w:rsidR="009C6989" w:rsidRPr="00982D3D" w:rsidRDefault="009C6989" w:rsidP="009C6989"/>
    <w:p w14:paraId="1377BD34" w14:textId="77777777" w:rsidR="009C6989" w:rsidRPr="00982D3D" w:rsidRDefault="009C6989" w:rsidP="009C6989"/>
    <w:p w14:paraId="31F4CE7B" w14:textId="77777777" w:rsidR="009C6989" w:rsidRPr="00982D3D" w:rsidRDefault="009C6989" w:rsidP="009C6989"/>
    <w:p w14:paraId="405A5949" w14:textId="77777777" w:rsidR="009C6989" w:rsidRPr="00982D3D" w:rsidRDefault="009C6989" w:rsidP="009C6989"/>
    <w:p w14:paraId="1AD32FF1" w14:textId="77777777" w:rsidR="009C6989" w:rsidRPr="00982D3D" w:rsidRDefault="009C6989" w:rsidP="009C6989"/>
    <w:p w14:paraId="70F552F4" w14:textId="77777777" w:rsidR="009C6989" w:rsidRPr="00982D3D" w:rsidRDefault="009C6989" w:rsidP="009C6989"/>
    <w:sectPr w:rsidR="009C6989" w:rsidRPr="00982D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3324F"/>
    <w:multiLevelType w:val="hybridMultilevel"/>
    <w:tmpl w:val="9550AA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5F6BE4"/>
    <w:multiLevelType w:val="hybridMultilevel"/>
    <w:tmpl w:val="B322A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3106C"/>
    <w:multiLevelType w:val="hybridMultilevel"/>
    <w:tmpl w:val="3FE0E66E"/>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9B7186"/>
    <w:multiLevelType w:val="multilevel"/>
    <w:tmpl w:val="C722E90C"/>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35157A6"/>
    <w:multiLevelType w:val="hybridMultilevel"/>
    <w:tmpl w:val="8758DE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7E42D89"/>
    <w:multiLevelType w:val="hybridMultilevel"/>
    <w:tmpl w:val="6ED67A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2A149A"/>
    <w:multiLevelType w:val="hybridMultilevel"/>
    <w:tmpl w:val="B4DA97C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A35FD8"/>
    <w:multiLevelType w:val="hybridMultilevel"/>
    <w:tmpl w:val="A0E05A98"/>
    <w:lvl w:ilvl="0" w:tplc="E56A907E">
      <w:start w:val="3"/>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8827584">
    <w:abstractNumId w:val="3"/>
  </w:num>
  <w:num w:numId="2" w16cid:durableId="650718145">
    <w:abstractNumId w:val="4"/>
  </w:num>
  <w:num w:numId="3" w16cid:durableId="1142575696">
    <w:abstractNumId w:val="0"/>
  </w:num>
  <w:num w:numId="4" w16cid:durableId="2115705776">
    <w:abstractNumId w:val="7"/>
  </w:num>
  <w:num w:numId="5" w16cid:durableId="1097407987">
    <w:abstractNumId w:val="2"/>
  </w:num>
  <w:num w:numId="6" w16cid:durableId="981229518">
    <w:abstractNumId w:val="5"/>
  </w:num>
  <w:num w:numId="7" w16cid:durableId="1859850047">
    <w:abstractNumId w:val="1"/>
  </w:num>
  <w:num w:numId="8" w16cid:durableId="13189944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989"/>
    <w:rsid w:val="00000E78"/>
    <w:rsid w:val="00010BDD"/>
    <w:rsid w:val="000126C9"/>
    <w:rsid w:val="00013CDB"/>
    <w:rsid w:val="0001461C"/>
    <w:rsid w:val="00024436"/>
    <w:rsid w:val="000625A4"/>
    <w:rsid w:val="00074455"/>
    <w:rsid w:val="00082FA3"/>
    <w:rsid w:val="00083CD1"/>
    <w:rsid w:val="00083D2F"/>
    <w:rsid w:val="00085C93"/>
    <w:rsid w:val="00086829"/>
    <w:rsid w:val="000961D3"/>
    <w:rsid w:val="000A0F69"/>
    <w:rsid w:val="000A38D8"/>
    <w:rsid w:val="000A45CD"/>
    <w:rsid w:val="000B5E50"/>
    <w:rsid w:val="000B6647"/>
    <w:rsid w:val="000B7825"/>
    <w:rsid w:val="000E51C1"/>
    <w:rsid w:val="000E5FEC"/>
    <w:rsid w:val="000F54FC"/>
    <w:rsid w:val="00100F36"/>
    <w:rsid w:val="00110FA5"/>
    <w:rsid w:val="001120B2"/>
    <w:rsid w:val="00112D76"/>
    <w:rsid w:val="00115A08"/>
    <w:rsid w:val="001209BC"/>
    <w:rsid w:val="0013344D"/>
    <w:rsid w:val="00140184"/>
    <w:rsid w:val="00140A94"/>
    <w:rsid w:val="00142755"/>
    <w:rsid w:val="00145183"/>
    <w:rsid w:val="00147141"/>
    <w:rsid w:val="00151887"/>
    <w:rsid w:val="001620AD"/>
    <w:rsid w:val="001643DE"/>
    <w:rsid w:val="00180139"/>
    <w:rsid w:val="0019011F"/>
    <w:rsid w:val="00190B4E"/>
    <w:rsid w:val="0019111F"/>
    <w:rsid w:val="001B011A"/>
    <w:rsid w:val="001B0189"/>
    <w:rsid w:val="001C225A"/>
    <w:rsid w:val="001C58B0"/>
    <w:rsid w:val="001C6B02"/>
    <w:rsid w:val="001D68A8"/>
    <w:rsid w:val="001E3B19"/>
    <w:rsid w:val="002078AF"/>
    <w:rsid w:val="00211D72"/>
    <w:rsid w:val="00215F00"/>
    <w:rsid w:val="00224EBC"/>
    <w:rsid w:val="00226419"/>
    <w:rsid w:val="00237926"/>
    <w:rsid w:val="0024133C"/>
    <w:rsid w:val="00243B9C"/>
    <w:rsid w:val="00244942"/>
    <w:rsid w:val="00245519"/>
    <w:rsid w:val="00253DC6"/>
    <w:rsid w:val="002722EA"/>
    <w:rsid w:val="00274458"/>
    <w:rsid w:val="00280A05"/>
    <w:rsid w:val="002824F4"/>
    <w:rsid w:val="0028277B"/>
    <w:rsid w:val="00290B3F"/>
    <w:rsid w:val="00292F17"/>
    <w:rsid w:val="0029316B"/>
    <w:rsid w:val="00297968"/>
    <w:rsid w:val="002A185B"/>
    <w:rsid w:val="002A76B3"/>
    <w:rsid w:val="002B1B57"/>
    <w:rsid w:val="002C0201"/>
    <w:rsid w:val="002C36A2"/>
    <w:rsid w:val="002C66FB"/>
    <w:rsid w:val="002D2F2D"/>
    <w:rsid w:val="002D75D1"/>
    <w:rsid w:val="002E25C3"/>
    <w:rsid w:val="002E5FAF"/>
    <w:rsid w:val="002F30DD"/>
    <w:rsid w:val="002F4DC3"/>
    <w:rsid w:val="00302901"/>
    <w:rsid w:val="00307AD6"/>
    <w:rsid w:val="0031021B"/>
    <w:rsid w:val="00313000"/>
    <w:rsid w:val="003132F8"/>
    <w:rsid w:val="00324156"/>
    <w:rsid w:val="00327416"/>
    <w:rsid w:val="00333842"/>
    <w:rsid w:val="003423F6"/>
    <w:rsid w:val="0035091E"/>
    <w:rsid w:val="003515E3"/>
    <w:rsid w:val="00360982"/>
    <w:rsid w:val="003642C2"/>
    <w:rsid w:val="003648B0"/>
    <w:rsid w:val="0036681F"/>
    <w:rsid w:val="003678A8"/>
    <w:rsid w:val="003717BC"/>
    <w:rsid w:val="00373A62"/>
    <w:rsid w:val="00377506"/>
    <w:rsid w:val="003A434E"/>
    <w:rsid w:val="003A4CDA"/>
    <w:rsid w:val="003A7F24"/>
    <w:rsid w:val="003B234C"/>
    <w:rsid w:val="003B376A"/>
    <w:rsid w:val="003B753A"/>
    <w:rsid w:val="003C7231"/>
    <w:rsid w:val="003D03DF"/>
    <w:rsid w:val="003D3CF8"/>
    <w:rsid w:val="003F119D"/>
    <w:rsid w:val="003F1FD3"/>
    <w:rsid w:val="003F4B24"/>
    <w:rsid w:val="00401892"/>
    <w:rsid w:val="004237A3"/>
    <w:rsid w:val="00424A53"/>
    <w:rsid w:val="00425256"/>
    <w:rsid w:val="00434101"/>
    <w:rsid w:val="00450BFC"/>
    <w:rsid w:val="004579CA"/>
    <w:rsid w:val="004659D5"/>
    <w:rsid w:val="00466EB9"/>
    <w:rsid w:val="00470797"/>
    <w:rsid w:val="004813B3"/>
    <w:rsid w:val="0048206A"/>
    <w:rsid w:val="00482AD0"/>
    <w:rsid w:val="0048797A"/>
    <w:rsid w:val="004955A8"/>
    <w:rsid w:val="00495F84"/>
    <w:rsid w:val="004A584C"/>
    <w:rsid w:val="004B1E7C"/>
    <w:rsid w:val="004C2644"/>
    <w:rsid w:val="004C77BA"/>
    <w:rsid w:val="004D0745"/>
    <w:rsid w:val="004D13D7"/>
    <w:rsid w:val="004E0852"/>
    <w:rsid w:val="004E4930"/>
    <w:rsid w:val="00522388"/>
    <w:rsid w:val="005271E8"/>
    <w:rsid w:val="00537B2C"/>
    <w:rsid w:val="00543154"/>
    <w:rsid w:val="00545CD2"/>
    <w:rsid w:val="00546ECE"/>
    <w:rsid w:val="00550D87"/>
    <w:rsid w:val="00553863"/>
    <w:rsid w:val="00554B5C"/>
    <w:rsid w:val="00555EF7"/>
    <w:rsid w:val="00562B7A"/>
    <w:rsid w:val="00575510"/>
    <w:rsid w:val="005859DA"/>
    <w:rsid w:val="00591E9E"/>
    <w:rsid w:val="005A4D85"/>
    <w:rsid w:val="005A60E8"/>
    <w:rsid w:val="005E4A3A"/>
    <w:rsid w:val="005F0932"/>
    <w:rsid w:val="005F7E06"/>
    <w:rsid w:val="00600888"/>
    <w:rsid w:val="0060323C"/>
    <w:rsid w:val="006070AC"/>
    <w:rsid w:val="00614205"/>
    <w:rsid w:val="00616770"/>
    <w:rsid w:val="006170EA"/>
    <w:rsid w:val="00624456"/>
    <w:rsid w:val="006321FA"/>
    <w:rsid w:val="006324C3"/>
    <w:rsid w:val="00646FAE"/>
    <w:rsid w:val="006570F0"/>
    <w:rsid w:val="00664B75"/>
    <w:rsid w:val="00665403"/>
    <w:rsid w:val="00665471"/>
    <w:rsid w:val="006751D7"/>
    <w:rsid w:val="006760A8"/>
    <w:rsid w:val="00676191"/>
    <w:rsid w:val="006777A6"/>
    <w:rsid w:val="006833FE"/>
    <w:rsid w:val="00695A2B"/>
    <w:rsid w:val="00696283"/>
    <w:rsid w:val="006B5A09"/>
    <w:rsid w:val="006B6A7F"/>
    <w:rsid w:val="006C1BA4"/>
    <w:rsid w:val="006C4CFC"/>
    <w:rsid w:val="006D3D40"/>
    <w:rsid w:val="006E0BAB"/>
    <w:rsid w:val="006E37E4"/>
    <w:rsid w:val="006E567F"/>
    <w:rsid w:val="006F095D"/>
    <w:rsid w:val="006F728E"/>
    <w:rsid w:val="00700650"/>
    <w:rsid w:val="00706910"/>
    <w:rsid w:val="00715697"/>
    <w:rsid w:val="007268E1"/>
    <w:rsid w:val="007308D2"/>
    <w:rsid w:val="0074686B"/>
    <w:rsid w:val="00763925"/>
    <w:rsid w:val="007649E7"/>
    <w:rsid w:val="00767933"/>
    <w:rsid w:val="0077040F"/>
    <w:rsid w:val="0077090F"/>
    <w:rsid w:val="00776520"/>
    <w:rsid w:val="00777225"/>
    <w:rsid w:val="0078367F"/>
    <w:rsid w:val="00785956"/>
    <w:rsid w:val="00787613"/>
    <w:rsid w:val="00791CB1"/>
    <w:rsid w:val="007A3C6E"/>
    <w:rsid w:val="007A42E3"/>
    <w:rsid w:val="007B3827"/>
    <w:rsid w:val="007B4AAF"/>
    <w:rsid w:val="007D13D4"/>
    <w:rsid w:val="007D3FD2"/>
    <w:rsid w:val="007E3D18"/>
    <w:rsid w:val="007E5BE9"/>
    <w:rsid w:val="007E7318"/>
    <w:rsid w:val="007F5BA4"/>
    <w:rsid w:val="007F7298"/>
    <w:rsid w:val="007F7607"/>
    <w:rsid w:val="0080265D"/>
    <w:rsid w:val="00810143"/>
    <w:rsid w:val="00810EED"/>
    <w:rsid w:val="00824681"/>
    <w:rsid w:val="008306B9"/>
    <w:rsid w:val="008342D4"/>
    <w:rsid w:val="00835D21"/>
    <w:rsid w:val="00836D22"/>
    <w:rsid w:val="0083795F"/>
    <w:rsid w:val="00846C52"/>
    <w:rsid w:val="00854B6F"/>
    <w:rsid w:val="00856A2D"/>
    <w:rsid w:val="0085739A"/>
    <w:rsid w:val="008628DC"/>
    <w:rsid w:val="00866B09"/>
    <w:rsid w:val="008676F7"/>
    <w:rsid w:val="00872DDF"/>
    <w:rsid w:val="008761F9"/>
    <w:rsid w:val="00876D63"/>
    <w:rsid w:val="0088462C"/>
    <w:rsid w:val="008861D0"/>
    <w:rsid w:val="00887E84"/>
    <w:rsid w:val="008A5026"/>
    <w:rsid w:val="008A6520"/>
    <w:rsid w:val="008B2B4F"/>
    <w:rsid w:val="008B62AB"/>
    <w:rsid w:val="008C17DE"/>
    <w:rsid w:val="008C1C0D"/>
    <w:rsid w:val="008D0862"/>
    <w:rsid w:val="008E0012"/>
    <w:rsid w:val="008E1355"/>
    <w:rsid w:val="008E2CEA"/>
    <w:rsid w:val="008E4F20"/>
    <w:rsid w:val="008F5B08"/>
    <w:rsid w:val="00900C05"/>
    <w:rsid w:val="00902A9F"/>
    <w:rsid w:val="00910CB3"/>
    <w:rsid w:val="00923E10"/>
    <w:rsid w:val="0092549D"/>
    <w:rsid w:val="009306CD"/>
    <w:rsid w:val="00934475"/>
    <w:rsid w:val="009558FC"/>
    <w:rsid w:val="00967818"/>
    <w:rsid w:val="00971A05"/>
    <w:rsid w:val="00982D3D"/>
    <w:rsid w:val="0098750B"/>
    <w:rsid w:val="00995366"/>
    <w:rsid w:val="00996A3E"/>
    <w:rsid w:val="009A2A05"/>
    <w:rsid w:val="009A7149"/>
    <w:rsid w:val="009B1046"/>
    <w:rsid w:val="009C2AD9"/>
    <w:rsid w:val="009C6989"/>
    <w:rsid w:val="009F08F2"/>
    <w:rsid w:val="009F18D8"/>
    <w:rsid w:val="00A02AE8"/>
    <w:rsid w:val="00A03B7C"/>
    <w:rsid w:val="00A14F49"/>
    <w:rsid w:val="00A22B80"/>
    <w:rsid w:val="00A234D3"/>
    <w:rsid w:val="00A35DEC"/>
    <w:rsid w:val="00A426A7"/>
    <w:rsid w:val="00A61B43"/>
    <w:rsid w:val="00A67161"/>
    <w:rsid w:val="00A67FFD"/>
    <w:rsid w:val="00A725EE"/>
    <w:rsid w:val="00A73C44"/>
    <w:rsid w:val="00A7455F"/>
    <w:rsid w:val="00A75262"/>
    <w:rsid w:val="00A76417"/>
    <w:rsid w:val="00A81444"/>
    <w:rsid w:val="00A92470"/>
    <w:rsid w:val="00A92A95"/>
    <w:rsid w:val="00A92CD8"/>
    <w:rsid w:val="00A97820"/>
    <w:rsid w:val="00AA5C5C"/>
    <w:rsid w:val="00AA6D13"/>
    <w:rsid w:val="00AB7B32"/>
    <w:rsid w:val="00AC0F58"/>
    <w:rsid w:val="00AC2FA7"/>
    <w:rsid w:val="00AE46B2"/>
    <w:rsid w:val="00AF3C55"/>
    <w:rsid w:val="00AF5A7C"/>
    <w:rsid w:val="00B01399"/>
    <w:rsid w:val="00B123DE"/>
    <w:rsid w:val="00B21369"/>
    <w:rsid w:val="00B22F42"/>
    <w:rsid w:val="00B3746B"/>
    <w:rsid w:val="00B4506E"/>
    <w:rsid w:val="00B46E4E"/>
    <w:rsid w:val="00B520BA"/>
    <w:rsid w:val="00B95666"/>
    <w:rsid w:val="00B95DB3"/>
    <w:rsid w:val="00B97858"/>
    <w:rsid w:val="00BA7FB4"/>
    <w:rsid w:val="00BB3E5C"/>
    <w:rsid w:val="00BC6763"/>
    <w:rsid w:val="00BF0607"/>
    <w:rsid w:val="00BF586C"/>
    <w:rsid w:val="00C0758B"/>
    <w:rsid w:val="00C10F5E"/>
    <w:rsid w:val="00C131B5"/>
    <w:rsid w:val="00C16777"/>
    <w:rsid w:val="00C22A97"/>
    <w:rsid w:val="00C277A6"/>
    <w:rsid w:val="00C27AB0"/>
    <w:rsid w:val="00C30C40"/>
    <w:rsid w:val="00C33347"/>
    <w:rsid w:val="00C37B36"/>
    <w:rsid w:val="00C423CD"/>
    <w:rsid w:val="00C458A6"/>
    <w:rsid w:val="00C46EA5"/>
    <w:rsid w:val="00C5070A"/>
    <w:rsid w:val="00C54706"/>
    <w:rsid w:val="00C578D0"/>
    <w:rsid w:val="00C804F6"/>
    <w:rsid w:val="00C8388D"/>
    <w:rsid w:val="00C85268"/>
    <w:rsid w:val="00C86EEB"/>
    <w:rsid w:val="00CA00EC"/>
    <w:rsid w:val="00CA1C9D"/>
    <w:rsid w:val="00CA504B"/>
    <w:rsid w:val="00CB72C8"/>
    <w:rsid w:val="00CC2464"/>
    <w:rsid w:val="00CC2DF4"/>
    <w:rsid w:val="00CC6BA5"/>
    <w:rsid w:val="00CD4C53"/>
    <w:rsid w:val="00CF2283"/>
    <w:rsid w:val="00CF22A3"/>
    <w:rsid w:val="00CF69D1"/>
    <w:rsid w:val="00CF6B78"/>
    <w:rsid w:val="00D02F0A"/>
    <w:rsid w:val="00D07AA8"/>
    <w:rsid w:val="00D1393E"/>
    <w:rsid w:val="00D27176"/>
    <w:rsid w:val="00D36992"/>
    <w:rsid w:val="00D373BE"/>
    <w:rsid w:val="00D40784"/>
    <w:rsid w:val="00D4579F"/>
    <w:rsid w:val="00D509FE"/>
    <w:rsid w:val="00D569D7"/>
    <w:rsid w:val="00D65269"/>
    <w:rsid w:val="00D67B02"/>
    <w:rsid w:val="00D73B25"/>
    <w:rsid w:val="00D8638C"/>
    <w:rsid w:val="00D8737B"/>
    <w:rsid w:val="00D905CB"/>
    <w:rsid w:val="00D96CE8"/>
    <w:rsid w:val="00D975A0"/>
    <w:rsid w:val="00DA0FBB"/>
    <w:rsid w:val="00DA1D7F"/>
    <w:rsid w:val="00DA47F6"/>
    <w:rsid w:val="00DA588A"/>
    <w:rsid w:val="00DC0B7C"/>
    <w:rsid w:val="00DC45BC"/>
    <w:rsid w:val="00DC4783"/>
    <w:rsid w:val="00DC5526"/>
    <w:rsid w:val="00DC669F"/>
    <w:rsid w:val="00DD025D"/>
    <w:rsid w:val="00DD1F54"/>
    <w:rsid w:val="00DD2C06"/>
    <w:rsid w:val="00DD5A69"/>
    <w:rsid w:val="00DD618E"/>
    <w:rsid w:val="00DD749A"/>
    <w:rsid w:val="00DE48C6"/>
    <w:rsid w:val="00DE5A0A"/>
    <w:rsid w:val="00DE72F2"/>
    <w:rsid w:val="00DF3A7A"/>
    <w:rsid w:val="00E00026"/>
    <w:rsid w:val="00E1222A"/>
    <w:rsid w:val="00E141DC"/>
    <w:rsid w:val="00E16CD8"/>
    <w:rsid w:val="00E16F80"/>
    <w:rsid w:val="00E26CF0"/>
    <w:rsid w:val="00E30350"/>
    <w:rsid w:val="00E325CB"/>
    <w:rsid w:val="00E3676B"/>
    <w:rsid w:val="00E45837"/>
    <w:rsid w:val="00E5210D"/>
    <w:rsid w:val="00E56792"/>
    <w:rsid w:val="00E57FA4"/>
    <w:rsid w:val="00E666E4"/>
    <w:rsid w:val="00E70B31"/>
    <w:rsid w:val="00E74494"/>
    <w:rsid w:val="00E82248"/>
    <w:rsid w:val="00E82A5E"/>
    <w:rsid w:val="00E90B5F"/>
    <w:rsid w:val="00E923D3"/>
    <w:rsid w:val="00E92C80"/>
    <w:rsid w:val="00E9327F"/>
    <w:rsid w:val="00E9724D"/>
    <w:rsid w:val="00EA3926"/>
    <w:rsid w:val="00EB4389"/>
    <w:rsid w:val="00EB7841"/>
    <w:rsid w:val="00EC0045"/>
    <w:rsid w:val="00EC01E5"/>
    <w:rsid w:val="00EC3965"/>
    <w:rsid w:val="00ED027D"/>
    <w:rsid w:val="00ED1DF8"/>
    <w:rsid w:val="00ED32D4"/>
    <w:rsid w:val="00EE0FBC"/>
    <w:rsid w:val="00EE3505"/>
    <w:rsid w:val="00EE4A2A"/>
    <w:rsid w:val="00EE63C1"/>
    <w:rsid w:val="00EF67B8"/>
    <w:rsid w:val="00F2511D"/>
    <w:rsid w:val="00F25D35"/>
    <w:rsid w:val="00F328A1"/>
    <w:rsid w:val="00F364B5"/>
    <w:rsid w:val="00F3660A"/>
    <w:rsid w:val="00F451E4"/>
    <w:rsid w:val="00F46E68"/>
    <w:rsid w:val="00F5091B"/>
    <w:rsid w:val="00F5129C"/>
    <w:rsid w:val="00F51F77"/>
    <w:rsid w:val="00F5488B"/>
    <w:rsid w:val="00F57764"/>
    <w:rsid w:val="00F5789E"/>
    <w:rsid w:val="00F61AF9"/>
    <w:rsid w:val="00F62813"/>
    <w:rsid w:val="00F766E6"/>
    <w:rsid w:val="00F775C7"/>
    <w:rsid w:val="00F806A4"/>
    <w:rsid w:val="00F80C64"/>
    <w:rsid w:val="00F91C91"/>
    <w:rsid w:val="00F94497"/>
    <w:rsid w:val="00F95FB0"/>
    <w:rsid w:val="00F96CF5"/>
    <w:rsid w:val="00FB17C8"/>
    <w:rsid w:val="00FB5311"/>
    <w:rsid w:val="00FC04C7"/>
    <w:rsid w:val="00FC6FF6"/>
    <w:rsid w:val="00FD18DA"/>
    <w:rsid w:val="00FD1FBB"/>
    <w:rsid w:val="00FD2457"/>
    <w:rsid w:val="00FE0BB6"/>
    <w:rsid w:val="00FE79DA"/>
    <w:rsid w:val="00FF193F"/>
    <w:rsid w:val="00FF264B"/>
    <w:rsid w:val="00FF2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E392"/>
  <w15:chartTrackingRefBased/>
  <w15:docId w15:val="{897BBF95-F19A-400F-B582-DB1908EF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9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9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9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9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9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9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9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9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9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9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9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9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9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9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9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989"/>
    <w:rPr>
      <w:rFonts w:eastAsiaTheme="majorEastAsia" w:cstheme="majorBidi"/>
      <w:color w:val="272727" w:themeColor="text1" w:themeTint="D8"/>
    </w:rPr>
  </w:style>
  <w:style w:type="paragraph" w:styleId="Title">
    <w:name w:val="Title"/>
    <w:basedOn w:val="Normal"/>
    <w:next w:val="Normal"/>
    <w:link w:val="TitleChar"/>
    <w:uiPriority w:val="10"/>
    <w:qFormat/>
    <w:rsid w:val="009C69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9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9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9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989"/>
    <w:pPr>
      <w:spacing w:before="160"/>
      <w:jc w:val="center"/>
    </w:pPr>
    <w:rPr>
      <w:i/>
      <w:iCs/>
      <w:color w:val="404040" w:themeColor="text1" w:themeTint="BF"/>
    </w:rPr>
  </w:style>
  <w:style w:type="character" w:customStyle="1" w:styleId="QuoteChar">
    <w:name w:val="Quote Char"/>
    <w:basedOn w:val="DefaultParagraphFont"/>
    <w:link w:val="Quote"/>
    <w:uiPriority w:val="29"/>
    <w:rsid w:val="009C6989"/>
    <w:rPr>
      <w:i/>
      <w:iCs/>
      <w:color w:val="404040" w:themeColor="text1" w:themeTint="BF"/>
    </w:rPr>
  </w:style>
  <w:style w:type="paragraph" w:styleId="ListParagraph">
    <w:name w:val="List Paragraph"/>
    <w:basedOn w:val="Normal"/>
    <w:uiPriority w:val="34"/>
    <w:qFormat/>
    <w:rsid w:val="009C6989"/>
    <w:pPr>
      <w:ind w:left="720"/>
      <w:contextualSpacing/>
    </w:pPr>
  </w:style>
  <w:style w:type="character" w:styleId="IntenseEmphasis">
    <w:name w:val="Intense Emphasis"/>
    <w:basedOn w:val="DefaultParagraphFont"/>
    <w:uiPriority w:val="21"/>
    <w:qFormat/>
    <w:rsid w:val="009C6989"/>
    <w:rPr>
      <w:i/>
      <w:iCs/>
      <w:color w:val="0F4761" w:themeColor="accent1" w:themeShade="BF"/>
    </w:rPr>
  </w:style>
  <w:style w:type="paragraph" w:styleId="IntenseQuote">
    <w:name w:val="Intense Quote"/>
    <w:basedOn w:val="Normal"/>
    <w:next w:val="Normal"/>
    <w:link w:val="IntenseQuoteChar"/>
    <w:uiPriority w:val="30"/>
    <w:qFormat/>
    <w:rsid w:val="009C6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989"/>
    <w:rPr>
      <w:i/>
      <w:iCs/>
      <w:color w:val="0F4761" w:themeColor="accent1" w:themeShade="BF"/>
    </w:rPr>
  </w:style>
  <w:style w:type="character" w:styleId="IntenseReference">
    <w:name w:val="Intense Reference"/>
    <w:basedOn w:val="DefaultParagraphFont"/>
    <w:uiPriority w:val="32"/>
    <w:qFormat/>
    <w:rsid w:val="009C6989"/>
    <w:rPr>
      <w:b/>
      <w:bCs/>
      <w:smallCaps/>
      <w:color w:val="0F4761" w:themeColor="accent1" w:themeShade="BF"/>
      <w:spacing w:val="5"/>
    </w:rPr>
  </w:style>
  <w:style w:type="character" w:styleId="Hyperlink">
    <w:name w:val="Hyperlink"/>
    <w:basedOn w:val="DefaultParagraphFont"/>
    <w:uiPriority w:val="99"/>
    <w:unhideWhenUsed/>
    <w:rsid w:val="00FD18DA"/>
    <w:rPr>
      <w:color w:val="0000FF"/>
      <w:u w:val="single"/>
    </w:rPr>
  </w:style>
  <w:style w:type="character" w:styleId="UnresolvedMention">
    <w:name w:val="Unresolved Mention"/>
    <w:basedOn w:val="DefaultParagraphFont"/>
    <w:uiPriority w:val="99"/>
    <w:semiHidden/>
    <w:unhideWhenUsed/>
    <w:rsid w:val="00434101"/>
    <w:rPr>
      <w:color w:val="605E5C"/>
      <w:shd w:val="clear" w:color="auto" w:fill="E1DFDD"/>
    </w:rPr>
  </w:style>
  <w:style w:type="character" w:styleId="FollowedHyperlink">
    <w:name w:val="FollowedHyperlink"/>
    <w:basedOn w:val="DefaultParagraphFont"/>
    <w:uiPriority w:val="99"/>
    <w:semiHidden/>
    <w:unhideWhenUsed/>
    <w:rsid w:val="00555E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gov.uk/government/publications/land-contamination-risk-management-lcrm"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swansea.moderngov.co.uk/documents/s96039/05.3%20-%20SCHEDULE%20-%205TH%20SEPTEMBER%202023.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wansea.moderngov.co.uk/documents/g11013/Public%20reports%20pack%20Tuesday%2009-May-2023%2014.00%20Planning%20Committee.pdf" TargetMode="External"/><Relationship Id="rId5" Type="http://schemas.openxmlformats.org/officeDocument/2006/relationships/image" Target="media/image1.png"/><Relationship Id="rId15" Type="http://schemas.openxmlformats.org/officeDocument/2006/relationships/hyperlink" Target="http://www.swanseamarina.org.uk/" TargetMode="External"/><Relationship Id="rId10" Type="http://schemas.openxmlformats.org/officeDocument/2006/relationships/hyperlink" Target="https://www.swansea.gov.uk/article/14984/Life-after-the-Lords-of-Gower---19th-century"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aterprojectsonline.com/case-studies/swansea-bay-wwtw-wind-turb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2718</Words>
  <Characters>15494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Adams</dc:creator>
  <cp:keywords/>
  <dc:description/>
  <cp:lastModifiedBy>Seren Adams</cp:lastModifiedBy>
  <cp:revision>441</cp:revision>
  <dcterms:created xsi:type="dcterms:W3CDTF">2026-03-16T14:44:00Z</dcterms:created>
  <dcterms:modified xsi:type="dcterms:W3CDTF">2026-04-29T20:48:00Z</dcterms:modified>
</cp:coreProperties>
</file>