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383B7" w14:textId="77777777" w:rsidR="0036351D" w:rsidRPr="00FA1AF6" w:rsidRDefault="0036351D" w:rsidP="0036351D">
      <w:pPr>
        <w:tabs>
          <w:tab w:val="left" w:pos="3168"/>
        </w:tabs>
        <w:jc w:val="center"/>
        <w:rPr>
          <w:rFonts w:cs="Arial"/>
          <w:szCs w:val="24"/>
        </w:rPr>
      </w:pPr>
      <w:bookmarkStart w:id="0" w:name="_Hlk204267940"/>
      <w:bookmarkEnd w:id="0"/>
      <w:r w:rsidRPr="00FA1AF6">
        <w:rPr>
          <w:rFonts w:cs="Arial"/>
          <w:noProof/>
          <w:szCs w:val="24"/>
        </w:rPr>
        <w:drawing>
          <wp:inline distT="0" distB="0" distL="0" distR="0" wp14:anchorId="02375608" wp14:editId="1FEC15FF">
            <wp:extent cx="4122420" cy="1367269"/>
            <wp:effectExtent l="0" t="0" r="0" b="444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0069" cy="1373122"/>
                    </a:xfrm>
                    <a:prstGeom prst="rect">
                      <a:avLst/>
                    </a:prstGeom>
                    <a:noFill/>
                  </pic:spPr>
                </pic:pic>
              </a:graphicData>
            </a:graphic>
          </wp:inline>
        </w:drawing>
      </w:r>
    </w:p>
    <w:p w14:paraId="63C106C1" w14:textId="77777777" w:rsidR="0036351D" w:rsidRDefault="0036351D" w:rsidP="0036351D">
      <w:pPr>
        <w:jc w:val="center"/>
        <w:rPr>
          <w:rFonts w:cs="Arial"/>
          <w:b/>
          <w:bCs/>
          <w:szCs w:val="24"/>
        </w:rPr>
      </w:pPr>
      <w:r w:rsidRPr="00FA1AF6">
        <w:rPr>
          <w:rFonts w:cs="Arial"/>
          <w:b/>
          <w:bCs/>
          <w:szCs w:val="24"/>
        </w:rPr>
        <w:t>BA (Hons) Business Management</w:t>
      </w:r>
    </w:p>
    <w:p w14:paraId="7BF099CA" w14:textId="2A488201" w:rsidR="0036351D" w:rsidRPr="009012E7" w:rsidRDefault="0036351D" w:rsidP="009012E7">
      <w:pPr>
        <w:jc w:val="center"/>
        <w:rPr>
          <w:rFonts w:cs="Arial"/>
          <w:b/>
          <w:bCs/>
          <w:szCs w:val="24"/>
        </w:rPr>
      </w:pPr>
      <w:r w:rsidRPr="0015431E">
        <w:rPr>
          <w:rFonts w:cs="Arial"/>
          <w:b/>
          <w:bCs/>
          <w:szCs w:val="24"/>
        </w:rPr>
        <w:t>Entrepreneurship</w:t>
      </w:r>
      <w:r>
        <w:rPr>
          <w:rFonts w:cs="Arial"/>
          <w:b/>
          <w:bCs/>
          <w:szCs w:val="24"/>
        </w:rPr>
        <w:t xml:space="preserve"> </w:t>
      </w:r>
      <w:r w:rsidRPr="0015431E">
        <w:rPr>
          <w:rFonts w:cs="Arial"/>
          <w:b/>
          <w:bCs/>
          <w:szCs w:val="24"/>
        </w:rPr>
        <w:t>LCBB5013</w:t>
      </w:r>
    </w:p>
    <w:p w14:paraId="5848DE7B" w14:textId="3A6548E7" w:rsidR="0036351D" w:rsidRPr="00695050" w:rsidRDefault="0036351D" w:rsidP="0036351D">
      <w:pPr>
        <w:jc w:val="center"/>
        <w:rPr>
          <w:lang w:val="en-GB"/>
        </w:rPr>
      </w:pPr>
      <w:r w:rsidRPr="0036351D">
        <w:rPr>
          <w:b/>
          <w:bCs/>
          <w:lang w:val="en-GB"/>
        </w:rPr>
        <w:t>Critical Reflection on Entrepreneurship</w:t>
      </w:r>
    </w:p>
    <w:p w14:paraId="7E8BF783" w14:textId="77777777" w:rsidR="0036351D" w:rsidRPr="00FA1AF6" w:rsidRDefault="0036351D" w:rsidP="0036351D">
      <w:pPr>
        <w:jc w:val="center"/>
        <w:rPr>
          <w:rFonts w:cs="Arial"/>
          <w:b/>
          <w:bCs/>
          <w:szCs w:val="24"/>
        </w:rPr>
      </w:pPr>
    </w:p>
    <w:p w14:paraId="5AA34CD5" w14:textId="77777777" w:rsidR="0036351D" w:rsidRDefault="0036351D" w:rsidP="0036351D">
      <w:pPr>
        <w:rPr>
          <w:rFonts w:cs="Arial"/>
          <w:b/>
          <w:bCs/>
          <w:szCs w:val="24"/>
        </w:rPr>
      </w:pPr>
    </w:p>
    <w:p w14:paraId="45C7651D" w14:textId="77777777" w:rsidR="0036351D" w:rsidRDefault="0036351D" w:rsidP="0036351D">
      <w:pPr>
        <w:rPr>
          <w:rFonts w:cs="Arial"/>
          <w:b/>
          <w:bCs/>
          <w:szCs w:val="24"/>
        </w:rPr>
      </w:pPr>
    </w:p>
    <w:p w14:paraId="0D7EEC4B" w14:textId="77777777" w:rsidR="0036351D" w:rsidRDefault="0036351D" w:rsidP="0036351D">
      <w:pPr>
        <w:rPr>
          <w:rFonts w:cs="Arial"/>
          <w:b/>
          <w:bCs/>
          <w:szCs w:val="24"/>
        </w:rPr>
      </w:pPr>
    </w:p>
    <w:p w14:paraId="593BBC28" w14:textId="77777777" w:rsidR="0036351D" w:rsidRDefault="0036351D" w:rsidP="0036351D">
      <w:pPr>
        <w:rPr>
          <w:rFonts w:cs="Arial"/>
          <w:b/>
          <w:bCs/>
          <w:szCs w:val="24"/>
        </w:rPr>
      </w:pPr>
    </w:p>
    <w:p w14:paraId="63AE2C3C" w14:textId="77777777" w:rsidR="0036351D" w:rsidRDefault="0036351D" w:rsidP="0036351D">
      <w:pPr>
        <w:rPr>
          <w:rFonts w:cs="Arial"/>
          <w:b/>
          <w:bCs/>
          <w:szCs w:val="24"/>
        </w:rPr>
      </w:pPr>
    </w:p>
    <w:p w14:paraId="2BE3F49B" w14:textId="77777777" w:rsidR="0036351D" w:rsidRPr="00FA1AF6" w:rsidRDefault="0036351D" w:rsidP="0036351D">
      <w:pPr>
        <w:rPr>
          <w:rFonts w:cs="Arial"/>
          <w:b/>
          <w:bCs/>
          <w:szCs w:val="24"/>
        </w:rPr>
      </w:pPr>
    </w:p>
    <w:p w14:paraId="632BACFB" w14:textId="77777777" w:rsidR="0036351D" w:rsidRDefault="0036351D" w:rsidP="0036351D">
      <w:pPr>
        <w:rPr>
          <w:rFonts w:cs="Arial"/>
          <w:b/>
          <w:bCs/>
          <w:szCs w:val="24"/>
        </w:rPr>
      </w:pPr>
    </w:p>
    <w:p w14:paraId="1D980EC0" w14:textId="77777777" w:rsidR="0036351D" w:rsidRDefault="0036351D" w:rsidP="0036351D">
      <w:pPr>
        <w:rPr>
          <w:rFonts w:cs="Arial"/>
          <w:b/>
          <w:bCs/>
          <w:szCs w:val="24"/>
        </w:rPr>
      </w:pPr>
      <w:r w:rsidRPr="00FA1AF6">
        <w:rPr>
          <w:rFonts w:cs="Arial"/>
          <w:b/>
          <w:bCs/>
          <w:szCs w:val="24"/>
        </w:rPr>
        <w:t xml:space="preserve">Student Name: </w:t>
      </w:r>
      <w:r w:rsidRPr="00DB07AD">
        <w:rPr>
          <w:rFonts w:cs="Arial"/>
          <w:szCs w:val="24"/>
        </w:rPr>
        <w:t>Erika Beke</w:t>
      </w:r>
    </w:p>
    <w:p w14:paraId="6D7A8F00" w14:textId="77777777" w:rsidR="0036351D" w:rsidRPr="00FA1AF6" w:rsidRDefault="0036351D" w:rsidP="0036351D">
      <w:pPr>
        <w:rPr>
          <w:rFonts w:cs="Arial"/>
          <w:b/>
          <w:bCs/>
          <w:szCs w:val="24"/>
        </w:rPr>
      </w:pPr>
      <w:r w:rsidRPr="00FA1AF6">
        <w:rPr>
          <w:rFonts w:cs="Arial"/>
          <w:b/>
          <w:bCs/>
          <w:szCs w:val="24"/>
        </w:rPr>
        <w:t>Student Number:</w:t>
      </w:r>
      <w:r>
        <w:rPr>
          <w:rFonts w:cs="Arial"/>
          <w:b/>
          <w:bCs/>
          <w:szCs w:val="24"/>
        </w:rPr>
        <w:t xml:space="preserve"> </w:t>
      </w:r>
      <w:r w:rsidRPr="00DB07AD">
        <w:rPr>
          <w:rFonts w:cs="Arial"/>
          <w:szCs w:val="24"/>
        </w:rPr>
        <w:t>2011318</w:t>
      </w:r>
    </w:p>
    <w:p w14:paraId="11CCD622" w14:textId="77777777" w:rsidR="0036351D" w:rsidRPr="00903F51" w:rsidRDefault="0036351D" w:rsidP="0036351D">
      <w:pPr>
        <w:rPr>
          <w:rFonts w:cs="Arial"/>
          <w:szCs w:val="24"/>
        </w:rPr>
      </w:pPr>
      <w:r w:rsidRPr="00FA1AF6">
        <w:rPr>
          <w:rFonts w:cs="Arial"/>
          <w:b/>
          <w:bCs/>
          <w:szCs w:val="24"/>
        </w:rPr>
        <w:t xml:space="preserve">Lecturer Name: </w:t>
      </w:r>
      <w:r w:rsidRPr="00903F51">
        <w:rPr>
          <w:rFonts w:cs="Arial"/>
          <w:szCs w:val="24"/>
        </w:rPr>
        <w:t xml:space="preserve">Dr </w:t>
      </w:r>
      <w:r>
        <w:rPr>
          <w:rFonts w:cs="Arial"/>
          <w:szCs w:val="24"/>
        </w:rPr>
        <w:t>Amer Kareem</w:t>
      </w:r>
    </w:p>
    <w:p w14:paraId="7A3F95D0" w14:textId="77777777" w:rsidR="0036351D" w:rsidRDefault="0036351D" w:rsidP="0036351D">
      <w:pPr>
        <w:rPr>
          <w:rFonts w:cs="Arial"/>
          <w:b/>
          <w:bCs/>
          <w:szCs w:val="24"/>
        </w:rPr>
      </w:pPr>
    </w:p>
    <w:p w14:paraId="746346FE" w14:textId="77777777" w:rsidR="0036351D" w:rsidRDefault="0036351D" w:rsidP="0036351D">
      <w:pPr>
        <w:rPr>
          <w:rFonts w:cs="Arial"/>
          <w:b/>
          <w:bCs/>
          <w:szCs w:val="24"/>
        </w:rPr>
      </w:pPr>
    </w:p>
    <w:p w14:paraId="1FA776FC" w14:textId="77777777" w:rsidR="0036351D" w:rsidRDefault="0036351D" w:rsidP="0036351D">
      <w:pPr>
        <w:rPr>
          <w:rFonts w:cs="Arial"/>
          <w:b/>
          <w:bCs/>
          <w:szCs w:val="24"/>
        </w:rPr>
      </w:pPr>
    </w:p>
    <w:p w14:paraId="768C6CFF" w14:textId="77777777" w:rsidR="0036351D" w:rsidRDefault="0036351D" w:rsidP="0036351D">
      <w:pPr>
        <w:rPr>
          <w:rFonts w:cs="Arial"/>
          <w:b/>
          <w:bCs/>
          <w:szCs w:val="24"/>
        </w:rPr>
      </w:pPr>
    </w:p>
    <w:p w14:paraId="043E6F79" w14:textId="77777777" w:rsidR="0036351D" w:rsidRDefault="0036351D" w:rsidP="0036351D">
      <w:pPr>
        <w:rPr>
          <w:rFonts w:cs="Arial"/>
          <w:b/>
          <w:bCs/>
          <w:szCs w:val="24"/>
        </w:rPr>
      </w:pPr>
    </w:p>
    <w:p w14:paraId="6A4719BF" w14:textId="77777777" w:rsidR="0036351D" w:rsidRDefault="0036351D" w:rsidP="0036351D">
      <w:pPr>
        <w:rPr>
          <w:rFonts w:cs="Arial"/>
          <w:b/>
          <w:bCs/>
          <w:szCs w:val="24"/>
        </w:rPr>
      </w:pPr>
    </w:p>
    <w:p w14:paraId="44B39558" w14:textId="77777777" w:rsidR="0036351D" w:rsidRDefault="0036351D" w:rsidP="0036351D">
      <w:pPr>
        <w:rPr>
          <w:rFonts w:cs="Arial"/>
          <w:b/>
          <w:bCs/>
          <w:szCs w:val="24"/>
        </w:rPr>
      </w:pPr>
    </w:p>
    <w:p w14:paraId="4C1E08EA" w14:textId="0EFAD9D4" w:rsidR="00B56CB5" w:rsidRPr="00B56CB5" w:rsidRDefault="0036351D" w:rsidP="0036351D">
      <w:pPr>
        <w:jc w:val="center"/>
        <w:rPr>
          <w:rFonts w:cs="Arial"/>
          <w:szCs w:val="24"/>
        </w:rPr>
      </w:pPr>
      <w:r w:rsidRPr="00FA1AF6">
        <w:rPr>
          <w:rFonts w:cs="Arial"/>
          <w:b/>
          <w:bCs/>
          <w:szCs w:val="24"/>
        </w:rPr>
        <w:t>Session</w:t>
      </w:r>
      <w:r w:rsidRPr="00FA1AF6">
        <w:rPr>
          <w:rFonts w:cs="Arial"/>
          <w:szCs w:val="24"/>
        </w:rPr>
        <w:t xml:space="preserve">: </w:t>
      </w:r>
      <w:r>
        <w:rPr>
          <w:rFonts w:cs="Arial"/>
          <w:szCs w:val="24"/>
        </w:rPr>
        <w:t>October</w:t>
      </w:r>
      <w:r w:rsidRPr="00FA1AF6">
        <w:rPr>
          <w:rFonts w:cs="Arial"/>
          <w:szCs w:val="24"/>
        </w:rPr>
        <w:t xml:space="preserve"> 2025 Term</w:t>
      </w:r>
      <w:r>
        <w:rPr>
          <w:rFonts w:cs="Arial"/>
          <w:szCs w:val="24"/>
        </w:rPr>
        <w:t xml:space="preserve"> 2</w:t>
      </w:r>
    </w:p>
    <w:p w14:paraId="0C85640E" w14:textId="77777777" w:rsidR="009012E7" w:rsidRDefault="009012E7" w:rsidP="00B56CB5">
      <w:pPr>
        <w:rPr>
          <w:lang w:val="en-GB"/>
        </w:rPr>
      </w:pPr>
    </w:p>
    <w:p w14:paraId="3748DAA4" w14:textId="61A8521E" w:rsidR="00B56CB5" w:rsidRPr="00B56CB5" w:rsidRDefault="00B56CB5" w:rsidP="00B56CB5">
      <w:pPr>
        <w:rPr>
          <w:lang w:val="en-GB"/>
        </w:rPr>
      </w:pPr>
      <w:r w:rsidRPr="00B56CB5">
        <w:rPr>
          <w:lang w:val="en-GB"/>
        </w:rPr>
        <w:lastRenderedPageBreak/>
        <w:t xml:space="preserve">Entrepreneurship is often celebrated as the </w:t>
      </w:r>
      <w:r w:rsidR="008103C3" w:rsidRPr="00B56CB5">
        <w:rPr>
          <w:lang w:val="en-GB"/>
        </w:rPr>
        <w:t>instrument</w:t>
      </w:r>
      <w:r w:rsidRPr="00B56CB5">
        <w:rPr>
          <w:lang w:val="en-GB"/>
        </w:rPr>
        <w:t xml:space="preserve"> of innovation and growth</w:t>
      </w:r>
      <w:r w:rsidR="008103C3">
        <w:rPr>
          <w:lang w:val="en-GB"/>
        </w:rPr>
        <w:t>. Yet</w:t>
      </w:r>
      <w:r w:rsidRPr="00B56CB5">
        <w:rPr>
          <w:lang w:val="en-GB"/>
        </w:rPr>
        <w:t xml:space="preserve"> critical analysis reveals that its role is far more complex and contested. At its core, entrepreneurship involves identifying and exploiting opportunities under uncertainty (Burns, 2016). Entrepreneurs are </w:t>
      </w:r>
      <w:r>
        <w:rPr>
          <w:lang w:val="en-GB"/>
        </w:rPr>
        <w:t>often portrayed as risk-takers</w:t>
      </w:r>
      <w:r w:rsidRPr="00B56CB5">
        <w:rPr>
          <w:lang w:val="en-GB"/>
        </w:rPr>
        <w:t xml:space="preserve"> and innovators, but Schumpeter’s (1934) notion of “creative destruction” reminds us that entrepreneurial activity can simultaneously generate progress and destabilise existing industries. </w:t>
      </w:r>
      <w:r w:rsidR="008103C3">
        <w:rPr>
          <w:lang w:val="en-GB"/>
        </w:rPr>
        <w:t>Franchises are often seen as safer business options, but they can limit independence and creativity. This can turn entrepreneurship into a process of copying under corporate control (Kotler and Keller, 2016). Online businesses are known for their efficiency and wide reach. However, they often make working conditions more challenging and increase competition in crowded digital markets (Chaffey and Ellis-Chadwick, 2019).</w:t>
      </w:r>
      <w:r w:rsidRPr="00B56CB5">
        <w:rPr>
          <w:lang w:val="en-GB"/>
        </w:rPr>
        <w:t xml:space="preserve"> </w:t>
      </w:r>
      <w:r w:rsidR="00721100">
        <w:rPr>
          <w:lang w:val="en-GB"/>
        </w:rPr>
        <w:t>Social enterprises are praised for their ethics, but some critics argue that they may become mixed organisations that struggle to balance social good with making money (Defourny and Nyssens, 2017). Social enterprises are praised for their ethics, but some critics argue that they may become mixed organisations that struggle to balance social good with making money (Defourny and Nyssens, 2017).</w:t>
      </w:r>
    </w:p>
    <w:p w14:paraId="00F8930F" w14:textId="4FDDC4E5" w:rsidR="00B56CB5" w:rsidRPr="00B56CB5" w:rsidRDefault="00B56CB5" w:rsidP="00B56CB5">
      <w:pPr>
        <w:rPr>
          <w:lang w:val="en-GB"/>
        </w:rPr>
      </w:pPr>
      <w:r w:rsidRPr="00B56CB5">
        <w:rPr>
          <w:lang w:val="en-GB"/>
        </w:rPr>
        <w:t xml:space="preserve">The role of entrepreneurs and SMEs in the UK economy is undeniably significant, with SMEs comprising 99 per cent of businesses and contributing around half of employment (ONS, 2025). However, this dominance also exposes structural weaknesses. SMEs are disproportionately vulnerable to inflation, rising energy costs, and financing constraints, as highlighted by the OECD (2025). </w:t>
      </w:r>
      <w:r w:rsidR="00721100">
        <w:rPr>
          <w:lang w:val="en-GB"/>
        </w:rPr>
        <w:t xml:space="preserve">Many small and medium-sized enterprises (SMEs) are known for their resilience and ability to adapt. However, this often hides the fact that many of them survive on thin profits and rely on unpaid work from their founders. </w:t>
      </w:r>
      <w:r w:rsidRPr="00B56CB5">
        <w:rPr>
          <w:lang w:val="en-GB"/>
        </w:rPr>
        <w:t xml:space="preserve">The </w:t>
      </w:r>
      <w:r w:rsidR="00721100" w:rsidRPr="00B56CB5">
        <w:rPr>
          <w:lang w:val="en-GB"/>
        </w:rPr>
        <w:t>idealised</w:t>
      </w:r>
      <w:r w:rsidRPr="00B56CB5">
        <w:rPr>
          <w:lang w:val="en-GB"/>
        </w:rPr>
        <w:t xml:space="preserve"> image of the entrepreneur as a heroic innovator masks the high failure rates and the psychological and financial toll of entrepreneurial activity. Moreover, the emphasis on innovation can privilege novelty over sustainability, encouraging ventures that chase differentiation without securing </w:t>
      </w:r>
      <w:r>
        <w:rPr>
          <w:lang w:val="en-GB"/>
        </w:rPr>
        <w:t>long-term</w:t>
      </w:r>
      <w:r w:rsidRPr="00B56CB5">
        <w:rPr>
          <w:lang w:val="en-GB"/>
        </w:rPr>
        <w:t xml:space="preserve"> viability. This tension is particularly evident in hospitality SMEs, where differentiation strategies may attract niche audiences but expose businesses to volatility in consumer trends and discretionary spending.</w:t>
      </w:r>
    </w:p>
    <w:p w14:paraId="5B2E52E1" w14:textId="431C9F15" w:rsidR="00B56CB5" w:rsidRPr="00B56CB5" w:rsidRDefault="00B56CB5" w:rsidP="00B56CB5">
      <w:pPr>
        <w:rPr>
          <w:lang w:val="en-GB"/>
        </w:rPr>
      </w:pPr>
      <w:r w:rsidRPr="00B56CB5">
        <w:rPr>
          <w:lang w:val="en-GB"/>
        </w:rPr>
        <w:t xml:space="preserve">From a community perspective, SMEs are often positioned as cultural anchors, embedding themselves in local networks and enhancing social capital. Yet this role is </w:t>
      </w:r>
      <w:r>
        <w:rPr>
          <w:lang w:val="en-GB"/>
        </w:rPr>
        <w:t>double-edged</w:t>
      </w:r>
      <w:r w:rsidRPr="00B56CB5">
        <w:rPr>
          <w:lang w:val="en-GB"/>
        </w:rPr>
        <w:t xml:space="preserve">: while ventures such as literary pubs or fitness services contribute to </w:t>
      </w:r>
      <w:r w:rsidRPr="00B56CB5">
        <w:rPr>
          <w:lang w:val="en-GB"/>
        </w:rPr>
        <w:lastRenderedPageBreak/>
        <w:t xml:space="preserve">vibrancy, they also risk exclusion if their offerings remain niche or unaffordable. </w:t>
      </w:r>
      <w:r>
        <w:rPr>
          <w:lang w:val="en-GB"/>
        </w:rPr>
        <w:t xml:space="preserve">As Pine and Gilmore (1999) argue, the promise of cultural authenticity </w:t>
      </w:r>
      <w:r w:rsidRPr="00B56CB5">
        <w:rPr>
          <w:lang w:val="en-GB"/>
        </w:rPr>
        <w:t>can create memorable experiences, but it can also limit scalability and alienate broader audiences. Authenticity becomes both a strength and a liability, demanding constant negotiation between cultural integrity and commercial pragmatism.</w:t>
      </w:r>
    </w:p>
    <w:p w14:paraId="1B2E76EE" w14:textId="007514F0" w:rsidR="00B56CB5" w:rsidRPr="00B56CB5" w:rsidRDefault="00B56CB5" w:rsidP="00B56CB5">
      <w:pPr>
        <w:rPr>
          <w:lang w:val="en-GB"/>
        </w:rPr>
      </w:pPr>
      <w:r w:rsidRPr="00B56CB5">
        <w:rPr>
          <w:lang w:val="en-GB"/>
        </w:rPr>
        <w:t>Reflecting on the development of my own business plan, I became acutely aware of these contradictions. Porter’s (1985) framework on competitive advantage emphasises differentiation, yet in practice</w:t>
      </w:r>
      <w:r>
        <w:rPr>
          <w:lang w:val="en-GB"/>
        </w:rPr>
        <w:t>,</w:t>
      </w:r>
      <w:r w:rsidRPr="00B56CB5">
        <w:rPr>
          <w:lang w:val="en-GB"/>
        </w:rPr>
        <w:t xml:space="preserve"> differentiation can isolate rather than broaden markets. Mintzberg’s (1979) analysis of organisational structures highlighted the importance of clarity in roles, but the reality for SMEs is often blurred responsibilities and founder overextension. Storey (1994) stresses the centrality of cash flow discipline, and this proved particularly salient: enthusiasm and creativity are insufficient without rigorous financial management. The process revealed that entrepreneurship is not a straightforward path to opportunity but a contested practice shaped by structural constraints, market volatility, and the constant tension between innovation and survival. My reflection</w:t>
      </w:r>
      <w:r>
        <w:rPr>
          <w:lang w:val="en-GB"/>
        </w:rPr>
        <w:t>, therefore,</w:t>
      </w:r>
      <w:r w:rsidRPr="00B56CB5">
        <w:rPr>
          <w:lang w:val="en-GB"/>
        </w:rPr>
        <w:t xml:space="preserve"> challenges the celebratory discourse around entrepreneurship, recognising it as a practice that is simultaneously empowering and precarious, creative and destructive, resilient and fragile.</w:t>
      </w:r>
    </w:p>
    <w:p w14:paraId="60954AB2" w14:textId="77777777" w:rsidR="00B56CB5" w:rsidRPr="00B56CB5" w:rsidRDefault="00B56CB5" w:rsidP="00B56CB5">
      <w:pPr>
        <w:rPr>
          <w:b/>
          <w:bCs/>
          <w:lang w:val="en-GB"/>
        </w:rPr>
      </w:pPr>
      <w:r w:rsidRPr="00B56CB5">
        <w:rPr>
          <w:b/>
          <w:bCs/>
          <w:lang w:val="en-GB"/>
        </w:rPr>
        <w:t>References</w:t>
      </w:r>
    </w:p>
    <w:p w14:paraId="5A5F7E62" w14:textId="77777777" w:rsidR="00B56CB5" w:rsidRPr="00B56CB5" w:rsidRDefault="00B56CB5" w:rsidP="00B56CB5">
      <w:pPr>
        <w:rPr>
          <w:lang w:val="en-GB"/>
        </w:rPr>
      </w:pPr>
      <w:r w:rsidRPr="00B56CB5">
        <w:rPr>
          <w:lang w:val="en-GB"/>
        </w:rPr>
        <w:t xml:space="preserve">Burns, P. (2016) </w:t>
      </w:r>
      <w:r w:rsidRPr="00B56CB5">
        <w:rPr>
          <w:i/>
          <w:iCs/>
          <w:lang w:val="en-GB"/>
        </w:rPr>
        <w:t>Entrepreneurship and Small Business</w:t>
      </w:r>
      <w:r w:rsidRPr="00B56CB5">
        <w:rPr>
          <w:lang w:val="en-GB"/>
        </w:rPr>
        <w:t>. 4th ed. London: Palgrave. Chaffey, D. and Ellis</w:t>
      </w:r>
      <w:r w:rsidRPr="00B56CB5">
        <w:rPr>
          <w:lang w:val="en-GB"/>
        </w:rPr>
        <w:noBreakHyphen/>
        <w:t xml:space="preserve">Chadwick, F. (2019) </w:t>
      </w:r>
      <w:r w:rsidRPr="00B56CB5">
        <w:rPr>
          <w:i/>
          <w:iCs/>
          <w:lang w:val="en-GB"/>
        </w:rPr>
        <w:t>Digital Marketing</w:t>
      </w:r>
      <w:r w:rsidRPr="00B56CB5">
        <w:rPr>
          <w:lang w:val="en-GB"/>
        </w:rPr>
        <w:t xml:space="preserve">. 7th ed. Harlow: Pearson. Defourny, J. and Nyssens, M. (2017) </w:t>
      </w:r>
      <w:r w:rsidRPr="00B56CB5">
        <w:rPr>
          <w:i/>
          <w:iCs/>
          <w:lang w:val="en-GB"/>
        </w:rPr>
        <w:t>Social Enterprise Models</w:t>
      </w:r>
      <w:r w:rsidRPr="00B56CB5">
        <w:rPr>
          <w:lang w:val="en-GB"/>
        </w:rPr>
        <w:t xml:space="preserve">. London: Routledge. Kotler, P. and Keller, K. (2016) </w:t>
      </w:r>
      <w:r w:rsidRPr="00B56CB5">
        <w:rPr>
          <w:i/>
          <w:iCs/>
          <w:lang w:val="en-GB"/>
        </w:rPr>
        <w:t>Marketing Management</w:t>
      </w:r>
      <w:r w:rsidRPr="00B56CB5">
        <w:rPr>
          <w:lang w:val="en-GB"/>
        </w:rPr>
        <w:t xml:space="preserve">. 15th ed. Harlow: Pearson. Mintzberg, H. (1979) </w:t>
      </w:r>
      <w:r w:rsidRPr="00B56CB5">
        <w:rPr>
          <w:i/>
          <w:iCs/>
          <w:lang w:val="en-GB"/>
        </w:rPr>
        <w:t>The Structuring of Organisations</w:t>
      </w:r>
      <w:r w:rsidRPr="00B56CB5">
        <w:rPr>
          <w:lang w:val="en-GB"/>
        </w:rPr>
        <w:t xml:space="preserve">. Englewood Cliffs: Prentice Hall. OECD (2025) </w:t>
      </w:r>
      <w:r w:rsidRPr="00B56CB5">
        <w:rPr>
          <w:i/>
          <w:iCs/>
          <w:lang w:val="en-GB"/>
        </w:rPr>
        <w:t>SME Financing Outlook</w:t>
      </w:r>
      <w:r w:rsidRPr="00B56CB5">
        <w:rPr>
          <w:lang w:val="en-GB"/>
        </w:rPr>
        <w:t xml:space="preserve">. Paris: OECD. ONS (2025) </w:t>
      </w:r>
      <w:r w:rsidRPr="00B56CB5">
        <w:rPr>
          <w:i/>
          <w:iCs/>
          <w:lang w:val="en-GB"/>
        </w:rPr>
        <w:t>UK Business Statistics</w:t>
      </w:r>
      <w:r w:rsidRPr="00B56CB5">
        <w:rPr>
          <w:lang w:val="en-GB"/>
        </w:rPr>
        <w:t xml:space="preserve">. London: Office for National Statistics. Pine, J. and Gilmore, J. (1999) </w:t>
      </w:r>
      <w:r w:rsidRPr="00B56CB5">
        <w:rPr>
          <w:i/>
          <w:iCs/>
          <w:lang w:val="en-GB"/>
        </w:rPr>
        <w:t>The Experience Economy</w:t>
      </w:r>
      <w:r w:rsidRPr="00B56CB5">
        <w:rPr>
          <w:lang w:val="en-GB"/>
        </w:rPr>
        <w:t xml:space="preserve">. Boston: Harvard Business School Press. Porter, M. (1985) </w:t>
      </w:r>
      <w:r w:rsidRPr="00B56CB5">
        <w:rPr>
          <w:i/>
          <w:iCs/>
          <w:lang w:val="en-GB"/>
        </w:rPr>
        <w:t>Competitive Advantage</w:t>
      </w:r>
      <w:r w:rsidRPr="00B56CB5">
        <w:rPr>
          <w:lang w:val="en-GB"/>
        </w:rPr>
        <w:t xml:space="preserve">. New York: Free Press. Schumpeter, J. (1934) </w:t>
      </w:r>
      <w:r w:rsidRPr="00B56CB5">
        <w:rPr>
          <w:i/>
          <w:iCs/>
          <w:lang w:val="en-GB"/>
        </w:rPr>
        <w:t>The Theory of Economic Development</w:t>
      </w:r>
      <w:r w:rsidRPr="00B56CB5">
        <w:rPr>
          <w:lang w:val="en-GB"/>
        </w:rPr>
        <w:t xml:space="preserve">. Cambridge, MA: Harvard University Press. Storey, D. (1994) </w:t>
      </w:r>
      <w:r w:rsidRPr="00B56CB5">
        <w:rPr>
          <w:i/>
          <w:iCs/>
          <w:lang w:val="en-GB"/>
        </w:rPr>
        <w:t>Understanding the Small Business Sector</w:t>
      </w:r>
      <w:r w:rsidRPr="00B56CB5">
        <w:rPr>
          <w:lang w:val="en-GB"/>
        </w:rPr>
        <w:t>. London: Routledge.</w:t>
      </w:r>
    </w:p>
    <w:p w14:paraId="7FCAB84E" w14:textId="77777777" w:rsidR="00FD71C2" w:rsidRDefault="00FD71C2"/>
    <w:sectPr w:rsidR="00FD71C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6E39C" w14:textId="77777777" w:rsidR="00CC2AB1" w:rsidRDefault="00CC2AB1" w:rsidP="009012E7">
      <w:pPr>
        <w:spacing w:after="0" w:line="240" w:lineRule="auto"/>
      </w:pPr>
      <w:r>
        <w:separator/>
      </w:r>
    </w:p>
  </w:endnote>
  <w:endnote w:type="continuationSeparator" w:id="0">
    <w:p w14:paraId="115AF1FC" w14:textId="77777777" w:rsidR="00CC2AB1" w:rsidRDefault="00CC2AB1" w:rsidP="00901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381955"/>
      <w:docPartObj>
        <w:docPartGallery w:val="Page Numbers (Bottom of Page)"/>
        <w:docPartUnique/>
      </w:docPartObj>
    </w:sdtPr>
    <w:sdtEndPr>
      <w:rPr>
        <w:noProof/>
      </w:rPr>
    </w:sdtEndPr>
    <w:sdtContent>
      <w:p w14:paraId="453CFE3E" w14:textId="31852659" w:rsidR="009012E7" w:rsidRDefault="009012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E5358E" w14:textId="77777777" w:rsidR="009012E7" w:rsidRDefault="00901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F8936" w14:textId="77777777" w:rsidR="00CC2AB1" w:rsidRDefault="00CC2AB1" w:rsidP="009012E7">
      <w:pPr>
        <w:spacing w:after="0" w:line="240" w:lineRule="auto"/>
      </w:pPr>
      <w:r>
        <w:separator/>
      </w:r>
    </w:p>
  </w:footnote>
  <w:footnote w:type="continuationSeparator" w:id="0">
    <w:p w14:paraId="56D8412C" w14:textId="77777777" w:rsidR="00CC2AB1" w:rsidRDefault="00CC2AB1" w:rsidP="009012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6216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CB5"/>
    <w:rsid w:val="000407FD"/>
    <w:rsid w:val="00091CBB"/>
    <w:rsid w:val="00162559"/>
    <w:rsid w:val="00180F4A"/>
    <w:rsid w:val="00193CA5"/>
    <w:rsid w:val="001A2B2A"/>
    <w:rsid w:val="001E3BE1"/>
    <w:rsid w:val="0036351D"/>
    <w:rsid w:val="00463C22"/>
    <w:rsid w:val="006052FB"/>
    <w:rsid w:val="007178F4"/>
    <w:rsid w:val="00721100"/>
    <w:rsid w:val="008103C3"/>
    <w:rsid w:val="00855389"/>
    <w:rsid w:val="008E27EC"/>
    <w:rsid w:val="009012E7"/>
    <w:rsid w:val="009E5D84"/>
    <w:rsid w:val="00B30D25"/>
    <w:rsid w:val="00B56CB5"/>
    <w:rsid w:val="00BB01A5"/>
    <w:rsid w:val="00CC2AB1"/>
    <w:rsid w:val="00D64E8D"/>
    <w:rsid w:val="00E07036"/>
    <w:rsid w:val="00F16AE4"/>
    <w:rsid w:val="00FD71C2"/>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6131"/>
  <w15:chartTrackingRefBased/>
  <w15:docId w15:val="{620E9283-0EC9-449D-89B9-F373643AD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9E5D84"/>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7178F4"/>
    <w:pPr>
      <w:keepNext/>
      <w:keepLines/>
      <w:spacing w:before="16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B56C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56CB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56C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56CB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56CB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56CB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9E5D84"/>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7178F4"/>
    <w:rPr>
      <w:rFonts w:ascii="Arial" w:eastAsiaTheme="majorEastAsia" w:hAnsi="Arial" w:cstheme="majorBidi"/>
      <w:b/>
      <w:sz w:val="24"/>
      <w:szCs w:val="32"/>
    </w:rPr>
  </w:style>
  <w:style w:type="character" w:customStyle="1" w:styleId="Heading4Char">
    <w:name w:val="Heading 4 Char"/>
    <w:basedOn w:val="DefaultParagraphFont"/>
    <w:link w:val="Heading4"/>
    <w:uiPriority w:val="9"/>
    <w:semiHidden/>
    <w:rsid w:val="00B56CB5"/>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B56CB5"/>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B56CB5"/>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B56CB5"/>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B56CB5"/>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B56CB5"/>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B56CB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CB5"/>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B56CB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CB5"/>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B56C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6CB5"/>
    <w:rPr>
      <w:rFonts w:ascii="Arial" w:hAnsi="Arial"/>
      <w:i/>
      <w:iCs/>
      <w:color w:val="404040" w:themeColor="text1" w:themeTint="BF"/>
      <w:sz w:val="24"/>
      <w:lang w:val="en-US"/>
    </w:rPr>
  </w:style>
  <w:style w:type="paragraph" w:styleId="ListParagraph">
    <w:name w:val="List Paragraph"/>
    <w:basedOn w:val="Normal"/>
    <w:uiPriority w:val="34"/>
    <w:qFormat/>
    <w:rsid w:val="00B56CB5"/>
    <w:pPr>
      <w:ind w:left="720"/>
      <w:contextualSpacing/>
    </w:pPr>
  </w:style>
  <w:style w:type="character" w:styleId="IntenseEmphasis">
    <w:name w:val="Intense Emphasis"/>
    <w:basedOn w:val="DefaultParagraphFont"/>
    <w:uiPriority w:val="21"/>
    <w:qFormat/>
    <w:rsid w:val="00B56CB5"/>
    <w:rPr>
      <w:i/>
      <w:iCs/>
      <w:color w:val="0F4761" w:themeColor="accent1" w:themeShade="BF"/>
    </w:rPr>
  </w:style>
  <w:style w:type="paragraph" w:styleId="IntenseQuote">
    <w:name w:val="Intense Quote"/>
    <w:basedOn w:val="Normal"/>
    <w:next w:val="Normal"/>
    <w:link w:val="IntenseQuoteChar"/>
    <w:uiPriority w:val="30"/>
    <w:qFormat/>
    <w:rsid w:val="00B56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CB5"/>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B56CB5"/>
    <w:rPr>
      <w:b/>
      <w:bCs/>
      <w:smallCaps/>
      <w:color w:val="0F4761" w:themeColor="accent1" w:themeShade="BF"/>
      <w:spacing w:val="5"/>
    </w:rPr>
  </w:style>
  <w:style w:type="paragraph" w:styleId="Header">
    <w:name w:val="header"/>
    <w:basedOn w:val="Normal"/>
    <w:link w:val="HeaderChar"/>
    <w:uiPriority w:val="99"/>
    <w:unhideWhenUsed/>
    <w:rsid w:val="00901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2E7"/>
    <w:rPr>
      <w:rFonts w:ascii="Arial" w:hAnsi="Arial"/>
      <w:sz w:val="24"/>
      <w:lang w:val="en-US"/>
    </w:rPr>
  </w:style>
  <w:style w:type="paragraph" w:styleId="Footer">
    <w:name w:val="footer"/>
    <w:basedOn w:val="Normal"/>
    <w:link w:val="FooterChar"/>
    <w:uiPriority w:val="99"/>
    <w:unhideWhenUsed/>
    <w:rsid w:val="00901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2E7"/>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Carmen Antal-Berbecaru (2242917)</cp:lastModifiedBy>
  <cp:revision>3</cp:revision>
  <dcterms:created xsi:type="dcterms:W3CDTF">2025-12-11T17:01:00Z</dcterms:created>
  <dcterms:modified xsi:type="dcterms:W3CDTF">2025-12-22T13:14:00Z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4e7fc3a3-cee5-475b-9218-0eb1c20c80e1</vt:lpwstr>
  </property>
</Properties>
</file>