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2B" w:rsidRDefault="0050145B" w:rsidP="00C2472B">
      <w:pPr>
        <w:spacing w:line="276" w:lineRule="auto"/>
        <w:rPr>
          <w:b/>
          <w:u w:val="single"/>
        </w:rPr>
      </w:pPr>
      <w:r>
        <w:rPr>
          <w:b/>
          <w:u w:val="single"/>
        </w:rPr>
        <w:t>Findings</w:t>
      </w:r>
    </w:p>
    <w:p w:rsidR="00C2472B" w:rsidRDefault="00C2472B" w:rsidP="00C2472B">
      <w:pPr>
        <w:rPr>
          <w:color w:val="000000" w:themeColor="text1"/>
        </w:rPr>
      </w:pPr>
      <w:r>
        <w:rPr>
          <w:color w:val="000000" w:themeColor="text1"/>
        </w:rPr>
        <w:t>The aim of the research was to explore what police, police staff and supporting agencies perceive radicalisation to be. The aim was also to explore if participants would be able to identify the signs of radicalisation, to explore if they had received training relating to radicalisation, and to explore their awareness of how they can report any concerns they may have about those at risk of being radicalised. A self-administered questionnaire was used to explore the following research questions:</w:t>
      </w:r>
    </w:p>
    <w:p w:rsidR="00C2472B" w:rsidRDefault="00C2472B" w:rsidP="00C2472B">
      <w:pPr>
        <w:rPr>
          <w:b/>
          <w:color w:val="000000" w:themeColor="text1"/>
        </w:rPr>
      </w:pPr>
    </w:p>
    <w:p w:rsidR="00C2472B" w:rsidRDefault="00C2472B" w:rsidP="00C2472B">
      <w:pPr>
        <w:ind w:left="720"/>
        <w:jc w:val="both"/>
        <w:rPr>
          <w:color w:val="000000" w:themeColor="text1"/>
        </w:rPr>
      </w:pPr>
      <w:r>
        <w:rPr>
          <w:b/>
          <w:color w:val="000000" w:themeColor="text1"/>
        </w:rPr>
        <w:t xml:space="preserve">1. Meaning, Perception &amp; Concept – </w:t>
      </w:r>
      <w:r>
        <w:rPr>
          <w:color w:val="000000" w:themeColor="text1"/>
        </w:rPr>
        <w:t>What Police officers and non-police staff perceive radicalisation to be? What Police officers and non-police staff believe the definition of radicalisation is?</w:t>
      </w:r>
    </w:p>
    <w:p w:rsidR="00C2472B" w:rsidRDefault="00C2472B" w:rsidP="00C2472B">
      <w:pPr>
        <w:ind w:left="720"/>
        <w:jc w:val="both"/>
        <w:rPr>
          <w:color w:val="000000" w:themeColor="text1"/>
        </w:rPr>
      </w:pPr>
      <w:r>
        <w:rPr>
          <w:b/>
          <w:color w:val="000000" w:themeColor="text1"/>
        </w:rPr>
        <w:t xml:space="preserve">2. Signs, Causes &amp; Stages – </w:t>
      </w:r>
      <w:r>
        <w:rPr>
          <w:color w:val="000000" w:themeColor="text1"/>
        </w:rPr>
        <w:t>Would Police officers and non-police staff be able to identify signs of radicalisation? Do Police officers and non-police staff understand what causes persons to become radicalised? At what point would Police officers and non-police staff consider reporting their concerns?</w:t>
      </w:r>
    </w:p>
    <w:p w:rsidR="00C2472B" w:rsidRDefault="00C2472B" w:rsidP="00C2472B">
      <w:pPr>
        <w:ind w:left="720"/>
        <w:jc w:val="both"/>
        <w:rPr>
          <w:color w:val="000000" w:themeColor="text1"/>
        </w:rPr>
      </w:pPr>
      <w:r>
        <w:rPr>
          <w:b/>
          <w:color w:val="000000" w:themeColor="text1"/>
        </w:rPr>
        <w:t xml:space="preserve">3. Report, Support &amp; Safeguarding – </w:t>
      </w:r>
      <w:r>
        <w:rPr>
          <w:color w:val="000000" w:themeColor="text1"/>
        </w:rPr>
        <w:t>Do Police officers and non-police staff know how to report their concerns? Do Police officers and non-police staff know what support is available? Do Police officers and non-police staff understand how a persons can be safeguarded as a result of their concerns?</w:t>
      </w:r>
    </w:p>
    <w:p w:rsidR="00C2472B" w:rsidRDefault="00C2472B" w:rsidP="00C2472B">
      <w:pPr>
        <w:rPr>
          <w:color w:val="000000" w:themeColor="text1"/>
        </w:rPr>
      </w:pPr>
    </w:p>
    <w:p w:rsidR="00C2472B" w:rsidRDefault="00C2472B" w:rsidP="00C2472B">
      <w:pPr>
        <w:spacing w:line="276" w:lineRule="auto"/>
        <w:rPr>
          <w:color w:val="000000" w:themeColor="text1"/>
        </w:rPr>
      </w:pPr>
      <w:r>
        <w:rPr>
          <w:color w:val="000000" w:themeColor="text1"/>
        </w:rPr>
        <w:t>Fifty-five participants completed the questionnaire and the findings will now be discussed in relation to the research questions and the previous literature.</w:t>
      </w:r>
    </w:p>
    <w:p w:rsidR="00C2472B" w:rsidRDefault="00C2472B" w:rsidP="00C2472B">
      <w:pPr>
        <w:spacing w:line="276" w:lineRule="auto"/>
        <w:rPr>
          <w:color w:val="000000" w:themeColor="text1"/>
        </w:rPr>
      </w:pPr>
      <w:r>
        <w:rPr>
          <w:color w:val="000000" w:themeColor="text1"/>
        </w:rPr>
        <w:t>Multiple definitions of radicalisation have been discussed and emphasised in the previous literature in this area. Four of these definitions were used in question 1, in which participants were asked to identify the most accurate definition of radicalisation from the four options. Within the current research, all four definitions of radicalisation were chosen by different participants. This finding supports the previous literature, in that that there is not one definition of radicalisation that is used by all. However, within the research there was one definition that almost half of the participants chose, and this was definition 2. This suggests that although there is not one single definition used, there may be a common perception of what radicalisation is.</w:t>
      </w:r>
    </w:p>
    <w:p w:rsidR="00C2472B" w:rsidRDefault="00C2472B" w:rsidP="00C2472B">
      <w:pPr>
        <w:spacing w:line="276" w:lineRule="auto"/>
        <w:rPr>
          <w:color w:val="000000" w:themeColor="text1"/>
        </w:rPr>
      </w:pPr>
      <w:r>
        <w:rPr>
          <w:color w:val="000000" w:themeColor="text1"/>
        </w:rPr>
        <w:t xml:space="preserve">Kundnani’s research in 2012 focused heavily on the religious ideology aspect when discussing potential signs of a person being or becoming radicalised. However, within the current questionnaire, despite none of the pre-provided answers focusing on religion as a sign, participants were given the option of specifying any other signs they deemed to be related to radicalisation. Only two of the 55 participants utilised the option of an ‘additional answer’. Within these additional answers, ‘religion’ or ‘religious ideology’ was not identified as a sign of radicalisation. Therefore, none of the participants identified religion as a sign within the current research.  </w:t>
      </w:r>
    </w:p>
    <w:p w:rsidR="00C2472B" w:rsidRDefault="00C2472B" w:rsidP="00C2472B">
      <w:pPr>
        <w:spacing w:line="276" w:lineRule="auto"/>
        <w:rPr>
          <w:color w:val="000000" w:themeColor="text1"/>
        </w:rPr>
      </w:pPr>
      <w:r>
        <w:rPr>
          <w:color w:val="000000" w:themeColor="text1"/>
        </w:rPr>
        <w:t xml:space="preserve">Additionally, there were nine other answers/signs provided for the participants to choose from. From the results, it is apparent that the majority of participants choose ‘Isolation from friends and family, ‘sharing extreme views on social media’ and ‘being influenced or controlled by a group’ as the most likely signs of radicalisation. The same answers were chosen by participants from all different agencies. This may suggest that there is a shared perception of the signs of radicalisation, </w:t>
      </w:r>
      <w:r>
        <w:rPr>
          <w:color w:val="000000" w:themeColor="text1"/>
        </w:rPr>
        <w:lastRenderedPageBreak/>
        <w:t>or may also suggest that any training/input received by participants may have focused on the signs of radicalisation.</w:t>
      </w:r>
    </w:p>
    <w:p w:rsidR="00C2472B" w:rsidRDefault="00C2472B" w:rsidP="00C2472B">
      <w:pPr>
        <w:spacing w:line="276" w:lineRule="auto"/>
        <w:rPr>
          <w:color w:val="000000" w:themeColor="text1"/>
        </w:rPr>
      </w:pPr>
      <w:r>
        <w:rPr>
          <w:color w:val="000000" w:themeColor="text1"/>
        </w:rPr>
        <w:t>Within the literature review, it was highlighted that all the agencies included in the current research participant pool had the ability to refer a person they believed to be at risk of radicalisation. When considering the reporting of concerns by participants, Police officers and Police staff appeared to be the organisations who made the most referrals on a daily, weekly, monthly and yearly basis. Within the research, Healthcare staff were the agency least likely to have made a referral. This may suggest that Healthcare staff may not have needed to make a referral, or may suggest that they were unsure how to make a referral.</w:t>
      </w:r>
    </w:p>
    <w:p w:rsidR="00C2472B" w:rsidRDefault="00C2472B" w:rsidP="00C2472B">
      <w:pPr>
        <w:spacing w:line="276" w:lineRule="auto"/>
        <w:rPr>
          <w:color w:val="000000" w:themeColor="text1"/>
        </w:rPr>
      </w:pPr>
      <w:r>
        <w:rPr>
          <w:color w:val="000000" w:themeColor="text1"/>
        </w:rPr>
        <w:t>There are numerous methods of reporting concerns for persons at risk of or are becoming radicalised. Within the questionnaire, participants from all five organisations and agencies were provided with various methods of how to report concerns, and asked to choose the methods they were aware of. 81% of participants chose 999/101 as a method of reporting concerns, and this method was chosen by participants across all five agencies. Therefore, it appears that there may be a heightened awareness of this method of reporting concerns, in comparison to other methods, e.g. completing an online report through the council website.</w:t>
      </w:r>
    </w:p>
    <w:p w:rsidR="00C2472B" w:rsidRDefault="00C2472B" w:rsidP="00C2472B">
      <w:pPr>
        <w:spacing w:line="276" w:lineRule="auto"/>
        <w:rPr>
          <w:rFonts w:ascii="Calibri" w:hAnsi="Calibri" w:cs="Calibri"/>
          <w:color w:val="000000" w:themeColor="text1"/>
          <w:shd w:val="clear" w:color="auto" w:fill="FFFFFF"/>
        </w:rPr>
      </w:pPr>
      <w:r>
        <w:rPr>
          <w:color w:val="000000" w:themeColor="text1"/>
        </w:rPr>
        <w:t xml:space="preserve">The Prevent Strategy is a UK Government run committee that focus on individuals who have been referred to them due to potential indications that they are being, or becoming radicalised. Prevent support potential future offenders by working alongside them and referring them to Channel, a </w:t>
      </w:r>
      <w:r>
        <w:rPr>
          <w:rFonts w:ascii="Calibri" w:hAnsi="Calibri" w:cs="Calibri"/>
          <w:color w:val="000000" w:themeColor="text1"/>
          <w:shd w:val="clear" w:color="auto" w:fill="FFFFFF"/>
        </w:rPr>
        <w:t xml:space="preserve">voluntary intervention programme. Within the questionnaire, participants’ awareness of both Prevent and Channel was explored. Although, all of the participants work within an organisation or agency that refer persons to supportive agencies when they have concerns </w:t>
      </w:r>
      <w:r w:rsidR="00AD32F7">
        <w:rPr>
          <w:rFonts w:ascii="Calibri" w:hAnsi="Calibri" w:cs="Calibri"/>
          <w:color w:val="000000" w:themeColor="text1"/>
          <w:shd w:val="clear" w:color="auto" w:fill="FFFFFF"/>
        </w:rPr>
        <w:t>relating to radicalisation, it’</w:t>
      </w:r>
      <w:r>
        <w:rPr>
          <w:rFonts w:ascii="Calibri" w:hAnsi="Calibri" w:cs="Calibri"/>
          <w:color w:val="000000" w:themeColor="text1"/>
          <w:shd w:val="clear" w:color="auto" w:fill="FFFFFF"/>
        </w:rPr>
        <w:t xml:space="preserve">s unclear if any of the participants are aware of where that referral goes after being submitted. </w:t>
      </w:r>
    </w:p>
    <w:p w:rsidR="00C2472B" w:rsidRDefault="00C2472B" w:rsidP="00C2472B">
      <w:pPr>
        <w:spacing w:line="276" w:lineRule="auto"/>
        <w:rPr>
          <w:rFonts w:ascii="Calibri" w:hAnsi="Calibri" w:cs="Calibri"/>
          <w:color w:val="000000" w:themeColor="text1"/>
          <w:shd w:val="clear" w:color="auto" w:fill="FFFFFF"/>
        </w:rPr>
      </w:pPr>
      <w:r>
        <w:rPr>
          <w:rFonts w:ascii="Calibri" w:hAnsi="Calibri" w:cs="Calibri"/>
          <w:color w:val="000000" w:themeColor="text1"/>
          <w:shd w:val="clear" w:color="auto" w:fill="FFFFFF"/>
        </w:rPr>
        <w:t>Despite Prevent being introduced in 2006 and Channel being introduced in 2012, only 29% of the participants were aware of these support agencies. Interestingly, 21% of participants were solely aware of Prevent, and only 5% were solely aware of Channel, despite it being the intervention scheme developed by Prevent. This may suggest that referrers are aware of their information being sent on to Prevent, but are not aware of the intervention work that follows via Channel.</w:t>
      </w:r>
    </w:p>
    <w:p w:rsidR="00C2472B" w:rsidRDefault="00C2472B" w:rsidP="00C2472B">
      <w:pPr>
        <w:spacing w:line="276" w:lineRule="auto"/>
        <w:rPr>
          <w:rFonts w:ascii="Calibri" w:hAnsi="Calibri" w:cs="Calibri"/>
          <w:color w:val="000000" w:themeColor="text1"/>
          <w:shd w:val="clear" w:color="auto" w:fill="FFFFFF"/>
        </w:rPr>
      </w:pPr>
      <w:r>
        <w:rPr>
          <w:rFonts w:ascii="Calibri" w:hAnsi="Calibri" w:cs="Calibri"/>
          <w:color w:val="000000" w:themeColor="text1"/>
          <w:shd w:val="clear" w:color="auto" w:fill="FFFFFF"/>
        </w:rPr>
        <w:t>The Home Office (2021) published success stories of Prevent and Channel, and one of the cases involved a referral made by school staff. This would suggest that some education staff are aware of Prevent and Channel. However, within the research only 9% of education staff reported that they were aware of either.</w:t>
      </w:r>
    </w:p>
    <w:p w:rsidR="00C2472B" w:rsidRDefault="00C2472B" w:rsidP="00C2472B">
      <w:pPr>
        <w:spacing w:line="276" w:lineRule="auto"/>
        <w:rPr>
          <w:color w:val="000000" w:themeColor="text1"/>
        </w:rPr>
      </w:pPr>
      <w:r>
        <w:rPr>
          <w:color w:val="000000" w:themeColor="text1"/>
        </w:rPr>
        <w:t xml:space="preserve">As part of the current research, participants were asked whether or not they had received any training/input relating to radicalisation within their role. They were then subsequently asked how confident they would feel if they had to deal with an incident relating to radicalisation. The aim of this was to establish whether participants felt more confident dealing with an incident relating to radicalisation if they had received training within their role. It appears from the findings that although a number of the participants had not received any formal training or input on radicalisation, they still commented on their level of confidence when dealing with an incident relating to radicalisation. It is unclear if those who had received training felt more confident to deal with an incident than those who had not. Of the police staff who had received training, only 45% reported feeling ‘confident’. This may suggest that training increases participant’s confidence </w:t>
      </w:r>
      <w:r>
        <w:rPr>
          <w:color w:val="000000" w:themeColor="text1"/>
        </w:rPr>
        <w:lastRenderedPageBreak/>
        <w:t>somewhat, and that further training may be required to increase the confidence of those involved with individuals at risk of being radicalised.</w:t>
      </w:r>
    </w:p>
    <w:p w:rsidR="003666E2" w:rsidRDefault="003666E2" w:rsidP="00C2472B">
      <w:pPr>
        <w:spacing w:line="276" w:lineRule="auto"/>
        <w:rPr>
          <w:color w:val="000000" w:themeColor="text1"/>
        </w:rPr>
      </w:pPr>
      <w:r>
        <w:rPr>
          <w:color w:val="000000" w:themeColor="text1"/>
        </w:rPr>
        <w:t>Although this research provides the reader an insight in to what participants from organisations and supporting agencies perceive radicalisation to be or how they refer a person at risk, this research has focused on a smaller sample group, so it’s difficult to generalise the findings to the wider population.</w:t>
      </w:r>
    </w:p>
    <w:p w:rsidR="0050145B" w:rsidRPr="0050145B" w:rsidRDefault="0050145B" w:rsidP="00C2472B">
      <w:pPr>
        <w:spacing w:line="276" w:lineRule="auto"/>
        <w:rPr>
          <w:b/>
          <w:color w:val="000000" w:themeColor="text1"/>
          <w:u w:val="single"/>
        </w:rPr>
      </w:pPr>
    </w:p>
    <w:p w:rsidR="0050145B" w:rsidRDefault="0050145B" w:rsidP="00C2472B">
      <w:pPr>
        <w:spacing w:line="276" w:lineRule="auto"/>
        <w:rPr>
          <w:b/>
          <w:color w:val="000000" w:themeColor="text1"/>
          <w:u w:val="single"/>
        </w:rPr>
      </w:pPr>
      <w:r w:rsidRPr="0050145B">
        <w:rPr>
          <w:b/>
          <w:color w:val="000000" w:themeColor="text1"/>
          <w:u w:val="single"/>
        </w:rPr>
        <w:t>Conclusion</w:t>
      </w:r>
    </w:p>
    <w:p w:rsidR="0050145B" w:rsidRDefault="0050145B" w:rsidP="0050145B">
      <w:r>
        <w:t>From this research, it is clear that the importance of organisations and agencies making referrals for those they believe to be at risk of or are being radicalised, is key to early intervention</w:t>
      </w:r>
      <w:r w:rsidR="002463F4">
        <w:t xml:space="preserve"> especially from Police and police staff as this will help safeguard</w:t>
      </w:r>
      <w:r>
        <w:t xml:space="preserve"> individuals, and </w:t>
      </w:r>
      <w:r w:rsidR="002463F4">
        <w:t>potentially prevent future offenders</w:t>
      </w:r>
      <w:r>
        <w:t>. The focus of this research was to further explore what organisations and supporting agencies perceived the signs of radicalisation to be, and the steps they were taking or were aware of in order to protect someone</w:t>
      </w:r>
      <w:r w:rsidR="002463F4">
        <w:t xml:space="preserve"> at risk of being radicalised.</w:t>
      </w:r>
    </w:p>
    <w:p w:rsidR="0050145B" w:rsidRDefault="0050145B" w:rsidP="0050145B">
      <w:r>
        <w:t xml:space="preserve">Within the increasing number of counter-terrorism policies being created in the UK, many of them use the term ‘radicalisation’ to identify acts of terrorism. By researching what lead organisations and supporting agencies, who are engaging with ‘at risk’ persons on a daily basis, perceive the signs of radicalisation to be and what the term ‘radicalisation’ actually means to them, it is evident that not all participant’s agree on a ‘one size fits all’ answer. </w:t>
      </w:r>
    </w:p>
    <w:p w:rsidR="0050145B" w:rsidRDefault="0050145B" w:rsidP="0050145B">
      <w:r>
        <w:t>This research also shows that each organisation and supporting agency have a variety of ways in whic</w:t>
      </w:r>
      <w:bookmarkStart w:id="0" w:name="_GoBack"/>
      <w:bookmarkEnd w:id="0"/>
      <w:r>
        <w:t>h they raise their concerns, refer persons at risk, and safeguard these pers</w:t>
      </w:r>
      <w:r w:rsidR="002463F4">
        <w:t xml:space="preserve">ons after the referral is </w:t>
      </w:r>
      <w:r>
        <w:t xml:space="preserve">made. Police Officers and Police staff were amongst the highest participant’s to have received some form of training/input regarding </w:t>
      </w:r>
      <w:r w:rsidR="002463F4">
        <w:t>radicalisation</w:t>
      </w:r>
      <w:r>
        <w:t xml:space="preserve">. However, although they have received this training and are working within the same organisation, their level of awareness and confidence vary. </w:t>
      </w:r>
    </w:p>
    <w:p w:rsidR="0050145B" w:rsidRDefault="0050145B" w:rsidP="0050145B">
      <w:r>
        <w:t xml:space="preserve">Although it is clear from the results that certain methods of raising concerns for an individual at risk are more popular than others, on occasions, it might not be in best interest of the person being referred’ to engage with a certain organisation. A persons being referred to Police via the 999/101 call might be anti-police and although they want support, may be unwilling to engage initially. Similarly, a person being referred to the NSPCC may already be engaging with some form of social services and will disengage as a result of a referral relating to radicalisation. </w:t>
      </w:r>
    </w:p>
    <w:p w:rsidR="0050145B" w:rsidRDefault="0050145B" w:rsidP="0050145B">
      <w:r>
        <w:t xml:space="preserve">Prevent and Channel are continuing to support persons who are being referred to them and are publishing their success stories through the Home Office. However, despite this research providing an insight in to what organisations and supporting agencies are doing to </w:t>
      </w:r>
      <w:r w:rsidR="003666E2">
        <w:t>engage and support</w:t>
      </w:r>
      <w:r>
        <w:t xml:space="preserve"> those at risk, it is still unclear why these agencies aren’t being updated or made aware of the next steps following making a referral. Whether organisations and supporting agencies decide to provide input/training to their employees or not, it is fundamental that all professionals are provided with an insight into the referral process, including that it means to make a referral, and what they can do to support and safeguard individuals whilst they work with Prevent or/and Channel following a referral. </w:t>
      </w:r>
    </w:p>
    <w:p w:rsidR="002463F4" w:rsidRDefault="002463F4" w:rsidP="0050145B"/>
    <w:p w:rsidR="002463F4" w:rsidRPr="002463F4" w:rsidRDefault="00AD32F7" w:rsidP="0050145B">
      <w:pPr>
        <w:rPr>
          <w:b/>
        </w:rPr>
      </w:pPr>
      <w:r>
        <w:rPr>
          <w:b/>
        </w:rPr>
        <w:t xml:space="preserve">(1648 </w:t>
      </w:r>
      <w:r w:rsidR="002463F4" w:rsidRPr="002463F4">
        <w:rPr>
          <w:b/>
        </w:rPr>
        <w:t>Words)</w:t>
      </w:r>
    </w:p>
    <w:p w:rsidR="0050145B" w:rsidRPr="0050145B" w:rsidRDefault="0050145B" w:rsidP="00C2472B">
      <w:pPr>
        <w:spacing w:line="276" w:lineRule="auto"/>
        <w:rPr>
          <w:b/>
          <w:color w:val="000000" w:themeColor="text1"/>
          <w:u w:val="single"/>
        </w:rPr>
      </w:pPr>
    </w:p>
    <w:p w:rsidR="00415AB4" w:rsidRDefault="00415AB4"/>
    <w:sectPr w:rsidR="00415AB4" w:rsidSect="00C2472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72B" w:rsidRDefault="00C2472B" w:rsidP="00C2472B">
      <w:pPr>
        <w:spacing w:after="0" w:line="240" w:lineRule="auto"/>
      </w:pPr>
      <w:r>
        <w:separator/>
      </w:r>
    </w:p>
  </w:endnote>
  <w:endnote w:type="continuationSeparator" w:id="0">
    <w:p w:rsidR="00C2472B" w:rsidRDefault="00C2472B" w:rsidP="00C24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5B" w:rsidRDefault="00D470AC" w:rsidP="00D470AC">
    <w:pPr>
      <w:pStyle w:val="Footer"/>
      <w:rPr>
        <w:color w:val="000000"/>
        <w:sz w:val="17"/>
      </w:rPr>
    </w:pPr>
    <w:bookmarkStart w:id="3" w:name="TITUS1FooterEvenPages"/>
    <w:r>
      <w:rPr>
        <w:color w:val="000000"/>
        <w:sz w:val="17"/>
      </w:rPr>
      <w:t> </w:t>
    </w:r>
  </w:p>
  <w:bookmarkEnd w:id="3"/>
  <w:p w:rsidR="0050145B" w:rsidRDefault="0050145B" w:rsidP="0050145B">
    <w:pPr>
      <w:pStyle w:val="Footer"/>
    </w:pPr>
  </w:p>
  <w:p w:rsidR="00C2472B" w:rsidRDefault="00C247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72B" w:rsidRDefault="00D470AC" w:rsidP="00D470AC">
    <w:pPr>
      <w:pStyle w:val="Footer"/>
      <w:rPr>
        <w:color w:val="000000"/>
        <w:sz w:val="17"/>
      </w:rPr>
    </w:pPr>
    <w:bookmarkStart w:id="4" w:name="TITUS1FooterPrimary"/>
    <w:r>
      <w:rPr>
        <w:color w:val="000000"/>
        <w:sz w:val="17"/>
      </w:rPr>
      <w:t> </w:t>
    </w:r>
  </w:p>
  <w:bookmarkEnd w:id="4"/>
  <w:p w:rsidR="00C2472B" w:rsidRDefault="00C247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72B" w:rsidRDefault="00D470AC" w:rsidP="00D470AC">
    <w:pPr>
      <w:pStyle w:val="Footer"/>
      <w:rPr>
        <w:color w:val="000000"/>
        <w:sz w:val="17"/>
      </w:rPr>
    </w:pPr>
    <w:bookmarkStart w:id="6" w:name="TITUS1FooterFirstPage"/>
    <w:r>
      <w:rPr>
        <w:color w:val="000000"/>
        <w:sz w:val="17"/>
      </w:rPr>
      <w:t> </w:t>
    </w:r>
  </w:p>
  <w:bookmarkEnd w:id="6"/>
  <w:p w:rsidR="00C2472B" w:rsidRDefault="00C24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72B" w:rsidRDefault="00C2472B" w:rsidP="00C2472B">
      <w:pPr>
        <w:spacing w:after="0" w:line="240" w:lineRule="auto"/>
      </w:pPr>
      <w:r>
        <w:separator/>
      </w:r>
    </w:p>
  </w:footnote>
  <w:footnote w:type="continuationSeparator" w:id="0">
    <w:p w:rsidR="00C2472B" w:rsidRDefault="00C2472B" w:rsidP="00C24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45B" w:rsidRDefault="00D470AC" w:rsidP="00D470AC">
    <w:pPr>
      <w:pStyle w:val="Header"/>
      <w:rPr>
        <w:color w:val="000000"/>
        <w:sz w:val="17"/>
      </w:rPr>
    </w:pPr>
    <w:bookmarkStart w:id="1" w:name="TITUS1HeaderEvenPages"/>
    <w:r>
      <w:rPr>
        <w:color w:val="000000"/>
        <w:sz w:val="17"/>
      </w:rPr>
      <w:t> </w:t>
    </w:r>
  </w:p>
  <w:bookmarkEnd w:id="1"/>
  <w:p w:rsidR="0050145B" w:rsidRDefault="0050145B" w:rsidP="0050145B">
    <w:pPr>
      <w:pStyle w:val="Header"/>
    </w:pPr>
  </w:p>
  <w:p w:rsidR="00C2472B" w:rsidRDefault="00C247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72B" w:rsidRDefault="00D470AC" w:rsidP="00D470AC">
    <w:pPr>
      <w:pStyle w:val="Header"/>
      <w:rPr>
        <w:color w:val="000000"/>
        <w:sz w:val="17"/>
      </w:rPr>
    </w:pPr>
    <w:bookmarkStart w:id="2" w:name="TITUS1HeaderPrimary"/>
    <w:r>
      <w:rPr>
        <w:color w:val="000000"/>
        <w:sz w:val="17"/>
      </w:rPr>
      <w:t> </w:t>
    </w:r>
  </w:p>
  <w:bookmarkEnd w:id="2"/>
  <w:p w:rsidR="00C2472B" w:rsidRDefault="00C247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72B" w:rsidRDefault="00D470AC" w:rsidP="00D470AC">
    <w:pPr>
      <w:pStyle w:val="Header"/>
      <w:rPr>
        <w:color w:val="000000"/>
        <w:sz w:val="17"/>
      </w:rPr>
    </w:pPr>
    <w:bookmarkStart w:id="5" w:name="TITUS1HeaderFirstPage"/>
    <w:r>
      <w:rPr>
        <w:color w:val="000000"/>
        <w:sz w:val="17"/>
      </w:rPr>
      <w:t> </w:t>
    </w:r>
  </w:p>
  <w:bookmarkEnd w:id="5"/>
  <w:p w:rsidR="00C2472B" w:rsidRDefault="00C247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2B"/>
    <w:rsid w:val="002463F4"/>
    <w:rsid w:val="003666E2"/>
    <w:rsid w:val="00415AB4"/>
    <w:rsid w:val="0050145B"/>
    <w:rsid w:val="00AD32F7"/>
    <w:rsid w:val="00C2472B"/>
    <w:rsid w:val="00D470AC"/>
    <w:rsid w:val="00E0690C"/>
    <w:rsid w:val="00F0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F4D777D-5F7E-4FF7-88F8-C5D8F677D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2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72B"/>
  </w:style>
  <w:style w:type="paragraph" w:styleId="Footer">
    <w:name w:val="footer"/>
    <w:basedOn w:val="Normal"/>
    <w:link w:val="FooterChar"/>
    <w:uiPriority w:val="99"/>
    <w:unhideWhenUsed/>
    <w:rsid w:val="00C24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962636">
      <w:bodyDiv w:val="1"/>
      <w:marLeft w:val="0"/>
      <w:marRight w:val="0"/>
      <w:marTop w:val="0"/>
      <w:marBottom w:val="0"/>
      <w:divBdr>
        <w:top w:val="none" w:sz="0" w:space="0" w:color="auto"/>
        <w:left w:val="none" w:sz="0" w:space="0" w:color="auto"/>
        <w:bottom w:val="none" w:sz="0" w:space="0" w:color="auto"/>
        <w:right w:val="none" w:sz="0" w:space="0" w:color="auto"/>
      </w:divBdr>
    </w:div>
    <w:div w:id="213228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1580</Words>
  <Characters>9011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Emanuel,Morgan swp6548</dc:creator>
  <cp:keywords/>
  <dc:description/>
  <cp:lastModifiedBy>Emanuel,Morgan swp6548</cp:lastModifiedBy>
  <cp:revision>6</cp:revision>
  <cp:lastPrinted>2022-05-30T11:27:00Z</cp:lastPrinted>
  <dcterms:created xsi:type="dcterms:W3CDTF">2022-05-30T11:01:00Z</dcterms:created>
  <dcterms:modified xsi:type="dcterms:W3CDTF">2022-05-30T11:40:00Z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018bc740-b6b0-4da0-aca5-2e2dfff85e41</vt:lpwstr>
  </property>
  <property fmtid="{D5CDD505-2E9C-101B-9397-08002B2CF9AE}" pid="3" name="Classification">
    <vt:lpwstr>OFFICIAL</vt:lpwstr>
  </property>
  <property fmtid="{D5CDD505-2E9C-101B-9397-08002B2CF9AE}" pid="4" name="Visibility">
    <vt:lpwstr>NOT VISIBLE</vt:lpwstr>
  </property>
</Properties>
</file>