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93B613" w14:textId="77777777" w:rsidR="000D63A1" w:rsidRDefault="000D63A1" w:rsidP="006A62A2">
      <w:pPr>
        <w:jc w:val="center"/>
        <w:rPr>
          <w:rFonts w:cs="Arial"/>
          <w:b/>
          <w:bCs/>
          <w:sz w:val="32"/>
          <w:szCs w:val="32"/>
        </w:rPr>
      </w:pPr>
      <w:r>
        <w:rPr>
          <w:rFonts w:cs="Arial"/>
          <w:b/>
          <w:bCs/>
          <w:noProof/>
          <w:sz w:val="32"/>
          <w:szCs w:val="32"/>
        </w:rPr>
        <w:drawing>
          <wp:inline distT="0" distB="0" distL="0" distR="0" wp14:anchorId="658E88AF" wp14:editId="281E92B8">
            <wp:extent cx="3028950" cy="1514475"/>
            <wp:effectExtent l="0" t="0" r="0" b="9525"/>
            <wp:docPr id="1783699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699855" name="Picture 1783699855"/>
                    <pic:cNvPicPr/>
                  </pic:nvPicPr>
                  <pic:blipFill>
                    <a:blip r:embed="rId11">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1BBCEF77" w14:textId="77777777" w:rsidR="000D63A1" w:rsidRPr="00DC55D1" w:rsidRDefault="000D63A1" w:rsidP="006A62A2">
      <w:pPr>
        <w:jc w:val="center"/>
        <w:rPr>
          <w:rFonts w:cs="Arial"/>
          <w:szCs w:val="24"/>
        </w:rPr>
      </w:pPr>
      <w:r w:rsidRPr="00DC55D1">
        <w:rPr>
          <w:rFonts w:cs="Arial"/>
          <w:szCs w:val="24"/>
        </w:rPr>
        <w:t>Master of Business Administration (MBA)</w:t>
      </w:r>
    </w:p>
    <w:p w14:paraId="3A3B65BF" w14:textId="77777777" w:rsidR="000D63A1" w:rsidRPr="00DC55D1" w:rsidRDefault="000D63A1" w:rsidP="006A62A2">
      <w:pPr>
        <w:jc w:val="center"/>
        <w:rPr>
          <w:rFonts w:cs="Arial"/>
          <w:szCs w:val="24"/>
        </w:rPr>
      </w:pPr>
      <w:r w:rsidRPr="00DC55D1">
        <w:rPr>
          <w:rFonts w:cs="Arial"/>
          <w:szCs w:val="24"/>
        </w:rPr>
        <w:t>Module: Dissertation</w:t>
      </w:r>
    </w:p>
    <w:p w14:paraId="13BB2F19" w14:textId="77777777" w:rsidR="000D63A1" w:rsidRPr="00DC55D1" w:rsidRDefault="000D63A1" w:rsidP="006A62A2">
      <w:pPr>
        <w:jc w:val="center"/>
        <w:rPr>
          <w:rFonts w:cs="Arial"/>
          <w:szCs w:val="24"/>
        </w:rPr>
      </w:pPr>
      <w:r w:rsidRPr="00DC55D1">
        <w:rPr>
          <w:rFonts w:cs="Arial"/>
          <w:szCs w:val="24"/>
        </w:rPr>
        <w:t>Module Code: LCMB7035</w:t>
      </w:r>
    </w:p>
    <w:p w14:paraId="0F0A9C57" w14:textId="77777777" w:rsidR="000D63A1" w:rsidRPr="00DC55D1" w:rsidRDefault="000D63A1" w:rsidP="006A62A2">
      <w:pPr>
        <w:jc w:val="center"/>
        <w:rPr>
          <w:rFonts w:cs="Arial"/>
          <w:szCs w:val="24"/>
        </w:rPr>
      </w:pPr>
      <w:r w:rsidRPr="00DC55D1">
        <w:rPr>
          <w:rFonts w:cs="Arial"/>
          <w:szCs w:val="24"/>
        </w:rPr>
        <w:t>Assessment: Dissertation</w:t>
      </w:r>
    </w:p>
    <w:p w14:paraId="251C694F" w14:textId="77777777" w:rsidR="000D63A1" w:rsidRDefault="000D63A1" w:rsidP="006A62A2">
      <w:pPr>
        <w:jc w:val="center"/>
        <w:rPr>
          <w:rFonts w:cs="Arial"/>
        </w:rPr>
      </w:pPr>
    </w:p>
    <w:p w14:paraId="4E00BBEA" w14:textId="77777777" w:rsidR="000D63A1" w:rsidRPr="00932DB2" w:rsidRDefault="000D63A1" w:rsidP="006A62A2">
      <w:pPr>
        <w:jc w:val="center"/>
        <w:rPr>
          <w:rFonts w:cs="Arial"/>
        </w:rPr>
      </w:pPr>
    </w:p>
    <w:p w14:paraId="0D35CD0A" w14:textId="77777777" w:rsidR="000D63A1" w:rsidRDefault="000D63A1" w:rsidP="006A62A2">
      <w:pPr>
        <w:jc w:val="center"/>
        <w:rPr>
          <w:rFonts w:cs="Arial"/>
          <w:b/>
          <w:bCs/>
          <w:sz w:val="32"/>
          <w:szCs w:val="32"/>
        </w:rPr>
      </w:pPr>
    </w:p>
    <w:p w14:paraId="6407A19E" w14:textId="77777777" w:rsidR="000D63A1" w:rsidRPr="00A63F8E" w:rsidRDefault="000D63A1" w:rsidP="00550A8F">
      <w:pPr>
        <w:pStyle w:val="Title"/>
        <w:jc w:val="center"/>
        <w:rPr>
          <w:color w:val="3A7C22" w:themeColor="accent6" w:themeShade="BF"/>
          <w:sz w:val="52"/>
          <w:szCs w:val="52"/>
        </w:rPr>
      </w:pPr>
      <w:r w:rsidRPr="00A63F8E">
        <w:rPr>
          <w:color w:val="3A7C22" w:themeColor="accent6" w:themeShade="BF"/>
          <w:sz w:val="52"/>
          <w:szCs w:val="52"/>
        </w:rPr>
        <w:t>Tourist Satisfaction and the Dark Side of Loyalty in Post-COVID Mass Tourism:</w:t>
      </w:r>
    </w:p>
    <w:p w14:paraId="13D011F4" w14:textId="77777777" w:rsidR="000D63A1" w:rsidRPr="00A63F8E" w:rsidRDefault="000D63A1" w:rsidP="00550A8F">
      <w:pPr>
        <w:pStyle w:val="Title"/>
        <w:jc w:val="center"/>
        <w:rPr>
          <w:color w:val="3A7C22" w:themeColor="accent6" w:themeShade="BF"/>
          <w:sz w:val="52"/>
          <w:szCs w:val="52"/>
        </w:rPr>
      </w:pPr>
      <w:r w:rsidRPr="00A63F8E">
        <w:rPr>
          <w:color w:val="3A7C22" w:themeColor="accent6" w:themeShade="BF"/>
          <w:sz w:val="52"/>
          <w:szCs w:val="52"/>
        </w:rPr>
        <w:t>A Systematic Literature Review of Measurement, Experience and Overtourism Dynamics</w:t>
      </w:r>
    </w:p>
    <w:p w14:paraId="304D722B" w14:textId="77777777" w:rsidR="000D63A1" w:rsidRDefault="000D63A1" w:rsidP="006A62A2">
      <w:pPr>
        <w:jc w:val="center"/>
        <w:rPr>
          <w:rFonts w:cs="Arial"/>
          <w:b/>
          <w:bCs/>
          <w:sz w:val="32"/>
          <w:szCs w:val="32"/>
        </w:rPr>
      </w:pPr>
    </w:p>
    <w:p w14:paraId="26219BC3" w14:textId="77777777" w:rsidR="000D63A1" w:rsidRDefault="000D63A1" w:rsidP="006A62A2">
      <w:pPr>
        <w:jc w:val="center"/>
        <w:rPr>
          <w:rFonts w:cs="Arial"/>
          <w:b/>
          <w:bCs/>
          <w:sz w:val="32"/>
          <w:szCs w:val="32"/>
        </w:rPr>
      </w:pPr>
    </w:p>
    <w:p w14:paraId="72614DE5" w14:textId="77777777" w:rsidR="000D63A1" w:rsidRDefault="000D63A1" w:rsidP="006A62A2">
      <w:pPr>
        <w:jc w:val="center"/>
        <w:rPr>
          <w:rFonts w:cs="Arial"/>
          <w:b/>
          <w:bCs/>
          <w:sz w:val="32"/>
          <w:szCs w:val="32"/>
        </w:rPr>
      </w:pPr>
    </w:p>
    <w:p w14:paraId="19F64407" w14:textId="77777777" w:rsidR="000D63A1" w:rsidRPr="000F0928" w:rsidRDefault="000D63A1" w:rsidP="006A62A2">
      <w:pPr>
        <w:jc w:val="center"/>
        <w:rPr>
          <w:rFonts w:cs="Arial"/>
          <w:b/>
          <w:bCs/>
          <w:sz w:val="32"/>
          <w:szCs w:val="32"/>
        </w:rPr>
      </w:pPr>
    </w:p>
    <w:p w14:paraId="179C8182" w14:textId="77777777" w:rsidR="000D63A1" w:rsidRDefault="000D63A1" w:rsidP="006A62A2">
      <w:pPr>
        <w:jc w:val="center"/>
        <w:rPr>
          <w:rFonts w:cs="Arial"/>
        </w:rPr>
      </w:pPr>
    </w:p>
    <w:p w14:paraId="6A211E35" w14:textId="77777777" w:rsidR="000D63A1" w:rsidRPr="00A64ACF" w:rsidRDefault="000D63A1" w:rsidP="006A62A2">
      <w:pPr>
        <w:jc w:val="center"/>
        <w:rPr>
          <w:rFonts w:cs="Arial"/>
          <w:szCs w:val="24"/>
        </w:rPr>
      </w:pPr>
      <w:r w:rsidRPr="00A64ACF">
        <w:rPr>
          <w:rFonts w:cs="Arial"/>
          <w:szCs w:val="24"/>
        </w:rPr>
        <w:t>Student Name: Radoslav Nikolov</w:t>
      </w:r>
    </w:p>
    <w:p w14:paraId="1390CA1F" w14:textId="77777777" w:rsidR="000D63A1" w:rsidRPr="00A64ACF" w:rsidRDefault="000D63A1" w:rsidP="006A62A2">
      <w:pPr>
        <w:jc w:val="center"/>
        <w:rPr>
          <w:rFonts w:cs="Arial"/>
          <w:szCs w:val="24"/>
        </w:rPr>
      </w:pPr>
      <w:r w:rsidRPr="00A64ACF">
        <w:rPr>
          <w:rFonts w:cs="Arial"/>
          <w:szCs w:val="24"/>
        </w:rPr>
        <w:t>Student ID: 2118366</w:t>
      </w:r>
    </w:p>
    <w:p w14:paraId="34A6CC32" w14:textId="77777777" w:rsidR="000D63A1" w:rsidRPr="00A64ACF" w:rsidRDefault="000D63A1" w:rsidP="006A62A2">
      <w:pPr>
        <w:jc w:val="center"/>
        <w:rPr>
          <w:rFonts w:cs="Arial"/>
          <w:szCs w:val="24"/>
        </w:rPr>
      </w:pPr>
      <w:r w:rsidRPr="00A64ACF">
        <w:rPr>
          <w:rFonts w:cs="Arial"/>
          <w:szCs w:val="24"/>
        </w:rPr>
        <w:t>Supervisor: Shujun Xiao</w:t>
      </w:r>
    </w:p>
    <w:p w14:paraId="7DF47832" w14:textId="2FD36275" w:rsidR="000D63A1" w:rsidRPr="00A64ACF" w:rsidRDefault="000D63A1" w:rsidP="006A62A2">
      <w:pPr>
        <w:jc w:val="center"/>
        <w:rPr>
          <w:rFonts w:cs="Arial"/>
          <w:szCs w:val="24"/>
        </w:rPr>
      </w:pPr>
      <w:r w:rsidRPr="00A64ACF">
        <w:rPr>
          <w:rFonts w:cs="Arial"/>
          <w:szCs w:val="24"/>
        </w:rPr>
        <w:t xml:space="preserve">Word Count: </w:t>
      </w:r>
      <w:r w:rsidR="00BB5C6C">
        <w:rPr>
          <w:rFonts w:cs="Arial"/>
          <w:szCs w:val="24"/>
        </w:rPr>
        <w:t>1</w:t>
      </w:r>
      <w:r w:rsidR="000D707B">
        <w:rPr>
          <w:rFonts w:cs="Arial"/>
          <w:szCs w:val="24"/>
        </w:rPr>
        <w:t>3703</w:t>
      </w:r>
    </w:p>
    <w:p w14:paraId="5EA44657" w14:textId="3F8B6C67" w:rsidR="00903321" w:rsidRDefault="000D63A1" w:rsidP="006A62A2">
      <w:pPr>
        <w:jc w:val="center"/>
        <w:rPr>
          <w:rFonts w:cs="Arial"/>
          <w:szCs w:val="24"/>
        </w:rPr>
      </w:pPr>
      <w:r w:rsidRPr="00A64ACF">
        <w:rPr>
          <w:rFonts w:cs="Arial"/>
          <w:szCs w:val="24"/>
        </w:rPr>
        <w:t xml:space="preserve">Submission Date: </w:t>
      </w:r>
      <w:r w:rsidRPr="007C62FC">
        <w:rPr>
          <w:rFonts w:cs="Arial"/>
          <w:szCs w:val="24"/>
        </w:rPr>
        <w:t>06 May 2026</w:t>
      </w:r>
    </w:p>
    <w:sdt>
      <w:sdtPr>
        <w:id w:val="-1932882859"/>
        <w:docPartObj>
          <w:docPartGallery w:val="Table of Contents"/>
          <w:docPartUnique/>
        </w:docPartObj>
      </w:sdtPr>
      <w:sdtEndPr>
        <w:rPr>
          <w:b/>
          <w:bCs/>
          <w:noProof/>
        </w:rPr>
      </w:sdtEndPr>
      <w:sdtContent>
        <w:p w14:paraId="6FFE4B38" w14:textId="77777777" w:rsidR="00903321" w:rsidRDefault="00903321" w:rsidP="00903321">
          <w:pPr>
            <w:keepNext/>
            <w:keepLines/>
            <w:spacing w:before="240" w:after="0"/>
            <w:rPr>
              <w:rFonts w:eastAsiaTheme="majorEastAsia" w:cstheme="majorBidi"/>
              <w:color w:val="4EA72E" w:themeColor="accent6"/>
              <w:sz w:val="40"/>
              <w:szCs w:val="40"/>
              <w:lang w:val="en-US"/>
              <w14:ligatures w14:val="none"/>
            </w:rPr>
          </w:pPr>
          <w:r w:rsidRPr="00903321">
            <w:rPr>
              <w:rFonts w:eastAsiaTheme="majorEastAsia" w:cstheme="majorBidi"/>
              <w:color w:val="4EA72E" w:themeColor="accent6"/>
              <w:sz w:val="40"/>
              <w:szCs w:val="40"/>
              <w:lang w:val="en-US"/>
              <w14:ligatures w14:val="none"/>
            </w:rPr>
            <w:t>Table of Contents</w:t>
          </w:r>
        </w:p>
        <w:p w14:paraId="4A16A894" w14:textId="77777777" w:rsidR="00BB5C6C" w:rsidRPr="00903321" w:rsidRDefault="00BB5C6C" w:rsidP="00903321">
          <w:pPr>
            <w:keepNext/>
            <w:keepLines/>
            <w:spacing w:before="240" w:after="0"/>
            <w:rPr>
              <w:rFonts w:eastAsiaTheme="majorEastAsia" w:cstheme="majorBidi"/>
              <w:color w:val="4EA72E" w:themeColor="accent6"/>
              <w:sz w:val="40"/>
              <w:szCs w:val="40"/>
              <w:lang w:val="en-US"/>
              <w14:ligatures w14:val="none"/>
            </w:rPr>
          </w:pPr>
        </w:p>
        <w:p w14:paraId="44BFDC3B" w14:textId="4F7867EB" w:rsidR="00427AA9" w:rsidRDefault="00903321">
          <w:pPr>
            <w:pStyle w:val="TOC1"/>
            <w:tabs>
              <w:tab w:val="right" w:leader="dot" w:pos="9016"/>
            </w:tabs>
            <w:rPr>
              <w:rFonts w:asciiTheme="minorHAnsi" w:eastAsiaTheme="minorEastAsia" w:hAnsiTheme="minorHAnsi"/>
              <w:noProof/>
              <w:kern w:val="2"/>
              <w:szCs w:val="24"/>
              <w:lang w:eastAsia="en-GB"/>
            </w:rPr>
          </w:pPr>
          <w:r w:rsidRPr="00903321">
            <w:fldChar w:fldCharType="begin"/>
          </w:r>
          <w:r w:rsidRPr="00903321">
            <w:instrText xml:space="preserve"> TOC \o "1-3" \h \z \u </w:instrText>
          </w:r>
          <w:r w:rsidRPr="00903321">
            <w:fldChar w:fldCharType="separate"/>
          </w:r>
          <w:hyperlink w:anchor="_Toc228889920" w:history="1">
            <w:r w:rsidR="00427AA9" w:rsidRPr="00D87091">
              <w:rPr>
                <w:rStyle w:val="Hyperlink"/>
                <w:rFonts w:eastAsia="Times New Roman"/>
                <w:noProof/>
                <w:lang w:eastAsia="en-GB"/>
              </w:rPr>
              <w:t>Chapter 1: Introduction</w:t>
            </w:r>
            <w:r w:rsidR="00427AA9">
              <w:rPr>
                <w:noProof/>
                <w:webHidden/>
              </w:rPr>
              <w:tab/>
            </w:r>
            <w:r w:rsidR="00427AA9">
              <w:rPr>
                <w:noProof/>
                <w:webHidden/>
              </w:rPr>
              <w:fldChar w:fldCharType="begin"/>
            </w:r>
            <w:r w:rsidR="00427AA9">
              <w:rPr>
                <w:noProof/>
                <w:webHidden/>
              </w:rPr>
              <w:instrText xml:space="preserve"> PAGEREF _Toc228889920 \h </w:instrText>
            </w:r>
            <w:r w:rsidR="00427AA9">
              <w:rPr>
                <w:noProof/>
                <w:webHidden/>
              </w:rPr>
            </w:r>
            <w:r w:rsidR="00427AA9">
              <w:rPr>
                <w:noProof/>
                <w:webHidden/>
              </w:rPr>
              <w:fldChar w:fldCharType="separate"/>
            </w:r>
            <w:r w:rsidR="00427AA9">
              <w:rPr>
                <w:noProof/>
                <w:webHidden/>
              </w:rPr>
              <w:t>4</w:t>
            </w:r>
            <w:r w:rsidR="00427AA9">
              <w:rPr>
                <w:noProof/>
                <w:webHidden/>
              </w:rPr>
              <w:fldChar w:fldCharType="end"/>
            </w:r>
          </w:hyperlink>
        </w:p>
        <w:p w14:paraId="0F70A751" w14:textId="41A7A9A6"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21" w:history="1">
            <w:r w:rsidRPr="00D87091">
              <w:rPr>
                <w:rStyle w:val="Hyperlink"/>
                <w:rFonts w:eastAsia="Times New Roman"/>
                <w:noProof/>
                <w:lang w:eastAsia="en-GB"/>
              </w:rPr>
              <w:t>1.1 Background and rationale</w:t>
            </w:r>
            <w:r>
              <w:rPr>
                <w:noProof/>
                <w:webHidden/>
              </w:rPr>
              <w:tab/>
            </w:r>
            <w:r>
              <w:rPr>
                <w:noProof/>
                <w:webHidden/>
              </w:rPr>
              <w:fldChar w:fldCharType="begin"/>
            </w:r>
            <w:r>
              <w:rPr>
                <w:noProof/>
                <w:webHidden/>
              </w:rPr>
              <w:instrText xml:space="preserve"> PAGEREF _Toc228889921 \h </w:instrText>
            </w:r>
            <w:r>
              <w:rPr>
                <w:noProof/>
                <w:webHidden/>
              </w:rPr>
            </w:r>
            <w:r>
              <w:rPr>
                <w:noProof/>
                <w:webHidden/>
              </w:rPr>
              <w:fldChar w:fldCharType="separate"/>
            </w:r>
            <w:r>
              <w:rPr>
                <w:noProof/>
                <w:webHidden/>
              </w:rPr>
              <w:t>4</w:t>
            </w:r>
            <w:r>
              <w:rPr>
                <w:noProof/>
                <w:webHidden/>
              </w:rPr>
              <w:fldChar w:fldCharType="end"/>
            </w:r>
          </w:hyperlink>
        </w:p>
        <w:p w14:paraId="6FCF86C5" w14:textId="7EA30AE6"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22" w:history="1">
            <w:r w:rsidRPr="00D87091">
              <w:rPr>
                <w:rStyle w:val="Hyperlink"/>
                <w:rFonts w:eastAsia="Times New Roman"/>
                <w:noProof/>
                <w:lang w:eastAsia="en-GB"/>
              </w:rPr>
              <w:t>1.2 Research problem and literature gaps</w:t>
            </w:r>
            <w:r>
              <w:rPr>
                <w:noProof/>
                <w:webHidden/>
              </w:rPr>
              <w:tab/>
            </w:r>
            <w:r>
              <w:rPr>
                <w:noProof/>
                <w:webHidden/>
              </w:rPr>
              <w:fldChar w:fldCharType="begin"/>
            </w:r>
            <w:r>
              <w:rPr>
                <w:noProof/>
                <w:webHidden/>
              </w:rPr>
              <w:instrText xml:space="preserve"> PAGEREF _Toc228889922 \h </w:instrText>
            </w:r>
            <w:r>
              <w:rPr>
                <w:noProof/>
                <w:webHidden/>
              </w:rPr>
            </w:r>
            <w:r>
              <w:rPr>
                <w:noProof/>
                <w:webHidden/>
              </w:rPr>
              <w:fldChar w:fldCharType="separate"/>
            </w:r>
            <w:r>
              <w:rPr>
                <w:noProof/>
                <w:webHidden/>
              </w:rPr>
              <w:t>4</w:t>
            </w:r>
            <w:r>
              <w:rPr>
                <w:noProof/>
                <w:webHidden/>
              </w:rPr>
              <w:fldChar w:fldCharType="end"/>
            </w:r>
          </w:hyperlink>
        </w:p>
        <w:p w14:paraId="07722430" w14:textId="4B9920A7"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23" w:history="1">
            <w:r w:rsidRPr="00D87091">
              <w:rPr>
                <w:rStyle w:val="Hyperlink"/>
                <w:rFonts w:eastAsia="Times New Roman"/>
                <w:noProof/>
                <w:lang w:eastAsia="en-GB"/>
              </w:rPr>
              <w:t>1.3 Theoretical framing and position</w:t>
            </w:r>
            <w:r>
              <w:rPr>
                <w:noProof/>
                <w:webHidden/>
              </w:rPr>
              <w:tab/>
            </w:r>
            <w:r>
              <w:rPr>
                <w:noProof/>
                <w:webHidden/>
              </w:rPr>
              <w:fldChar w:fldCharType="begin"/>
            </w:r>
            <w:r>
              <w:rPr>
                <w:noProof/>
                <w:webHidden/>
              </w:rPr>
              <w:instrText xml:space="preserve"> PAGEREF _Toc228889923 \h </w:instrText>
            </w:r>
            <w:r>
              <w:rPr>
                <w:noProof/>
                <w:webHidden/>
              </w:rPr>
            </w:r>
            <w:r>
              <w:rPr>
                <w:noProof/>
                <w:webHidden/>
              </w:rPr>
              <w:fldChar w:fldCharType="separate"/>
            </w:r>
            <w:r>
              <w:rPr>
                <w:noProof/>
                <w:webHidden/>
              </w:rPr>
              <w:t>5</w:t>
            </w:r>
            <w:r>
              <w:rPr>
                <w:noProof/>
                <w:webHidden/>
              </w:rPr>
              <w:fldChar w:fldCharType="end"/>
            </w:r>
          </w:hyperlink>
        </w:p>
        <w:p w14:paraId="40E2F937" w14:textId="5D9B3CCE"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24" w:history="1">
            <w:r w:rsidRPr="00D87091">
              <w:rPr>
                <w:rStyle w:val="Hyperlink"/>
                <w:rFonts w:eastAsia="Times New Roman"/>
                <w:noProof/>
                <w:lang w:eastAsia="en-GB"/>
              </w:rPr>
              <w:t>1.4 Conceptual orientation</w:t>
            </w:r>
            <w:r>
              <w:rPr>
                <w:noProof/>
                <w:webHidden/>
              </w:rPr>
              <w:tab/>
            </w:r>
            <w:r>
              <w:rPr>
                <w:noProof/>
                <w:webHidden/>
              </w:rPr>
              <w:fldChar w:fldCharType="begin"/>
            </w:r>
            <w:r>
              <w:rPr>
                <w:noProof/>
                <w:webHidden/>
              </w:rPr>
              <w:instrText xml:space="preserve"> PAGEREF _Toc228889924 \h </w:instrText>
            </w:r>
            <w:r>
              <w:rPr>
                <w:noProof/>
                <w:webHidden/>
              </w:rPr>
            </w:r>
            <w:r>
              <w:rPr>
                <w:noProof/>
                <w:webHidden/>
              </w:rPr>
              <w:fldChar w:fldCharType="separate"/>
            </w:r>
            <w:r>
              <w:rPr>
                <w:noProof/>
                <w:webHidden/>
              </w:rPr>
              <w:t>6</w:t>
            </w:r>
            <w:r>
              <w:rPr>
                <w:noProof/>
                <w:webHidden/>
              </w:rPr>
              <w:fldChar w:fldCharType="end"/>
            </w:r>
          </w:hyperlink>
        </w:p>
        <w:p w14:paraId="5E7F7A29" w14:textId="56AEC533"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25" w:history="1">
            <w:r w:rsidRPr="00D87091">
              <w:rPr>
                <w:rStyle w:val="Hyperlink"/>
                <w:rFonts w:eastAsia="Times New Roman"/>
                <w:noProof/>
                <w:lang w:eastAsia="en-GB"/>
              </w:rPr>
              <w:t>1.5 Aim, objectives and research questions</w:t>
            </w:r>
            <w:r>
              <w:rPr>
                <w:noProof/>
                <w:webHidden/>
              </w:rPr>
              <w:tab/>
            </w:r>
            <w:r>
              <w:rPr>
                <w:noProof/>
                <w:webHidden/>
              </w:rPr>
              <w:fldChar w:fldCharType="begin"/>
            </w:r>
            <w:r>
              <w:rPr>
                <w:noProof/>
                <w:webHidden/>
              </w:rPr>
              <w:instrText xml:space="preserve"> PAGEREF _Toc228889925 \h </w:instrText>
            </w:r>
            <w:r>
              <w:rPr>
                <w:noProof/>
                <w:webHidden/>
              </w:rPr>
            </w:r>
            <w:r>
              <w:rPr>
                <w:noProof/>
                <w:webHidden/>
              </w:rPr>
              <w:fldChar w:fldCharType="separate"/>
            </w:r>
            <w:r>
              <w:rPr>
                <w:noProof/>
                <w:webHidden/>
              </w:rPr>
              <w:t>6</w:t>
            </w:r>
            <w:r>
              <w:rPr>
                <w:noProof/>
                <w:webHidden/>
              </w:rPr>
              <w:fldChar w:fldCharType="end"/>
            </w:r>
          </w:hyperlink>
        </w:p>
        <w:p w14:paraId="5B7E6629" w14:textId="0D7A3FDE"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26" w:history="1">
            <w:r w:rsidRPr="00D87091">
              <w:rPr>
                <w:rStyle w:val="Hyperlink"/>
                <w:noProof/>
                <w:lang w:eastAsia="en-GB"/>
              </w:rPr>
              <w:t>1.6 Scope and delimitations</w:t>
            </w:r>
            <w:r>
              <w:rPr>
                <w:noProof/>
                <w:webHidden/>
              </w:rPr>
              <w:tab/>
            </w:r>
            <w:r>
              <w:rPr>
                <w:noProof/>
                <w:webHidden/>
              </w:rPr>
              <w:fldChar w:fldCharType="begin"/>
            </w:r>
            <w:r>
              <w:rPr>
                <w:noProof/>
                <w:webHidden/>
              </w:rPr>
              <w:instrText xml:space="preserve"> PAGEREF _Toc228889926 \h </w:instrText>
            </w:r>
            <w:r>
              <w:rPr>
                <w:noProof/>
                <w:webHidden/>
              </w:rPr>
            </w:r>
            <w:r>
              <w:rPr>
                <w:noProof/>
                <w:webHidden/>
              </w:rPr>
              <w:fldChar w:fldCharType="separate"/>
            </w:r>
            <w:r>
              <w:rPr>
                <w:noProof/>
                <w:webHidden/>
              </w:rPr>
              <w:t>7</w:t>
            </w:r>
            <w:r>
              <w:rPr>
                <w:noProof/>
                <w:webHidden/>
              </w:rPr>
              <w:fldChar w:fldCharType="end"/>
            </w:r>
          </w:hyperlink>
        </w:p>
        <w:p w14:paraId="1B2228FC" w14:textId="2518C088"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27" w:history="1">
            <w:r w:rsidRPr="00D87091">
              <w:rPr>
                <w:rStyle w:val="Hyperlink"/>
                <w:rFonts w:eastAsia="Times New Roman"/>
                <w:noProof/>
                <w:lang w:eastAsia="en-GB"/>
              </w:rPr>
              <w:t>1.7 Dissertation structure</w:t>
            </w:r>
            <w:r>
              <w:rPr>
                <w:noProof/>
                <w:webHidden/>
              </w:rPr>
              <w:tab/>
            </w:r>
            <w:r>
              <w:rPr>
                <w:noProof/>
                <w:webHidden/>
              </w:rPr>
              <w:fldChar w:fldCharType="begin"/>
            </w:r>
            <w:r>
              <w:rPr>
                <w:noProof/>
                <w:webHidden/>
              </w:rPr>
              <w:instrText xml:space="preserve"> PAGEREF _Toc228889927 \h </w:instrText>
            </w:r>
            <w:r>
              <w:rPr>
                <w:noProof/>
                <w:webHidden/>
              </w:rPr>
            </w:r>
            <w:r>
              <w:rPr>
                <w:noProof/>
                <w:webHidden/>
              </w:rPr>
              <w:fldChar w:fldCharType="separate"/>
            </w:r>
            <w:r>
              <w:rPr>
                <w:noProof/>
                <w:webHidden/>
              </w:rPr>
              <w:t>7</w:t>
            </w:r>
            <w:r>
              <w:rPr>
                <w:noProof/>
                <w:webHidden/>
              </w:rPr>
              <w:fldChar w:fldCharType="end"/>
            </w:r>
          </w:hyperlink>
        </w:p>
        <w:p w14:paraId="088B0937" w14:textId="069305AE" w:rsidR="00427AA9" w:rsidRDefault="00427AA9">
          <w:pPr>
            <w:pStyle w:val="TOC1"/>
            <w:tabs>
              <w:tab w:val="right" w:leader="dot" w:pos="9016"/>
            </w:tabs>
            <w:rPr>
              <w:rFonts w:asciiTheme="minorHAnsi" w:eastAsiaTheme="minorEastAsia" w:hAnsiTheme="minorHAnsi"/>
              <w:noProof/>
              <w:kern w:val="2"/>
              <w:szCs w:val="24"/>
              <w:lang w:eastAsia="en-GB"/>
            </w:rPr>
          </w:pPr>
          <w:hyperlink w:anchor="_Toc228889928" w:history="1">
            <w:r w:rsidRPr="00D87091">
              <w:rPr>
                <w:rStyle w:val="Hyperlink"/>
                <w:noProof/>
              </w:rPr>
              <w:t>Chapter 2: Research Methodology (Systematic Literature Review)</w:t>
            </w:r>
            <w:r>
              <w:rPr>
                <w:noProof/>
                <w:webHidden/>
              </w:rPr>
              <w:tab/>
            </w:r>
            <w:r>
              <w:rPr>
                <w:noProof/>
                <w:webHidden/>
              </w:rPr>
              <w:fldChar w:fldCharType="begin"/>
            </w:r>
            <w:r>
              <w:rPr>
                <w:noProof/>
                <w:webHidden/>
              </w:rPr>
              <w:instrText xml:space="preserve"> PAGEREF _Toc228889928 \h </w:instrText>
            </w:r>
            <w:r>
              <w:rPr>
                <w:noProof/>
                <w:webHidden/>
              </w:rPr>
            </w:r>
            <w:r>
              <w:rPr>
                <w:noProof/>
                <w:webHidden/>
              </w:rPr>
              <w:fldChar w:fldCharType="separate"/>
            </w:r>
            <w:r>
              <w:rPr>
                <w:noProof/>
                <w:webHidden/>
              </w:rPr>
              <w:t>8</w:t>
            </w:r>
            <w:r>
              <w:rPr>
                <w:noProof/>
                <w:webHidden/>
              </w:rPr>
              <w:fldChar w:fldCharType="end"/>
            </w:r>
          </w:hyperlink>
        </w:p>
        <w:p w14:paraId="58ED4943" w14:textId="2A5C1A1E"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29" w:history="1">
            <w:r w:rsidRPr="00D87091">
              <w:rPr>
                <w:rStyle w:val="Hyperlink"/>
                <w:noProof/>
              </w:rPr>
              <w:t>2.1 Research design and methodological rationale</w:t>
            </w:r>
            <w:r>
              <w:rPr>
                <w:noProof/>
                <w:webHidden/>
              </w:rPr>
              <w:tab/>
            </w:r>
            <w:r>
              <w:rPr>
                <w:noProof/>
                <w:webHidden/>
              </w:rPr>
              <w:fldChar w:fldCharType="begin"/>
            </w:r>
            <w:r>
              <w:rPr>
                <w:noProof/>
                <w:webHidden/>
              </w:rPr>
              <w:instrText xml:space="preserve"> PAGEREF _Toc228889929 \h </w:instrText>
            </w:r>
            <w:r>
              <w:rPr>
                <w:noProof/>
                <w:webHidden/>
              </w:rPr>
            </w:r>
            <w:r>
              <w:rPr>
                <w:noProof/>
                <w:webHidden/>
              </w:rPr>
              <w:fldChar w:fldCharType="separate"/>
            </w:r>
            <w:r>
              <w:rPr>
                <w:noProof/>
                <w:webHidden/>
              </w:rPr>
              <w:t>8</w:t>
            </w:r>
            <w:r>
              <w:rPr>
                <w:noProof/>
                <w:webHidden/>
              </w:rPr>
              <w:fldChar w:fldCharType="end"/>
            </w:r>
          </w:hyperlink>
        </w:p>
        <w:p w14:paraId="222077B8" w14:textId="28E37F09"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30" w:history="1">
            <w:r w:rsidRPr="00D87091">
              <w:rPr>
                <w:rStyle w:val="Hyperlink"/>
                <w:rFonts w:eastAsia="Times New Roman"/>
                <w:noProof/>
                <w:lang w:eastAsia="en-GB"/>
              </w:rPr>
              <w:t>2.2 Review Scope and Time Frame</w:t>
            </w:r>
            <w:r>
              <w:rPr>
                <w:noProof/>
                <w:webHidden/>
              </w:rPr>
              <w:tab/>
            </w:r>
            <w:r>
              <w:rPr>
                <w:noProof/>
                <w:webHidden/>
              </w:rPr>
              <w:fldChar w:fldCharType="begin"/>
            </w:r>
            <w:r>
              <w:rPr>
                <w:noProof/>
                <w:webHidden/>
              </w:rPr>
              <w:instrText xml:space="preserve"> PAGEREF _Toc228889930 \h </w:instrText>
            </w:r>
            <w:r>
              <w:rPr>
                <w:noProof/>
                <w:webHidden/>
              </w:rPr>
            </w:r>
            <w:r>
              <w:rPr>
                <w:noProof/>
                <w:webHidden/>
              </w:rPr>
              <w:fldChar w:fldCharType="separate"/>
            </w:r>
            <w:r>
              <w:rPr>
                <w:noProof/>
                <w:webHidden/>
              </w:rPr>
              <w:t>8</w:t>
            </w:r>
            <w:r>
              <w:rPr>
                <w:noProof/>
                <w:webHidden/>
              </w:rPr>
              <w:fldChar w:fldCharType="end"/>
            </w:r>
          </w:hyperlink>
        </w:p>
        <w:p w14:paraId="529D824B" w14:textId="58560290"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31" w:history="1">
            <w:r w:rsidRPr="00D87091">
              <w:rPr>
                <w:rStyle w:val="Hyperlink"/>
                <w:rFonts w:eastAsia="Times New Roman"/>
                <w:noProof/>
                <w:lang w:eastAsia="en-GB"/>
              </w:rPr>
              <w:t>2.3 Data sources and search strategy</w:t>
            </w:r>
            <w:r>
              <w:rPr>
                <w:noProof/>
                <w:webHidden/>
              </w:rPr>
              <w:tab/>
            </w:r>
            <w:r>
              <w:rPr>
                <w:noProof/>
                <w:webHidden/>
              </w:rPr>
              <w:fldChar w:fldCharType="begin"/>
            </w:r>
            <w:r>
              <w:rPr>
                <w:noProof/>
                <w:webHidden/>
              </w:rPr>
              <w:instrText xml:space="preserve"> PAGEREF _Toc228889931 \h </w:instrText>
            </w:r>
            <w:r>
              <w:rPr>
                <w:noProof/>
                <w:webHidden/>
              </w:rPr>
            </w:r>
            <w:r>
              <w:rPr>
                <w:noProof/>
                <w:webHidden/>
              </w:rPr>
              <w:fldChar w:fldCharType="separate"/>
            </w:r>
            <w:r>
              <w:rPr>
                <w:noProof/>
                <w:webHidden/>
              </w:rPr>
              <w:t>8</w:t>
            </w:r>
            <w:r>
              <w:rPr>
                <w:noProof/>
                <w:webHidden/>
              </w:rPr>
              <w:fldChar w:fldCharType="end"/>
            </w:r>
          </w:hyperlink>
        </w:p>
        <w:p w14:paraId="7F9C56C7" w14:textId="6CDE86D8"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32" w:history="1">
            <w:r w:rsidRPr="00D87091">
              <w:rPr>
                <w:rStyle w:val="Hyperlink"/>
                <w:noProof/>
              </w:rPr>
              <w:t>2.4 Eligibility criteria (inclusion and exclusion)</w:t>
            </w:r>
            <w:r>
              <w:rPr>
                <w:noProof/>
                <w:webHidden/>
              </w:rPr>
              <w:tab/>
            </w:r>
            <w:r>
              <w:rPr>
                <w:noProof/>
                <w:webHidden/>
              </w:rPr>
              <w:fldChar w:fldCharType="begin"/>
            </w:r>
            <w:r>
              <w:rPr>
                <w:noProof/>
                <w:webHidden/>
              </w:rPr>
              <w:instrText xml:space="preserve"> PAGEREF _Toc228889932 \h </w:instrText>
            </w:r>
            <w:r>
              <w:rPr>
                <w:noProof/>
                <w:webHidden/>
              </w:rPr>
            </w:r>
            <w:r>
              <w:rPr>
                <w:noProof/>
                <w:webHidden/>
              </w:rPr>
              <w:fldChar w:fldCharType="separate"/>
            </w:r>
            <w:r>
              <w:rPr>
                <w:noProof/>
                <w:webHidden/>
              </w:rPr>
              <w:t>9</w:t>
            </w:r>
            <w:r>
              <w:rPr>
                <w:noProof/>
                <w:webHidden/>
              </w:rPr>
              <w:fldChar w:fldCharType="end"/>
            </w:r>
          </w:hyperlink>
        </w:p>
        <w:p w14:paraId="2BBA00D6" w14:textId="736BFD8A"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33" w:history="1">
            <w:r w:rsidRPr="00D87091">
              <w:rPr>
                <w:rStyle w:val="Hyperlink"/>
                <w:rFonts w:eastAsia="Times New Roman"/>
                <w:noProof/>
                <w:lang w:eastAsia="en-GB"/>
              </w:rPr>
              <w:t>2.5 Screening procedure and PRISMA reporting</w:t>
            </w:r>
            <w:r>
              <w:rPr>
                <w:noProof/>
                <w:webHidden/>
              </w:rPr>
              <w:tab/>
            </w:r>
            <w:r>
              <w:rPr>
                <w:noProof/>
                <w:webHidden/>
              </w:rPr>
              <w:fldChar w:fldCharType="begin"/>
            </w:r>
            <w:r>
              <w:rPr>
                <w:noProof/>
                <w:webHidden/>
              </w:rPr>
              <w:instrText xml:space="preserve"> PAGEREF _Toc228889933 \h </w:instrText>
            </w:r>
            <w:r>
              <w:rPr>
                <w:noProof/>
                <w:webHidden/>
              </w:rPr>
            </w:r>
            <w:r>
              <w:rPr>
                <w:noProof/>
                <w:webHidden/>
              </w:rPr>
              <w:fldChar w:fldCharType="separate"/>
            </w:r>
            <w:r>
              <w:rPr>
                <w:noProof/>
                <w:webHidden/>
              </w:rPr>
              <w:t>9</w:t>
            </w:r>
            <w:r>
              <w:rPr>
                <w:noProof/>
                <w:webHidden/>
              </w:rPr>
              <w:fldChar w:fldCharType="end"/>
            </w:r>
          </w:hyperlink>
        </w:p>
        <w:p w14:paraId="19BEE4FD" w14:textId="122FB667"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34" w:history="1">
            <w:r w:rsidRPr="00D87091">
              <w:rPr>
                <w:rStyle w:val="Hyperlink"/>
                <w:rFonts w:eastAsia="Times New Roman"/>
                <w:noProof/>
                <w:lang w:eastAsia="en-GB"/>
              </w:rPr>
              <w:t>2.6 Data extraction framework</w:t>
            </w:r>
            <w:r>
              <w:rPr>
                <w:noProof/>
                <w:webHidden/>
              </w:rPr>
              <w:tab/>
            </w:r>
            <w:r>
              <w:rPr>
                <w:noProof/>
                <w:webHidden/>
              </w:rPr>
              <w:fldChar w:fldCharType="begin"/>
            </w:r>
            <w:r>
              <w:rPr>
                <w:noProof/>
                <w:webHidden/>
              </w:rPr>
              <w:instrText xml:space="preserve"> PAGEREF _Toc228889934 \h </w:instrText>
            </w:r>
            <w:r>
              <w:rPr>
                <w:noProof/>
                <w:webHidden/>
              </w:rPr>
            </w:r>
            <w:r>
              <w:rPr>
                <w:noProof/>
                <w:webHidden/>
              </w:rPr>
              <w:fldChar w:fldCharType="separate"/>
            </w:r>
            <w:r>
              <w:rPr>
                <w:noProof/>
                <w:webHidden/>
              </w:rPr>
              <w:t>10</w:t>
            </w:r>
            <w:r>
              <w:rPr>
                <w:noProof/>
                <w:webHidden/>
              </w:rPr>
              <w:fldChar w:fldCharType="end"/>
            </w:r>
          </w:hyperlink>
        </w:p>
        <w:p w14:paraId="4B63902E" w14:textId="6FD0DA1F"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35" w:history="1">
            <w:r w:rsidRPr="00D87091">
              <w:rPr>
                <w:rStyle w:val="Hyperlink"/>
                <w:rFonts w:eastAsia="Times New Roman"/>
                <w:noProof/>
                <w:lang w:eastAsia="en-GB"/>
              </w:rPr>
              <w:t>2.7 Quality appraisal</w:t>
            </w:r>
            <w:r>
              <w:rPr>
                <w:noProof/>
                <w:webHidden/>
              </w:rPr>
              <w:tab/>
            </w:r>
            <w:r>
              <w:rPr>
                <w:noProof/>
                <w:webHidden/>
              </w:rPr>
              <w:fldChar w:fldCharType="begin"/>
            </w:r>
            <w:r>
              <w:rPr>
                <w:noProof/>
                <w:webHidden/>
              </w:rPr>
              <w:instrText xml:space="preserve"> PAGEREF _Toc228889935 \h </w:instrText>
            </w:r>
            <w:r>
              <w:rPr>
                <w:noProof/>
                <w:webHidden/>
              </w:rPr>
            </w:r>
            <w:r>
              <w:rPr>
                <w:noProof/>
                <w:webHidden/>
              </w:rPr>
              <w:fldChar w:fldCharType="separate"/>
            </w:r>
            <w:r>
              <w:rPr>
                <w:noProof/>
                <w:webHidden/>
              </w:rPr>
              <w:t>11</w:t>
            </w:r>
            <w:r>
              <w:rPr>
                <w:noProof/>
                <w:webHidden/>
              </w:rPr>
              <w:fldChar w:fldCharType="end"/>
            </w:r>
          </w:hyperlink>
        </w:p>
        <w:p w14:paraId="459F1F7C" w14:textId="31D017F2"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36" w:history="1">
            <w:r w:rsidRPr="00D87091">
              <w:rPr>
                <w:rStyle w:val="Hyperlink"/>
                <w:rFonts w:eastAsia="Times New Roman"/>
                <w:noProof/>
                <w:lang w:eastAsia="en-GB"/>
              </w:rPr>
              <w:t>2.8 Synthesis approach</w:t>
            </w:r>
            <w:r>
              <w:rPr>
                <w:noProof/>
                <w:webHidden/>
              </w:rPr>
              <w:tab/>
            </w:r>
            <w:r>
              <w:rPr>
                <w:noProof/>
                <w:webHidden/>
              </w:rPr>
              <w:fldChar w:fldCharType="begin"/>
            </w:r>
            <w:r>
              <w:rPr>
                <w:noProof/>
                <w:webHidden/>
              </w:rPr>
              <w:instrText xml:space="preserve"> PAGEREF _Toc228889936 \h </w:instrText>
            </w:r>
            <w:r>
              <w:rPr>
                <w:noProof/>
                <w:webHidden/>
              </w:rPr>
            </w:r>
            <w:r>
              <w:rPr>
                <w:noProof/>
                <w:webHidden/>
              </w:rPr>
              <w:fldChar w:fldCharType="separate"/>
            </w:r>
            <w:r>
              <w:rPr>
                <w:noProof/>
                <w:webHidden/>
              </w:rPr>
              <w:t>11</w:t>
            </w:r>
            <w:r>
              <w:rPr>
                <w:noProof/>
                <w:webHidden/>
              </w:rPr>
              <w:fldChar w:fldCharType="end"/>
            </w:r>
          </w:hyperlink>
        </w:p>
        <w:p w14:paraId="0487ABAC" w14:textId="2B0B888A"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37" w:history="1">
            <w:r w:rsidRPr="00D87091">
              <w:rPr>
                <w:rStyle w:val="Hyperlink"/>
                <w:rFonts w:eastAsia="Times New Roman"/>
                <w:noProof/>
                <w:lang w:eastAsia="en-GB"/>
              </w:rPr>
              <w:t>2.9 Methodological limitations</w:t>
            </w:r>
            <w:r>
              <w:rPr>
                <w:noProof/>
                <w:webHidden/>
              </w:rPr>
              <w:tab/>
            </w:r>
            <w:r>
              <w:rPr>
                <w:noProof/>
                <w:webHidden/>
              </w:rPr>
              <w:fldChar w:fldCharType="begin"/>
            </w:r>
            <w:r>
              <w:rPr>
                <w:noProof/>
                <w:webHidden/>
              </w:rPr>
              <w:instrText xml:space="preserve"> PAGEREF _Toc228889937 \h </w:instrText>
            </w:r>
            <w:r>
              <w:rPr>
                <w:noProof/>
                <w:webHidden/>
              </w:rPr>
            </w:r>
            <w:r>
              <w:rPr>
                <w:noProof/>
                <w:webHidden/>
              </w:rPr>
              <w:fldChar w:fldCharType="separate"/>
            </w:r>
            <w:r>
              <w:rPr>
                <w:noProof/>
                <w:webHidden/>
              </w:rPr>
              <w:t>11</w:t>
            </w:r>
            <w:r>
              <w:rPr>
                <w:noProof/>
                <w:webHidden/>
              </w:rPr>
              <w:fldChar w:fldCharType="end"/>
            </w:r>
          </w:hyperlink>
        </w:p>
        <w:p w14:paraId="63D18DDE" w14:textId="355EF1F8" w:rsidR="00427AA9" w:rsidRDefault="00427AA9">
          <w:pPr>
            <w:pStyle w:val="TOC1"/>
            <w:tabs>
              <w:tab w:val="right" w:leader="dot" w:pos="9016"/>
            </w:tabs>
            <w:rPr>
              <w:rFonts w:asciiTheme="minorHAnsi" w:eastAsiaTheme="minorEastAsia" w:hAnsiTheme="minorHAnsi"/>
              <w:noProof/>
              <w:kern w:val="2"/>
              <w:szCs w:val="24"/>
              <w:lang w:eastAsia="en-GB"/>
            </w:rPr>
          </w:pPr>
          <w:hyperlink w:anchor="_Toc228889938" w:history="1">
            <w:r w:rsidRPr="00D87091">
              <w:rPr>
                <w:rStyle w:val="Hyperlink"/>
                <w:rFonts w:eastAsia="Times New Roman"/>
                <w:noProof/>
                <w:lang w:eastAsia="en-GB"/>
              </w:rPr>
              <w:t>Chapter 3: Conceptual and Background Literature Review</w:t>
            </w:r>
            <w:r>
              <w:rPr>
                <w:noProof/>
                <w:webHidden/>
              </w:rPr>
              <w:tab/>
            </w:r>
            <w:r>
              <w:rPr>
                <w:noProof/>
                <w:webHidden/>
              </w:rPr>
              <w:fldChar w:fldCharType="begin"/>
            </w:r>
            <w:r>
              <w:rPr>
                <w:noProof/>
                <w:webHidden/>
              </w:rPr>
              <w:instrText xml:space="preserve"> PAGEREF _Toc228889938 \h </w:instrText>
            </w:r>
            <w:r>
              <w:rPr>
                <w:noProof/>
                <w:webHidden/>
              </w:rPr>
            </w:r>
            <w:r>
              <w:rPr>
                <w:noProof/>
                <w:webHidden/>
              </w:rPr>
              <w:fldChar w:fldCharType="separate"/>
            </w:r>
            <w:r>
              <w:rPr>
                <w:noProof/>
                <w:webHidden/>
              </w:rPr>
              <w:t>12</w:t>
            </w:r>
            <w:r>
              <w:rPr>
                <w:noProof/>
                <w:webHidden/>
              </w:rPr>
              <w:fldChar w:fldCharType="end"/>
            </w:r>
          </w:hyperlink>
        </w:p>
        <w:p w14:paraId="793C7A2D" w14:textId="36F5761E"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39" w:history="1">
            <w:r w:rsidRPr="00D87091">
              <w:rPr>
                <w:rStyle w:val="Hyperlink"/>
                <w:rFonts w:eastAsia="Times New Roman"/>
                <w:noProof/>
                <w:lang w:eastAsia="en-GB"/>
              </w:rPr>
              <w:t>3.1 Conceptualising tourist satisfaction</w:t>
            </w:r>
            <w:r>
              <w:rPr>
                <w:noProof/>
                <w:webHidden/>
              </w:rPr>
              <w:tab/>
            </w:r>
            <w:r>
              <w:rPr>
                <w:noProof/>
                <w:webHidden/>
              </w:rPr>
              <w:fldChar w:fldCharType="begin"/>
            </w:r>
            <w:r>
              <w:rPr>
                <w:noProof/>
                <w:webHidden/>
              </w:rPr>
              <w:instrText xml:space="preserve"> PAGEREF _Toc228889939 \h </w:instrText>
            </w:r>
            <w:r>
              <w:rPr>
                <w:noProof/>
                <w:webHidden/>
              </w:rPr>
            </w:r>
            <w:r>
              <w:rPr>
                <w:noProof/>
                <w:webHidden/>
              </w:rPr>
              <w:fldChar w:fldCharType="separate"/>
            </w:r>
            <w:r>
              <w:rPr>
                <w:noProof/>
                <w:webHidden/>
              </w:rPr>
              <w:t>12</w:t>
            </w:r>
            <w:r>
              <w:rPr>
                <w:noProof/>
                <w:webHidden/>
              </w:rPr>
              <w:fldChar w:fldCharType="end"/>
            </w:r>
          </w:hyperlink>
        </w:p>
        <w:p w14:paraId="20280C35" w14:textId="6C580297"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40" w:history="1">
            <w:r w:rsidRPr="00D87091">
              <w:rPr>
                <w:rStyle w:val="Hyperlink"/>
                <w:noProof/>
                <w:lang w:eastAsia="en-GB"/>
              </w:rPr>
              <w:t>3.2 Satisfaction as experiential and risk-adjusted evaluation</w:t>
            </w:r>
            <w:r>
              <w:rPr>
                <w:noProof/>
                <w:webHidden/>
              </w:rPr>
              <w:tab/>
            </w:r>
            <w:r>
              <w:rPr>
                <w:noProof/>
                <w:webHidden/>
              </w:rPr>
              <w:fldChar w:fldCharType="begin"/>
            </w:r>
            <w:r>
              <w:rPr>
                <w:noProof/>
                <w:webHidden/>
              </w:rPr>
              <w:instrText xml:space="preserve"> PAGEREF _Toc228889940 \h </w:instrText>
            </w:r>
            <w:r>
              <w:rPr>
                <w:noProof/>
                <w:webHidden/>
              </w:rPr>
            </w:r>
            <w:r>
              <w:rPr>
                <w:noProof/>
                <w:webHidden/>
              </w:rPr>
              <w:fldChar w:fldCharType="separate"/>
            </w:r>
            <w:r>
              <w:rPr>
                <w:noProof/>
                <w:webHidden/>
              </w:rPr>
              <w:t>13</w:t>
            </w:r>
            <w:r>
              <w:rPr>
                <w:noProof/>
                <w:webHidden/>
              </w:rPr>
              <w:fldChar w:fldCharType="end"/>
            </w:r>
          </w:hyperlink>
        </w:p>
        <w:p w14:paraId="3B690A79" w14:textId="44E56BE4"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41" w:history="1">
            <w:r w:rsidRPr="00D87091">
              <w:rPr>
                <w:rStyle w:val="Hyperlink"/>
                <w:noProof/>
                <w:lang w:eastAsia="en-GB"/>
              </w:rPr>
              <w:t>3.3 Measurement of tourist satisfaction</w:t>
            </w:r>
            <w:r>
              <w:rPr>
                <w:noProof/>
                <w:webHidden/>
              </w:rPr>
              <w:tab/>
            </w:r>
            <w:r>
              <w:rPr>
                <w:noProof/>
                <w:webHidden/>
              </w:rPr>
              <w:fldChar w:fldCharType="begin"/>
            </w:r>
            <w:r>
              <w:rPr>
                <w:noProof/>
                <w:webHidden/>
              </w:rPr>
              <w:instrText xml:space="preserve"> PAGEREF _Toc228889941 \h </w:instrText>
            </w:r>
            <w:r>
              <w:rPr>
                <w:noProof/>
                <w:webHidden/>
              </w:rPr>
            </w:r>
            <w:r>
              <w:rPr>
                <w:noProof/>
                <w:webHidden/>
              </w:rPr>
              <w:fldChar w:fldCharType="separate"/>
            </w:r>
            <w:r>
              <w:rPr>
                <w:noProof/>
                <w:webHidden/>
              </w:rPr>
              <w:t>14</w:t>
            </w:r>
            <w:r>
              <w:rPr>
                <w:noProof/>
                <w:webHidden/>
              </w:rPr>
              <w:fldChar w:fldCharType="end"/>
            </w:r>
          </w:hyperlink>
        </w:p>
        <w:p w14:paraId="47C386CB" w14:textId="4088E499"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42" w:history="1">
            <w:r w:rsidRPr="00D87091">
              <w:rPr>
                <w:rStyle w:val="Hyperlink"/>
                <w:noProof/>
                <w:lang w:eastAsia="en-GB"/>
              </w:rPr>
              <w:t>3.4 Overtourism and crowding</w:t>
            </w:r>
            <w:r>
              <w:rPr>
                <w:noProof/>
                <w:webHidden/>
              </w:rPr>
              <w:tab/>
            </w:r>
            <w:r>
              <w:rPr>
                <w:noProof/>
                <w:webHidden/>
              </w:rPr>
              <w:fldChar w:fldCharType="begin"/>
            </w:r>
            <w:r>
              <w:rPr>
                <w:noProof/>
                <w:webHidden/>
              </w:rPr>
              <w:instrText xml:space="preserve"> PAGEREF _Toc228889942 \h </w:instrText>
            </w:r>
            <w:r>
              <w:rPr>
                <w:noProof/>
                <w:webHidden/>
              </w:rPr>
            </w:r>
            <w:r>
              <w:rPr>
                <w:noProof/>
                <w:webHidden/>
              </w:rPr>
              <w:fldChar w:fldCharType="separate"/>
            </w:r>
            <w:r>
              <w:rPr>
                <w:noProof/>
                <w:webHidden/>
              </w:rPr>
              <w:t>15</w:t>
            </w:r>
            <w:r>
              <w:rPr>
                <w:noProof/>
                <w:webHidden/>
              </w:rPr>
              <w:fldChar w:fldCharType="end"/>
            </w:r>
          </w:hyperlink>
        </w:p>
        <w:p w14:paraId="3316F47C" w14:textId="1EF0EA59"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43" w:history="1">
            <w:r w:rsidRPr="00D87091">
              <w:rPr>
                <w:rStyle w:val="Hyperlink"/>
                <w:noProof/>
                <w:lang w:eastAsia="en-GB"/>
              </w:rPr>
              <w:t>3.5 Post</w:t>
            </w:r>
            <w:r w:rsidRPr="00D87091">
              <w:rPr>
                <w:rStyle w:val="Hyperlink"/>
                <w:rFonts w:ascii="Cambria Math" w:hAnsi="Cambria Math" w:cs="Cambria Math"/>
                <w:noProof/>
                <w:lang w:eastAsia="en-GB"/>
              </w:rPr>
              <w:t>‑</w:t>
            </w:r>
            <w:r w:rsidRPr="00D87091">
              <w:rPr>
                <w:rStyle w:val="Hyperlink"/>
                <w:noProof/>
                <w:lang w:eastAsia="en-GB"/>
              </w:rPr>
              <w:t>COVID risk, safety and satisfaction</w:t>
            </w:r>
            <w:r>
              <w:rPr>
                <w:noProof/>
                <w:webHidden/>
              </w:rPr>
              <w:tab/>
            </w:r>
            <w:r>
              <w:rPr>
                <w:noProof/>
                <w:webHidden/>
              </w:rPr>
              <w:fldChar w:fldCharType="begin"/>
            </w:r>
            <w:r>
              <w:rPr>
                <w:noProof/>
                <w:webHidden/>
              </w:rPr>
              <w:instrText xml:space="preserve"> PAGEREF _Toc228889943 \h </w:instrText>
            </w:r>
            <w:r>
              <w:rPr>
                <w:noProof/>
                <w:webHidden/>
              </w:rPr>
            </w:r>
            <w:r>
              <w:rPr>
                <w:noProof/>
                <w:webHidden/>
              </w:rPr>
              <w:fldChar w:fldCharType="separate"/>
            </w:r>
            <w:r>
              <w:rPr>
                <w:noProof/>
                <w:webHidden/>
              </w:rPr>
              <w:t>16</w:t>
            </w:r>
            <w:r>
              <w:rPr>
                <w:noProof/>
                <w:webHidden/>
              </w:rPr>
              <w:fldChar w:fldCharType="end"/>
            </w:r>
          </w:hyperlink>
        </w:p>
        <w:p w14:paraId="12AE119D" w14:textId="11001D6F"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44" w:history="1">
            <w:r w:rsidRPr="00D87091">
              <w:rPr>
                <w:rStyle w:val="Hyperlink"/>
                <w:noProof/>
                <w:lang w:eastAsia="en-GB"/>
              </w:rPr>
              <w:t>3.6 Digitalisation and smart tourism</w:t>
            </w:r>
            <w:r>
              <w:rPr>
                <w:noProof/>
                <w:webHidden/>
              </w:rPr>
              <w:tab/>
            </w:r>
            <w:r>
              <w:rPr>
                <w:noProof/>
                <w:webHidden/>
              </w:rPr>
              <w:fldChar w:fldCharType="begin"/>
            </w:r>
            <w:r>
              <w:rPr>
                <w:noProof/>
                <w:webHidden/>
              </w:rPr>
              <w:instrText xml:space="preserve"> PAGEREF _Toc228889944 \h </w:instrText>
            </w:r>
            <w:r>
              <w:rPr>
                <w:noProof/>
                <w:webHidden/>
              </w:rPr>
            </w:r>
            <w:r>
              <w:rPr>
                <w:noProof/>
                <w:webHidden/>
              </w:rPr>
              <w:fldChar w:fldCharType="separate"/>
            </w:r>
            <w:r>
              <w:rPr>
                <w:noProof/>
                <w:webHidden/>
              </w:rPr>
              <w:t>18</w:t>
            </w:r>
            <w:r>
              <w:rPr>
                <w:noProof/>
                <w:webHidden/>
              </w:rPr>
              <w:fldChar w:fldCharType="end"/>
            </w:r>
          </w:hyperlink>
        </w:p>
        <w:p w14:paraId="3AE68256" w14:textId="5F2264F7"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45" w:history="1">
            <w:r w:rsidRPr="00D87091">
              <w:rPr>
                <w:rStyle w:val="Hyperlink"/>
                <w:noProof/>
                <w:lang w:eastAsia="en-GB"/>
              </w:rPr>
              <w:t>3.7 Summary and conceptual positioning</w:t>
            </w:r>
            <w:r>
              <w:rPr>
                <w:noProof/>
                <w:webHidden/>
              </w:rPr>
              <w:tab/>
            </w:r>
            <w:r>
              <w:rPr>
                <w:noProof/>
                <w:webHidden/>
              </w:rPr>
              <w:fldChar w:fldCharType="begin"/>
            </w:r>
            <w:r>
              <w:rPr>
                <w:noProof/>
                <w:webHidden/>
              </w:rPr>
              <w:instrText xml:space="preserve"> PAGEREF _Toc228889945 \h </w:instrText>
            </w:r>
            <w:r>
              <w:rPr>
                <w:noProof/>
                <w:webHidden/>
              </w:rPr>
            </w:r>
            <w:r>
              <w:rPr>
                <w:noProof/>
                <w:webHidden/>
              </w:rPr>
              <w:fldChar w:fldCharType="separate"/>
            </w:r>
            <w:r>
              <w:rPr>
                <w:noProof/>
                <w:webHidden/>
              </w:rPr>
              <w:t>19</w:t>
            </w:r>
            <w:r>
              <w:rPr>
                <w:noProof/>
                <w:webHidden/>
              </w:rPr>
              <w:fldChar w:fldCharType="end"/>
            </w:r>
          </w:hyperlink>
        </w:p>
        <w:p w14:paraId="3822EFF7" w14:textId="16834CF6" w:rsidR="00427AA9" w:rsidRDefault="00427AA9">
          <w:pPr>
            <w:pStyle w:val="TOC1"/>
            <w:tabs>
              <w:tab w:val="right" w:leader="dot" w:pos="9016"/>
            </w:tabs>
            <w:rPr>
              <w:rFonts w:asciiTheme="minorHAnsi" w:eastAsiaTheme="minorEastAsia" w:hAnsiTheme="minorHAnsi"/>
              <w:noProof/>
              <w:kern w:val="2"/>
              <w:szCs w:val="24"/>
              <w:lang w:eastAsia="en-GB"/>
            </w:rPr>
          </w:pPr>
          <w:hyperlink w:anchor="_Toc228889946" w:history="1">
            <w:r w:rsidRPr="00D87091">
              <w:rPr>
                <w:rStyle w:val="Hyperlink"/>
                <w:noProof/>
                <w:lang w:eastAsia="en-GB"/>
              </w:rPr>
              <w:t>Chapter 4: Findings and SLR Synthesis</w:t>
            </w:r>
            <w:r>
              <w:rPr>
                <w:noProof/>
                <w:webHidden/>
              </w:rPr>
              <w:tab/>
            </w:r>
            <w:r>
              <w:rPr>
                <w:noProof/>
                <w:webHidden/>
              </w:rPr>
              <w:fldChar w:fldCharType="begin"/>
            </w:r>
            <w:r>
              <w:rPr>
                <w:noProof/>
                <w:webHidden/>
              </w:rPr>
              <w:instrText xml:space="preserve"> PAGEREF _Toc228889946 \h </w:instrText>
            </w:r>
            <w:r>
              <w:rPr>
                <w:noProof/>
                <w:webHidden/>
              </w:rPr>
            </w:r>
            <w:r>
              <w:rPr>
                <w:noProof/>
                <w:webHidden/>
              </w:rPr>
              <w:fldChar w:fldCharType="separate"/>
            </w:r>
            <w:r>
              <w:rPr>
                <w:noProof/>
                <w:webHidden/>
              </w:rPr>
              <w:t>20</w:t>
            </w:r>
            <w:r>
              <w:rPr>
                <w:noProof/>
                <w:webHidden/>
              </w:rPr>
              <w:fldChar w:fldCharType="end"/>
            </w:r>
          </w:hyperlink>
        </w:p>
        <w:p w14:paraId="2F5C9E97" w14:textId="2A1FB0DB"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47" w:history="1">
            <w:r w:rsidRPr="00D87091">
              <w:rPr>
                <w:rStyle w:val="Hyperlink"/>
                <w:noProof/>
              </w:rPr>
              <w:t>4.1 Introduction to findings and synthesis approach</w:t>
            </w:r>
            <w:r>
              <w:rPr>
                <w:noProof/>
                <w:webHidden/>
              </w:rPr>
              <w:tab/>
            </w:r>
            <w:r>
              <w:rPr>
                <w:noProof/>
                <w:webHidden/>
              </w:rPr>
              <w:fldChar w:fldCharType="begin"/>
            </w:r>
            <w:r>
              <w:rPr>
                <w:noProof/>
                <w:webHidden/>
              </w:rPr>
              <w:instrText xml:space="preserve"> PAGEREF _Toc228889947 \h </w:instrText>
            </w:r>
            <w:r>
              <w:rPr>
                <w:noProof/>
                <w:webHidden/>
              </w:rPr>
            </w:r>
            <w:r>
              <w:rPr>
                <w:noProof/>
                <w:webHidden/>
              </w:rPr>
              <w:fldChar w:fldCharType="separate"/>
            </w:r>
            <w:r>
              <w:rPr>
                <w:noProof/>
                <w:webHidden/>
              </w:rPr>
              <w:t>20</w:t>
            </w:r>
            <w:r>
              <w:rPr>
                <w:noProof/>
                <w:webHidden/>
              </w:rPr>
              <w:fldChar w:fldCharType="end"/>
            </w:r>
          </w:hyperlink>
        </w:p>
        <w:p w14:paraId="0F3CC1C1" w14:textId="0600F69B"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48" w:history="1">
            <w:r w:rsidRPr="00D87091">
              <w:rPr>
                <w:rStyle w:val="Hyperlink"/>
                <w:noProof/>
                <w:lang w:eastAsia="en-GB"/>
              </w:rPr>
              <w:t>4.2 Study selection and corpus characteristics</w:t>
            </w:r>
            <w:r>
              <w:rPr>
                <w:noProof/>
                <w:webHidden/>
              </w:rPr>
              <w:tab/>
            </w:r>
            <w:r>
              <w:rPr>
                <w:noProof/>
                <w:webHidden/>
              </w:rPr>
              <w:fldChar w:fldCharType="begin"/>
            </w:r>
            <w:r>
              <w:rPr>
                <w:noProof/>
                <w:webHidden/>
              </w:rPr>
              <w:instrText xml:space="preserve"> PAGEREF _Toc228889948 \h </w:instrText>
            </w:r>
            <w:r>
              <w:rPr>
                <w:noProof/>
                <w:webHidden/>
              </w:rPr>
            </w:r>
            <w:r>
              <w:rPr>
                <w:noProof/>
                <w:webHidden/>
              </w:rPr>
              <w:fldChar w:fldCharType="separate"/>
            </w:r>
            <w:r>
              <w:rPr>
                <w:noProof/>
                <w:webHidden/>
              </w:rPr>
              <w:t>20</w:t>
            </w:r>
            <w:r>
              <w:rPr>
                <w:noProof/>
                <w:webHidden/>
              </w:rPr>
              <w:fldChar w:fldCharType="end"/>
            </w:r>
          </w:hyperlink>
        </w:p>
        <w:p w14:paraId="28E1B3C0" w14:textId="44493E3C"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49" w:history="1">
            <w:r w:rsidRPr="00D87091">
              <w:rPr>
                <w:rStyle w:val="Hyperlink"/>
                <w:noProof/>
                <w:lang w:eastAsia="en-GB"/>
              </w:rPr>
              <w:t>4.3 Conceptualisation of tourist satisfaction (RQ1)</w:t>
            </w:r>
            <w:r>
              <w:rPr>
                <w:noProof/>
                <w:webHidden/>
              </w:rPr>
              <w:tab/>
            </w:r>
            <w:r>
              <w:rPr>
                <w:noProof/>
                <w:webHidden/>
              </w:rPr>
              <w:fldChar w:fldCharType="begin"/>
            </w:r>
            <w:r>
              <w:rPr>
                <w:noProof/>
                <w:webHidden/>
              </w:rPr>
              <w:instrText xml:space="preserve"> PAGEREF _Toc228889949 \h </w:instrText>
            </w:r>
            <w:r>
              <w:rPr>
                <w:noProof/>
                <w:webHidden/>
              </w:rPr>
            </w:r>
            <w:r>
              <w:rPr>
                <w:noProof/>
                <w:webHidden/>
              </w:rPr>
              <w:fldChar w:fldCharType="separate"/>
            </w:r>
            <w:r>
              <w:rPr>
                <w:noProof/>
                <w:webHidden/>
              </w:rPr>
              <w:t>23</w:t>
            </w:r>
            <w:r>
              <w:rPr>
                <w:noProof/>
                <w:webHidden/>
              </w:rPr>
              <w:fldChar w:fldCharType="end"/>
            </w:r>
          </w:hyperlink>
        </w:p>
        <w:p w14:paraId="75B98DC9" w14:textId="1F54E9C6"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50" w:history="1">
            <w:r w:rsidRPr="00D87091">
              <w:rPr>
                <w:rStyle w:val="Hyperlink"/>
                <w:noProof/>
                <w:lang w:eastAsia="en-GB"/>
              </w:rPr>
              <w:t>4.4 Measurement of tourist satisfaction (RQ2)</w:t>
            </w:r>
            <w:r>
              <w:rPr>
                <w:noProof/>
                <w:webHidden/>
              </w:rPr>
              <w:tab/>
            </w:r>
            <w:r>
              <w:rPr>
                <w:noProof/>
                <w:webHidden/>
              </w:rPr>
              <w:fldChar w:fldCharType="begin"/>
            </w:r>
            <w:r>
              <w:rPr>
                <w:noProof/>
                <w:webHidden/>
              </w:rPr>
              <w:instrText xml:space="preserve"> PAGEREF _Toc228889950 \h </w:instrText>
            </w:r>
            <w:r>
              <w:rPr>
                <w:noProof/>
                <w:webHidden/>
              </w:rPr>
            </w:r>
            <w:r>
              <w:rPr>
                <w:noProof/>
                <w:webHidden/>
              </w:rPr>
              <w:fldChar w:fldCharType="separate"/>
            </w:r>
            <w:r>
              <w:rPr>
                <w:noProof/>
                <w:webHidden/>
              </w:rPr>
              <w:t>25</w:t>
            </w:r>
            <w:r>
              <w:rPr>
                <w:noProof/>
                <w:webHidden/>
              </w:rPr>
              <w:fldChar w:fldCharType="end"/>
            </w:r>
          </w:hyperlink>
        </w:p>
        <w:p w14:paraId="6A814B55" w14:textId="650E52A8" w:rsidR="00427AA9" w:rsidRDefault="00427AA9">
          <w:pPr>
            <w:pStyle w:val="TOC3"/>
            <w:tabs>
              <w:tab w:val="right" w:leader="dot" w:pos="9016"/>
            </w:tabs>
            <w:rPr>
              <w:rFonts w:asciiTheme="minorHAnsi" w:eastAsiaTheme="minorEastAsia" w:hAnsiTheme="minorHAnsi"/>
              <w:noProof/>
              <w:kern w:val="2"/>
              <w:szCs w:val="24"/>
              <w:lang w:eastAsia="en-GB"/>
            </w:rPr>
          </w:pPr>
          <w:hyperlink w:anchor="_Toc228889951" w:history="1">
            <w:r w:rsidRPr="00D87091">
              <w:rPr>
                <w:rStyle w:val="Hyperlink"/>
                <w:noProof/>
                <w:lang w:eastAsia="en-GB"/>
              </w:rPr>
              <w:t>4.4.1 Evidence mapping: indicator frequency across the included corpus</w:t>
            </w:r>
            <w:r>
              <w:rPr>
                <w:noProof/>
                <w:webHidden/>
              </w:rPr>
              <w:tab/>
            </w:r>
            <w:r>
              <w:rPr>
                <w:noProof/>
                <w:webHidden/>
              </w:rPr>
              <w:fldChar w:fldCharType="begin"/>
            </w:r>
            <w:r>
              <w:rPr>
                <w:noProof/>
                <w:webHidden/>
              </w:rPr>
              <w:instrText xml:space="preserve"> PAGEREF _Toc228889951 \h </w:instrText>
            </w:r>
            <w:r>
              <w:rPr>
                <w:noProof/>
                <w:webHidden/>
              </w:rPr>
            </w:r>
            <w:r>
              <w:rPr>
                <w:noProof/>
                <w:webHidden/>
              </w:rPr>
              <w:fldChar w:fldCharType="separate"/>
            </w:r>
            <w:r>
              <w:rPr>
                <w:noProof/>
                <w:webHidden/>
              </w:rPr>
              <w:t>27</w:t>
            </w:r>
            <w:r>
              <w:rPr>
                <w:noProof/>
                <w:webHidden/>
              </w:rPr>
              <w:fldChar w:fldCharType="end"/>
            </w:r>
          </w:hyperlink>
        </w:p>
        <w:p w14:paraId="7D33EAB2" w14:textId="3998DF6C" w:rsidR="00427AA9" w:rsidRDefault="00427AA9">
          <w:pPr>
            <w:pStyle w:val="TOC3"/>
            <w:tabs>
              <w:tab w:val="right" w:leader="dot" w:pos="9016"/>
            </w:tabs>
            <w:rPr>
              <w:rFonts w:asciiTheme="minorHAnsi" w:eastAsiaTheme="minorEastAsia" w:hAnsiTheme="minorHAnsi"/>
              <w:noProof/>
              <w:kern w:val="2"/>
              <w:szCs w:val="24"/>
              <w:lang w:eastAsia="en-GB"/>
            </w:rPr>
          </w:pPr>
          <w:hyperlink w:anchor="_Toc228889952" w:history="1">
            <w:r w:rsidRPr="00D87091">
              <w:rPr>
                <w:rStyle w:val="Hyperlink"/>
                <w:noProof/>
                <w:lang w:eastAsia="en-GB"/>
              </w:rPr>
              <w:t>4.4.2 Evidence mapping: indicator coverage by research question</w:t>
            </w:r>
            <w:r>
              <w:rPr>
                <w:noProof/>
                <w:webHidden/>
              </w:rPr>
              <w:tab/>
            </w:r>
            <w:r>
              <w:rPr>
                <w:noProof/>
                <w:webHidden/>
              </w:rPr>
              <w:fldChar w:fldCharType="begin"/>
            </w:r>
            <w:r>
              <w:rPr>
                <w:noProof/>
                <w:webHidden/>
              </w:rPr>
              <w:instrText xml:space="preserve"> PAGEREF _Toc228889952 \h </w:instrText>
            </w:r>
            <w:r>
              <w:rPr>
                <w:noProof/>
                <w:webHidden/>
              </w:rPr>
            </w:r>
            <w:r>
              <w:rPr>
                <w:noProof/>
                <w:webHidden/>
              </w:rPr>
              <w:fldChar w:fldCharType="separate"/>
            </w:r>
            <w:r>
              <w:rPr>
                <w:noProof/>
                <w:webHidden/>
              </w:rPr>
              <w:t>28</w:t>
            </w:r>
            <w:r>
              <w:rPr>
                <w:noProof/>
                <w:webHidden/>
              </w:rPr>
              <w:fldChar w:fldCharType="end"/>
            </w:r>
          </w:hyperlink>
        </w:p>
        <w:p w14:paraId="4BBFA14E" w14:textId="371B2EED"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53" w:history="1">
            <w:r w:rsidRPr="00D87091">
              <w:rPr>
                <w:rStyle w:val="Hyperlink"/>
                <w:noProof/>
                <w:lang w:eastAsia="en-GB"/>
              </w:rPr>
              <w:t>4.5 Satisfaction, contextual pressures and behavioural outcomes (RQ3)</w:t>
            </w:r>
            <w:r>
              <w:rPr>
                <w:noProof/>
                <w:webHidden/>
              </w:rPr>
              <w:tab/>
            </w:r>
            <w:r>
              <w:rPr>
                <w:noProof/>
                <w:webHidden/>
              </w:rPr>
              <w:fldChar w:fldCharType="begin"/>
            </w:r>
            <w:r>
              <w:rPr>
                <w:noProof/>
                <w:webHidden/>
              </w:rPr>
              <w:instrText xml:space="preserve"> PAGEREF _Toc228889953 \h </w:instrText>
            </w:r>
            <w:r>
              <w:rPr>
                <w:noProof/>
                <w:webHidden/>
              </w:rPr>
            </w:r>
            <w:r>
              <w:rPr>
                <w:noProof/>
                <w:webHidden/>
              </w:rPr>
              <w:fldChar w:fldCharType="separate"/>
            </w:r>
            <w:r>
              <w:rPr>
                <w:noProof/>
                <w:webHidden/>
              </w:rPr>
              <w:t>30</w:t>
            </w:r>
            <w:r>
              <w:rPr>
                <w:noProof/>
                <w:webHidden/>
              </w:rPr>
              <w:fldChar w:fldCharType="end"/>
            </w:r>
          </w:hyperlink>
        </w:p>
        <w:p w14:paraId="119C03E2" w14:textId="4E0390B5"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54" w:history="1">
            <w:r w:rsidRPr="00D87091">
              <w:rPr>
                <w:rStyle w:val="Hyperlink"/>
                <w:noProof/>
                <w:lang w:eastAsia="en-GB"/>
              </w:rPr>
              <w:t>4.6 Synthesis of findings</w:t>
            </w:r>
            <w:r>
              <w:rPr>
                <w:noProof/>
                <w:webHidden/>
              </w:rPr>
              <w:tab/>
            </w:r>
            <w:r>
              <w:rPr>
                <w:noProof/>
                <w:webHidden/>
              </w:rPr>
              <w:fldChar w:fldCharType="begin"/>
            </w:r>
            <w:r>
              <w:rPr>
                <w:noProof/>
                <w:webHidden/>
              </w:rPr>
              <w:instrText xml:space="preserve"> PAGEREF _Toc228889954 \h </w:instrText>
            </w:r>
            <w:r>
              <w:rPr>
                <w:noProof/>
                <w:webHidden/>
              </w:rPr>
            </w:r>
            <w:r>
              <w:rPr>
                <w:noProof/>
                <w:webHidden/>
              </w:rPr>
              <w:fldChar w:fldCharType="separate"/>
            </w:r>
            <w:r>
              <w:rPr>
                <w:noProof/>
                <w:webHidden/>
              </w:rPr>
              <w:t>30</w:t>
            </w:r>
            <w:r>
              <w:rPr>
                <w:noProof/>
                <w:webHidden/>
              </w:rPr>
              <w:fldChar w:fldCharType="end"/>
            </w:r>
          </w:hyperlink>
        </w:p>
        <w:p w14:paraId="294DA0B6" w14:textId="3B4D8BC9" w:rsidR="00427AA9" w:rsidRDefault="00427AA9">
          <w:pPr>
            <w:pStyle w:val="TOC1"/>
            <w:tabs>
              <w:tab w:val="right" w:leader="dot" w:pos="9016"/>
            </w:tabs>
            <w:rPr>
              <w:rFonts w:asciiTheme="minorHAnsi" w:eastAsiaTheme="minorEastAsia" w:hAnsiTheme="minorHAnsi"/>
              <w:noProof/>
              <w:kern w:val="2"/>
              <w:szCs w:val="24"/>
              <w:lang w:eastAsia="en-GB"/>
            </w:rPr>
          </w:pPr>
          <w:hyperlink w:anchor="_Toc228889955" w:history="1">
            <w:r w:rsidRPr="00D87091">
              <w:rPr>
                <w:rStyle w:val="Hyperlink"/>
                <w:noProof/>
                <w:lang w:eastAsia="en-GB"/>
              </w:rPr>
              <w:t>Chapter 5: Discussion and implications</w:t>
            </w:r>
            <w:r>
              <w:rPr>
                <w:noProof/>
                <w:webHidden/>
              </w:rPr>
              <w:tab/>
            </w:r>
            <w:r>
              <w:rPr>
                <w:noProof/>
                <w:webHidden/>
              </w:rPr>
              <w:fldChar w:fldCharType="begin"/>
            </w:r>
            <w:r>
              <w:rPr>
                <w:noProof/>
                <w:webHidden/>
              </w:rPr>
              <w:instrText xml:space="preserve"> PAGEREF _Toc228889955 \h </w:instrText>
            </w:r>
            <w:r>
              <w:rPr>
                <w:noProof/>
                <w:webHidden/>
              </w:rPr>
            </w:r>
            <w:r>
              <w:rPr>
                <w:noProof/>
                <w:webHidden/>
              </w:rPr>
              <w:fldChar w:fldCharType="separate"/>
            </w:r>
            <w:r>
              <w:rPr>
                <w:noProof/>
                <w:webHidden/>
              </w:rPr>
              <w:t>31</w:t>
            </w:r>
            <w:r>
              <w:rPr>
                <w:noProof/>
                <w:webHidden/>
              </w:rPr>
              <w:fldChar w:fldCharType="end"/>
            </w:r>
          </w:hyperlink>
        </w:p>
        <w:p w14:paraId="221B3505" w14:textId="5ED607B2"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56" w:history="1">
            <w:r w:rsidRPr="00D87091">
              <w:rPr>
                <w:rStyle w:val="Hyperlink"/>
                <w:noProof/>
                <w:lang w:eastAsia="en-GB"/>
              </w:rPr>
              <w:t>5.1 Overview of key findings</w:t>
            </w:r>
            <w:r>
              <w:rPr>
                <w:noProof/>
                <w:webHidden/>
              </w:rPr>
              <w:tab/>
            </w:r>
            <w:r>
              <w:rPr>
                <w:noProof/>
                <w:webHidden/>
              </w:rPr>
              <w:fldChar w:fldCharType="begin"/>
            </w:r>
            <w:r>
              <w:rPr>
                <w:noProof/>
                <w:webHidden/>
              </w:rPr>
              <w:instrText xml:space="preserve"> PAGEREF _Toc228889956 \h </w:instrText>
            </w:r>
            <w:r>
              <w:rPr>
                <w:noProof/>
                <w:webHidden/>
              </w:rPr>
            </w:r>
            <w:r>
              <w:rPr>
                <w:noProof/>
                <w:webHidden/>
              </w:rPr>
              <w:fldChar w:fldCharType="separate"/>
            </w:r>
            <w:r>
              <w:rPr>
                <w:noProof/>
                <w:webHidden/>
              </w:rPr>
              <w:t>31</w:t>
            </w:r>
            <w:r>
              <w:rPr>
                <w:noProof/>
                <w:webHidden/>
              </w:rPr>
              <w:fldChar w:fldCharType="end"/>
            </w:r>
          </w:hyperlink>
        </w:p>
        <w:p w14:paraId="08CDBE90" w14:textId="0BD7EE09"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57" w:history="1">
            <w:r w:rsidRPr="00D87091">
              <w:rPr>
                <w:rStyle w:val="Hyperlink"/>
                <w:noProof/>
                <w:lang w:eastAsia="en-GB"/>
              </w:rPr>
              <w:t>5.2 Theoretical implications</w:t>
            </w:r>
            <w:r>
              <w:rPr>
                <w:noProof/>
                <w:webHidden/>
              </w:rPr>
              <w:tab/>
            </w:r>
            <w:r>
              <w:rPr>
                <w:noProof/>
                <w:webHidden/>
              </w:rPr>
              <w:fldChar w:fldCharType="begin"/>
            </w:r>
            <w:r>
              <w:rPr>
                <w:noProof/>
                <w:webHidden/>
              </w:rPr>
              <w:instrText xml:space="preserve"> PAGEREF _Toc228889957 \h </w:instrText>
            </w:r>
            <w:r>
              <w:rPr>
                <w:noProof/>
                <w:webHidden/>
              </w:rPr>
            </w:r>
            <w:r>
              <w:rPr>
                <w:noProof/>
                <w:webHidden/>
              </w:rPr>
              <w:fldChar w:fldCharType="separate"/>
            </w:r>
            <w:r>
              <w:rPr>
                <w:noProof/>
                <w:webHidden/>
              </w:rPr>
              <w:t>32</w:t>
            </w:r>
            <w:r>
              <w:rPr>
                <w:noProof/>
                <w:webHidden/>
              </w:rPr>
              <w:fldChar w:fldCharType="end"/>
            </w:r>
          </w:hyperlink>
        </w:p>
        <w:p w14:paraId="58144133" w14:textId="4D5A35EC"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58" w:history="1">
            <w:r w:rsidRPr="00D87091">
              <w:rPr>
                <w:rStyle w:val="Hyperlink"/>
                <w:noProof/>
                <w:lang w:eastAsia="en-GB"/>
              </w:rPr>
              <w:t>5.3 Managerial implications</w:t>
            </w:r>
            <w:r>
              <w:rPr>
                <w:noProof/>
                <w:webHidden/>
              </w:rPr>
              <w:tab/>
            </w:r>
            <w:r>
              <w:rPr>
                <w:noProof/>
                <w:webHidden/>
              </w:rPr>
              <w:fldChar w:fldCharType="begin"/>
            </w:r>
            <w:r>
              <w:rPr>
                <w:noProof/>
                <w:webHidden/>
              </w:rPr>
              <w:instrText xml:space="preserve"> PAGEREF _Toc228889958 \h </w:instrText>
            </w:r>
            <w:r>
              <w:rPr>
                <w:noProof/>
                <w:webHidden/>
              </w:rPr>
            </w:r>
            <w:r>
              <w:rPr>
                <w:noProof/>
                <w:webHidden/>
              </w:rPr>
              <w:fldChar w:fldCharType="separate"/>
            </w:r>
            <w:r>
              <w:rPr>
                <w:noProof/>
                <w:webHidden/>
              </w:rPr>
              <w:t>34</w:t>
            </w:r>
            <w:r>
              <w:rPr>
                <w:noProof/>
                <w:webHidden/>
              </w:rPr>
              <w:fldChar w:fldCharType="end"/>
            </w:r>
          </w:hyperlink>
        </w:p>
        <w:p w14:paraId="1C1625C9" w14:textId="03DC700B"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59" w:history="1">
            <w:r w:rsidRPr="00D87091">
              <w:rPr>
                <w:rStyle w:val="Hyperlink"/>
                <w:noProof/>
                <w:lang w:eastAsia="en-GB"/>
              </w:rPr>
              <w:t>5.4 Methodological implications</w:t>
            </w:r>
            <w:r>
              <w:rPr>
                <w:noProof/>
                <w:webHidden/>
              </w:rPr>
              <w:tab/>
            </w:r>
            <w:r>
              <w:rPr>
                <w:noProof/>
                <w:webHidden/>
              </w:rPr>
              <w:fldChar w:fldCharType="begin"/>
            </w:r>
            <w:r>
              <w:rPr>
                <w:noProof/>
                <w:webHidden/>
              </w:rPr>
              <w:instrText xml:space="preserve"> PAGEREF _Toc228889959 \h </w:instrText>
            </w:r>
            <w:r>
              <w:rPr>
                <w:noProof/>
                <w:webHidden/>
              </w:rPr>
            </w:r>
            <w:r>
              <w:rPr>
                <w:noProof/>
                <w:webHidden/>
              </w:rPr>
              <w:fldChar w:fldCharType="separate"/>
            </w:r>
            <w:r>
              <w:rPr>
                <w:noProof/>
                <w:webHidden/>
              </w:rPr>
              <w:t>36</w:t>
            </w:r>
            <w:r>
              <w:rPr>
                <w:noProof/>
                <w:webHidden/>
              </w:rPr>
              <w:fldChar w:fldCharType="end"/>
            </w:r>
          </w:hyperlink>
        </w:p>
        <w:p w14:paraId="18B444D9" w14:textId="680CF017"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60" w:history="1">
            <w:r w:rsidRPr="00D87091">
              <w:rPr>
                <w:rStyle w:val="Hyperlink"/>
                <w:noProof/>
                <w:lang w:eastAsia="en-GB"/>
              </w:rPr>
              <w:t>5.5 Limitations and future research</w:t>
            </w:r>
            <w:r>
              <w:rPr>
                <w:noProof/>
                <w:webHidden/>
              </w:rPr>
              <w:tab/>
            </w:r>
            <w:r>
              <w:rPr>
                <w:noProof/>
                <w:webHidden/>
              </w:rPr>
              <w:fldChar w:fldCharType="begin"/>
            </w:r>
            <w:r>
              <w:rPr>
                <w:noProof/>
                <w:webHidden/>
              </w:rPr>
              <w:instrText xml:space="preserve"> PAGEREF _Toc228889960 \h </w:instrText>
            </w:r>
            <w:r>
              <w:rPr>
                <w:noProof/>
                <w:webHidden/>
              </w:rPr>
            </w:r>
            <w:r>
              <w:rPr>
                <w:noProof/>
                <w:webHidden/>
              </w:rPr>
              <w:fldChar w:fldCharType="separate"/>
            </w:r>
            <w:r>
              <w:rPr>
                <w:noProof/>
                <w:webHidden/>
              </w:rPr>
              <w:t>38</w:t>
            </w:r>
            <w:r>
              <w:rPr>
                <w:noProof/>
                <w:webHidden/>
              </w:rPr>
              <w:fldChar w:fldCharType="end"/>
            </w:r>
          </w:hyperlink>
        </w:p>
        <w:p w14:paraId="56C1EE7B" w14:textId="2FCAA059" w:rsidR="00427AA9" w:rsidRDefault="00427AA9">
          <w:pPr>
            <w:pStyle w:val="TOC1"/>
            <w:tabs>
              <w:tab w:val="right" w:leader="dot" w:pos="9016"/>
            </w:tabs>
            <w:rPr>
              <w:rFonts w:asciiTheme="minorHAnsi" w:eastAsiaTheme="minorEastAsia" w:hAnsiTheme="minorHAnsi"/>
              <w:noProof/>
              <w:kern w:val="2"/>
              <w:szCs w:val="24"/>
              <w:lang w:eastAsia="en-GB"/>
            </w:rPr>
          </w:pPr>
          <w:hyperlink w:anchor="_Toc228889961" w:history="1">
            <w:r w:rsidRPr="00D87091">
              <w:rPr>
                <w:rStyle w:val="Hyperlink"/>
                <w:noProof/>
                <w:lang w:eastAsia="en-GB"/>
              </w:rPr>
              <w:t>Chapter 6: Conclusion</w:t>
            </w:r>
            <w:r>
              <w:rPr>
                <w:noProof/>
                <w:webHidden/>
              </w:rPr>
              <w:tab/>
            </w:r>
            <w:r>
              <w:rPr>
                <w:noProof/>
                <w:webHidden/>
              </w:rPr>
              <w:fldChar w:fldCharType="begin"/>
            </w:r>
            <w:r>
              <w:rPr>
                <w:noProof/>
                <w:webHidden/>
              </w:rPr>
              <w:instrText xml:space="preserve"> PAGEREF _Toc228889961 \h </w:instrText>
            </w:r>
            <w:r>
              <w:rPr>
                <w:noProof/>
                <w:webHidden/>
              </w:rPr>
            </w:r>
            <w:r>
              <w:rPr>
                <w:noProof/>
                <w:webHidden/>
              </w:rPr>
              <w:fldChar w:fldCharType="separate"/>
            </w:r>
            <w:r>
              <w:rPr>
                <w:noProof/>
                <w:webHidden/>
              </w:rPr>
              <w:t>40</w:t>
            </w:r>
            <w:r>
              <w:rPr>
                <w:noProof/>
                <w:webHidden/>
              </w:rPr>
              <w:fldChar w:fldCharType="end"/>
            </w:r>
          </w:hyperlink>
        </w:p>
        <w:p w14:paraId="68E6C09E" w14:textId="527BD5D9"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62" w:history="1">
            <w:r w:rsidRPr="00D87091">
              <w:rPr>
                <w:rStyle w:val="Hyperlink"/>
                <w:noProof/>
                <w:lang w:eastAsia="en-GB"/>
              </w:rPr>
              <w:t>6.1 Summary of the study</w:t>
            </w:r>
            <w:r>
              <w:rPr>
                <w:noProof/>
                <w:webHidden/>
              </w:rPr>
              <w:tab/>
            </w:r>
            <w:r>
              <w:rPr>
                <w:noProof/>
                <w:webHidden/>
              </w:rPr>
              <w:fldChar w:fldCharType="begin"/>
            </w:r>
            <w:r>
              <w:rPr>
                <w:noProof/>
                <w:webHidden/>
              </w:rPr>
              <w:instrText xml:space="preserve"> PAGEREF _Toc228889962 \h </w:instrText>
            </w:r>
            <w:r>
              <w:rPr>
                <w:noProof/>
                <w:webHidden/>
              </w:rPr>
            </w:r>
            <w:r>
              <w:rPr>
                <w:noProof/>
                <w:webHidden/>
              </w:rPr>
              <w:fldChar w:fldCharType="separate"/>
            </w:r>
            <w:r>
              <w:rPr>
                <w:noProof/>
                <w:webHidden/>
              </w:rPr>
              <w:t>40</w:t>
            </w:r>
            <w:r>
              <w:rPr>
                <w:noProof/>
                <w:webHidden/>
              </w:rPr>
              <w:fldChar w:fldCharType="end"/>
            </w:r>
          </w:hyperlink>
        </w:p>
        <w:p w14:paraId="777868BA" w14:textId="5366E041"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63" w:history="1">
            <w:r w:rsidRPr="00D87091">
              <w:rPr>
                <w:rStyle w:val="Hyperlink"/>
                <w:noProof/>
                <w:lang w:eastAsia="en-GB"/>
              </w:rPr>
              <w:t>6.2 Key contributions</w:t>
            </w:r>
            <w:r>
              <w:rPr>
                <w:noProof/>
                <w:webHidden/>
              </w:rPr>
              <w:tab/>
            </w:r>
            <w:r>
              <w:rPr>
                <w:noProof/>
                <w:webHidden/>
              </w:rPr>
              <w:fldChar w:fldCharType="begin"/>
            </w:r>
            <w:r>
              <w:rPr>
                <w:noProof/>
                <w:webHidden/>
              </w:rPr>
              <w:instrText xml:space="preserve"> PAGEREF _Toc228889963 \h </w:instrText>
            </w:r>
            <w:r>
              <w:rPr>
                <w:noProof/>
                <w:webHidden/>
              </w:rPr>
            </w:r>
            <w:r>
              <w:rPr>
                <w:noProof/>
                <w:webHidden/>
              </w:rPr>
              <w:fldChar w:fldCharType="separate"/>
            </w:r>
            <w:r>
              <w:rPr>
                <w:noProof/>
                <w:webHidden/>
              </w:rPr>
              <w:t>40</w:t>
            </w:r>
            <w:r>
              <w:rPr>
                <w:noProof/>
                <w:webHidden/>
              </w:rPr>
              <w:fldChar w:fldCharType="end"/>
            </w:r>
          </w:hyperlink>
        </w:p>
        <w:p w14:paraId="6156A706" w14:textId="5F9D43E0" w:rsidR="00427AA9" w:rsidRDefault="00427AA9">
          <w:pPr>
            <w:pStyle w:val="TOC2"/>
            <w:tabs>
              <w:tab w:val="right" w:leader="dot" w:pos="9016"/>
            </w:tabs>
            <w:rPr>
              <w:rFonts w:asciiTheme="minorHAnsi" w:eastAsiaTheme="minorEastAsia" w:hAnsiTheme="minorHAnsi"/>
              <w:noProof/>
              <w:kern w:val="2"/>
              <w:szCs w:val="24"/>
              <w:lang w:eastAsia="en-GB"/>
            </w:rPr>
          </w:pPr>
          <w:hyperlink w:anchor="_Toc228889964" w:history="1">
            <w:r w:rsidRPr="00D87091">
              <w:rPr>
                <w:rStyle w:val="Hyperlink"/>
                <w:noProof/>
                <w:lang w:eastAsia="en-GB"/>
              </w:rPr>
              <w:t>6.3 Final concluding remarks</w:t>
            </w:r>
            <w:r>
              <w:rPr>
                <w:noProof/>
                <w:webHidden/>
              </w:rPr>
              <w:tab/>
            </w:r>
            <w:r>
              <w:rPr>
                <w:noProof/>
                <w:webHidden/>
              </w:rPr>
              <w:fldChar w:fldCharType="begin"/>
            </w:r>
            <w:r>
              <w:rPr>
                <w:noProof/>
                <w:webHidden/>
              </w:rPr>
              <w:instrText xml:space="preserve"> PAGEREF _Toc228889964 \h </w:instrText>
            </w:r>
            <w:r>
              <w:rPr>
                <w:noProof/>
                <w:webHidden/>
              </w:rPr>
            </w:r>
            <w:r>
              <w:rPr>
                <w:noProof/>
                <w:webHidden/>
              </w:rPr>
              <w:fldChar w:fldCharType="separate"/>
            </w:r>
            <w:r>
              <w:rPr>
                <w:noProof/>
                <w:webHidden/>
              </w:rPr>
              <w:t>41</w:t>
            </w:r>
            <w:r>
              <w:rPr>
                <w:noProof/>
                <w:webHidden/>
              </w:rPr>
              <w:fldChar w:fldCharType="end"/>
            </w:r>
          </w:hyperlink>
        </w:p>
        <w:p w14:paraId="545269F8" w14:textId="0AA1B430" w:rsidR="00427AA9" w:rsidRDefault="00427AA9">
          <w:pPr>
            <w:pStyle w:val="TOC1"/>
            <w:tabs>
              <w:tab w:val="right" w:leader="dot" w:pos="9016"/>
            </w:tabs>
            <w:rPr>
              <w:rFonts w:asciiTheme="minorHAnsi" w:eastAsiaTheme="minorEastAsia" w:hAnsiTheme="minorHAnsi"/>
              <w:noProof/>
              <w:kern w:val="2"/>
              <w:szCs w:val="24"/>
              <w:lang w:eastAsia="en-GB"/>
            </w:rPr>
          </w:pPr>
          <w:hyperlink w:anchor="_Toc228889965" w:history="1">
            <w:r w:rsidRPr="00D87091">
              <w:rPr>
                <w:rStyle w:val="Hyperlink"/>
                <w:noProof/>
              </w:rPr>
              <w:t>References</w:t>
            </w:r>
            <w:r>
              <w:rPr>
                <w:noProof/>
                <w:webHidden/>
              </w:rPr>
              <w:tab/>
            </w:r>
            <w:r>
              <w:rPr>
                <w:noProof/>
                <w:webHidden/>
              </w:rPr>
              <w:fldChar w:fldCharType="begin"/>
            </w:r>
            <w:r>
              <w:rPr>
                <w:noProof/>
                <w:webHidden/>
              </w:rPr>
              <w:instrText xml:space="preserve"> PAGEREF _Toc228889965 \h </w:instrText>
            </w:r>
            <w:r>
              <w:rPr>
                <w:noProof/>
                <w:webHidden/>
              </w:rPr>
            </w:r>
            <w:r>
              <w:rPr>
                <w:noProof/>
                <w:webHidden/>
              </w:rPr>
              <w:fldChar w:fldCharType="separate"/>
            </w:r>
            <w:r>
              <w:rPr>
                <w:noProof/>
                <w:webHidden/>
              </w:rPr>
              <w:t>43</w:t>
            </w:r>
            <w:r>
              <w:rPr>
                <w:noProof/>
                <w:webHidden/>
              </w:rPr>
              <w:fldChar w:fldCharType="end"/>
            </w:r>
          </w:hyperlink>
        </w:p>
        <w:p w14:paraId="78B8324C" w14:textId="6D020055" w:rsidR="00427AA9" w:rsidRDefault="00427AA9">
          <w:pPr>
            <w:pStyle w:val="TOC1"/>
            <w:tabs>
              <w:tab w:val="right" w:leader="dot" w:pos="9016"/>
            </w:tabs>
            <w:rPr>
              <w:rFonts w:asciiTheme="minorHAnsi" w:eastAsiaTheme="minorEastAsia" w:hAnsiTheme="minorHAnsi"/>
              <w:noProof/>
              <w:kern w:val="2"/>
              <w:szCs w:val="24"/>
              <w:lang w:eastAsia="en-GB"/>
            </w:rPr>
          </w:pPr>
          <w:hyperlink w:anchor="_Toc228889966" w:history="1">
            <w:r w:rsidRPr="00D87091">
              <w:rPr>
                <w:rStyle w:val="Hyperlink"/>
                <w:rFonts w:eastAsiaTheme="majorEastAsia" w:cstheme="majorBidi"/>
                <w:noProof/>
              </w:rPr>
              <w:t>Appendix A: Systematic Literature Review Corpus and Data Extraction Framework</w:t>
            </w:r>
            <w:r>
              <w:rPr>
                <w:noProof/>
                <w:webHidden/>
              </w:rPr>
              <w:tab/>
            </w:r>
            <w:r>
              <w:rPr>
                <w:noProof/>
                <w:webHidden/>
              </w:rPr>
              <w:fldChar w:fldCharType="begin"/>
            </w:r>
            <w:r>
              <w:rPr>
                <w:noProof/>
                <w:webHidden/>
              </w:rPr>
              <w:instrText xml:space="preserve"> PAGEREF _Toc228889966 \h </w:instrText>
            </w:r>
            <w:r>
              <w:rPr>
                <w:noProof/>
                <w:webHidden/>
              </w:rPr>
            </w:r>
            <w:r>
              <w:rPr>
                <w:noProof/>
                <w:webHidden/>
              </w:rPr>
              <w:fldChar w:fldCharType="separate"/>
            </w:r>
            <w:r>
              <w:rPr>
                <w:noProof/>
                <w:webHidden/>
              </w:rPr>
              <w:t>47</w:t>
            </w:r>
            <w:r>
              <w:rPr>
                <w:noProof/>
                <w:webHidden/>
              </w:rPr>
              <w:fldChar w:fldCharType="end"/>
            </w:r>
          </w:hyperlink>
        </w:p>
        <w:p w14:paraId="4D6E7A54" w14:textId="52944835" w:rsidR="00427AA9" w:rsidRDefault="00427AA9">
          <w:pPr>
            <w:pStyle w:val="TOC1"/>
            <w:tabs>
              <w:tab w:val="right" w:leader="dot" w:pos="9016"/>
            </w:tabs>
            <w:rPr>
              <w:rFonts w:asciiTheme="minorHAnsi" w:eastAsiaTheme="minorEastAsia" w:hAnsiTheme="minorHAnsi"/>
              <w:noProof/>
              <w:kern w:val="2"/>
              <w:szCs w:val="24"/>
              <w:lang w:eastAsia="en-GB"/>
            </w:rPr>
          </w:pPr>
          <w:hyperlink w:anchor="_Toc228889967" w:history="1">
            <w:r w:rsidRPr="00D87091">
              <w:rPr>
                <w:rStyle w:val="Hyperlink"/>
                <w:noProof/>
                <w:lang w:eastAsia="en-GB"/>
              </w:rPr>
              <w:t>Appendix B: Supporting Background Sources Used for Conceptual Framing</w:t>
            </w:r>
            <w:r>
              <w:rPr>
                <w:noProof/>
                <w:webHidden/>
              </w:rPr>
              <w:tab/>
            </w:r>
            <w:r>
              <w:rPr>
                <w:noProof/>
                <w:webHidden/>
              </w:rPr>
              <w:fldChar w:fldCharType="begin"/>
            </w:r>
            <w:r>
              <w:rPr>
                <w:noProof/>
                <w:webHidden/>
              </w:rPr>
              <w:instrText xml:space="preserve"> PAGEREF _Toc228889967 \h </w:instrText>
            </w:r>
            <w:r>
              <w:rPr>
                <w:noProof/>
                <w:webHidden/>
              </w:rPr>
            </w:r>
            <w:r>
              <w:rPr>
                <w:noProof/>
                <w:webHidden/>
              </w:rPr>
              <w:fldChar w:fldCharType="separate"/>
            </w:r>
            <w:r>
              <w:rPr>
                <w:noProof/>
                <w:webHidden/>
              </w:rPr>
              <w:t>50</w:t>
            </w:r>
            <w:r>
              <w:rPr>
                <w:noProof/>
                <w:webHidden/>
              </w:rPr>
              <w:fldChar w:fldCharType="end"/>
            </w:r>
          </w:hyperlink>
        </w:p>
        <w:p w14:paraId="07176187" w14:textId="2257D7F0" w:rsidR="00903321" w:rsidRPr="00903321" w:rsidRDefault="00903321" w:rsidP="00903321">
          <w:pPr>
            <w:rPr>
              <w:b/>
              <w:bCs/>
              <w:noProof/>
            </w:rPr>
          </w:pPr>
          <w:r w:rsidRPr="00903321">
            <w:rPr>
              <w:b/>
              <w:bCs/>
              <w:noProof/>
            </w:rPr>
            <w:fldChar w:fldCharType="end"/>
          </w:r>
        </w:p>
      </w:sdtContent>
    </w:sdt>
    <w:p w14:paraId="1FDEC07E" w14:textId="473BC168" w:rsidR="00ED40A1" w:rsidRDefault="00ED40A1" w:rsidP="006A62A2">
      <w:pPr>
        <w:jc w:val="center"/>
      </w:pPr>
    </w:p>
    <w:p w14:paraId="5A7786C6" w14:textId="77777777" w:rsidR="00ED40A1" w:rsidRDefault="00ED40A1">
      <w:r>
        <w:br w:type="page"/>
      </w:r>
    </w:p>
    <w:p w14:paraId="6CCCB6EA" w14:textId="77777777" w:rsidR="00B843A6" w:rsidRDefault="00B843A6" w:rsidP="00756D57">
      <w:pPr>
        <w:pStyle w:val="Heading1"/>
        <w:rPr>
          <w:rFonts w:eastAsia="Times New Roman"/>
          <w:lang w:eastAsia="en-GB"/>
        </w:rPr>
      </w:pPr>
      <w:bookmarkStart w:id="0" w:name="_Toc228889920"/>
      <w:r w:rsidRPr="00B843A6">
        <w:rPr>
          <w:rFonts w:eastAsia="Times New Roman"/>
          <w:lang w:eastAsia="en-GB"/>
        </w:rPr>
        <w:lastRenderedPageBreak/>
        <w:t>Chapter 1: Introduction</w:t>
      </w:r>
      <w:bookmarkEnd w:id="0"/>
    </w:p>
    <w:p w14:paraId="267D48FD" w14:textId="77777777" w:rsidR="008B154A" w:rsidRPr="008B154A" w:rsidRDefault="008B154A" w:rsidP="008B154A">
      <w:pPr>
        <w:rPr>
          <w:lang w:eastAsia="en-GB"/>
        </w:rPr>
      </w:pPr>
    </w:p>
    <w:p w14:paraId="66F84EE0" w14:textId="77777777" w:rsidR="00846672" w:rsidRPr="00846672" w:rsidRDefault="00846672" w:rsidP="00E5783C">
      <w:pPr>
        <w:pStyle w:val="Heading2"/>
        <w:rPr>
          <w:rFonts w:eastAsia="Times New Roman"/>
          <w:lang w:eastAsia="en-GB"/>
        </w:rPr>
      </w:pPr>
      <w:bookmarkStart w:id="1" w:name="_Toc228889921"/>
      <w:r w:rsidRPr="00846672">
        <w:rPr>
          <w:rFonts w:eastAsia="Times New Roman"/>
          <w:lang w:eastAsia="en-GB"/>
        </w:rPr>
        <w:t>1.1 Background and rationale</w:t>
      </w:r>
      <w:bookmarkEnd w:id="1"/>
    </w:p>
    <w:p w14:paraId="5EF6D897" w14:textId="77777777" w:rsidR="00846672" w:rsidRPr="00846672" w:rsidRDefault="00846672" w:rsidP="00E5783C">
      <w:pPr>
        <w:rPr>
          <w:lang w:eastAsia="en-GB"/>
        </w:rPr>
      </w:pPr>
      <w:r w:rsidRPr="00846672">
        <w:rPr>
          <w:lang w:eastAsia="en-GB"/>
        </w:rPr>
        <w:t>Tourist satisfaction is widely used as an indicator of destination performance and is often assumed to translate into positive behavioural outcomes such as revisit and recommendation intentions. In tourism research, satisfaction is therefore frequently treated as a central mechanism linking service performance to destination success. However, this assumption is increasingly contested in mass</w:t>
      </w:r>
      <w:r w:rsidRPr="00846672">
        <w:rPr>
          <w:lang w:eastAsia="en-GB"/>
        </w:rPr>
        <w:noBreakHyphen/>
        <w:t>tourism contexts where high visitor density, capacity pressure and overtourism dynamics shape how tourists experience and evaluate destinations.</w:t>
      </w:r>
    </w:p>
    <w:p w14:paraId="3EE0044E" w14:textId="77777777" w:rsidR="00846672" w:rsidRPr="00846672" w:rsidRDefault="00846672" w:rsidP="00E5783C">
      <w:pPr>
        <w:rPr>
          <w:lang w:eastAsia="en-GB"/>
        </w:rPr>
      </w:pPr>
      <w:r w:rsidRPr="00846672">
        <w:rPr>
          <w:lang w:eastAsia="en-GB"/>
        </w:rPr>
        <w:t>Recent evidence from high-density destinations indicates that perceived overcrowding can weaken revisit and recommendation intentions and can be associated with resistance-oriented responses such as objections to revisiting or recommending. This suggests that post-consumption responses are not always uniformly positive or strictly linear, and that conventional satisfaction</w:t>
      </w:r>
      <w:r w:rsidRPr="00846672">
        <w:rPr>
          <w:lang w:eastAsia="en-GB"/>
        </w:rPr>
        <w:noBreakHyphen/>
        <w:t>centred models may under-capture behavioural complexity in mass</w:t>
      </w:r>
      <w:r w:rsidRPr="00846672">
        <w:rPr>
          <w:lang w:eastAsia="en-GB"/>
        </w:rPr>
        <w:noBreakHyphen/>
        <w:t>tourism environments (Papadopoulou, Ribeiro and Prayag, 2023).</w:t>
      </w:r>
    </w:p>
    <w:p w14:paraId="3311E9F2" w14:textId="77777777" w:rsidR="00846672" w:rsidRPr="00846672" w:rsidRDefault="00846672" w:rsidP="00E5783C">
      <w:pPr>
        <w:rPr>
          <w:lang w:eastAsia="en-GB"/>
        </w:rPr>
      </w:pPr>
      <w:r w:rsidRPr="00846672">
        <w:rPr>
          <w:lang w:eastAsia="en-GB"/>
        </w:rPr>
        <w:t>The post</w:t>
      </w:r>
      <w:r w:rsidRPr="00846672">
        <w:rPr>
          <w:lang w:eastAsia="en-GB"/>
        </w:rPr>
        <w:noBreakHyphen/>
        <w:t>COVID context further complicates satisfaction formation. Research indicates that tourists’ evaluations increasingly incorporate safety and hygiene cues and perceived health risk, meaning that satisfaction judgements may become more context-sensitive and influenced by uncertainty and perceived control (Jiménez</w:t>
      </w:r>
      <w:r w:rsidRPr="00846672">
        <w:rPr>
          <w:lang w:eastAsia="en-GB"/>
        </w:rPr>
        <w:noBreakHyphen/>
        <w:t>Medina et al., 2022; Sánchez</w:t>
      </w:r>
      <w:r w:rsidRPr="00846672">
        <w:rPr>
          <w:lang w:eastAsia="en-GB"/>
        </w:rPr>
        <w:noBreakHyphen/>
        <w:t>Sánchez, De</w:t>
      </w:r>
      <w:r w:rsidRPr="00846672">
        <w:rPr>
          <w:lang w:eastAsia="en-GB"/>
        </w:rPr>
        <w:noBreakHyphen/>
        <w:t>Pablos</w:t>
      </w:r>
      <w:r w:rsidRPr="00846672">
        <w:rPr>
          <w:lang w:eastAsia="en-GB"/>
        </w:rPr>
        <w:noBreakHyphen/>
        <w:t>Heredero and Montes</w:t>
      </w:r>
      <w:r w:rsidRPr="00846672">
        <w:rPr>
          <w:lang w:eastAsia="en-GB"/>
        </w:rPr>
        <w:noBreakHyphen/>
        <w:t>Botella, 2024). In parallel, rapid digitalisation has reshaped how tourists interact with destinations before, during and after travel, altering expectations, experience co</w:t>
      </w:r>
      <w:r w:rsidRPr="00846672">
        <w:rPr>
          <w:lang w:eastAsia="en-GB"/>
        </w:rPr>
        <w:noBreakHyphen/>
        <w:t>creation and post</w:t>
      </w:r>
      <w:r w:rsidRPr="00846672">
        <w:rPr>
          <w:lang w:eastAsia="en-GB"/>
        </w:rPr>
        <w:noBreakHyphen/>
        <w:t>visit evaluation (Yap et al., 2025).</w:t>
      </w:r>
    </w:p>
    <w:p w14:paraId="5148B8F0" w14:textId="77777777" w:rsidR="00846672" w:rsidRPr="00846672" w:rsidRDefault="00846672" w:rsidP="00E5783C">
      <w:pPr>
        <w:rPr>
          <w:lang w:eastAsia="en-GB"/>
        </w:rPr>
      </w:pPr>
      <w:r w:rsidRPr="00846672">
        <w:rPr>
          <w:lang w:eastAsia="en-GB"/>
        </w:rPr>
        <w:t>Taken together, overtourism pressure, post</w:t>
      </w:r>
      <w:r w:rsidRPr="00846672">
        <w:rPr>
          <w:lang w:eastAsia="en-GB"/>
        </w:rPr>
        <w:noBreakHyphen/>
        <w:t>COVID risk sensitivity and digitally mediated tourism experiences suggest that tourist satisfaction should not be treated as a simple, stable or universally comparable construct in mass</w:t>
      </w:r>
      <w:r w:rsidRPr="00846672">
        <w:rPr>
          <w:lang w:eastAsia="en-GB"/>
        </w:rPr>
        <w:noBreakHyphen/>
        <w:t>tourism settings. Instead, satisfaction and behavioural outcomes may need to be understood as context-dependent and potentially asymmetric under conditions of high-density pressure and uncertainty.</w:t>
      </w:r>
    </w:p>
    <w:p w14:paraId="6DEBA8B9" w14:textId="77777777" w:rsidR="00846672" w:rsidRPr="00846672" w:rsidRDefault="00846672" w:rsidP="00E5783C">
      <w:pPr>
        <w:pStyle w:val="Heading2"/>
        <w:rPr>
          <w:rFonts w:eastAsia="Times New Roman"/>
          <w:lang w:eastAsia="en-GB"/>
        </w:rPr>
      </w:pPr>
      <w:bookmarkStart w:id="2" w:name="_Toc228889922"/>
      <w:r w:rsidRPr="00846672">
        <w:rPr>
          <w:rFonts w:eastAsia="Times New Roman"/>
          <w:lang w:eastAsia="en-GB"/>
        </w:rPr>
        <w:t>1.2 Research problem and literature gaps</w:t>
      </w:r>
      <w:bookmarkEnd w:id="2"/>
    </w:p>
    <w:p w14:paraId="04B4C3BC" w14:textId="77777777" w:rsidR="00846672" w:rsidRPr="00846672" w:rsidRDefault="00846672" w:rsidP="00E5783C">
      <w:pPr>
        <w:rPr>
          <w:lang w:eastAsia="en-GB"/>
        </w:rPr>
      </w:pPr>
      <w:r w:rsidRPr="00846672">
        <w:rPr>
          <w:lang w:eastAsia="en-GB"/>
        </w:rPr>
        <w:t>The convergence of overtourism, post</w:t>
      </w:r>
      <w:r w:rsidRPr="00846672">
        <w:rPr>
          <w:lang w:eastAsia="en-GB"/>
        </w:rPr>
        <w:noBreakHyphen/>
        <w:t>COVID risk sensitivity and digital transformation creates a central problem for destination evaluation: destinations may appear successful when assessed through aggregate satisfaction indicators, while simultaneously generating experience strain and resistance-oriented behavioural responses.</w:t>
      </w:r>
    </w:p>
    <w:p w14:paraId="25C5C6F6" w14:textId="77777777" w:rsidR="00846672" w:rsidRPr="00846672" w:rsidRDefault="00846672" w:rsidP="00E5783C">
      <w:pPr>
        <w:rPr>
          <w:lang w:eastAsia="en-GB"/>
        </w:rPr>
      </w:pPr>
      <w:r w:rsidRPr="00846672">
        <w:rPr>
          <w:lang w:eastAsia="en-GB"/>
        </w:rPr>
        <w:t xml:space="preserve">In high-density settings, crowding operates not only as a physical condition but also as an experiential appraisal that affects comfort, perceived value and the ability to achieve desired experiences. As a result, tourists may report acceptable satisfaction while still expressing reluctance to revisit or recommend, challenging the assumption </w:t>
      </w:r>
      <w:r w:rsidRPr="00846672">
        <w:rPr>
          <w:lang w:eastAsia="en-GB"/>
        </w:rPr>
        <w:lastRenderedPageBreak/>
        <w:t>that satisfaction reliably predicts positive behavioural outcomes (Papadopoulou, Ribeiro and Prayag, 2023).</w:t>
      </w:r>
    </w:p>
    <w:p w14:paraId="2F6E7FAB" w14:textId="77777777" w:rsidR="00846672" w:rsidRPr="00846672" w:rsidRDefault="00846672" w:rsidP="00E5783C">
      <w:pPr>
        <w:rPr>
          <w:lang w:eastAsia="en-GB"/>
        </w:rPr>
      </w:pPr>
      <w:r w:rsidRPr="00846672">
        <w:rPr>
          <w:lang w:eastAsia="en-GB"/>
        </w:rPr>
        <w:t>A further limitation concerns measurement comparability. Evidence indicates that commonly used satisfaction scales may not function equivalently across demographic groups and contexts, as visitors can interpret indicators such as cleanliness or safety differently. This raises concerns about the validity of generalised conclusions in heterogeneous mass</w:t>
      </w:r>
      <w:r w:rsidRPr="00846672">
        <w:rPr>
          <w:lang w:eastAsia="en-GB"/>
        </w:rPr>
        <w:noBreakHyphen/>
        <w:t>tourism environments (Pérez</w:t>
      </w:r>
      <w:r w:rsidRPr="00846672">
        <w:rPr>
          <w:lang w:eastAsia="en-GB"/>
        </w:rPr>
        <w:noBreakHyphen/>
        <w:t>Campdesuñer et al., 2025).</w:t>
      </w:r>
    </w:p>
    <w:p w14:paraId="3D2494B8" w14:textId="77777777" w:rsidR="00846672" w:rsidRPr="00846672" w:rsidRDefault="00846672" w:rsidP="00E5783C">
      <w:pPr>
        <w:rPr>
          <w:lang w:eastAsia="en-GB"/>
        </w:rPr>
      </w:pPr>
      <w:r w:rsidRPr="00846672">
        <w:rPr>
          <w:lang w:eastAsia="en-GB"/>
        </w:rPr>
        <w:t>The literature has also expanded beyond traditional survey designs. Attribute-based methods and digital techniques, including user-generated content analysis, offer additional lenses on tourist experience and evaluation, but introduce challenges related to construct validity, representativeness and interpretation (De Marchi, Becarelli and Di Sarli, 2022; Sun et al., 2024).</w:t>
      </w:r>
    </w:p>
    <w:p w14:paraId="3F6A2944" w14:textId="77777777" w:rsidR="00846672" w:rsidRPr="00846672" w:rsidRDefault="00846672" w:rsidP="00E5783C">
      <w:pPr>
        <w:rPr>
          <w:lang w:eastAsia="en-GB"/>
        </w:rPr>
      </w:pPr>
      <w:r w:rsidRPr="00846672">
        <w:rPr>
          <w:lang w:eastAsia="en-GB"/>
        </w:rPr>
        <w:t>Based on the reviewed literature, four key gaps motivate this dissertation:</w:t>
      </w:r>
    </w:p>
    <w:p w14:paraId="66BDE80C" w14:textId="77777777" w:rsidR="00846672" w:rsidRPr="00846672" w:rsidRDefault="00846672" w:rsidP="00E5783C">
      <w:pPr>
        <w:rPr>
          <w:lang w:eastAsia="en-GB"/>
        </w:rPr>
      </w:pPr>
      <w:r w:rsidRPr="00846672">
        <w:rPr>
          <w:lang w:eastAsia="en-GB"/>
        </w:rPr>
        <w:t>a conceptual gap: satisfaction is often treated as a linear predictor despite evidence of non-symmetric behavioural responses under contextual pressure;</w:t>
      </w:r>
    </w:p>
    <w:p w14:paraId="1E7C061A" w14:textId="77777777" w:rsidR="00846672" w:rsidRPr="00846672" w:rsidRDefault="00846672" w:rsidP="00E5783C">
      <w:pPr>
        <w:rPr>
          <w:lang w:eastAsia="en-GB"/>
        </w:rPr>
      </w:pPr>
      <w:r w:rsidRPr="00846672">
        <w:rPr>
          <w:lang w:eastAsia="en-GB"/>
        </w:rPr>
        <w:t>a measurement gap: widely used instruments may lack comparability across contexts and visitor segments;</w:t>
      </w:r>
    </w:p>
    <w:p w14:paraId="1702E2F2" w14:textId="77777777" w:rsidR="00846672" w:rsidRPr="00846672" w:rsidRDefault="00846672" w:rsidP="00E5783C">
      <w:pPr>
        <w:rPr>
          <w:lang w:eastAsia="en-GB"/>
        </w:rPr>
      </w:pPr>
      <w:r w:rsidRPr="00846672">
        <w:rPr>
          <w:lang w:eastAsia="en-GB"/>
        </w:rPr>
        <w:t>a contextual gap: post</w:t>
      </w:r>
      <w:r w:rsidRPr="00846672">
        <w:rPr>
          <w:lang w:eastAsia="en-GB"/>
        </w:rPr>
        <w:noBreakHyphen/>
        <w:t>COVID risk and safety considerations are unevenly integrated into satisfaction–loyalty models;</w:t>
      </w:r>
    </w:p>
    <w:p w14:paraId="64C92D09" w14:textId="77777777" w:rsidR="00846672" w:rsidRPr="00846672" w:rsidRDefault="00846672" w:rsidP="00E5783C">
      <w:pPr>
        <w:rPr>
          <w:lang w:eastAsia="en-GB"/>
        </w:rPr>
      </w:pPr>
      <w:r w:rsidRPr="00846672">
        <w:rPr>
          <w:lang w:eastAsia="en-GB"/>
        </w:rPr>
        <w:t>an evidence gap: digitalisation-related research often remains weakly integrated with broader satisfaction theory and continues to rely heavily on cross</w:t>
      </w:r>
      <w:r w:rsidRPr="00846672">
        <w:rPr>
          <w:lang w:eastAsia="en-GB"/>
        </w:rPr>
        <w:noBreakHyphen/>
        <w:t>sectional designs (Yap et al., 2025).</w:t>
      </w:r>
    </w:p>
    <w:p w14:paraId="14D1AB48" w14:textId="77777777" w:rsidR="00846672" w:rsidRPr="00846672" w:rsidRDefault="00846672" w:rsidP="00716D4A">
      <w:pPr>
        <w:pStyle w:val="Heading2"/>
        <w:rPr>
          <w:rFonts w:eastAsia="Times New Roman"/>
          <w:lang w:eastAsia="en-GB"/>
        </w:rPr>
      </w:pPr>
      <w:bookmarkStart w:id="3" w:name="_Toc228889923"/>
      <w:r w:rsidRPr="00846672">
        <w:rPr>
          <w:rFonts w:eastAsia="Times New Roman"/>
          <w:lang w:eastAsia="en-GB"/>
        </w:rPr>
        <w:t>1.3 Theoretical framing and position</w:t>
      </w:r>
      <w:bookmarkEnd w:id="3"/>
    </w:p>
    <w:p w14:paraId="4AA4AA0B" w14:textId="77777777" w:rsidR="00846672" w:rsidRPr="00846672" w:rsidRDefault="00846672" w:rsidP="00F45763">
      <w:pPr>
        <w:rPr>
          <w:lang w:eastAsia="en-GB"/>
        </w:rPr>
      </w:pPr>
      <w:r w:rsidRPr="00846672">
        <w:rPr>
          <w:lang w:eastAsia="en-GB"/>
        </w:rPr>
        <w:t>This dissertation adopts a critical perspective on tourist satisfaction and loyalty in mass</w:t>
      </w:r>
      <w:r w:rsidRPr="00846672">
        <w:rPr>
          <w:lang w:eastAsia="en-GB"/>
        </w:rPr>
        <w:noBreakHyphen/>
        <w:t>tourism contexts. First, crowding is conceptualised as an experiential appraisal rather than a purely objective condition, recognising that tourists interpret density differently depending on expectations and tolerance levels (Papadopoulou, Ribeiro and Prayag, 2023).</w:t>
      </w:r>
    </w:p>
    <w:p w14:paraId="2A1C4D60" w14:textId="77777777" w:rsidR="00846672" w:rsidRPr="00846672" w:rsidRDefault="00846672" w:rsidP="00F45763">
      <w:pPr>
        <w:rPr>
          <w:lang w:eastAsia="en-GB"/>
        </w:rPr>
      </w:pPr>
      <w:r w:rsidRPr="00846672">
        <w:rPr>
          <w:lang w:eastAsia="en-GB"/>
        </w:rPr>
        <w:t>Second, the post</w:t>
      </w:r>
      <w:r w:rsidRPr="00846672">
        <w:rPr>
          <w:lang w:eastAsia="en-GB"/>
        </w:rPr>
        <w:noBreakHyphen/>
        <w:t>COVID environment is treated as a boundary condition that reshapes satisfaction formation. Safety, hygiene and perceived risk influence how tourists evaluate their experiences and prioritise service cues, implying that satisfaction is better understood as context-sensitive evaluation rather than as a context-neutral mediator (Jiménez</w:t>
      </w:r>
      <w:r w:rsidRPr="00846672">
        <w:rPr>
          <w:lang w:eastAsia="en-GB"/>
        </w:rPr>
        <w:noBreakHyphen/>
        <w:t>Medina et al., 2022; Gazi et al., 2024).</w:t>
      </w:r>
    </w:p>
    <w:p w14:paraId="1AD12C80" w14:textId="77777777" w:rsidR="00846672" w:rsidRPr="00846672" w:rsidRDefault="00846672" w:rsidP="00F45763">
      <w:pPr>
        <w:rPr>
          <w:lang w:eastAsia="en-GB"/>
        </w:rPr>
      </w:pPr>
      <w:r w:rsidRPr="00846672">
        <w:rPr>
          <w:lang w:eastAsia="en-GB"/>
        </w:rPr>
        <w:t>Building on these premises, this dissertation argues that loyalty should not be conceptualised as a single positive outcome. Instead, tourist responses may be dual and potentially asymmetric, where positive intentions can coexist with resistance-oriented tendencies such as avoidance or objection. This position challenges conventional satisfaction–loyalty assumptions and provides the basis for the dissertation’s conceptual contribution.</w:t>
      </w:r>
    </w:p>
    <w:p w14:paraId="65A4EF0F" w14:textId="77777777" w:rsidR="00846672" w:rsidRPr="00846672" w:rsidRDefault="00846672" w:rsidP="00F45763">
      <w:pPr>
        <w:pStyle w:val="Heading2"/>
        <w:rPr>
          <w:rFonts w:eastAsia="Times New Roman"/>
          <w:lang w:eastAsia="en-GB"/>
        </w:rPr>
      </w:pPr>
      <w:bookmarkStart w:id="4" w:name="_Toc228889924"/>
      <w:r w:rsidRPr="00846672">
        <w:rPr>
          <w:rFonts w:eastAsia="Times New Roman"/>
          <w:lang w:eastAsia="en-GB"/>
        </w:rPr>
        <w:lastRenderedPageBreak/>
        <w:t>1.4 Conceptual orientation</w:t>
      </w:r>
      <w:bookmarkEnd w:id="4"/>
    </w:p>
    <w:p w14:paraId="0373F403" w14:textId="77777777" w:rsidR="00846672" w:rsidRPr="00846672" w:rsidRDefault="00846672" w:rsidP="00F45763">
      <w:pPr>
        <w:rPr>
          <w:lang w:eastAsia="en-GB"/>
        </w:rPr>
      </w:pPr>
      <w:r w:rsidRPr="00846672">
        <w:rPr>
          <w:lang w:eastAsia="en-GB"/>
        </w:rPr>
        <w:t>The conceptual orientation integrates three conditions shaping tourist satisfaction in post</w:t>
      </w:r>
      <w:r w:rsidRPr="00846672">
        <w:rPr>
          <w:lang w:eastAsia="en-GB"/>
        </w:rPr>
        <w:noBreakHyphen/>
        <w:t>COVID mass tourism: overtourism and crowding pressure, risk sensitivity in recovery contexts, and digitally mediated tourism experiences. Satisfaction is positioned as an evaluative mechanism influenced by these contextual pressures, while behavioural outcomes are conceptualised as potentially dual, including both positive and negative loyalty intentions.</w:t>
      </w:r>
    </w:p>
    <w:p w14:paraId="1264B73D" w14:textId="77777777" w:rsidR="00846672" w:rsidRPr="00846672" w:rsidRDefault="00846672" w:rsidP="00F45763">
      <w:pPr>
        <w:rPr>
          <w:lang w:eastAsia="en-GB"/>
        </w:rPr>
      </w:pPr>
      <w:r w:rsidRPr="00846672">
        <w:rPr>
          <w:lang w:eastAsia="en-GB"/>
        </w:rPr>
        <w:t>This orientation recognises that satisfaction does not operate as a uniform predictor of behaviour across settings and segments, and that measurement choices can affect what satisfaction models can validly claim. It therefore motivates a synthesis that links conceptualisation, measurement and contextual pressure in order to better capture behavioural complexity in high-density tourism environments.</w:t>
      </w:r>
    </w:p>
    <w:p w14:paraId="79605D72" w14:textId="77777777" w:rsidR="008B154A" w:rsidRPr="00B843A6" w:rsidRDefault="008B154A" w:rsidP="008C0DA8">
      <w:pPr>
        <w:rPr>
          <w:lang w:eastAsia="en-GB"/>
        </w:rPr>
      </w:pPr>
    </w:p>
    <w:p w14:paraId="53350235" w14:textId="77777777" w:rsidR="00B843A6" w:rsidRPr="00B843A6" w:rsidRDefault="00B843A6" w:rsidP="00756D57">
      <w:pPr>
        <w:pStyle w:val="Heading2"/>
        <w:rPr>
          <w:rFonts w:eastAsia="Times New Roman"/>
          <w:lang w:eastAsia="en-GB"/>
        </w:rPr>
      </w:pPr>
      <w:bookmarkStart w:id="5" w:name="_Toc228889925"/>
      <w:r w:rsidRPr="00B843A6">
        <w:rPr>
          <w:rFonts w:eastAsia="Times New Roman"/>
          <w:lang w:eastAsia="en-GB"/>
        </w:rPr>
        <w:t>1.5 Aim, objectives and research questions</w:t>
      </w:r>
      <w:bookmarkEnd w:id="5"/>
    </w:p>
    <w:p w14:paraId="4C495EB5" w14:textId="7125EE3A" w:rsidR="009F15B5" w:rsidRPr="009F15B5" w:rsidRDefault="009F15B5" w:rsidP="0063350F">
      <w:pPr>
        <w:rPr>
          <w:lang w:eastAsia="en-GB"/>
        </w:rPr>
      </w:pPr>
      <w:r w:rsidRPr="009F15B5">
        <w:rPr>
          <w:lang w:eastAsia="en-GB"/>
        </w:rPr>
        <w:t>Aim</w:t>
      </w:r>
      <w:r w:rsidRPr="009F15B5">
        <w:rPr>
          <w:lang w:eastAsia="en-GB"/>
        </w:rPr>
        <w:br/>
        <w:t>To examine how tourist satisfaction is conceptualised and measured in post</w:t>
      </w:r>
      <w:r w:rsidRPr="009F15B5">
        <w:rPr>
          <w:lang w:eastAsia="en-GB"/>
        </w:rPr>
        <w:noBreakHyphen/>
        <w:t>COVID mass</w:t>
      </w:r>
      <w:r w:rsidRPr="009F15B5">
        <w:rPr>
          <w:lang w:eastAsia="en-GB"/>
        </w:rPr>
        <w:noBreakHyphen/>
        <w:t>tourism research and to develop a dual-outcome framework that captures both positive and negative behavioural responses under conditions of contextual pressure.</w:t>
      </w:r>
    </w:p>
    <w:p w14:paraId="35C31C72" w14:textId="77777777" w:rsidR="009F15B5" w:rsidRPr="009F15B5" w:rsidRDefault="009F15B5" w:rsidP="0063350F">
      <w:pPr>
        <w:rPr>
          <w:lang w:eastAsia="en-GB"/>
        </w:rPr>
      </w:pPr>
      <w:r w:rsidRPr="009F15B5">
        <w:rPr>
          <w:lang w:eastAsia="en-GB"/>
        </w:rPr>
        <w:t>Objectives</w:t>
      </w:r>
    </w:p>
    <w:p w14:paraId="19272153" w14:textId="77777777" w:rsidR="009F15B5" w:rsidRPr="009F15B5" w:rsidRDefault="009F15B5" w:rsidP="0063350F">
      <w:pPr>
        <w:rPr>
          <w:lang w:eastAsia="en-GB"/>
        </w:rPr>
      </w:pPr>
      <w:r w:rsidRPr="009F15B5">
        <w:rPr>
          <w:lang w:eastAsia="en-GB"/>
        </w:rPr>
        <w:t>To synthesise how tourist satisfaction is conceptualised in post</w:t>
      </w:r>
      <w:r w:rsidRPr="009F15B5">
        <w:rPr>
          <w:lang w:eastAsia="en-GB"/>
        </w:rPr>
        <w:noBreakHyphen/>
        <w:t>COVID mass</w:t>
      </w:r>
      <w:r w:rsidRPr="009F15B5">
        <w:rPr>
          <w:lang w:eastAsia="en-GB"/>
        </w:rPr>
        <w:noBreakHyphen/>
        <w:t>tourism studies, with particular attention to experiential and risk-sensitive appraisal.</w:t>
      </w:r>
    </w:p>
    <w:p w14:paraId="0D3633D0" w14:textId="77777777" w:rsidR="009F15B5" w:rsidRPr="009F15B5" w:rsidRDefault="009F15B5" w:rsidP="0063350F">
      <w:pPr>
        <w:rPr>
          <w:lang w:eastAsia="en-GB"/>
        </w:rPr>
      </w:pPr>
      <w:r w:rsidRPr="009F15B5">
        <w:rPr>
          <w:lang w:eastAsia="en-GB"/>
        </w:rPr>
        <w:t>To evaluate how tourist satisfaction is operationalised and measured in the included literature and to assess implications for cross</w:t>
      </w:r>
      <w:r w:rsidRPr="009F15B5">
        <w:rPr>
          <w:lang w:eastAsia="en-GB"/>
        </w:rPr>
        <w:noBreakHyphen/>
        <w:t>study comparability.</w:t>
      </w:r>
    </w:p>
    <w:p w14:paraId="736E710D" w14:textId="77777777" w:rsidR="009F15B5" w:rsidRPr="009F15B5" w:rsidRDefault="009F15B5" w:rsidP="0063350F">
      <w:pPr>
        <w:rPr>
          <w:lang w:eastAsia="en-GB"/>
        </w:rPr>
      </w:pPr>
      <w:r w:rsidRPr="009F15B5">
        <w:rPr>
          <w:lang w:eastAsia="en-GB"/>
        </w:rPr>
        <w:t>To synthesise evidence on how overtourism and perceived crowding shape satisfaction and its relationship with behavioural outcomes.</w:t>
      </w:r>
    </w:p>
    <w:p w14:paraId="6EF3EC4B" w14:textId="77777777" w:rsidR="009F15B5" w:rsidRPr="009F15B5" w:rsidRDefault="009F15B5" w:rsidP="0063350F">
      <w:pPr>
        <w:rPr>
          <w:lang w:eastAsia="en-GB"/>
        </w:rPr>
      </w:pPr>
      <w:r w:rsidRPr="009F15B5">
        <w:rPr>
          <w:lang w:eastAsia="en-GB"/>
        </w:rPr>
        <w:t>To integrate the synthesis into a dual</w:t>
      </w:r>
      <w:r w:rsidRPr="009F15B5">
        <w:rPr>
          <w:lang w:eastAsia="en-GB"/>
        </w:rPr>
        <w:noBreakHyphen/>
        <w:t>outcome conceptual framework specifying positive loyalty intentions (revisit and recommendation) and resistance-oriented responses (avoidance/objection) as distinct outcomes.</w:t>
      </w:r>
    </w:p>
    <w:p w14:paraId="1EBCDABB" w14:textId="77777777" w:rsidR="009F15B5" w:rsidRPr="009F15B5" w:rsidRDefault="009F15B5" w:rsidP="0063350F">
      <w:pPr>
        <w:rPr>
          <w:lang w:eastAsia="en-GB"/>
        </w:rPr>
      </w:pPr>
      <w:r w:rsidRPr="009F15B5">
        <w:rPr>
          <w:lang w:eastAsia="en-GB"/>
        </w:rPr>
        <w:t>Research questions</w:t>
      </w:r>
      <w:r w:rsidRPr="009F15B5">
        <w:rPr>
          <w:lang w:eastAsia="en-GB"/>
        </w:rPr>
        <w:br/>
        <w:t>RQ1: How is tourist satisfaction conceptualised in post</w:t>
      </w:r>
      <w:r w:rsidRPr="009F15B5">
        <w:rPr>
          <w:lang w:eastAsia="en-GB"/>
        </w:rPr>
        <w:noBreakHyphen/>
        <w:t>COVID mass</w:t>
      </w:r>
      <w:r w:rsidRPr="009F15B5">
        <w:rPr>
          <w:lang w:eastAsia="en-GB"/>
        </w:rPr>
        <w:noBreakHyphen/>
        <w:t>tourism research?</w:t>
      </w:r>
      <w:r w:rsidRPr="009F15B5">
        <w:rPr>
          <w:lang w:eastAsia="en-GB"/>
        </w:rPr>
        <w:br/>
        <w:t>RQ2: How is tourist satisfaction measured, and how comparable are these approaches across contexts and visitor segments?</w:t>
      </w:r>
      <w:r w:rsidRPr="009F15B5">
        <w:rPr>
          <w:lang w:eastAsia="en-GB"/>
        </w:rPr>
        <w:br/>
        <w:t>RQ3: How do overtourism and perceived crowding influence the relationship between satisfaction and behavioural outcomes?</w:t>
      </w:r>
    </w:p>
    <w:p w14:paraId="226CF029" w14:textId="51D4FD7C" w:rsidR="00B843A6" w:rsidRDefault="00B843A6" w:rsidP="008C0DA8">
      <w:pPr>
        <w:rPr>
          <w:lang w:eastAsia="en-GB"/>
        </w:rPr>
      </w:pPr>
    </w:p>
    <w:p w14:paraId="76A05EA4" w14:textId="77777777" w:rsidR="003575DB" w:rsidRPr="00B843A6" w:rsidRDefault="003575DB" w:rsidP="008C0DA8">
      <w:pPr>
        <w:rPr>
          <w:lang w:eastAsia="en-GB"/>
        </w:rPr>
      </w:pPr>
    </w:p>
    <w:p w14:paraId="484627EA" w14:textId="77777777" w:rsidR="00B843A6" w:rsidRDefault="00B843A6" w:rsidP="00BD7C50">
      <w:pPr>
        <w:pStyle w:val="Heading2"/>
        <w:rPr>
          <w:lang w:eastAsia="en-GB"/>
        </w:rPr>
      </w:pPr>
      <w:bookmarkStart w:id="6" w:name="_Toc228889926"/>
      <w:r w:rsidRPr="00B843A6">
        <w:rPr>
          <w:lang w:eastAsia="en-GB"/>
        </w:rPr>
        <w:lastRenderedPageBreak/>
        <w:t>1.6 Scope and delimitations</w:t>
      </w:r>
      <w:bookmarkEnd w:id="6"/>
    </w:p>
    <w:p w14:paraId="199852DB" w14:textId="77777777" w:rsidR="003575DB" w:rsidRPr="003575DB" w:rsidRDefault="003575DB" w:rsidP="003575DB">
      <w:pPr>
        <w:rPr>
          <w:lang w:eastAsia="en-GB"/>
        </w:rPr>
      </w:pPr>
    </w:p>
    <w:p w14:paraId="7673C3E3" w14:textId="77777777" w:rsidR="003575DB" w:rsidRDefault="003575DB" w:rsidP="003575DB">
      <w:r>
        <w:t>This dissertation is based on a systematic literature review of peer</w:t>
      </w:r>
      <w:r>
        <w:noBreakHyphen/>
        <w:t>reviewed journal articles published between 2021 and 2025. The review focuses on post</w:t>
      </w:r>
      <w:r>
        <w:noBreakHyphen/>
        <w:t>COVID mass</w:t>
      </w:r>
      <w:r>
        <w:noBreakHyphen/>
        <w:t>tourism contexts, including high</w:t>
      </w:r>
      <w:r>
        <w:noBreakHyphen/>
        <w:t>density destinations such as urban hotspots, resort-based mass tourism and other settings where crowding and overtourism pressures are salient. The scope is restricted to English</w:t>
      </w:r>
      <w:r>
        <w:noBreakHyphen/>
        <w:t>language journal publications to maintain consistency of appraisal and reporting standards.</w:t>
      </w:r>
    </w:p>
    <w:p w14:paraId="522EDB5E" w14:textId="77777777" w:rsidR="003575DB" w:rsidRDefault="003575DB" w:rsidP="003575DB">
      <w:r>
        <w:t>The study is delimited to research that explicitly operationalises tourist satisfaction and links it to behavioural outcomes (e.g., revisit and recommendation intentions) and/or contextual variables such as perceived crowding, safety and hygiene, perceived risk and digitally mediated interaction. Digital approaches (e.g., user-generated content and sentiment analytics) are treated as complementary measurement lenses rather than direct substitutes for theory-grounded satisfaction constructs.</w:t>
      </w:r>
    </w:p>
    <w:p w14:paraId="6AA28162" w14:textId="77777777" w:rsidR="003575DB" w:rsidRDefault="003575DB" w:rsidP="003575DB">
      <w:r>
        <w:t>Key limitations associated with database access, language restriction and the predominance of cross</w:t>
      </w:r>
      <w:r>
        <w:noBreakHyphen/>
        <w:t>sectional designs in the evidence base are acknowledged and discussed in detail in Chapter 5.</w:t>
      </w:r>
    </w:p>
    <w:p w14:paraId="3CE282D2" w14:textId="6967E54F" w:rsidR="00B843A6" w:rsidRPr="00B843A6" w:rsidRDefault="00B843A6" w:rsidP="00B843A6">
      <w:pPr>
        <w:spacing w:after="0" w:line="300" w:lineRule="atLeast"/>
        <w:rPr>
          <w:rFonts w:ascii="Segoe UI" w:eastAsia="Times New Roman" w:hAnsi="Segoe UI" w:cs="Segoe UI"/>
          <w:sz w:val="21"/>
          <w:szCs w:val="21"/>
          <w:lang w:eastAsia="en-GB"/>
          <w14:ligatures w14:val="none"/>
        </w:rPr>
      </w:pPr>
    </w:p>
    <w:p w14:paraId="58C18B9A" w14:textId="77777777" w:rsidR="00B843A6" w:rsidRPr="00B843A6" w:rsidRDefault="00B843A6" w:rsidP="00756D57">
      <w:pPr>
        <w:pStyle w:val="Heading2"/>
        <w:rPr>
          <w:rFonts w:eastAsia="Times New Roman"/>
          <w:lang w:eastAsia="en-GB"/>
        </w:rPr>
      </w:pPr>
      <w:bookmarkStart w:id="7" w:name="_Toc228889927"/>
      <w:r w:rsidRPr="00B843A6">
        <w:rPr>
          <w:rFonts w:eastAsia="Times New Roman"/>
          <w:lang w:eastAsia="en-GB"/>
        </w:rPr>
        <w:t>1.7 Dissertation structure</w:t>
      </w:r>
      <w:bookmarkEnd w:id="7"/>
    </w:p>
    <w:p w14:paraId="3F5E654A" w14:textId="1137A38D" w:rsidR="005478BD" w:rsidRDefault="004C596C" w:rsidP="00B843A6">
      <w:pPr>
        <w:spacing w:before="100" w:beforeAutospacing="1" w:after="100" w:afterAutospacing="1" w:line="300" w:lineRule="atLeast"/>
        <w:rPr>
          <w:lang w:eastAsia="en-GB"/>
        </w:rPr>
      </w:pPr>
      <w:r w:rsidRPr="004C596C">
        <w:rPr>
          <w:lang w:eastAsia="en-GB"/>
        </w:rPr>
        <w:t>Chapter 1</w:t>
      </w:r>
      <w:r w:rsidR="006B1B34">
        <w:rPr>
          <w:lang w:eastAsia="en-GB"/>
        </w:rPr>
        <w:t>:</w:t>
      </w:r>
      <w:r w:rsidRPr="004C596C">
        <w:rPr>
          <w:lang w:eastAsia="en-GB"/>
        </w:rPr>
        <w:t xml:space="preserve"> introduces the research context, problem rationale, theoretical positioning, and research questions. </w:t>
      </w:r>
    </w:p>
    <w:p w14:paraId="4B76FB68" w14:textId="1E8A25B3" w:rsidR="005478BD" w:rsidRDefault="004C596C" w:rsidP="00B843A6">
      <w:pPr>
        <w:spacing w:before="100" w:beforeAutospacing="1" w:after="100" w:afterAutospacing="1" w:line="300" w:lineRule="atLeast"/>
        <w:rPr>
          <w:lang w:eastAsia="en-GB"/>
        </w:rPr>
      </w:pPr>
      <w:r w:rsidRPr="004C596C">
        <w:rPr>
          <w:lang w:eastAsia="en-GB"/>
        </w:rPr>
        <w:t>Chapter 2</w:t>
      </w:r>
      <w:r w:rsidR="006B1B34">
        <w:rPr>
          <w:lang w:eastAsia="en-GB"/>
        </w:rPr>
        <w:t>:</w:t>
      </w:r>
      <w:r w:rsidRPr="004C596C">
        <w:rPr>
          <w:lang w:eastAsia="en-GB"/>
        </w:rPr>
        <w:t xml:space="preserve"> outlines the systematic literature review methodology, including search strategy, screening, extraction and quality appraisal procedures. </w:t>
      </w:r>
    </w:p>
    <w:p w14:paraId="0AE09D99" w14:textId="34D516D3" w:rsidR="005478BD" w:rsidRDefault="004C596C" w:rsidP="00B843A6">
      <w:pPr>
        <w:spacing w:before="100" w:beforeAutospacing="1" w:after="100" w:afterAutospacing="1" w:line="300" w:lineRule="atLeast"/>
        <w:rPr>
          <w:lang w:eastAsia="en-GB"/>
        </w:rPr>
      </w:pPr>
      <w:r w:rsidRPr="004C596C">
        <w:rPr>
          <w:lang w:eastAsia="en-GB"/>
        </w:rPr>
        <w:t>Chapter 3</w:t>
      </w:r>
      <w:r w:rsidR="006B1B34">
        <w:rPr>
          <w:lang w:eastAsia="en-GB"/>
        </w:rPr>
        <w:t>:</w:t>
      </w:r>
      <w:r w:rsidRPr="004C596C">
        <w:rPr>
          <w:lang w:eastAsia="en-GB"/>
        </w:rPr>
        <w:t xml:space="preserve"> provides the conceptual and background literature underpinning tourist satisfaction, measurement approaches, digitalisation, crowding and satisfaction–loyalty dynamics. </w:t>
      </w:r>
    </w:p>
    <w:p w14:paraId="45021267" w14:textId="6DD96B79" w:rsidR="005478BD" w:rsidRDefault="004C596C" w:rsidP="00B843A6">
      <w:pPr>
        <w:spacing w:before="100" w:beforeAutospacing="1" w:after="100" w:afterAutospacing="1" w:line="300" w:lineRule="atLeast"/>
        <w:rPr>
          <w:lang w:eastAsia="en-GB"/>
        </w:rPr>
      </w:pPr>
      <w:r w:rsidRPr="004C596C">
        <w:rPr>
          <w:lang w:eastAsia="en-GB"/>
        </w:rPr>
        <w:t>Chapter 4</w:t>
      </w:r>
      <w:r w:rsidR="006B1B34">
        <w:rPr>
          <w:lang w:eastAsia="en-GB"/>
        </w:rPr>
        <w:t>:</w:t>
      </w:r>
      <w:r w:rsidRPr="004C596C">
        <w:rPr>
          <w:lang w:eastAsia="en-GB"/>
        </w:rPr>
        <w:t xml:space="preserve"> reports the PRISMA selection results, descriptive profiling, evidence mapping and the research-question aligned synthesis of the included corpus. </w:t>
      </w:r>
    </w:p>
    <w:p w14:paraId="5B9A307C" w14:textId="48FD0475" w:rsidR="00E27B1B" w:rsidRDefault="004C596C" w:rsidP="00B843A6">
      <w:pPr>
        <w:spacing w:before="100" w:beforeAutospacing="1" w:after="100" w:afterAutospacing="1" w:line="300" w:lineRule="atLeast"/>
        <w:rPr>
          <w:rFonts w:ascii="Segoe UI" w:eastAsia="Times New Roman" w:hAnsi="Segoe UI" w:cs="Segoe UI"/>
          <w:sz w:val="21"/>
          <w:szCs w:val="21"/>
          <w:lang w:eastAsia="en-GB"/>
          <w14:ligatures w14:val="none"/>
        </w:rPr>
      </w:pPr>
      <w:r w:rsidRPr="004C596C">
        <w:rPr>
          <w:lang w:eastAsia="en-GB"/>
        </w:rPr>
        <w:t>Chapter 5</w:t>
      </w:r>
      <w:r w:rsidR="006B1B34">
        <w:rPr>
          <w:lang w:eastAsia="en-GB"/>
        </w:rPr>
        <w:t>:</w:t>
      </w:r>
      <w:r w:rsidRPr="004C596C">
        <w:rPr>
          <w:lang w:eastAsia="en-GB"/>
        </w:rPr>
        <w:t xml:space="preserve"> discusses the implications of the synthesis for theory, practice and methodology and sets out limitations and directions for future research. Chapter 6 concludes the dissertation by summarising the study, articulating key contributions and providing final concluding remarks.</w:t>
      </w:r>
    </w:p>
    <w:p w14:paraId="3230F358" w14:textId="77777777" w:rsidR="00E27B1B" w:rsidRDefault="00E27B1B" w:rsidP="00B843A6">
      <w:pPr>
        <w:spacing w:before="100" w:beforeAutospacing="1" w:after="100" w:afterAutospacing="1" w:line="300" w:lineRule="atLeast"/>
        <w:rPr>
          <w:rFonts w:ascii="Segoe UI" w:eastAsia="Times New Roman" w:hAnsi="Segoe UI" w:cs="Segoe UI"/>
          <w:sz w:val="21"/>
          <w:szCs w:val="21"/>
          <w:lang w:eastAsia="en-GB"/>
          <w14:ligatures w14:val="none"/>
        </w:rPr>
      </w:pPr>
    </w:p>
    <w:p w14:paraId="785E4C23" w14:textId="77777777" w:rsidR="00E27B1B" w:rsidRDefault="00E27B1B" w:rsidP="00B843A6">
      <w:pPr>
        <w:spacing w:before="100" w:beforeAutospacing="1" w:after="100" w:afterAutospacing="1" w:line="300" w:lineRule="atLeast"/>
        <w:rPr>
          <w:rFonts w:ascii="Segoe UI" w:eastAsia="Times New Roman" w:hAnsi="Segoe UI" w:cs="Segoe UI"/>
          <w:sz w:val="21"/>
          <w:szCs w:val="21"/>
          <w:lang w:eastAsia="en-GB"/>
          <w14:ligatures w14:val="none"/>
        </w:rPr>
      </w:pPr>
    </w:p>
    <w:p w14:paraId="40FB3ACE" w14:textId="77777777" w:rsidR="00E27B1B" w:rsidRPr="00E27B1B" w:rsidRDefault="00E27B1B" w:rsidP="00E27B1B">
      <w:pPr>
        <w:pStyle w:val="Heading1"/>
      </w:pPr>
      <w:bookmarkStart w:id="8" w:name="_Toc228889928"/>
      <w:r w:rsidRPr="00E27B1B">
        <w:lastRenderedPageBreak/>
        <w:t>Chapter 2: Research Methodology (Systematic Literature Review)</w:t>
      </w:r>
      <w:bookmarkEnd w:id="8"/>
    </w:p>
    <w:p w14:paraId="6DAFF39F" w14:textId="73CCDFA4" w:rsidR="00756D57" w:rsidRDefault="00756D57">
      <w:pPr>
        <w:rPr>
          <w:rFonts w:ascii="Segoe UI" w:eastAsia="Times New Roman" w:hAnsi="Segoe UI" w:cs="Segoe UI"/>
          <w:sz w:val="21"/>
          <w:szCs w:val="21"/>
          <w:lang w:eastAsia="en-GB"/>
          <w14:ligatures w14:val="none"/>
        </w:rPr>
      </w:pPr>
    </w:p>
    <w:p w14:paraId="2BD04CDD" w14:textId="77777777" w:rsidR="00353214" w:rsidRDefault="00353214" w:rsidP="00353214">
      <w:pPr>
        <w:pStyle w:val="Heading2"/>
      </w:pPr>
      <w:bookmarkStart w:id="9" w:name="_Toc228889929"/>
      <w:r>
        <w:t>2.1 Research design and methodological rationale</w:t>
      </w:r>
      <w:bookmarkEnd w:id="9"/>
    </w:p>
    <w:p w14:paraId="6A90843F" w14:textId="77777777" w:rsidR="000077C1" w:rsidRDefault="000077C1" w:rsidP="000077C1">
      <w:r>
        <w:t>This dissertation adopts a systematic literature review (SLR) to synthesise contemporary research on tourist satisfaction and loyalty in post</w:t>
      </w:r>
      <w:r>
        <w:rPr>
          <w:rFonts w:ascii="Cambria Math" w:hAnsi="Cambria Math" w:cs="Cambria Math"/>
        </w:rPr>
        <w:t>‑</w:t>
      </w:r>
      <w:r>
        <w:t>COVID mass</w:t>
      </w:r>
      <w:r>
        <w:rPr>
          <w:rFonts w:ascii="Cambria Math" w:hAnsi="Cambria Math" w:cs="Cambria Math"/>
        </w:rPr>
        <w:t>‑</w:t>
      </w:r>
      <w:r>
        <w:t>tourism contexts. The method was selected because the evidence base is fragmented, with studies using different constructs, measurement instruments and analytical approaches. An SLR enables these contributions to be identified, screened and integrated through a structured and transparent procedure (Tranfield, Denyer and Smart, 2003; Denyer and Tranfield, 2009).</w:t>
      </w:r>
    </w:p>
    <w:p w14:paraId="452E4C4A" w14:textId="77777777" w:rsidR="000077C1" w:rsidRDefault="000077C1" w:rsidP="000077C1">
      <w:r>
        <w:t>The review focuses on how satisfaction is conceptualised, measured and linked to behavioural outcomes under contextual conditions such as crowding, risk sensitivity and digitalisation. Given heterogeneity in constructs and operationalisations, the review prioritises narrative synthesis rather than statistical aggregation, allowing evidence to be integrated systematically without assuming measurement equivalence across studies.</w:t>
      </w:r>
    </w:p>
    <w:p w14:paraId="1C317FD6" w14:textId="77777777" w:rsidR="000077C1" w:rsidRDefault="000077C1" w:rsidP="000077C1">
      <w:r>
        <w:t>Alternative approaches were considered but not adopted. Narrative reviews were rejected due to limited transparency and replicability, while meta</w:t>
      </w:r>
      <w:r>
        <w:rPr>
          <w:rFonts w:ascii="Cambria Math" w:hAnsi="Cambria Math" w:cs="Cambria Math"/>
        </w:rPr>
        <w:t>‑</w:t>
      </w:r>
      <w:r>
        <w:t>analysis was not suitable given construct and instrument diversity and the lack of evidence that measurement equivalence can be assumed across settings and segments (Petticrew and Roberts, 2006; P</w:t>
      </w:r>
      <w:r>
        <w:rPr>
          <w:rFonts w:cs="Arial"/>
        </w:rPr>
        <w:t>é</w:t>
      </w:r>
      <w:r>
        <w:t>rez</w:t>
      </w:r>
      <w:r>
        <w:rPr>
          <w:rFonts w:ascii="Cambria Math" w:hAnsi="Cambria Math" w:cs="Cambria Math"/>
        </w:rPr>
        <w:t>‑</w:t>
      </w:r>
      <w:r>
        <w:t>Campdesu</w:t>
      </w:r>
      <w:r>
        <w:rPr>
          <w:rFonts w:cs="Arial"/>
        </w:rPr>
        <w:t>ñ</w:t>
      </w:r>
      <w:r>
        <w:t>er et al., 2025).</w:t>
      </w:r>
    </w:p>
    <w:p w14:paraId="7B326876" w14:textId="3201FD20" w:rsidR="00C401CD" w:rsidRDefault="000077C1" w:rsidP="000077C1">
      <w:r>
        <w:t>Accordingly, the study follows a structured review process involving explicit search criteria, defined eligibility rules, systematic screening and critical appraisal. This design supports consistent evidence integration across studies and ensures methodological traceability.</w:t>
      </w:r>
    </w:p>
    <w:p w14:paraId="0F23E6B2" w14:textId="77777777" w:rsidR="008262F8" w:rsidRPr="008262F8" w:rsidRDefault="008262F8" w:rsidP="008262F8">
      <w:pPr>
        <w:pStyle w:val="Heading2"/>
        <w:rPr>
          <w:rFonts w:eastAsia="Times New Roman"/>
          <w:lang w:eastAsia="en-GB"/>
        </w:rPr>
      </w:pPr>
      <w:bookmarkStart w:id="10" w:name="_Toc228889930"/>
      <w:r w:rsidRPr="008262F8">
        <w:rPr>
          <w:rFonts w:eastAsia="Times New Roman"/>
          <w:lang w:eastAsia="en-GB"/>
        </w:rPr>
        <w:t>2.2 Review Scope and Time Frame</w:t>
      </w:r>
      <w:bookmarkEnd w:id="10"/>
    </w:p>
    <w:p w14:paraId="7A0C45A7" w14:textId="77777777" w:rsidR="00815393" w:rsidRDefault="00815393" w:rsidP="00815393">
      <w:pPr>
        <w:rPr>
          <w:lang w:eastAsia="en-GB"/>
        </w:rPr>
      </w:pPr>
      <w:r>
        <w:rPr>
          <w:lang w:eastAsia="en-GB"/>
        </w:rPr>
        <w:t>The review focuses on peer</w:t>
      </w:r>
      <w:r>
        <w:rPr>
          <w:rFonts w:ascii="Cambria Math" w:hAnsi="Cambria Math" w:cs="Cambria Math"/>
          <w:lang w:eastAsia="en-GB"/>
        </w:rPr>
        <w:t>‑</w:t>
      </w:r>
      <w:r>
        <w:rPr>
          <w:lang w:eastAsia="en-GB"/>
        </w:rPr>
        <w:t>reviewed journal articles published between 2021 and 2025. This window captures post</w:t>
      </w:r>
      <w:r>
        <w:rPr>
          <w:rFonts w:ascii="Cambria Math" w:hAnsi="Cambria Math" w:cs="Cambria Math"/>
          <w:lang w:eastAsia="en-GB"/>
        </w:rPr>
        <w:t>‑</w:t>
      </w:r>
      <w:r>
        <w:rPr>
          <w:lang w:eastAsia="en-GB"/>
        </w:rPr>
        <w:t>COVID developments in tourism research, when risk perception, safety/hygiene cues and digitalisation became more visible within studies of tourist evaluation and behavioural intentions.</w:t>
      </w:r>
    </w:p>
    <w:p w14:paraId="74A89872" w14:textId="43D914F3" w:rsidR="0005320F" w:rsidRDefault="00815393" w:rsidP="00815393">
      <w:pPr>
        <w:rPr>
          <w:lang w:eastAsia="en-GB"/>
        </w:rPr>
      </w:pPr>
      <w:r>
        <w:rPr>
          <w:lang w:eastAsia="en-GB"/>
        </w:rPr>
        <w:t>Restricting the time window promotes contextual coherence and ensures that the evidence base reflects contemporary post</w:t>
      </w:r>
      <w:r>
        <w:rPr>
          <w:rFonts w:ascii="Cambria Math" w:hAnsi="Cambria Math" w:cs="Cambria Math"/>
          <w:lang w:eastAsia="en-GB"/>
        </w:rPr>
        <w:t>‑</w:t>
      </w:r>
      <w:r>
        <w:rPr>
          <w:lang w:eastAsia="en-GB"/>
        </w:rPr>
        <w:t>COVID conditions. Earlier foundational sources are used selectively for background conceptual framing, but the systematic synthesis is limited to studies within the defined review period.</w:t>
      </w:r>
    </w:p>
    <w:p w14:paraId="2DC99C78" w14:textId="77777777" w:rsidR="00522F25" w:rsidRPr="00522F25" w:rsidRDefault="00522F25" w:rsidP="00522F25">
      <w:pPr>
        <w:pStyle w:val="Heading2"/>
        <w:rPr>
          <w:rFonts w:eastAsia="Times New Roman"/>
          <w:lang w:eastAsia="en-GB"/>
        </w:rPr>
      </w:pPr>
      <w:bookmarkStart w:id="11" w:name="_Toc228889931"/>
      <w:r w:rsidRPr="00522F25">
        <w:rPr>
          <w:rFonts w:eastAsia="Times New Roman"/>
          <w:lang w:eastAsia="en-GB"/>
        </w:rPr>
        <w:t>2.3 Data sources and search strategy</w:t>
      </w:r>
      <w:bookmarkEnd w:id="11"/>
    </w:p>
    <w:p w14:paraId="12216B3F" w14:textId="77777777" w:rsidR="00A41B03" w:rsidRDefault="00A41B03" w:rsidP="00A41B03">
      <w:pPr>
        <w:rPr>
          <w:lang w:eastAsia="en-GB"/>
        </w:rPr>
      </w:pPr>
      <w:r>
        <w:rPr>
          <w:lang w:eastAsia="en-GB"/>
        </w:rPr>
        <w:t>The primary search platform used in this study was Google Scholar. While databases such as Scopus and Web of Science were initially considered, access limitations required Google Scholar to be used as the main retrieval source.</w:t>
      </w:r>
    </w:p>
    <w:p w14:paraId="271C08D6" w14:textId="77777777" w:rsidR="00A41B03" w:rsidRDefault="00A41B03" w:rsidP="00A41B03">
      <w:pPr>
        <w:rPr>
          <w:lang w:eastAsia="en-GB"/>
        </w:rPr>
      </w:pPr>
      <w:r>
        <w:rPr>
          <w:lang w:eastAsia="en-GB"/>
        </w:rPr>
        <w:lastRenderedPageBreak/>
        <w:t>To improve coverage and reduce the risk of omission, the search process combined keyword-based searching with backward and forward citation tracking. This approach supports broader retrieval in interdisciplinary fields and helps identify relevant studies beyond ranked search results (Kitchenham et al., 2009).</w:t>
      </w:r>
    </w:p>
    <w:p w14:paraId="5D0D7173" w14:textId="798BAF03" w:rsidR="00522F25" w:rsidRPr="008262F8" w:rsidRDefault="00A41B03" w:rsidP="00A41B03">
      <w:pPr>
        <w:rPr>
          <w:lang w:eastAsia="en-GB"/>
        </w:rPr>
      </w:pPr>
      <w:r>
        <w:rPr>
          <w:lang w:eastAsia="en-GB"/>
        </w:rPr>
        <w:t>Search terms included combinations of “tourist satisfaction”, “mass tourism”, “overtourism”, “crowding”, “loyalty”, “revisit intention”, “COVID</w:t>
      </w:r>
      <w:r>
        <w:rPr>
          <w:rFonts w:ascii="Cambria Math" w:hAnsi="Cambria Math" w:cs="Cambria Math"/>
          <w:lang w:eastAsia="en-GB"/>
        </w:rPr>
        <w:t>‑</w:t>
      </w:r>
      <w:r>
        <w:rPr>
          <w:lang w:eastAsia="en-GB"/>
        </w:rPr>
        <w:t>19</w:t>
      </w:r>
      <w:r>
        <w:rPr>
          <w:rFonts w:cs="Arial"/>
          <w:lang w:eastAsia="en-GB"/>
        </w:rPr>
        <w:t>”</w:t>
      </w:r>
      <w:r>
        <w:rPr>
          <w:lang w:eastAsia="en-GB"/>
        </w:rPr>
        <w:t xml:space="preserve">, </w:t>
      </w:r>
      <w:r>
        <w:rPr>
          <w:rFonts w:cs="Arial"/>
          <w:lang w:eastAsia="en-GB"/>
        </w:rPr>
        <w:t>“</w:t>
      </w:r>
      <w:r>
        <w:rPr>
          <w:lang w:eastAsia="en-GB"/>
        </w:rPr>
        <w:t>safety</w:t>
      </w:r>
      <w:r>
        <w:rPr>
          <w:rFonts w:cs="Arial"/>
          <w:lang w:eastAsia="en-GB"/>
        </w:rPr>
        <w:t>”</w:t>
      </w:r>
      <w:r>
        <w:rPr>
          <w:lang w:eastAsia="en-GB"/>
        </w:rPr>
        <w:t xml:space="preserve">, </w:t>
      </w:r>
      <w:r>
        <w:rPr>
          <w:rFonts w:cs="Arial"/>
          <w:lang w:eastAsia="en-GB"/>
        </w:rPr>
        <w:t>“</w:t>
      </w:r>
      <w:r>
        <w:rPr>
          <w:lang w:eastAsia="en-GB"/>
        </w:rPr>
        <w:t>hygiene</w:t>
      </w:r>
      <w:r>
        <w:rPr>
          <w:rFonts w:cs="Arial"/>
          <w:lang w:eastAsia="en-GB"/>
        </w:rPr>
        <w:t>”</w:t>
      </w:r>
      <w:r>
        <w:rPr>
          <w:lang w:eastAsia="en-GB"/>
        </w:rPr>
        <w:t xml:space="preserve">, </w:t>
      </w:r>
      <w:r>
        <w:rPr>
          <w:rFonts w:cs="Arial"/>
          <w:lang w:eastAsia="en-GB"/>
        </w:rPr>
        <w:t>“</w:t>
      </w:r>
      <w:r>
        <w:rPr>
          <w:lang w:eastAsia="en-GB"/>
        </w:rPr>
        <w:t>digitalisation</w:t>
      </w:r>
      <w:r>
        <w:rPr>
          <w:rFonts w:cs="Arial"/>
          <w:lang w:eastAsia="en-GB"/>
        </w:rPr>
        <w:t>”</w:t>
      </w:r>
      <w:r>
        <w:rPr>
          <w:lang w:eastAsia="en-GB"/>
        </w:rPr>
        <w:t xml:space="preserve"> and </w:t>
      </w:r>
      <w:r>
        <w:rPr>
          <w:rFonts w:cs="Arial"/>
          <w:lang w:eastAsia="en-GB"/>
        </w:rPr>
        <w:t>“</w:t>
      </w:r>
      <w:r>
        <w:rPr>
          <w:lang w:eastAsia="en-GB"/>
        </w:rPr>
        <w:t>smart tourism</w:t>
      </w:r>
      <w:r>
        <w:rPr>
          <w:rFonts w:cs="Arial"/>
          <w:lang w:eastAsia="en-GB"/>
        </w:rPr>
        <w:t>”</w:t>
      </w:r>
      <w:r>
        <w:rPr>
          <w:lang w:eastAsia="en-GB"/>
        </w:rPr>
        <w:t>. Search strings were refined iteratively to balance relevance and coverage while maintaining alignment with the defined scope.</w:t>
      </w:r>
    </w:p>
    <w:p w14:paraId="79F82458" w14:textId="77777777" w:rsidR="002B2814" w:rsidRDefault="002B2814" w:rsidP="00B925B2">
      <w:pPr>
        <w:pStyle w:val="Heading2"/>
        <w:rPr>
          <w:rFonts w:ascii="Times New Roman" w:hAnsi="Times New Roman"/>
          <w:sz w:val="24"/>
        </w:rPr>
      </w:pPr>
      <w:bookmarkStart w:id="12" w:name="_Toc228889932"/>
      <w:r>
        <w:t>2.4 Eligibility criteria (inclusion and exclusion)</w:t>
      </w:r>
      <w:bookmarkEnd w:id="12"/>
    </w:p>
    <w:p w14:paraId="5FE6491E" w14:textId="77777777" w:rsidR="00801EF4" w:rsidRDefault="00801EF4" w:rsidP="00801EF4">
      <w:r>
        <w:t>Eligibility criteria were defined prior to screening to ensure consistency and transparency. Studies were included if they:</w:t>
      </w:r>
    </w:p>
    <w:p w14:paraId="4D9BA668" w14:textId="77777777" w:rsidR="00801EF4" w:rsidRDefault="00801EF4" w:rsidP="00E57350">
      <w:pPr>
        <w:pStyle w:val="ListParagraph"/>
        <w:numPr>
          <w:ilvl w:val="0"/>
          <w:numId w:val="12"/>
        </w:numPr>
      </w:pPr>
      <w:r>
        <w:t>were peer</w:t>
      </w:r>
      <w:r w:rsidRPr="00E57350">
        <w:rPr>
          <w:rFonts w:ascii="Cambria Math" w:hAnsi="Cambria Math" w:cs="Cambria Math"/>
        </w:rPr>
        <w:t>‑</w:t>
      </w:r>
      <w:r>
        <w:t>reviewed journal articles;</w:t>
      </w:r>
    </w:p>
    <w:p w14:paraId="674BB05B" w14:textId="77777777" w:rsidR="00801EF4" w:rsidRDefault="00801EF4" w:rsidP="00E57350">
      <w:pPr>
        <w:pStyle w:val="ListParagraph"/>
        <w:numPr>
          <w:ilvl w:val="0"/>
          <w:numId w:val="12"/>
        </w:numPr>
      </w:pPr>
      <w:r>
        <w:t>were published between 2021 and 2025;</w:t>
      </w:r>
    </w:p>
    <w:p w14:paraId="5DB98553" w14:textId="77777777" w:rsidR="00801EF4" w:rsidRDefault="00801EF4" w:rsidP="00E57350">
      <w:pPr>
        <w:pStyle w:val="ListParagraph"/>
        <w:numPr>
          <w:ilvl w:val="0"/>
          <w:numId w:val="12"/>
        </w:numPr>
      </w:pPr>
      <w:r>
        <w:t>focused on mass</w:t>
      </w:r>
      <w:r w:rsidRPr="00E57350">
        <w:rPr>
          <w:rFonts w:ascii="Cambria Math" w:hAnsi="Cambria Math" w:cs="Cambria Math"/>
        </w:rPr>
        <w:t>‑</w:t>
      </w:r>
      <w:r>
        <w:t>tourism contexts;</w:t>
      </w:r>
    </w:p>
    <w:p w14:paraId="313C9B11" w14:textId="77777777" w:rsidR="00801EF4" w:rsidRDefault="00801EF4" w:rsidP="00E57350">
      <w:pPr>
        <w:pStyle w:val="ListParagraph"/>
        <w:numPr>
          <w:ilvl w:val="0"/>
          <w:numId w:val="12"/>
        </w:numPr>
      </w:pPr>
      <w:r>
        <w:t>explicitly examined tourist satisfaction in relation to behavioural outcomes and/or contextual factors such as crowding, safety or risk.</w:t>
      </w:r>
    </w:p>
    <w:p w14:paraId="7D15B3D0" w14:textId="77777777" w:rsidR="00801EF4" w:rsidRDefault="00801EF4" w:rsidP="00801EF4"/>
    <w:p w14:paraId="44A02E32" w14:textId="77777777" w:rsidR="00801EF4" w:rsidRDefault="00801EF4" w:rsidP="00801EF4">
      <w:r>
        <w:t>Studies were excluded if they:</w:t>
      </w:r>
    </w:p>
    <w:p w14:paraId="6A91A12C" w14:textId="77777777" w:rsidR="00801EF4" w:rsidRDefault="00801EF4" w:rsidP="00E57350">
      <w:pPr>
        <w:pStyle w:val="ListParagraph"/>
        <w:numPr>
          <w:ilvl w:val="0"/>
          <w:numId w:val="13"/>
        </w:numPr>
      </w:pPr>
      <w:proofErr w:type="spellStart"/>
      <w:r>
        <w:t>were</w:t>
      </w:r>
      <w:proofErr w:type="spellEnd"/>
      <w:r>
        <w:t xml:space="preserve"> not written in English;</w:t>
      </w:r>
    </w:p>
    <w:p w14:paraId="6FE110D7" w14:textId="77777777" w:rsidR="00801EF4" w:rsidRDefault="00801EF4" w:rsidP="00E57350">
      <w:pPr>
        <w:pStyle w:val="ListParagraph"/>
        <w:numPr>
          <w:ilvl w:val="0"/>
          <w:numId w:val="13"/>
        </w:numPr>
      </w:pPr>
      <w:r>
        <w:t>did not include empirical analysis;</w:t>
      </w:r>
    </w:p>
    <w:p w14:paraId="284FEB9D" w14:textId="77777777" w:rsidR="00801EF4" w:rsidRDefault="00801EF4" w:rsidP="00E57350">
      <w:pPr>
        <w:pStyle w:val="ListParagraph"/>
        <w:numPr>
          <w:ilvl w:val="0"/>
          <w:numId w:val="13"/>
        </w:numPr>
      </w:pPr>
      <w:r>
        <w:t>focused on niche or non</w:t>
      </w:r>
      <w:r w:rsidRPr="00E57350">
        <w:rPr>
          <w:rFonts w:ascii="Cambria Math" w:hAnsi="Cambria Math" w:cs="Cambria Math"/>
        </w:rPr>
        <w:t>‑</w:t>
      </w:r>
      <w:r>
        <w:t>representative tourism contexts;</w:t>
      </w:r>
    </w:p>
    <w:p w14:paraId="1D0EA1E8" w14:textId="77777777" w:rsidR="00801EF4" w:rsidRDefault="00801EF4" w:rsidP="00E57350">
      <w:pPr>
        <w:pStyle w:val="ListParagraph"/>
        <w:numPr>
          <w:ilvl w:val="0"/>
          <w:numId w:val="13"/>
        </w:numPr>
      </w:pPr>
      <w:r>
        <w:t>did not operationalise satisfaction as a measurable construct.</w:t>
      </w:r>
    </w:p>
    <w:p w14:paraId="5565F9C7" w14:textId="77777777" w:rsidR="00801EF4" w:rsidRDefault="00801EF4" w:rsidP="00801EF4"/>
    <w:p w14:paraId="59D322D1" w14:textId="442C1F7C" w:rsidR="00BD7C50" w:rsidRDefault="00801EF4" w:rsidP="00801EF4">
      <w:r>
        <w:t>These criteria ensured that the final sample aligned with the research questions and was suitable for systematic comparison (Page et al., 2021).</w:t>
      </w:r>
    </w:p>
    <w:p w14:paraId="51F80B0F" w14:textId="77777777" w:rsidR="005149CD" w:rsidRDefault="005149CD" w:rsidP="00BD7C50">
      <w:pPr>
        <w:pStyle w:val="Heading2"/>
        <w:rPr>
          <w:rFonts w:eastAsia="Times New Roman"/>
          <w:lang w:eastAsia="en-GB"/>
        </w:rPr>
      </w:pPr>
      <w:bookmarkStart w:id="13" w:name="_Toc228889933"/>
      <w:r w:rsidRPr="005149CD">
        <w:rPr>
          <w:rFonts w:eastAsia="Times New Roman"/>
          <w:lang w:eastAsia="en-GB"/>
        </w:rPr>
        <w:t>2.5 Screening procedure and PRISMA reporting</w:t>
      </w:r>
      <w:bookmarkEnd w:id="13"/>
    </w:p>
    <w:p w14:paraId="1DB68FDA" w14:textId="77777777" w:rsidR="00976078" w:rsidRPr="00976078" w:rsidRDefault="00976078" w:rsidP="00073FE2">
      <w:pPr>
        <w:rPr>
          <w:lang w:eastAsia="en-GB"/>
        </w:rPr>
      </w:pPr>
      <w:r w:rsidRPr="00976078">
        <w:rPr>
          <w:lang w:eastAsia="en-GB"/>
        </w:rPr>
        <w:t>The screening process followed a structured and transparent approach consistent with PRISMA principles.</w:t>
      </w:r>
    </w:p>
    <w:p w14:paraId="072DDABE" w14:textId="77777777" w:rsidR="00976078" w:rsidRPr="00976078" w:rsidRDefault="00976078" w:rsidP="00073FE2">
      <w:pPr>
        <w:rPr>
          <w:lang w:eastAsia="en-GB"/>
        </w:rPr>
      </w:pPr>
      <w:r w:rsidRPr="00976078">
        <w:rPr>
          <w:lang w:eastAsia="en-GB"/>
        </w:rPr>
        <w:t>In the first stage, records identified through keyword searches and citation tracking were screened based on titles and abstracts. Studies clearly outside the scope were excluded.</w:t>
      </w:r>
    </w:p>
    <w:p w14:paraId="372AB636" w14:textId="77777777" w:rsidR="00976078" w:rsidRPr="00976078" w:rsidRDefault="00976078" w:rsidP="00073FE2">
      <w:pPr>
        <w:rPr>
          <w:lang w:eastAsia="en-GB"/>
        </w:rPr>
      </w:pPr>
      <w:r w:rsidRPr="00976078">
        <w:rPr>
          <w:lang w:eastAsia="en-GB"/>
        </w:rPr>
        <w:t>In the second stage, full-text articles were assessed against all eligibility criteria. Particular attention was given to how satisfaction was operationalised, whether behavioural outcomes were included and whether the study context reflected mass tourism.</w:t>
      </w:r>
    </w:p>
    <w:p w14:paraId="7C9CF4EE" w14:textId="77777777" w:rsidR="00976078" w:rsidRDefault="00976078" w:rsidP="00073FE2">
      <w:pPr>
        <w:rPr>
          <w:lang w:eastAsia="en-GB"/>
        </w:rPr>
      </w:pPr>
    </w:p>
    <w:p w14:paraId="70564C53" w14:textId="77777777" w:rsidR="00191A07" w:rsidRPr="00976078" w:rsidRDefault="00191A07" w:rsidP="00073FE2">
      <w:pPr>
        <w:rPr>
          <w:lang w:eastAsia="en-GB"/>
        </w:rPr>
      </w:pPr>
    </w:p>
    <w:p w14:paraId="2C6D3AF5" w14:textId="60C9B92D" w:rsidR="00976078" w:rsidRPr="00976078" w:rsidRDefault="00976078" w:rsidP="00073FE2">
      <w:pPr>
        <w:rPr>
          <w:lang w:eastAsia="en-GB"/>
        </w:rPr>
      </w:pPr>
      <w:r w:rsidRPr="00976078">
        <w:rPr>
          <w:lang w:eastAsia="en-GB"/>
        </w:rPr>
        <w:lastRenderedPageBreak/>
        <w:t xml:space="preserve">All exclusion decisions were recorded to ensure transparency. The full selection process is presented in Figure </w:t>
      </w:r>
      <w:r w:rsidR="00CC5A08">
        <w:rPr>
          <w:lang w:eastAsia="en-GB"/>
        </w:rPr>
        <w:t>2</w:t>
      </w:r>
      <w:r w:rsidRPr="00976078">
        <w:rPr>
          <w:lang w:eastAsia="en-GB"/>
        </w:rPr>
        <w:t>.1.</w:t>
      </w:r>
    </w:p>
    <w:p w14:paraId="233A091C" w14:textId="5419DD85" w:rsidR="00976078" w:rsidRPr="00976078" w:rsidRDefault="00CC5A08" w:rsidP="00073FE2">
      <w:pPr>
        <w:rPr>
          <w:lang w:eastAsia="en-GB"/>
        </w:rPr>
      </w:pPr>
      <w:r>
        <w:rPr>
          <w:noProof/>
          <w:lang w:eastAsia="en-GB"/>
        </w:rPr>
        <w:drawing>
          <wp:inline distT="0" distB="0" distL="0" distR="0" wp14:anchorId="7F542396" wp14:editId="4BA85410">
            <wp:extent cx="5731510" cy="3823335"/>
            <wp:effectExtent l="0" t="0" r="2540" b="5715"/>
            <wp:docPr id="2035963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63825" name="Picture 203596382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3335"/>
                    </a:xfrm>
                    <a:prstGeom prst="rect">
                      <a:avLst/>
                    </a:prstGeom>
                  </pic:spPr>
                </pic:pic>
              </a:graphicData>
            </a:graphic>
          </wp:inline>
        </w:drawing>
      </w:r>
    </w:p>
    <w:p w14:paraId="2B406B2F" w14:textId="4D1577F8" w:rsidR="00976078" w:rsidRPr="00976078" w:rsidRDefault="00976078" w:rsidP="00073FE2">
      <w:pPr>
        <w:rPr>
          <w:lang w:eastAsia="en-GB"/>
        </w:rPr>
      </w:pPr>
      <w:r w:rsidRPr="00976078">
        <w:rPr>
          <w:lang w:eastAsia="en-GB"/>
        </w:rPr>
        <w:t xml:space="preserve">Figure </w:t>
      </w:r>
      <w:r w:rsidR="00CC5A08">
        <w:rPr>
          <w:lang w:eastAsia="en-GB"/>
        </w:rPr>
        <w:t>2</w:t>
      </w:r>
      <w:r w:rsidRPr="00976078">
        <w:rPr>
          <w:lang w:eastAsia="en-GB"/>
        </w:rPr>
        <w:t>.1: PRISMA flow diagram of study selection (2021–2025)</w:t>
      </w:r>
    </w:p>
    <w:p w14:paraId="615CB7C6" w14:textId="77777777" w:rsidR="00976078" w:rsidRPr="00976078" w:rsidRDefault="00976078" w:rsidP="00073FE2">
      <w:pPr>
        <w:rPr>
          <w:lang w:eastAsia="en-GB"/>
        </w:rPr>
      </w:pPr>
    </w:p>
    <w:p w14:paraId="7ACA67C1" w14:textId="77777777" w:rsidR="00073FE2" w:rsidRDefault="00976078" w:rsidP="00073FE2">
      <w:pPr>
        <w:rPr>
          <w:lang w:eastAsia="en-GB"/>
        </w:rPr>
      </w:pPr>
      <w:r w:rsidRPr="00976078">
        <w:rPr>
          <w:lang w:eastAsia="en-GB"/>
        </w:rPr>
        <w:t>Following the screening process, 52 studies were included in the final synthesis.</w:t>
      </w:r>
    </w:p>
    <w:p w14:paraId="5F3AED83" w14:textId="6175AF13" w:rsidR="003639A8" w:rsidRPr="003639A8" w:rsidRDefault="003639A8" w:rsidP="00976078">
      <w:pPr>
        <w:pStyle w:val="Heading2"/>
        <w:rPr>
          <w:rFonts w:eastAsia="Times New Roman"/>
          <w:lang w:eastAsia="en-GB"/>
        </w:rPr>
      </w:pPr>
      <w:bookmarkStart w:id="14" w:name="_Toc228889934"/>
      <w:r w:rsidRPr="003639A8">
        <w:rPr>
          <w:rFonts w:eastAsia="Times New Roman"/>
          <w:lang w:eastAsia="en-GB"/>
        </w:rPr>
        <w:t>2.6 Data extraction framework</w:t>
      </w:r>
      <w:bookmarkEnd w:id="14"/>
    </w:p>
    <w:p w14:paraId="61AE510E" w14:textId="77777777" w:rsidR="00EB337B" w:rsidRPr="00EB337B" w:rsidRDefault="00EB337B" w:rsidP="009D167B">
      <w:pPr>
        <w:rPr>
          <w:lang w:eastAsia="en-GB"/>
        </w:rPr>
      </w:pPr>
      <w:r w:rsidRPr="00EB337B">
        <w:rPr>
          <w:lang w:eastAsia="en-GB"/>
        </w:rPr>
        <w:t>A structured data extraction framework was used to enable systematic comparison across studies. Data were coded across three levels:</w:t>
      </w:r>
    </w:p>
    <w:p w14:paraId="7768719B" w14:textId="77777777" w:rsidR="00EB337B" w:rsidRPr="00EB337B" w:rsidRDefault="00EB337B" w:rsidP="009D167B">
      <w:pPr>
        <w:rPr>
          <w:lang w:eastAsia="en-GB"/>
        </w:rPr>
      </w:pPr>
    </w:p>
    <w:p w14:paraId="7CDB3A3F" w14:textId="77777777" w:rsidR="00EB337B" w:rsidRPr="00EB337B" w:rsidRDefault="00EB337B" w:rsidP="00ED4D6D">
      <w:pPr>
        <w:pStyle w:val="ListParagraph"/>
        <w:numPr>
          <w:ilvl w:val="0"/>
          <w:numId w:val="14"/>
        </w:numPr>
        <w:rPr>
          <w:lang w:eastAsia="en-GB"/>
        </w:rPr>
      </w:pPr>
      <w:r w:rsidRPr="00EB337B">
        <w:rPr>
          <w:lang w:eastAsia="en-GB"/>
        </w:rPr>
        <w:t>construct level (e.g., satisfaction, perceived value, destination image, experience quality, crowding/overtourism, safety/risk);</w:t>
      </w:r>
    </w:p>
    <w:p w14:paraId="0156754E" w14:textId="77777777" w:rsidR="00EB337B" w:rsidRPr="00EB337B" w:rsidRDefault="00EB337B" w:rsidP="00ED4D6D">
      <w:pPr>
        <w:pStyle w:val="ListParagraph"/>
        <w:numPr>
          <w:ilvl w:val="0"/>
          <w:numId w:val="14"/>
        </w:numPr>
        <w:rPr>
          <w:lang w:eastAsia="en-GB"/>
        </w:rPr>
      </w:pPr>
      <w:r w:rsidRPr="00EB337B">
        <w:rPr>
          <w:lang w:eastAsia="en-GB"/>
        </w:rPr>
        <w:t>measurement level (e.g., instrument type, indicator categories, reported reliability/validity evidence);</w:t>
      </w:r>
    </w:p>
    <w:p w14:paraId="6CDEF2E5" w14:textId="77777777" w:rsidR="00EB337B" w:rsidRPr="00EB337B" w:rsidRDefault="00EB337B" w:rsidP="00ED4D6D">
      <w:pPr>
        <w:pStyle w:val="ListParagraph"/>
        <w:numPr>
          <w:ilvl w:val="0"/>
          <w:numId w:val="14"/>
        </w:numPr>
        <w:rPr>
          <w:lang w:eastAsia="en-GB"/>
        </w:rPr>
      </w:pPr>
      <w:r w:rsidRPr="00EB337B">
        <w:rPr>
          <w:lang w:eastAsia="en-GB"/>
        </w:rPr>
        <w:t>context level (e.g., destination setting, mass</w:t>
      </w:r>
      <w:r w:rsidRPr="00ED4D6D">
        <w:rPr>
          <w:rFonts w:ascii="Cambria Math" w:hAnsi="Cambria Math" w:cs="Cambria Math"/>
          <w:lang w:eastAsia="en-GB"/>
        </w:rPr>
        <w:t>‑</w:t>
      </w:r>
      <w:r w:rsidRPr="00EB337B">
        <w:rPr>
          <w:lang w:eastAsia="en-GB"/>
        </w:rPr>
        <w:t>tourism characteristics, post</w:t>
      </w:r>
      <w:r w:rsidRPr="00ED4D6D">
        <w:rPr>
          <w:rFonts w:ascii="Cambria Math" w:hAnsi="Cambria Math" w:cs="Cambria Math"/>
          <w:lang w:eastAsia="en-GB"/>
        </w:rPr>
        <w:t>‑</w:t>
      </w:r>
      <w:r w:rsidRPr="00EB337B">
        <w:rPr>
          <w:lang w:eastAsia="en-GB"/>
        </w:rPr>
        <w:t>COVID conditions).</w:t>
      </w:r>
    </w:p>
    <w:p w14:paraId="401938EC" w14:textId="77777777" w:rsidR="00EB337B" w:rsidRPr="00EB337B" w:rsidRDefault="00EB337B" w:rsidP="009D167B">
      <w:pPr>
        <w:rPr>
          <w:lang w:eastAsia="en-GB"/>
        </w:rPr>
      </w:pPr>
    </w:p>
    <w:p w14:paraId="0DB14E2D" w14:textId="77777777" w:rsidR="00EB337B" w:rsidRDefault="00EB337B" w:rsidP="009D167B">
      <w:pPr>
        <w:rPr>
          <w:lang w:eastAsia="en-GB"/>
        </w:rPr>
      </w:pPr>
      <w:r w:rsidRPr="00EB337B">
        <w:rPr>
          <w:lang w:eastAsia="en-GB"/>
        </w:rPr>
        <w:t>This framework supports consistent recording of how satisfaction is defined, measured and linked to behavioural outcomes across heterogeneous contexts.</w:t>
      </w:r>
    </w:p>
    <w:p w14:paraId="1BF85261" w14:textId="6AFD2CEC" w:rsidR="00EE57BC" w:rsidRPr="00EE57BC" w:rsidRDefault="00EE57BC" w:rsidP="00EB337B">
      <w:pPr>
        <w:pStyle w:val="Heading2"/>
        <w:rPr>
          <w:rFonts w:eastAsia="Times New Roman"/>
          <w:lang w:eastAsia="en-GB"/>
        </w:rPr>
      </w:pPr>
      <w:bookmarkStart w:id="15" w:name="_Toc228889935"/>
      <w:r w:rsidRPr="00EE57BC">
        <w:rPr>
          <w:rFonts w:eastAsia="Times New Roman"/>
          <w:lang w:eastAsia="en-GB"/>
        </w:rPr>
        <w:lastRenderedPageBreak/>
        <w:t>2.7 Quality appraisal</w:t>
      </w:r>
      <w:bookmarkEnd w:id="15"/>
    </w:p>
    <w:p w14:paraId="7FD35F20" w14:textId="77777777" w:rsidR="000345B3" w:rsidRDefault="000345B3" w:rsidP="000345B3">
      <w:pPr>
        <w:rPr>
          <w:lang w:eastAsia="en-GB"/>
        </w:rPr>
      </w:pPr>
      <w:r>
        <w:rPr>
          <w:lang w:eastAsia="en-GB"/>
        </w:rPr>
        <w:t>Quality appraisal was conducted to document methodological robustness and reporting quality across the included evidence base. Established appraisal tools (CASP, MMAT and JBI guidance) were applied in a design</w:t>
      </w:r>
      <w:r>
        <w:rPr>
          <w:rFonts w:ascii="Cambria Math" w:hAnsi="Cambria Math" w:cs="Cambria Math"/>
          <w:lang w:eastAsia="en-GB"/>
        </w:rPr>
        <w:t>‑</w:t>
      </w:r>
      <w:r>
        <w:rPr>
          <w:lang w:eastAsia="en-GB"/>
        </w:rPr>
        <w:t>appropriate manner, focusing on clarity of methodology, sampling transparency, measurement validity, analytical rigour and reporting of limitations (Hong et al., 2018; JBI, 2024).</w:t>
      </w:r>
    </w:p>
    <w:p w14:paraId="046168BC" w14:textId="6AF539EC" w:rsidR="008C1BA4" w:rsidRDefault="000345B3" w:rsidP="000345B3">
      <w:pPr>
        <w:rPr>
          <w:lang w:eastAsia="en-GB"/>
        </w:rPr>
      </w:pPr>
      <w:r>
        <w:rPr>
          <w:lang w:eastAsia="en-GB"/>
        </w:rPr>
        <w:t>Potential sources of bias, including publication bias and selective reporting, were acknowledged as structural constraints within the available literature. Appraisal outcomes were recorded as part of the methodological record to support transparent evaluation of evidence strength across studies (Egger et al., 1997).</w:t>
      </w:r>
    </w:p>
    <w:p w14:paraId="7A3C44F1" w14:textId="77777777" w:rsidR="00BD237E" w:rsidRPr="00BD237E" w:rsidRDefault="00BD237E" w:rsidP="00BD237E">
      <w:pPr>
        <w:pStyle w:val="Heading2"/>
        <w:rPr>
          <w:rFonts w:eastAsia="Times New Roman"/>
          <w:lang w:eastAsia="en-GB"/>
        </w:rPr>
      </w:pPr>
      <w:bookmarkStart w:id="16" w:name="_Toc228889936"/>
      <w:r w:rsidRPr="00BD237E">
        <w:rPr>
          <w:rFonts w:eastAsia="Times New Roman"/>
          <w:lang w:eastAsia="en-GB"/>
        </w:rPr>
        <w:t>2.8 Synthesis approach</w:t>
      </w:r>
      <w:bookmarkEnd w:id="16"/>
    </w:p>
    <w:p w14:paraId="30780680" w14:textId="77777777" w:rsidR="000345B3" w:rsidRDefault="000345B3" w:rsidP="000345B3">
      <w:pPr>
        <w:rPr>
          <w:lang w:eastAsia="en-GB"/>
        </w:rPr>
      </w:pPr>
      <w:r>
        <w:rPr>
          <w:lang w:eastAsia="en-GB"/>
        </w:rPr>
        <w:t>Given heterogeneity in methods, constructs and operationalisations, narrative synthesis was adopted as the primary approach to evidence integration (Popay et al., 2006). The synthesis was structured around the research questions to ensure consistent organisation of extracted evidence and to maintain alignment with the analytical aims of the dissertation.</w:t>
      </w:r>
    </w:p>
    <w:p w14:paraId="7DD0180B" w14:textId="079E2C27" w:rsidR="008C1BA4" w:rsidRDefault="000345B3" w:rsidP="000345B3">
      <w:pPr>
        <w:rPr>
          <w:lang w:eastAsia="en-GB"/>
        </w:rPr>
      </w:pPr>
      <w:r>
        <w:rPr>
          <w:lang w:eastAsia="en-GB"/>
        </w:rPr>
        <w:t>Evidence was grouped using the extraction framework, enabling structured comparison across construct focus, measurement approach and context characteristics within the review scope.</w:t>
      </w:r>
    </w:p>
    <w:p w14:paraId="693A6199" w14:textId="77777777" w:rsidR="00F6769F" w:rsidRPr="00F6769F" w:rsidRDefault="00F6769F" w:rsidP="00F6769F">
      <w:pPr>
        <w:pStyle w:val="Heading2"/>
        <w:rPr>
          <w:rFonts w:eastAsia="Times New Roman"/>
          <w:lang w:eastAsia="en-GB"/>
        </w:rPr>
      </w:pPr>
      <w:bookmarkStart w:id="17" w:name="_Toc228889937"/>
      <w:r w:rsidRPr="00F6769F">
        <w:rPr>
          <w:rFonts w:eastAsia="Times New Roman"/>
          <w:lang w:eastAsia="en-GB"/>
        </w:rPr>
        <w:t>2.9 Methodological limitations</w:t>
      </w:r>
      <w:bookmarkEnd w:id="17"/>
    </w:p>
    <w:p w14:paraId="422B915B" w14:textId="77777777" w:rsidR="006F09BC" w:rsidRDefault="006F09BC" w:rsidP="006F09BC">
      <w:pPr>
        <w:rPr>
          <w:lang w:eastAsia="en-GB"/>
        </w:rPr>
      </w:pPr>
      <w:r>
        <w:rPr>
          <w:lang w:eastAsia="en-GB"/>
        </w:rPr>
        <w:t>As a secondary research design, the study is constrained by the characteristics of the included evidence base. The dominance of cross</w:t>
      </w:r>
      <w:r>
        <w:rPr>
          <w:rFonts w:ascii="Cambria Math" w:hAnsi="Cambria Math" w:cs="Cambria Math"/>
          <w:lang w:eastAsia="en-GB"/>
        </w:rPr>
        <w:t>‑</w:t>
      </w:r>
      <w:r>
        <w:rPr>
          <w:lang w:eastAsia="en-GB"/>
        </w:rPr>
        <w:t>sectional survey designs limits causal inference, while variation in measurement approaches limits comparability across studies.</w:t>
      </w:r>
    </w:p>
    <w:p w14:paraId="108D2404" w14:textId="1C742BEC" w:rsidR="00D56392" w:rsidRDefault="006F09BC" w:rsidP="006F09BC">
      <w:pPr>
        <w:rPr>
          <w:lang w:eastAsia="en-GB"/>
        </w:rPr>
      </w:pPr>
      <w:r>
        <w:rPr>
          <w:lang w:eastAsia="en-GB"/>
        </w:rPr>
        <w:t>In addition, the reliance on a primary search platform combined with citation tracking may not provide the same controlled coverage as multi</w:t>
      </w:r>
      <w:r>
        <w:rPr>
          <w:rFonts w:ascii="Cambria Math" w:hAnsi="Cambria Math" w:cs="Cambria Math"/>
          <w:lang w:eastAsia="en-GB"/>
        </w:rPr>
        <w:t>‑</w:t>
      </w:r>
      <w:r>
        <w:rPr>
          <w:lang w:eastAsia="en-GB"/>
        </w:rPr>
        <w:t>database designs. These constraints define the boundaries within which the synthesis is interpretable and are addressed further in the dissertation</w:t>
      </w:r>
      <w:r>
        <w:rPr>
          <w:rFonts w:cs="Arial"/>
          <w:lang w:eastAsia="en-GB"/>
        </w:rPr>
        <w:t>’</w:t>
      </w:r>
      <w:r>
        <w:rPr>
          <w:lang w:eastAsia="en-GB"/>
        </w:rPr>
        <w:t>s discussion of limitations and future research.</w:t>
      </w:r>
    </w:p>
    <w:p w14:paraId="67F3A1F6" w14:textId="7D150083" w:rsidR="008C1BA4" w:rsidRDefault="00C34509" w:rsidP="00BD237E">
      <w:pPr>
        <w:rPr>
          <w:lang w:eastAsia="en-GB"/>
        </w:rPr>
      </w:pPr>
      <w:r w:rsidRPr="00C34509">
        <w:rPr>
          <w:lang w:eastAsia="en-GB"/>
        </w:rPr>
        <w:t>Sources used for conceptual framing that fall outside the inclusion criteria (e.g., reports or book chapters) are cited in the main reference list but are not treated as included studies; they are listed separately in Appendix B.</w:t>
      </w:r>
    </w:p>
    <w:p w14:paraId="7C8AF7D9" w14:textId="77777777" w:rsidR="008C1BA4" w:rsidRDefault="008C1BA4" w:rsidP="00BD237E">
      <w:pPr>
        <w:rPr>
          <w:lang w:eastAsia="en-GB"/>
        </w:rPr>
      </w:pPr>
    </w:p>
    <w:p w14:paraId="6625B284" w14:textId="77777777" w:rsidR="008C1BA4" w:rsidRDefault="008C1BA4" w:rsidP="00BD237E">
      <w:pPr>
        <w:rPr>
          <w:lang w:eastAsia="en-GB"/>
        </w:rPr>
      </w:pPr>
    </w:p>
    <w:p w14:paraId="6EFD01C8" w14:textId="77777777" w:rsidR="00ED4D6D" w:rsidRDefault="00ED4D6D" w:rsidP="00BD237E">
      <w:pPr>
        <w:rPr>
          <w:lang w:eastAsia="en-GB"/>
        </w:rPr>
      </w:pPr>
    </w:p>
    <w:p w14:paraId="05E602BA" w14:textId="77777777" w:rsidR="00ED4D6D" w:rsidRDefault="00ED4D6D" w:rsidP="00BD237E">
      <w:pPr>
        <w:rPr>
          <w:lang w:eastAsia="en-GB"/>
        </w:rPr>
      </w:pPr>
    </w:p>
    <w:p w14:paraId="46F08E8B" w14:textId="77777777" w:rsidR="00ED4D6D" w:rsidRDefault="00ED4D6D" w:rsidP="00BD237E">
      <w:pPr>
        <w:rPr>
          <w:lang w:eastAsia="en-GB"/>
        </w:rPr>
      </w:pPr>
    </w:p>
    <w:p w14:paraId="6879DF61" w14:textId="77777777" w:rsidR="00ED4D6D" w:rsidRDefault="00ED4D6D" w:rsidP="00BD237E">
      <w:pPr>
        <w:rPr>
          <w:lang w:eastAsia="en-GB"/>
        </w:rPr>
      </w:pPr>
    </w:p>
    <w:p w14:paraId="06DFE763" w14:textId="77777777" w:rsidR="00ED4D6D" w:rsidRDefault="00ED4D6D" w:rsidP="00BD237E">
      <w:pPr>
        <w:rPr>
          <w:lang w:eastAsia="en-GB"/>
        </w:rPr>
      </w:pPr>
    </w:p>
    <w:p w14:paraId="33C36B58" w14:textId="77777777" w:rsidR="00912141" w:rsidRPr="00912141" w:rsidRDefault="008C1BA4" w:rsidP="00912141">
      <w:pPr>
        <w:pStyle w:val="Heading1"/>
        <w:rPr>
          <w:rFonts w:eastAsia="Times New Roman"/>
          <w:lang w:eastAsia="en-GB"/>
        </w:rPr>
      </w:pPr>
      <w:bookmarkStart w:id="18" w:name="_Toc228889938"/>
      <w:r w:rsidRPr="008C1BA4">
        <w:rPr>
          <w:rFonts w:eastAsia="Times New Roman"/>
          <w:lang w:eastAsia="en-GB"/>
        </w:rPr>
        <w:lastRenderedPageBreak/>
        <w:t xml:space="preserve">Chapter 3: </w:t>
      </w:r>
      <w:r w:rsidR="00912141" w:rsidRPr="00912141">
        <w:rPr>
          <w:rFonts w:eastAsia="Times New Roman"/>
          <w:lang w:eastAsia="en-GB"/>
        </w:rPr>
        <w:t>Conceptual and Background Literature Review</w:t>
      </w:r>
      <w:bookmarkEnd w:id="18"/>
    </w:p>
    <w:p w14:paraId="5BE1E419" w14:textId="77777777" w:rsidR="00234F46" w:rsidRPr="00EE57BC" w:rsidRDefault="00234F46" w:rsidP="00EE57BC">
      <w:pPr>
        <w:rPr>
          <w:lang w:eastAsia="en-GB"/>
        </w:rPr>
      </w:pPr>
    </w:p>
    <w:p w14:paraId="6BA0AA8E" w14:textId="77777777" w:rsidR="00A33984" w:rsidRPr="00A33984" w:rsidRDefault="00A33984" w:rsidP="00A33984">
      <w:pPr>
        <w:pStyle w:val="Heading2"/>
        <w:rPr>
          <w:rFonts w:eastAsia="Times New Roman"/>
          <w:lang w:eastAsia="en-GB"/>
        </w:rPr>
      </w:pPr>
      <w:bookmarkStart w:id="19" w:name="_Toc228889939"/>
      <w:r w:rsidRPr="00A33984">
        <w:rPr>
          <w:rFonts w:eastAsia="Times New Roman"/>
          <w:lang w:eastAsia="en-GB"/>
        </w:rPr>
        <w:t>3.1 Conceptualising tourist satisfaction</w:t>
      </w:r>
      <w:bookmarkEnd w:id="19"/>
    </w:p>
    <w:p w14:paraId="2C1A26A5" w14:textId="77777777" w:rsidR="00B172C7" w:rsidRDefault="00B172C7" w:rsidP="00B172C7">
      <w:pPr>
        <w:rPr>
          <w:lang w:eastAsia="en-GB"/>
        </w:rPr>
      </w:pPr>
      <w:r>
        <w:rPr>
          <w:lang w:eastAsia="en-GB"/>
        </w:rPr>
        <w:t>Tourist satisfaction has long been positioned as a central construct in tourism research and is commonly defined as an evaluative response arising from a comparison between expectations and perceived performance. Within this perspective, satisfaction functions as a post-consumption judgement that links service evaluation to behavioural intentions, including revisit and recommendation, and has therefore been widely used as a proxy indicator of destination performance (Oliver, 1980; Baker and Crompton, 2000).</w:t>
      </w:r>
    </w:p>
    <w:p w14:paraId="02495AD1" w14:textId="77777777" w:rsidR="00B172C7" w:rsidRDefault="00B172C7" w:rsidP="00B172C7">
      <w:pPr>
        <w:rPr>
          <w:lang w:eastAsia="en-GB"/>
        </w:rPr>
      </w:pPr>
      <w:r>
        <w:rPr>
          <w:lang w:eastAsia="en-GB"/>
        </w:rPr>
        <w:t>However, contemporary tourism contexts increasingly challenge a narrow performance-based view of satisfaction. In mass-tourism environments characterised by high density, capacity pressure and changing visitor expectations, satisfaction is often framed as an experiential and context-dependent appraisal shaped by a broader set of cognitive and affective influences rather than as a direct outcome of service performance alone (Baker and Crompton, 2000; Pine and Gilmore, 1999).</w:t>
      </w:r>
    </w:p>
    <w:p w14:paraId="532DB35B" w14:textId="5CFBC9AF" w:rsidR="00B172C7" w:rsidRDefault="00B172C7" w:rsidP="00B172C7">
      <w:pPr>
        <w:rPr>
          <w:lang w:eastAsia="en-GB"/>
        </w:rPr>
      </w:pPr>
      <w:r>
        <w:rPr>
          <w:lang w:eastAsia="en-GB"/>
        </w:rPr>
        <w:t xml:space="preserve">Three interrelated developments are particularly visible in how satisfaction is conceptualised in recent tourism research. First, satisfaction is increasingly treated as a multidimensional construct that integrates cognitive assessment with affective response. In this framing, evaluations incorporate not only perceptions of quality and </w:t>
      </w:r>
      <w:r w:rsidR="009A597D">
        <w:rPr>
          <w:lang w:eastAsia="en-GB"/>
        </w:rPr>
        <w:t>performance,</w:t>
      </w:r>
      <w:r>
        <w:rPr>
          <w:lang w:eastAsia="en-GB"/>
        </w:rPr>
        <w:t xml:space="preserve"> but also emotional and experiential components associated with enjoyment, comfort and meaning-making during the trip (Pine and Gilmore, 1999).</w:t>
      </w:r>
    </w:p>
    <w:p w14:paraId="1B468314" w14:textId="77777777" w:rsidR="00B172C7" w:rsidRDefault="00B172C7" w:rsidP="00B172C7">
      <w:pPr>
        <w:rPr>
          <w:lang w:eastAsia="en-GB"/>
        </w:rPr>
      </w:pPr>
      <w:r>
        <w:rPr>
          <w:lang w:eastAsia="en-GB"/>
        </w:rPr>
        <w:t>Second, satisfaction is increasingly theorised as sensitive to contextual conditions. Situational characteristics such as crowding pressure, environmental quality and destination setting can shape how tourists interpret service encounters and experience outcomes. In high-density environments, these contextual factors may become particularly salient in shaping overall evaluations, especially when perceived overcrowding affects comfort and goal fulfilment (Papadopoulou, Ribeiro and Prayag, 2023).</w:t>
      </w:r>
    </w:p>
    <w:p w14:paraId="7B1F58A6" w14:textId="77777777" w:rsidR="00B172C7" w:rsidRDefault="00B172C7" w:rsidP="00B172C7">
      <w:pPr>
        <w:rPr>
          <w:lang w:eastAsia="en-GB"/>
        </w:rPr>
      </w:pPr>
      <w:r>
        <w:rPr>
          <w:lang w:eastAsia="en-GB"/>
        </w:rPr>
        <w:t>Third, the post-COVID environment has introduced additional complexity to satisfaction formation. Safety, hygiene and perceived risk have become more central to how tourists evaluate experiences, influencing both overall satisfaction and the relative importance assigned to different service cues (Jiménez-Medina et al., 2022; Gazi et al., 2024; Sánchez-Sánchez, De-Pablos-Heredero and Montes-Botella, 2024). This reinforces the view that satisfaction is not a stable or universally comparable measure, but can be shaped by situational uncertainty and perceived control.</w:t>
      </w:r>
    </w:p>
    <w:p w14:paraId="7C98D5F5" w14:textId="77777777" w:rsidR="00B172C7" w:rsidRDefault="00B172C7" w:rsidP="00B172C7">
      <w:pPr>
        <w:rPr>
          <w:lang w:eastAsia="en-GB"/>
        </w:rPr>
      </w:pPr>
      <w:r>
        <w:rPr>
          <w:lang w:eastAsia="en-GB"/>
        </w:rPr>
        <w:t>Taken together, these conceptual developments indicate that tourist satisfaction is increasingly understood as a context-sensitive and experience-based construct. Tourists do not evaluate service performance in isolation, but interpret experiences within broader psychological and situational conditions that can change what constitutes a satisfactory outcome across settings and segments.</w:t>
      </w:r>
    </w:p>
    <w:p w14:paraId="0E550960" w14:textId="77777777" w:rsidR="00B172C7" w:rsidRDefault="00B172C7" w:rsidP="00B172C7">
      <w:pPr>
        <w:rPr>
          <w:lang w:eastAsia="en-GB"/>
        </w:rPr>
      </w:pPr>
      <w:r>
        <w:rPr>
          <w:lang w:eastAsia="en-GB"/>
        </w:rPr>
        <w:lastRenderedPageBreak/>
        <w:t>Importantly, this shift has implications for how satisfaction is linked to behavioural outcomes. Traditional models often assume a relatively direct satisfaction–loyalty relationship, but contemporary perspectives suggest that the strength and form of this relationship may be conditional, particularly when contextual pressures influence experience quality and subsequent intention formation (Papadopoulou, Ribeiro and Prayag, 2023).</w:t>
      </w:r>
    </w:p>
    <w:p w14:paraId="12F0EC62" w14:textId="6F55549B" w:rsidR="00A33984" w:rsidRDefault="00B172C7" w:rsidP="00B172C7">
      <w:pPr>
        <w:rPr>
          <w:lang w:eastAsia="en-GB"/>
        </w:rPr>
      </w:pPr>
      <w:r>
        <w:rPr>
          <w:lang w:eastAsia="en-GB"/>
        </w:rPr>
        <w:t>Overall, these conceptual foundations provide a basis for examining how satisfaction is operationalised and measured (Section 3.3) and for understanding why post</w:t>
      </w:r>
      <w:r>
        <w:rPr>
          <w:rFonts w:ascii="Cambria Math" w:hAnsi="Cambria Math" w:cs="Cambria Math"/>
          <w:lang w:eastAsia="en-GB"/>
        </w:rPr>
        <w:t>‑</w:t>
      </w:r>
      <w:r>
        <w:rPr>
          <w:lang w:eastAsia="en-GB"/>
        </w:rPr>
        <w:t>COVID risk sensitivity and high-density pressures are central to interpreting satisfaction</w:t>
      </w:r>
      <w:r>
        <w:rPr>
          <w:rFonts w:cs="Arial"/>
          <w:lang w:eastAsia="en-GB"/>
        </w:rPr>
        <w:t>–</w:t>
      </w:r>
      <w:r>
        <w:rPr>
          <w:lang w:eastAsia="en-GB"/>
        </w:rPr>
        <w:t>behavioural outcome pathways in mass-tourism research.</w:t>
      </w:r>
    </w:p>
    <w:p w14:paraId="7DC16BE4" w14:textId="77777777" w:rsidR="003B24FD" w:rsidRDefault="003B24FD" w:rsidP="00F85182">
      <w:pPr>
        <w:pStyle w:val="Heading2"/>
        <w:rPr>
          <w:lang w:eastAsia="en-GB"/>
        </w:rPr>
      </w:pPr>
      <w:bookmarkStart w:id="20" w:name="_Toc228889940"/>
      <w:r>
        <w:rPr>
          <w:lang w:eastAsia="en-GB"/>
        </w:rPr>
        <w:t>3.2 Satisfaction as experiential and risk-adjusted evaluation</w:t>
      </w:r>
      <w:bookmarkEnd w:id="20"/>
    </w:p>
    <w:p w14:paraId="11E596BD" w14:textId="77777777" w:rsidR="008C5E77" w:rsidRDefault="008C5E77" w:rsidP="008C5E77">
      <w:pPr>
        <w:rPr>
          <w:lang w:eastAsia="en-GB"/>
        </w:rPr>
      </w:pPr>
      <w:r>
        <w:rPr>
          <w:lang w:eastAsia="en-GB"/>
        </w:rPr>
        <w:t>The relationship between tourist satisfaction and behavioural outcomes has been a central focus of tourism and services research, with satisfaction traditionally positioned as a key antecedent of loyalty-related intentions such as revisit intention and willingness to recommend. Within this dominant framing, higher satisfaction is generally expected to translate into stronger positive behavioural intentions, forming a largely linear satisfaction–loyalty relationship (Oliver, 1999).</w:t>
      </w:r>
    </w:p>
    <w:p w14:paraId="2FD497C5" w14:textId="77777777" w:rsidR="008C5E77" w:rsidRDefault="008C5E77" w:rsidP="008C5E77">
      <w:pPr>
        <w:rPr>
          <w:lang w:eastAsia="en-GB"/>
        </w:rPr>
      </w:pPr>
      <w:r>
        <w:rPr>
          <w:lang w:eastAsia="en-GB"/>
        </w:rPr>
        <w:t>This perspective aligns with broader consumer behaviour models in which satisfaction functions as a post-consumption evaluation shaping attitudinal responses and subsequent intention formation. Consequently, a substantial proportion of tourism research has focused on identifying satisfaction determinants in order to strengthen destination competitiveness through improved experience delivery and service performance (Oliver, 1999).</w:t>
      </w:r>
    </w:p>
    <w:p w14:paraId="09CF2282" w14:textId="77777777" w:rsidR="008C5E77" w:rsidRDefault="008C5E77" w:rsidP="008C5E77">
      <w:pPr>
        <w:rPr>
          <w:lang w:eastAsia="en-GB"/>
        </w:rPr>
      </w:pPr>
      <w:r>
        <w:rPr>
          <w:lang w:eastAsia="en-GB"/>
        </w:rPr>
        <w:t>However, tourism contexts also contain structural characteristics that complicate a simple satisfaction–loyalty linkage. Repeat visitation is influenced by motivations such as novelty seeking, variety seeking and destination substitution, meaning that tourists may report high satisfaction while still preferring new destinations rather than revisiting the same one (Yoon and Uysal, 2005). This indicates that satisfaction may be necessary for positive loyalty intentions in many settings, but is not always sufficient to guarantee repeat-oriented behaviour.</w:t>
      </w:r>
    </w:p>
    <w:p w14:paraId="6A6B82B5" w14:textId="77777777" w:rsidR="008C5E77" w:rsidRDefault="008C5E77" w:rsidP="008C5E77">
      <w:pPr>
        <w:rPr>
          <w:lang w:eastAsia="en-GB"/>
        </w:rPr>
      </w:pPr>
      <w:r>
        <w:rPr>
          <w:lang w:eastAsia="en-GB"/>
        </w:rPr>
        <w:t>In mass-tourism environments, contextual pressures can further disrupt expected pathways between satisfaction and behaviour. High-density conditions, perceived crowding and overtourism-related strain may affect perceived control, comfort and goal fulfilment, weakening revisit and recommendation intentions even when overall evaluations remain acceptable (Papadopoulou, Ribeiro and Prayag, 2023). In such settings, behavioural outcomes can diverge from aggregate satisfaction measures because tourists evaluate the trip positively in some respects while simultaneously forming avoidance-oriented intentions due to contextual constraints.</w:t>
      </w:r>
    </w:p>
    <w:p w14:paraId="39823D69" w14:textId="77777777" w:rsidR="008C5E77" w:rsidRDefault="008C5E77" w:rsidP="008C5E77">
      <w:pPr>
        <w:rPr>
          <w:lang w:eastAsia="en-GB"/>
        </w:rPr>
      </w:pPr>
      <w:r>
        <w:rPr>
          <w:lang w:eastAsia="en-GB"/>
        </w:rPr>
        <w:t xml:space="preserve">This points to the conceptual importance of distinguishing between different forms of post-consumption response. The absence of revisit intention does not necessarily imply dissatisfaction; it may reflect variety seeking or situational constraints. By contrast, resistance-oriented responses such as reluctance, objection or avoidance represent qualitatively different behavioural orientations that can coexist with positive </w:t>
      </w:r>
      <w:r>
        <w:rPr>
          <w:lang w:eastAsia="en-GB"/>
        </w:rPr>
        <w:lastRenderedPageBreak/>
        <w:t>evaluations of particular destination attributes (Papadopoulou, Ribeiro and Prayag, 2023). This distinction supports the view that behavioural outcomes may be asymmetric rather than forming a single continuum from dissatisfaction to satisfaction and loyalty.</w:t>
      </w:r>
    </w:p>
    <w:p w14:paraId="547AAEF3" w14:textId="77777777" w:rsidR="008C5E77" w:rsidRDefault="008C5E77" w:rsidP="008C5E77">
      <w:pPr>
        <w:rPr>
          <w:lang w:eastAsia="en-GB"/>
        </w:rPr>
      </w:pPr>
      <w:r>
        <w:rPr>
          <w:lang w:eastAsia="en-GB"/>
        </w:rPr>
        <w:t>The literature also emphasises the role of mediating and moderating mechanisms in shaping satisfaction–behaviour pathways. Experiential mediators such as perceived value, destination image and experience quality frequently structure how evaluation translates into intention, while boundary conditions such as crowding pressure and risk sensitivity may strengthen, weaken or redirect behavioural responses across contexts and visitor segments (Yoon and Uysal, 2005; Papadopoulou, Ribeiro and Prayag, 2023).</w:t>
      </w:r>
    </w:p>
    <w:p w14:paraId="76DD3AE8" w14:textId="019676E6" w:rsidR="008E61AC" w:rsidRDefault="008C5E77" w:rsidP="008C5E77">
      <w:pPr>
        <w:rPr>
          <w:lang w:eastAsia="en-GB"/>
        </w:rPr>
      </w:pPr>
      <w:r>
        <w:rPr>
          <w:lang w:eastAsia="en-GB"/>
        </w:rPr>
        <w:t>Overall, contemporary tourism research increasingly treats the satisfaction–behaviour relationship as conditional, context-dependent and potentially asymmetric. This conceptual perspective provides a foundation for examining how satisfaction is measured and interpreted across studies and for considering behavioural outcomes that capture both positive loyalty intentions and resistance-oriented responses in high-density mass-tourism contexts (Oliver, 1999; Papadopoulou, Ribeiro and Prayag, 2023).</w:t>
      </w:r>
    </w:p>
    <w:p w14:paraId="3AFDD44B" w14:textId="77777777" w:rsidR="008E61AC" w:rsidRDefault="008E61AC" w:rsidP="00460C54">
      <w:pPr>
        <w:pStyle w:val="Heading2"/>
        <w:rPr>
          <w:lang w:eastAsia="en-GB"/>
        </w:rPr>
      </w:pPr>
      <w:bookmarkStart w:id="21" w:name="_Toc228889941"/>
      <w:r>
        <w:rPr>
          <w:lang w:eastAsia="en-GB"/>
        </w:rPr>
        <w:t>3.3 Measurement of tourist satisfaction</w:t>
      </w:r>
      <w:bookmarkEnd w:id="21"/>
    </w:p>
    <w:p w14:paraId="223A4499" w14:textId="77777777" w:rsidR="00C54E7A" w:rsidRDefault="00C54E7A" w:rsidP="00C54E7A">
      <w:pPr>
        <w:rPr>
          <w:lang w:eastAsia="en-GB"/>
        </w:rPr>
      </w:pPr>
      <w:r>
        <w:rPr>
          <w:lang w:eastAsia="en-GB"/>
        </w:rPr>
        <w:t>The measurement of tourist satisfaction is a central but contested area within tourism research. Although satisfaction is widely used as an indicator of destination performance, there is no single agreed approach to how it should be operationalised. Instead, the literature presents a range of measurement strategies, reflecting differences in theoretical assumptions, research contexts and methodological preferences (Oliver, 1980).</w:t>
      </w:r>
    </w:p>
    <w:p w14:paraId="3066531C" w14:textId="77777777" w:rsidR="00C54E7A" w:rsidRDefault="00C54E7A" w:rsidP="00C54E7A">
      <w:pPr>
        <w:rPr>
          <w:lang w:eastAsia="en-GB"/>
        </w:rPr>
      </w:pPr>
      <w:r>
        <w:rPr>
          <w:lang w:eastAsia="en-GB"/>
        </w:rPr>
        <w:t>A dominant tradition relies on survey-based instruments, typically using multi-item Likert-type scales derived from service-quality and consumer evaluation frameworks. Within expectation–disconfirmation logic, satisfaction is conceptualised as an evaluative judgement formed through comparison between expectations and perceived performance (Oliver, 1980). In parallel, service-quality traditions such as SERVQUAL operationalise perceived service quality through expectation–perception gaps across dimensions (Parasuraman, Zeithaml and Berry, 1988), while performance-only variants such as SERVPERF focus on perceived performance without explicit expectation measures (Cronin and Taylor, 1992). In tourism studies, these survey-based approaches are frequently analysed through SEM or PLS-SEM to model satisfaction as a latent construct and to estimate its relationships with antecedents and behavioural outcomes.</w:t>
      </w:r>
    </w:p>
    <w:p w14:paraId="608F357B" w14:textId="77777777" w:rsidR="00C54E7A" w:rsidRDefault="00C54E7A" w:rsidP="00C54E7A">
      <w:pPr>
        <w:rPr>
          <w:lang w:eastAsia="en-GB"/>
        </w:rPr>
      </w:pPr>
      <w:r>
        <w:rPr>
          <w:lang w:eastAsia="en-GB"/>
        </w:rPr>
        <w:t xml:space="preserve">However, survey-based dominance is associated with several recurrent concerns in the literature. One issue is the extensive use of bespoke or context-adapted scales, which enables inclusion of destination-specific attributes but can limit comparability across studies. When constructs labelled “satisfaction” are operationalised using different indicator sets, comparisons across contexts may reflect differences in measurement choices as much as substantive differences in evaluation. This </w:t>
      </w:r>
      <w:r>
        <w:rPr>
          <w:lang w:eastAsia="en-GB"/>
        </w:rPr>
        <w:lastRenderedPageBreak/>
        <w:t>challenges cumulative knowledge development when results are synthesised across heterogeneous settings.</w:t>
      </w:r>
    </w:p>
    <w:p w14:paraId="7103A77E" w14:textId="77777777" w:rsidR="00C54E7A" w:rsidRDefault="00C54E7A" w:rsidP="00C54E7A">
      <w:pPr>
        <w:rPr>
          <w:lang w:eastAsia="en-GB"/>
        </w:rPr>
      </w:pPr>
      <w:r>
        <w:rPr>
          <w:lang w:eastAsia="en-GB"/>
        </w:rPr>
        <w:t>A further concern relates to measurement equivalence. Measurement invariance refers to the extent to which a scale measures the same construct in the same way across different populations or contexts, enabling meaningful comparison of scores and structural relationships (Vandenberg and Lance, 2000). In tourism, differences in visitor expectations, cultural background and situational interpretation may influence how respondents understand items such as cleanliness, safety or value, which can undermine cross-group comparability unless equivalence is tested explicitly. Recent work has highlighted that performance-only satisfaction models may exhibit conditional validity across demographic strata, reinforcing the need for explicit invariance testing in comparative research (Pérez-Campdesuñer et al., 2025).</w:t>
      </w:r>
    </w:p>
    <w:p w14:paraId="343D779F" w14:textId="77777777" w:rsidR="00C54E7A" w:rsidRDefault="00C54E7A" w:rsidP="00C54E7A">
      <w:pPr>
        <w:rPr>
          <w:lang w:eastAsia="en-GB"/>
        </w:rPr>
      </w:pPr>
      <w:r>
        <w:rPr>
          <w:lang w:eastAsia="en-GB"/>
        </w:rPr>
        <w:t>In response to these challenges, alternative measurement approaches have been used to capture more diagnostic or data-rich views of tourist evaluation. Attribute-level techniques, such as Importance–Performance Analysis (IPA), assess satisfaction-related priorities by comparing perceived performance against stated importance across specific destination attributes (Martilla and James, 1977). Such methods can support managerial prioritisation but are sensitive to attribute selection and framing and do not necessarily capture overall evaluative judgement as a single latent construct.</w:t>
      </w:r>
    </w:p>
    <w:p w14:paraId="3522E980" w14:textId="77777777" w:rsidR="00C54E7A" w:rsidRDefault="00C54E7A" w:rsidP="00C54E7A">
      <w:pPr>
        <w:rPr>
          <w:lang w:eastAsia="en-GB"/>
        </w:rPr>
      </w:pPr>
      <w:r>
        <w:rPr>
          <w:lang w:eastAsia="en-GB"/>
        </w:rPr>
        <w:t>More recently, digitalisation has enabled the use of user-generated content (UGC), online reviews and sentiment-based analytics as indirect indicators of tourist evaluation. These approaches provide large-scale and time-sensitive information about experience narratives and affective tone, but the literature also cautions that sentiment is not always equivalent to satisfaction as an evaluative construct, and that representativeness and self-selection biases can affect interpretation (Liu, 2012). As a result, digital measures are often treated as complementary proxies rather than direct substitutes for theory-grounded satisfaction instruments.</w:t>
      </w:r>
    </w:p>
    <w:p w14:paraId="3662CBBA" w14:textId="1764AC11" w:rsidR="008E11F2" w:rsidRDefault="00C54E7A" w:rsidP="00C54E7A">
      <w:pPr>
        <w:rPr>
          <w:lang w:eastAsia="en-GB"/>
        </w:rPr>
      </w:pPr>
      <w:r>
        <w:rPr>
          <w:lang w:eastAsia="en-GB"/>
        </w:rPr>
        <w:t>Taken together, the literature suggests that tourist satisfaction should not be treated as a single, universally measurable construct across all contexts and segments. Measurement strategies capture different dimensions of evaluation, and differences in instrument design can shape what conclusions are valid. This implies an ongoing tension between measurement flexibility (to reflect context sensitivity) and measurement comparability (to support cumulative evidence). Addressing this tension is essential for ensuring that inferences about satisfaction drivers and behavioural outcomes reflect substantive processes rather than measurement artefacts (Vandenberg and Lance, 2000; Pérez-Campdesuñer et al., 2025).</w:t>
      </w:r>
    </w:p>
    <w:p w14:paraId="1F835AEF" w14:textId="4BD0EA96" w:rsidR="008E11F2" w:rsidRDefault="008E11F2" w:rsidP="008E11F2">
      <w:pPr>
        <w:pStyle w:val="Heading2"/>
        <w:rPr>
          <w:lang w:eastAsia="en-GB"/>
        </w:rPr>
      </w:pPr>
      <w:bookmarkStart w:id="22" w:name="_Toc228889942"/>
      <w:r>
        <w:rPr>
          <w:lang w:eastAsia="en-GB"/>
        </w:rPr>
        <w:t xml:space="preserve">3.4 </w:t>
      </w:r>
      <w:r w:rsidR="002F258F" w:rsidRPr="002F258F">
        <w:rPr>
          <w:lang w:eastAsia="en-GB"/>
        </w:rPr>
        <w:t>Overtourism and crowding</w:t>
      </w:r>
      <w:bookmarkEnd w:id="22"/>
    </w:p>
    <w:p w14:paraId="6C61CD7F" w14:textId="77777777" w:rsidR="006C1A5B" w:rsidRPr="006C1A5B" w:rsidRDefault="006C1A5B" w:rsidP="006C1A5B">
      <w:pPr>
        <w:rPr>
          <w:lang w:eastAsia="en-GB"/>
        </w:rPr>
      </w:pPr>
      <w:r w:rsidRPr="006C1A5B">
        <w:rPr>
          <w:lang w:eastAsia="en-GB"/>
        </w:rPr>
        <w:t>Overtourism and perceived crowding have become central themes in contemporary tourism research, particularly in relation to mass-tourism destinations. As visitor volumes increase, pressures on infrastructure, environmental quality and resident–visitor coexistence can reshape how tourists experience destinations and how they evaluate trip outcomes (UNWTO, 2018).</w:t>
      </w:r>
    </w:p>
    <w:p w14:paraId="7F156F5A" w14:textId="77777777" w:rsidR="006C1A5B" w:rsidRPr="006C1A5B" w:rsidRDefault="006C1A5B" w:rsidP="006C1A5B">
      <w:pPr>
        <w:rPr>
          <w:lang w:eastAsia="en-GB"/>
        </w:rPr>
      </w:pPr>
      <w:r w:rsidRPr="006C1A5B">
        <w:rPr>
          <w:lang w:eastAsia="en-GB"/>
        </w:rPr>
        <w:lastRenderedPageBreak/>
        <w:t>A key conceptual distinction concerns the difference between objective density and perceived crowding. Density refers to the physical condition of how many people occupy a given space, whereas crowding is a subjective psychological state that depends on individual expectations, tolerance levels and situational cues. Environmental psychology emphasises that people can experience the same density differently depending on perceived control, personal space needs and contextual norms (Stokols, 1972). In tourism settings, this implies that perceived crowding is often more relevant than visitor numbers alone for understanding evaluative outcomes and behavioural intentions.</w:t>
      </w:r>
    </w:p>
    <w:p w14:paraId="745DD763" w14:textId="77777777" w:rsidR="006C1A5B" w:rsidRPr="006C1A5B" w:rsidRDefault="006C1A5B" w:rsidP="006C1A5B">
      <w:pPr>
        <w:rPr>
          <w:lang w:eastAsia="en-GB"/>
        </w:rPr>
      </w:pPr>
      <w:r w:rsidRPr="006C1A5B">
        <w:rPr>
          <w:lang w:eastAsia="en-GB"/>
        </w:rPr>
        <w:t>Perceived crowding is commonly theorised as an experiential constraint that can reduce comfort, restrict movement and limit opportunities for meaningful engagement with destination attractions. When crowding is interpreted as interfering with goal fulfilment (e.g., access, enjoyment, authenticity), tourists may evaluate the overall experience less favourably, particularly in high-density environments. At the same time, crowd presence may be interpreted positively in some situations by signalling popularity, atmosphere or social vitality, suggesting that crowding effects can be conditional on expectations, motivations and trip purpose.</w:t>
      </w:r>
    </w:p>
    <w:p w14:paraId="4F1CEF5E" w14:textId="77777777" w:rsidR="006C1A5B" w:rsidRPr="006C1A5B" w:rsidRDefault="006C1A5B" w:rsidP="006C1A5B">
      <w:pPr>
        <w:rPr>
          <w:lang w:eastAsia="en-GB"/>
        </w:rPr>
      </w:pPr>
      <w:r w:rsidRPr="006C1A5B">
        <w:rPr>
          <w:lang w:eastAsia="en-GB"/>
        </w:rPr>
        <w:t>Carrying capacity concepts have historically been used to frame limits of tourism development, incorporating physical, environmental, social and psychological dimensions. However, capacity is not necessarily a fixed threshold; it is influenced by temporal variation, spatial distribution and management practices that shape how density is experienced (Shelby and Heberlein, 1986). This reinforces the importance of treating crowding as a dynamic experience-related appraisal rather than as a purely operational metric.</w:t>
      </w:r>
    </w:p>
    <w:p w14:paraId="2417D379" w14:textId="77777777" w:rsidR="006C1A5B" w:rsidRPr="006C1A5B" w:rsidRDefault="006C1A5B" w:rsidP="006C1A5B">
      <w:pPr>
        <w:rPr>
          <w:lang w:eastAsia="en-GB"/>
        </w:rPr>
      </w:pPr>
      <w:r w:rsidRPr="006C1A5B">
        <w:rPr>
          <w:lang w:eastAsia="en-GB"/>
        </w:rPr>
        <w:t>In mass-tourism contexts, overtourism discourse also links crowding pressure to broader destination sustainability concerns, including environmental degradation, infrastructure strain and resident–visitor conflict. These factors can influence tourists’ perceptions of destination quality and authenticity and may therefore shape satisfaction and subsequent behavioural responses indirectly through experience interpretation and destination image (UNWTO, 2018).</w:t>
      </w:r>
    </w:p>
    <w:p w14:paraId="6282F851" w14:textId="77777777" w:rsidR="006C1A5B" w:rsidRDefault="006C1A5B" w:rsidP="006C1A5B">
      <w:pPr>
        <w:rPr>
          <w:lang w:eastAsia="en-GB"/>
        </w:rPr>
      </w:pPr>
      <w:r w:rsidRPr="006C1A5B">
        <w:rPr>
          <w:lang w:eastAsia="en-GB"/>
        </w:rPr>
        <w:t>Overall, overtourism and perceived crowding highlight a structural tension in mass-tourism destinations: high visitation can signal market success while simultaneously introducing experiential constraints that alter evaluation and behavioural orientation. This conceptual framing supports the need to consider crowding as a contextual condition within satisfaction formation and to recognise that post-consumption behavioural outcomes may include both attraction-oriented intentions and avoidance-oriented tendencies in high-density settings (Papadopoulou, Ribeiro and Prayag, 2023).</w:t>
      </w:r>
    </w:p>
    <w:p w14:paraId="04B534B1" w14:textId="3ED3E06A" w:rsidR="00A51B07" w:rsidRDefault="00A51B07" w:rsidP="006C1A5B">
      <w:pPr>
        <w:pStyle w:val="Heading2"/>
        <w:rPr>
          <w:lang w:eastAsia="en-GB"/>
        </w:rPr>
      </w:pPr>
      <w:bookmarkStart w:id="23" w:name="_Toc228889943"/>
      <w:r>
        <w:rPr>
          <w:lang w:eastAsia="en-GB"/>
        </w:rPr>
        <w:t xml:space="preserve">3.5 </w:t>
      </w:r>
      <w:r w:rsidR="002F258F" w:rsidRPr="002F258F">
        <w:rPr>
          <w:lang w:eastAsia="en-GB"/>
        </w:rPr>
        <w:t>Post</w:t>
      </w:r>
      <w:r w:rsidR="002F258F" w:rsidRPr="002F258F">
        <w:rPr>
          <w:rFonts w:ascii="Cambria Math" w:hAnsi="Cambria Math" w:cs="Cambria Math"/>
          <w:lang w:eastAsia="en-GB"/>
        </w:rPr>
        <w:t>‑</w:t>
      </w:r>
      <w:r w:rsidR="002F258F" w:rsidRPr="002F258F">
        <w:rPr>
          <w:lang w:eastAsia="en-GB"/>
        </w:rPr>
        <w:t>COVID risk, safety and satisfaction</w:t>
      </w:r>
      <w:bookmarkEnd w:id="23"/>
    </w:p>
    <w:p w14:paraId="2AEF6129" w14:textId="25DC76A4" w:rsidR="00347B25" w:rsidRDefault="00347B25" w:rsidP="00347B25">
      <w:pPr>
        <w:rPr>
          <w:lang w:eastAsia="en-GB"/>
        </w:rPr>
      </w:pPr>
      <w:r>
        <w:rPr>
          <w:lang w:eastAsia="en-GB"/>
        </w:rPr>
        <w:t xml:space="preserve">The COVID-19 pandemic has reshaped how tourist satisfaction is formed and evaluated in contemporary tourism research. In contrast to pre-pandemic models that </w:t>
      </w:r>
      <w:r w:rsidR="009A597D">
        <w:rPr>
          <w:lang w:eastAsia="en-GB"/>
        </w:rPr>
        <w:t>often-emphasised</w:t>
      </w:r>
      <w:r>
        <w:rPr>
          <w:lang w:eastAsia="en-GB"/>
        </w:rPr>
        <w:t xml:space="preserve"> service quality and experience delivery as primary evaluative </w:t>
      </w:r>
      <w:r>
        <w:rPr>
          <w:lang w:eastAsia="en-GB"/>
        </w:rPr>
        <w:lastRenderedPageBreak/>
        <w:t>drivers, post-COVID literature increasingly highlights the salience of perceived risk, safety and hygiene cues in shaping tourist appraisal and intention formation.</w:t>
      </w:r>
    </w:p>
    <w:p w14:paraId="3C6F32F8" w14:textId="77777777" w:rsidR="00347B25" w:rsidRDefault="00347B25" w:rsidP="00347B25">
      <w:pPr>
        <w:rPr>
          <w:lang w:eastAsia="en-GB"/>
        </w:rPr>
      </w:pPr>
      <w:r>
        <w:rPr>
          <w:lang w:eastAsia="en-GB"/>
        </w:rPr>
        <w:t>A recurring argument in post-COVID tourism studies is that safety and hygiene are no longer peripheral service attributes but have become integrated components of the tourism experience. Visible safety measures, cleanliness standards and risk-mitigation practices are positioned as cues that influence satisfaction evaluations and behavioural intentions, particularly in recovery contexts where uncertainty remains salient (Jiménez-Medina et al., 2022; Sánchez-Sánchez, De-Pablos-Heredero and Montes-Botella, 2024). This implies that tourists’ evaluations incorporate not only what services are delivered, but also how secure and controllable the service environment feels.</w:t>
      </w:r>
    </w:p>
    <w:p w14:paraId="11031C1A" w14:textId="77777777" w:rsidR="00347B25" w:rsidRDefault="00347B25" w:rsidP="00347B25">
      <w:pPr>
        <w:rPr>
          <w:lang w:eastAsia="en-GB"/>
        </w:rPr>
      </w:pPr>
      <w:r>
        <w:rPr>
          <w:lang w:eastAsia="en-GB"/>
        </w:rPr>
        <w:t>The literature also suggests that risk operates not only as a direct influence on satisfaction but can function as a boundary condition that reweights evaluative priorities. Under heightened perceived health risk, tourists may assign greater importance to attributes such as cleanliness, personal space and crowd management relative to attributes that were previously dominant, such as convenience or entertainment value. Recent evidence indicates that COVID-related fear can moderate the relationship between service-quality dimensions and satisfaction, supporting the view that evaluative drivers are conditional rather than uniform across contexts (Gazi et al., 2024). More broadly, tourism research has long recognised perceived risk as a multi-dimensional construct influencing both decision-making and experience evaluation (Reisinger and Mavondo, 2005).</w:t>
      </w:r>
    </w:p>
    <w:p w14:paraId="3F59DA47" w14:textId="77777777" w:rsidR="00347B25" w:rsidRDefault="00347B25" w:rsidP="00347B25">
      <w:pPr>
        <w:rPr>
          <w:lang w:eastAsia="en-GB"/>
        </w:rPr>
      </w:pPr>
      <w:r>
        <w:rPr>
          <w:lang w:eastAsia="en-GB"/>
        </w:rPr>
        <w:t>A further implication is the heterogeneity of risk perception across individuals and segments. Tourists differ in risk tolerance, health sensitivity and uncertainty avoidance, meaning that identical service conditions may generate different satisfaction outcomes across visitor groups. This challenges assumptions of uniform evaluation processes and highlights the need for segment-sensitive conceptualisation of satisfaction formation in post-crisis settings.</w:t>
      </w:r>
    </w:p>
    <w:p w14:paraId="75179E8C" w14:textId="77777777" w:rsidR="00347B25" w:rsidRDefault="00347B25" w:rsidP="00347B25">
      <w:pPr>
        <w:rPr>
          <w:lang w:eastAsia="en-GB"/>
        </w:rPr>
      </w:pPr>
      <w:r>
        <w:rPr>
          <w:lang w:eastAsia="en-GB"/>
        </w:rPr>
        <w:t>The post-COVID context also reinforces the relevance of perceived control as an experiential mechanism. Visible safety practices, clear communication and structured management of visitor flows can strengthen perceived control and reassurance, while ambiguity and lack of transparency can undermine perceived safety and reduce experience quality. In this framing, risk sensitivity shapes both cognitive assessment (e.g., perceived quality and value) and affective response (e.g., comfort or anxiety), thereby influencing overall satisfaction appraisal.</w:t>
      </w:r>
    </w:p>
    <w:p w14:paraId="247DBF72" w14:textId="262A4903" w:rsidR="00DB1F34" w:rsidRDefault="00347B25" w:rsidP="00347B25">
      <w:pPr>
        <w:rPr>
          <w:lang w:eastAsia="en-GB"/>
        </w:rPr>
      </w:pPr>
      <w:r>
        <w:rPr>
          <w:lang w:eastAsia="en-GB"/>
        </w:rPr>
        <w:t>Overall, the literature suggests that post-COVID tourism shifts satisfaction from a predominantly service-based evaluation towards a risk-sensitive and context-dependent process. This conceptual shift has implications for both theory and measurement, as it challenges assumptions that satisfaction indicators are stable and directly comparable across contexts and time periods, particularly when safety, hygiene and risk cues are weighted differently across settings and segments (Jiménez-Medina et al., 2022; Gazi et al., 2024; Sánchez-Sánchez, De-Pablos-Heredero and Montes-Botella, 2024).</w:t>
      </w:r>
    </w:p>
    <w:p w14:paraId="3F5EEA4F" w14:textId="40E7AAFA" w:rsidR="00DB1F34" w:rsidRDefault="00DB1F34" w:rsidP="00DB1F34">
      <w:pPr>
        <w:pStyle w:val="Heading2"/>
        <w:rPr>
          <w:lang w:eastAsia="en-GB"/>
        </w:rPr>
      </w:pPr>
      <w:bookmarkStart w:id="24" w:name="_Toc228889944"/>
      <w:r>
        <w:rPr>
          <w:lang w:eastAsia="en-GB"/>
        </w:rPr>
        <w:lastRenderedPageBreak/>
        <w:t xml:space="preserve">3.6 </w:t>
      </w:r>
      <w:r w:rsidR="00461465" w:rsidRPr="00461465">
        <w:rPr>
          <w:lang w:eastAsia="en-GB"/>
        </w:rPr>
        <w:t>Digitalisation and smart tourism</w:t>
      </w:r>
      <w:bookmarkEnd w:id="24"/>
    </w:p>
    <w:p w14:paraId="18DFF086" w14:textId="77777777" w:rsidR="005743D4" w:rsidRDefault="005743D4" w:rsidP="005743D4">
      <w:pPr>
        <w:rPr>
          <w:lang w:eastAsia="en-GB"/>
        </w:rPr>
      </w:pPr>
      <w:r>
        <w:rPr>
          <w:lang w:eastAsia="en-GB"/>
        </w:rPr>
        <w:t>Digitalisation has become a defining feature of contemporary tourism, shaping how tourists search for information, plan trips, experience destinations and evaluate journeys. The increasing adoption of smart tourism technologies (STTs), mobile applications and digital platforms has introduced new forms of interaction between tourists and destinations, influencing expectations formation and post-consumption evaluation processes (Gretzel et al., 2015; Buhalis and Amaranggana, 2015).</w:t>
      </w:r>
    </w:p>
    <w:p w14:paraId="621AF349" w14:textId="77777777" w:rsidR="005743D4" w:rsidRDefault="005743D4" w:rsidP="005743D4">
      <w:pPr>
        <w:rPr>
          <w:lang w:eastAsia="en-GB"/>
        </w:rPr>
      </w:pPr>
      <w:r>
        <w:rPr>
          <w:lang w:eastAsia="en-GB"/>
        </w:rPr>
        <w:t>Within the literature, digitalisation is often positioned as an antecedent or enabling condition for tourist satisfaction, primarily through mechanisms such as improved information accessibility, convenience, personalisation and perceived control. Digital tools can support wayfinding, reduce uncertainty, provide real-time service updates and facilitate tailored recommendations, thereby shaping how tourists interpret destination performance across the travel journey (Gretzel et al., 2015).</w:t>
      </w:r>
    </w:p>
    <w:p w14:paraId="3EF4109C" w14:textId="77777777" w:rsidR="005743D4" w:rsidRDefault="005743D4" w:rsidP="005743D4">
      <w:pPr>
        <w:rPr>
          <w:lang w:eastAsia="en-GB"/>
        </w:rPr>
      </w:pPr>
      <w:r>
        <w:rPr>
          <w:lang w:eastAsia="en-GB"/>
        </w:rPr>
        <w:t>However, tourism research also highlights that digitalisation does not simply add a new “driver” of satisfaction; it can reshape how experiences are constructed, interpreted and remembered. Digital interactions influence expectations prior to travel, guide behaviour during visits and affect how experiences are recalled and communicated afterwards. In this sense, satisfaction is increasingly embedded within a wider information ecosystem that extends beyond on-site consumption (Xiang and Gretzel, 2010; Buhalis and Amaranggana, 2015).</w:t>
      </w:r>
    </w:p>
    <w:p w14:paraId="342E0963" w14:textId="77777777" w:rsidR="005743D4" w:rsidRDefault="005743D4" w:rsidP="005743D4">
      <w:pPr>
        <w:rPr>
          <w:lang w:eastAsia="en-GB"/>
        </w:rPr>
      </w:pPr>
      <w:r>
        <w:rPr>
          <w:lang w:eastAsia="en-GB"/>
        </w:rPr>
        <w:t>User-generated content (UGC) plays a particularly important role in this ecosystem. Online reviews, ratings and social media content shape pre-visit expectations and influence post-visit evaluation through public narration and social comparison. At the same time, UGC provides a rich source of data for analysing tourist experience at scale, enabling researchers and practitioners to observe recurring experience themes, complaints and expressions of affect (Xiang and Gretzel, 2010).</w:t>
      </w:r>
    </w:p>
    <w:p w14:paraId="652AF733" w14:textId="77777777" w:rsidR="005743D4" w:rsidRDefault="005743D4" w:rsidP="005743D4">
      <w:pPr>
        <w:rPr>
          <w:lang w:eastAsia="en-GB"/>
        </w:rPr>
      </w:pPr>
      <w:r>
        <w:rPr>
          <w:lang w:eastAsia="en-GB"/>
        </w:rPr>
        <w:t>Despite these opportunities, digital measurement approaches introduce methodological and interpretive limitations. Sentiment and text-based signals may capture emotional tone or momentary reactions rather than stable evaluative judgements, raising questions about construct validity when sentiment is treated as equivalent to satisfaction. Digital traces are also subject to representativeness and self-selection bias, as they typically reflect the views of more engaged or digitally active visitors, and may over-represent extreme experiences (Liu, 2012). For these reasons, the literature commonly treats digital indicators as complementary proxies rather than direct substitutes for theoretically grounded satisfaction measures (Liu, 2012).</w:t>
      </w:r>
    </w:p>
    <w:p w14:paraId="3C5A505F" w14:textId="77777777" w:rsidR="005743D4" w:rsidRDefault="005743D4" w:rsidP="005743D4">
      <w:pPr>
        <w:rPr>
          <w:lang w:eastAsia="en-GB"/>
        </w:rPr>
      </w:pPr>
      <w:r>
        <w:rPr>
          <w:lang w:eastAsia="en-GB"/>
        </w:rPr>
        <w:t>A further issue concerns integration between digital and traditional approaches. Survey-based instruments aim to capture structured evaluations and latent constructs, whereas digital methods often provide unstructured and context-dependent signals. Without careful construct mapping and triangulation, different data sources may capture different dimensions of evaluation, limiting comparability and risking misinterpretation of what is being measured as “satisfaction” (Gretzel et al., 2015; Liu, 2012).</w:t>
      </w:r>
    </w:p>
    <w:p w14:paraId="1863908E" w14:textId="6FCA151D" w:rsidR="00C0005C" w:rsidRDefault="005743D4" w:rsidP="005743D4">
      <w:pPr>
        <w:rPr>
          <w:lang w:eastAsia="en-GB"/>
        </w:rPr>
      </w:pPr>
      <w:r>
        <w:rPr>
          <w:lang w:eastAsia="en-GB"/>
        </w:rPr>
        <w:lastRenderedPageBreak/>
        <w:t>Overall, the literature suggests that digitalisation both extends and complicates the conceptualisation and measurement of tourist satisfaction. While STTs can enhance experience delivery and reduce friction, they also embed satisfaction formation within technology-mediated information flows and social feedback loops. This reinforces the need for context-sensitive conceptual frameworks and mixed measurement approaches when analysing satisfaction in contemporary tourism environments (Gretzel et al., 2015; Buhalis and Amaranggana, 2015).</w:t>
      </w:r>
    </w:p>
    <w:p w14:paraId="3EAD6630" w14:textId="77777777" w:rsidR="00C0005C" w:rsidRDefault="00C0005C" w:rsidP="00C0005C">
      <w:pPr>
        <w:pStyle w:val="Heading2"/>
        <w:rPr>
          <w:lang w:eastAsia="en-GB"/>
        </w:rPr>
      </w:pPr>
      <w:bookmarkStart w:id="25" w:name="_Toc228889945"/>
      <w:r>
        <w:rPr>
          <w:lang w:eastAsia="en-GB"/>
        </w:rPr>
        <w:t>3.7 Summary and conceptual positioning</w:t>
      </w:r>
      <w:bookmarkEnd w:id="25"/>
    </w:p>
    <w:p w14:paraId="3D4D9745" w14:textId="77777777" w:rsidR="007F4615" w:rsidRDefault="007F4615" w:rsidP="007F4615">
      <w:pPr>
        <w:rPr>
          <w:lang w:eastAsia="en-GB"/>
        </w:rPr>
      </w:pPr>
      <w:r>
        <w:rPr>
          <w:lang w:eastAsia="en-GB"/>
        </w:rPr>
        <w:t>This chapter has established the conceptual foundations for examining tourist satisfaction and behavioural outcomes in post</w:t>
      </w:r>
      <w:r>
        <w:rPr>
          <w:rFonts w:ascii="Cambria Math" w:hAnsi="Cambria Math" w:cs="Cambria Math"/>
          <w:lang w:eastAsia="en-GB"/>
        </w:rPr>
        <w:t>‑</w:t>
      </w:r>
      <w:r>
        <w:rPr>
          <w:lang w:eastAsia="en-GB"/>
        </w:rPr>
        <w:t>COVID mass</w:t>
      </w:r>
      <w:r>
        <w:rPr>
          <w:rFonts w:ascii="Cambria Math" w:hAnsi="Cambria Math" w:cs="Cambria Math"/>
          <w:lang w:eastAsia="en-GB"/>
        </w:rPr>
        <w:t>‑</w:t>
      </w:r>
      <w:r>
        <w:rPr>
          <w:lang w:eastAsia="en-GB"/>
        </w:rPr>
        <w:t>tourism contexts. Overall, the literature suggests that satisfaction is not simply an evaluation of service performance. It is better understood as a multidimensional and context-sensitive appraisal shaped by experiential and situational conditions.</w:t>
      </w:r>
    </w:p>
    <w:p w14:paraId="64B10F33" w14:textId="77777777" w:rsidR="007F4615" w:rsidRDefault="007F4615" w:rsidP="007F4615">
      <w:pPr>
        <w:rPr>
          <w:lang w:eastAsia="en-GB"/>
        </w:rPr>
      </w:pPr>
      <w:r>
        <w:rPr>
          <w:lang w:eastAsia="en-GB"/>
        </w:rPr>
        <w:t>The satisfaction–behaviour link is also not uniformly linear. Satisfaction is often associated with revisit and recommendation intentions, but behavioural outcomes can be shaped by motivations and constraints, especially in high</w:t>
      </w:r>
      <w:r>
        <w:rPr>
          <w:rFonts w:ascii="Cambria Math" w:hAnsi="Cambria Math" w:cs="Cambria Math"/>
          <w:lang w:eastAsia="en-GB"/>
        </w:rPr>
        <w:t>‑</w:t>
      </w:r>
      <w:r>
        <w:rPr>
          <w:lang w:eastAsia="en-GB"/>
        </w:rPr>
        <w:t>density environments (Oliver, 1999; Yoon and Uysal, 2005; Papadopoulou, Ribeiro and Prayag, 2023).</w:t>
      </w:r>
    </w:p>
    <w:p w14:paraId="77A10F42" w14:textId="691C2E00" w:rsidR="007F4615" w:rsidRDefault="007F4615" w:rsidP="007F4615">
      <w:pPr>
        <w:rPr>
          <w:lang w:eastAsia="en-GB"/>
        </w:rPr>
      </w:pPr>
      <w:r>
        <w:rPr>
          <w:lang w:eastAsia="en-GB"/>
        </w:rPr>
        <w:t>Four conceptual points guide the synthesis in the next chapter. First, overtourism and perceived crowding can constrain comfort and goal fulfilment and reduce perceived control, shaping how experiences are evaluated in mass</w:t>
      </w:r>
      <w:r>
        <w:rPr>
          <w:rFonts w:ascii="Cambria Math" w:hAnsi="Cambria Math" w:cs="Cambria Math"/>
          <w:lang w:eastAsia="en-GB"/>
        </w:rPr>
        <w:t>‑</w:t>
      </w:r>
      <w:r>
        <w:rPr>
          <w:lang w:eastAsia="en-GB"/>
        </w:rPr>
        <w:t>tourism settings (Papadopoulou, Ribeiro and Prayag, 2023). Second, post</w:t>
      </w:r>
      <w:r>
        <w:rPr>
          <w:rFonts w:ascii="Cambria Math" w:hAnsi="Cambria Math" w:cs="Cambria Math"/>
          <w:lang w:eastAsia="en-GB"/>
        </w:rPr>
        <w:t>‑</w:t>
      </w:r>
      <w:r>
        <w:rPr>
          <w:lang w:eastAsia="en-GB"/>
        </w:rPr>
        <w:t>COVID risk sensitivity makes safety and hygiene cues more salient, influencing both cognitive and affective components of satisfaction appraisal (Jim</w:t>
      </w:r>
      <w:r>
        <w:rPr>
          <w:rFonts w:cs="Arial"/>
          <w:lang w:eastAsia="en-GB"/>
        </w:rPr>
        <w:t>é</w:t>
      </w:r>
      <w:r>
        <w:rPr>
          <w:lang w:eastAsia="en-GB"/>
        </w:rPr>
        <w:t>nez</w:t>
      </w:r>
      <w:r>
        <w:rPr>
          <w:rFonts w:ascii="Cambria Math" w:hAnsi="Cambria Math" w:cs="Cambria Math"/>
          <w:lang w:eastAsia="en-GB"/>
        </w:rPr>
        <w:t>‑</w:t>
      </w:r>
      <w:r>
        <w:rPr>
          <w:lang w:eastAsia="en-GB"/>
        </w:rPr>
        <w:t>Medina et al., 2022; Gazi et al., 2024; S</w:t>
      </w:r>
      <w:r>
        <w:rPr>
          <w:rFonts w:cs="Arial"/>
          <w:lang w:eastAsia="en-GB"/>
        </w:rPr>
        <w:t>á</w:t>
      </w:r>
      <w:r>
        <w:rPr>
          <w:lang w:eastAsia="en-GB"/>
        </w:rPr>
        <w:t>nchez</w:t>
      </w:r>
      <w:r>
        <w:rPr>
          <w:rFonts w:ascii="Cambria Math" w:hAnsi="Cambria Math" w:cs="Cambria Math"/>
          <w:lang w:eastAsia="en-GB"/>
        </w:rPr>
        <w:t>‑</w:t>
      </w:r>
      <w:r>
        <w:rPr>
          <w:lang w:eastAsia="en-GB"/>
        </w:rPr>
        <w:t>S</w:t>
      </w:r>
      <w:r>
        <w:rPr>
          <w:rFonts w:cs="Arial"/>
          <w:lang w:eastAsia="en-GB"/>
        </w:rPr>
        <w:t>á</w:t>
      </w:r>
      <w:r>
        <w:rPr>
          <w:lang w:eastAsia="en-GB"/>
        </w:rPr>
        <w:t>nchez, De</w:t>
      </w:r>
      <w:r>
        <w:rPr>
          <w:rFonts w:ascii="Cambria Math" w:hAnsi="Cambria Math" w:cs="Cambria Math"/>
          <w:lang w:eastAsia="en-GB"/>
        </w:rPr>
        <w:t>‑</w:t>
      </w:r>
      <w:r>
        <w:rPr>
          <w:lang w:eastAsia="en-GB"/>
        </w:rPr>
        <w:t>Pablos</w:t>
      </w:r>
      <w:r>
        <w:rPr>
          <w:rFonts w:ascii="Cambria Math" w:hAnsi="Cambria Math" w:cs="Cambria Math"/>
          <w:lang w:eastAsia="en-GB"/>
        </w:rPr>
        <w:t>‑</w:t>
      </w:r>
      <w:r>
        <w:rPr>
          <w:lang w:eastAsia="en-GB"/>
        </w:rPr>
        <w:t>Heredero and Montes</w:t>
      </w:r>
      <w:r>
        <w:rPr>
          <w:rFonts w:ascii="Cambria Math" w:hAnsi="Cambria Math" w:cs="Cambria Math"/>
          <w:lang w:eastAsia="en-GB"/>
        </w:rPr>
        <w:t>‑</w:t>
      </w:r>
      <w:r>
        <w:rPr>
          <w:lang w:eastAsia="en-GB"/>
        </w:rPr>
        <w:t>Botella, 2024). Third, digitalisation shapes expectations and post</w:t>
      </w:r>
      <w:r>
        <w:rPr>
          <w:rFonts w:ascii="Cambria Math" w:hAnsi="Cambria Math" w:cs="Cambria Math"/>
          <w:lang w:eastAsia="en-GB"/>
        </w:rPr>
        <w:t>‑</w:t>
      </w:r>
      <w:r>
        <w:rPr>
          <w:lang w:eastAsia="en-GB"/>
        </w:rPr>
        <w:t xml:space="preserve">visit evaluation and introduces additional measurement possibilities through UGC and digital traces, which do not always align with traditional satisfaction constructs (De Marchi, Becarelli and Di Sarli, 2022; Yap et al., 2025). Fourth, measurement approaches vary across </w:t>
      </w:r>
      <w:r w:rsidR="009A597D">
        <w:rPr>
          <w:lang w:eastAsia="en-GB"/>
        </w:rPr>
        <w:t>studies,</w:t>
      </w:r>
      <w:r>
        <w:rPr>
          <w:lang w:eastAsia="en-GB"/>
        </w:rPr>
        <w:t xml:space="preserve"> and equivalence is not consistently tested, so cross-study differences may sometimes reflect measurement choices rather than experience differences (Pérez</w:t>
      </w:r>
      <w:r>
        <w:rPr>
          <w:rFonts w:ascii="Cambria Math" w:hAnsi="Cambria Math" w:cs="Cambria Math"/>
          <w:lang w:eastAsia="en-GB"/>
        </w:rPr>
        <w:t>‑</w:t>
      </w:r>
      <w:r>
        <w:rPr>
          <w:lang w:eastAsia="en-GB"/>
        </w:rPr>
        <w:t>Campdesu</w:t>
      </w:r>
      <w:r>
        <w:rPr>
          <w:rFonts w:cs="Arial"/>
          <w:lang w:eastAsia="en-GB"/>
        </w:rPr>
        <w:t>ñ</w:t>
      </w:r>
      <w:r>
        <w:rPr>
          <w:lang w:eastAsia="en-GB"/>
        </w:rPr>
        <w:t>er et al., 2025).</w:t>
      </w:r>
    </w:p>
    <w:p w14:paraId="78D36137" w14:textId="77777777" w:rsidR="007F4615" w:rsidRDefault="007F4615" w:rsidP="007F4615">
      <w:pPr>
        <w:rPr>
          <w:lang w:eastAsia="en-GB"/>
        </w:rPr>
      </w:pPr>
      <w:r>
        <w:rPr>
          <w:lang w:eastAsia="en-GB"/>
        </w:rPr>
        <w:t>Building on these foundations, the dissertation treats satisfaction as an experiential and context-dependent appraisal with conditional behavioural consequences. It also distinguishes attraction-oriented intentions (revisit and recommendation) from resistance-oriented responses (avoidance or objection), particularly where crowding and uncertainty are salient (Papadopoulou, Ribeiro and Prayag, 2023).</w:t>
      </w:r>
    </w:p>
    <w:p w14:paraId="4FE65D1D" w14:textId="60458020" w:rsidR="00135EDC" w:rsidRDefault="007F4615" w:rsidP="007F4615">
      <w:pPr>
        <w:rPr>
          <w:lang w:eastAsia="en-GB"/>
        </w:rPr>
      </w:pPr>
      <w:r>
        <w:rPr>
          <w:lang w:eastAsia="en-GB"/>
        </w:rPr>
        <w:t>Chapter 4 presents the findings and RQ-aligned synthesis, reporting how satisfaction is conceptualised and measured and how behavioural outcomes are described under contextual pressures. This maintains a clear separation between conceptual background (Chapter 3) and evidence-based synthesis (Chapter 4) and provides the basis for the implications developed in Chapter 5.</w:t>
      </w:r>
    </w:p>
    <w:p w14:paraId="007A4751" w14:textId="77777777" w:rsidR="007F4615" w:rsidRDefault="007F4615" w:rsidP="007F4615">
      <w:pPr>
        <w:rPr>
          <w:lang w:eastAsia="en-GB"/>
        </w:rPr>
      </w:pPr>
    </w:p>
    <w:p w14:paraId="0A54B812" w14:textId="48159597" w:rsidR="00C0005C" w:rsidRPr="00A33984" w:rsidRDefault="00894773" w:rsidP="00894773">
      <w:pPr>
        <w:pStyle w:val="Heading1"/>
        <w:rPr>
          <w:rFonts w:eastAsia="Times New Roman"/>
          <w:lang w:eastAsia="en-GB"/>
        </w:rPr>
      </w:pPr>
      <w:bookmarkStart w:id="26" w:name="_Toc228889946"/>
      <w:r w:rsidRPr="00894773">
        <w:rPr>
          <w:lang w:eastAsia="en-GB"/>
        </w:rPr>
        <w:lastRenderedPageBreak/>
        <w:t>Chapter 4: Findings and SLR Synthesis</w:t>
      </w:r>
      <w:bookmarkEnd w:id="26"/>
    </w:p>
    <w:p w14:paraId="22078A67" w14:textId="77777777" w:rsidR="00C156E7" w:rsidRDefault="00C156E7" w:rsidP="00C156E7"/>
    <w:p w14:paraId="0B2FCE08" w14:textId="77777777" w:rsidR="002342BA" w:rsidRDefault="002342BA" w:rsidP="001C34F9">
      <w:pPr>
        <w:pStyle w:val="Heading2"/>
      </w:pPr>
      <w:bookmarkStart w:id="27" w:name="_Toc228889947"/>
      <w:r>
        <w:t>4.1 Introduction to findings and synthesis approach</w:t>
      </w:r>
      <w:bookmarkEnd w:id="27"/>
    </w:p>
    <w:p w14:paraId="727B829E" w14:textId="77777777" w:rsidR="000820D5" w:rsidRPr="000820D5" w:rsidRDefault="000820D5" w:rsidP="000820D5">
      <w:r w:rsidRPr="000820D5">
        <w:t>This chapter reports the findings of the systematic literature review and presents a structured synthesis of the included studies in relation to the research questions. It builds on the conceptual background in Chapter 3 and uses the review corpus to examine what the post</w:t>
      </w:r>
      <w:r w:rsidRPr="000820D5">
        <w:rPr>
          <w:rFonts w:ascii="Cambria Math" w:hAnsi="Cambria Math" w:cs="Cambria Math"/>
        </w:rPr>
        <w:t>‑</w:t>
      </w:r>
      <w:r w:rsidRPr="000820D5">
        <w:t>COVID mass</w:t>
      </w:r>
      <w:r w:rsidRPr="000820D5">
        <w:rPr>
          <w:rFonts w:ascii="Cambria Math" w:hAnsi="Cambria Math" w:cs="Cambria Math"/>
        </w:rPr>
        <w:t>‑</w:t>
      </w:r>
      <w:r w:rsidRPr="000820D5">
        <w:t>tourism literature reports about satisfaction, measurement and behavioural outcomes.</w:t>
      </w:r>
    </w:p>
    <w:p w14:paraId="074ED579" w14:textId="77777777" w:rsidR="000820D5" w:rsidRPr="000820D5" w:rsidRDefault="000820D5" w:rsidP="000820D5">
      <w:r w:rsidRPr="000820D5">
        <w:t>The chapter is synthesis-driven and does not present individual studies in isolation. Instead, it integrates evidence to address three questions: how tourist satisfaction is conceptualised (RQ1), how it is measured (RQ2), and how it relates to behavioural outcomes under contextual pressures such as crowding and risk sensitivity (RQ3).</w:t>
      </w:r>
    </w:p>
    <w:p w14:paraId="76602FFC" w14:textId="77777777" w:rsidR="000820D5" w:rsidRPr="000820D5" w:rsidRDefault="000820D5" w:rsidP="000820D5">
      <w:r w:rsidRPr="000820D5">
        <w:t>The chapter follows a clear analytical sequence. First, it reports the study selection results and provides a descriptive profile of the included corpus. Second, it summarises key measurement approaches and indicator coverage across studies. Third, it maps indicator categories by research question to show where evidence is concentrated and where it is limited. Fourth, it presents the RQ</w:t>
      </w:r>
      <w:r w:rsidRPr="000820D5">
        <w:rPr>
          <w:rFonts w:ascii="Cambria Math" w:hAnsi="Cambria Math" w:cs="Cambria Math"/>
        </w:rPr>
        <w:t>‑</w:t>
      </w:r>
      <w:r w:rsidRPr="000820D5">
        <w:t>aligned synthesis, highlighting convergent patterns and areas of divergence across the included evidence base.</w:t>
      </w:r>
    </w:p>
    <w:p w14:paraId="7816A2B1" w14:textId="77777777" w:rsidR="000820D5" w:rsidRDefault="000820D5" w:rsidP="000820D5">
      <w:r w:rsidRPr="000820D5">
        <w:t>This structure keeps the chapter focused on evidence reporting and synthesis. It also maintains a clear separation between conceptual foundations (Chapter 3) and implications (Chapter 5), providing the empirical basis for the discussion developed in the following chapter.</w:t>
      </w:r>
    </w:p>
    <w:p w14:paraId="1699F6A7" w14:textId="6724567B" w:rsidR="00A20681" w:rsidRDefault="00A20681" w:rsidP="000820D5">
      <w:pPr>
        <w:pStyle w:val="Heading2"/>
        <w:rPr>
          <w:lang w:eastAsia="en-GB"/>
        </w:rPr>
      </w:pPr>
      <w:bookmarkStart w:id="28" w:name="_Toc228889948"/>
      <w:r>
        <w:rPr>
          <w:lang w:eastAsia="en-GB"/>
        </w:rPr>
        <w:t>4.2 Study selection and corpus characteristics</w:t>
      </w:r>
      <w:bookmarkEnd w:id="28"/>
    </w:p>
    <w:p w14:paraId="046D3A6B" w14:textId="77777777" w:rsidR="00A20681" w:rsidRDefault="00A20681" w:rsidP="00A20681">
      <w:pPr>
        <w:rPr>
          <w:lang w:eastAsia="en-GB"/>
        </w:rPr>
      </w:pPr>
      <w:r>
        <w:rPr>
          <w:lang w:eastAsia="en-GB"/>
        </w:rPr>
        <w:t>The study selection process followed a structured PRISMA-aligned approach, ensuring transparency in how the final corpus of studies was derived. As presented in Figure 2.1, a total of 215 records were initially identified through keyword searches and citation tracking. After the removal of duplicates and initial screening, 180 records were retained for further assessment.</w:t>
      </w:r>
    </w:p>
    <w:p w14:paraId="6D66DD68" w14:textId="77777777" w:rsidR="00A20681" w:rsidRDefault="00A20681" w:rsidP="00A20681">
      <w:pPr>
        <w:rPr>
          <w:lang w:eastAsia="en-GB"/>
        </w:rPr>
      </w:pPr>
    </w:p>
    <w:p w14:paraId="1E48C403" w14:textId="77777777" w:rsidR="00A20681" w:rsidRDefault="00A20681" w:rsidP="00A20681">
      <w:pPr>
        <w:rPr>
          <w:lang w:eastAsia="en-GB"/>
        </w:rPr>
      </w:pPr>
      <w:r>
        <w:rPr>
          <w:lang w:eastAsia="en-GB"/>
        </w:rPr>
        <w:t>Following title and abstract screening, 110 records were excluded due to lack of relevance to the research scope, including studies not focused on tourism contexts or not addressing tourist satisfaction. The remaining 70 articles were subjected to full-text screening. At this stage, a further 18 studies were excluded, primarily due to the absence of empirical analysis, lack of explicit satisfaction measurement or focus on non-mass tourism contexts.</w:t>
      </w:r>
    </w:p>
    <w:p w14:paraId="689469D9" w14:textId="77777777" w:rsidR="00A20681" w:rsidRDefault="00A20681" w:rsidP="00A20681">
      <w:pPr>
        <w:rPr>
          <w:lang w:eastAsia="en-GB"/>
        </w:rPr>
      </w:pPr>
    </w:p>
    <w:p w14:paraId="4078176B" w14:textId="27650C23" w:rsidR="00A20681" w:rsidRDefault="00AE1C80" w:rsidP="00A20681">
      <w:pPr>
        <w:rPr>
          <w:lang w:eastAsia="en-GB"/>
        </w:rPr>
      </w:pPr>
      <w:r w:rsidRPr="00AE1C80">
        <w:rPr>
          <w:lang w:eastAsia="en-GB"/>
        </w:rPr>
        <w:t>This process resulted in a final sample of 52 studies included in the systematic literature review. A detailed breakdown of the screening stages and exclusion reasons is provided in Table 4.1.</w:t>
      </w:r>
    </w:p>
    <w:p w14:paraId="59AD39CD" w14:textId="3BA13EFA" w:rsidR="00AE1C80" w:rsidRDefault="00AE1C80" w:rsidP="00A20681">
      <w:pPr>
        <w:rPr>
          <w:lang w:eastAsia="en-GB"/>
        </w:rPr>
      </w:pPr>
      <w:r>
        <w:rPr>
          <w:noProof/>
          <w:lang w:eastAsia="en-GB"/>
        </w:rPr>
        <w:lastRenderedPageBreak/>
        <w:drawing>
          <wp:inline distT="0" distB="0" distL="0" distR="0" wp14:anchorId="61B73479" wp14:editId="3332B6F2">
            <wp:extent cx="5730875" cy="8492490"/>
            <wp:effectExtent l="0" t="0" r="0" b="3810"/>
            <wp:docPr id="124300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8492490"/>
                    </a:xfrm>
                    <a:prstGeom prst="rect">
                      <a:avLst/>
                    </a:prstGeom>
                    <a:noFill/>
                  </pic:spPr>
                </pic:pic>
              </a:graphicData>
            </a:graphic>
          </wp:inline>
        </w:drawing>
      </w:r>
    </w:p>
    <w:p w14:paraId="6E1958DE" w14:textId="77777777" w:rsidR="00855733" w:rsidRPr="00855733" w:rsidRDefault="00855733" w:rsidP="00855733">
      <w:pPr>
        <w:rPr>
          <w:lang w:eastAsia="en-GB"/>
        </w:rPr>
      </w:pPr>
      <w:r w:rsidRPr="00855733">
        <w:rPr>
          <w:lang w:eastAsia="en-GB"/>
        </w:rPr>
        <w:t>Table 4.1: PRISMA counts and exclusion reasons</w:t>
      </w:r>
    </w:p>
    <w:p w14:paraId="196D36CF" w14:textId="77777777" w:rsidR="00855733" w:rsidRDefault="00855733" w:rsidP="00A20681">
      <w:pPr>
        <w:rPr>
          <w:lang w:eastAsia="en-GB"/>
        </w:rPr>
      </w:pPr>
    </w:p>
    <w:p w14:paraId="1DF32050" w14:textId="5C81EE65" w:rsidR="00BA2EF8" w:rsidRDefault="00BA2EF8" w:rsidP="00A20681">
      <w:pPr>
        <w:rPr>
          <w:lang w:eastAsia="en-GB"/>
        </w:rPr>
      </w:pPr>
      <w:r w:rsidRPr="00BA2EF8">
        <w:rPr>
          <w:lang w:eastAsia="en-GB"/>
        </w:rPr>
        <w:t>To provide a descriptive profile of the included corpus, Figure 4.2 summarises the distribution of included studies by year (2021–2025). Figure 4.3 summarises the dominant research designs and analysis approaches used across the included studies.</w:t>
      </w:r>
    </w:p>
    <w:p w14:paraId="5A2731CC" w14:textId="3EA218F3" w:rsidR="00A20681" w:rsidRDefault="00A20681" w:rsidP="00A20681">
      <w:pPr>
        <w:rPr>
          <w:lang w:eastAsia="en-GB"/>
        </w:rPr>
      </w:pPr>
      <w:r>
        <w:rPr>
          <w:noProof/>
          <w:lang w:eastAsia="en-GB"/>
        </w:rPr>
        <w:drawing>
          <wp:inline distT="0" distB="0" distL="0" distR="0" wp14:anchorId="2CBA0856" wp14:editId="2936EFBA">
            <wp:extent cx="5730875" cy="2011680"/>
            <wp:effectExtent l="0" t="0" r="3175" b="7620"/>
            <wp:docPr id="9185979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011680"/>
                    </a:xfrm>
                    <a:prstGeom prst="rect">
                      <a:avLst/>
                    </a:prstGeom>
                    <a:noFill/>
                  </pic:spPr>
                </pic:pic>
              </a:graphicData>
            </a:graphic>
          </wp:inline>
        </w:drawing>
      </w:r>
    </w:p>
    <w:p w14:paraId="19C3CFEB" w14:textId="49A9033B" w:rsidR="00A20681" w:rsidRDefault="00FC0852" w:rsidP="00A20681">
      <w:pPr>
        <w:rPr>
          <w:lang w:eastAsia="en-GB"/>
        </w:rPr>
      </w:pPr>
      <w:r w:rsidRPr="00FC0852">
        <w:rPr>
          <w:lang w:eastAsia="en-GB"/>
        </w:rPr>
        <w:t>Figure 4.2: Distribution of included studies by year (2021–2025)</w:t>
      </w:r>
    </w:p>
    <w:p w14:paraId="7C0A3CA0" w14:textId="7F3F9815" w:rsidR="006F6B9B" w:rsidRDefault="006F6B9B" w:rsidP="00A20681">
      <w:pPr>
        <w:rPr>
          <w:lang w:eastAsia="en-GB"/>
        </w:rPr>
      </w:pPr>
      <w:r w:rsidRPr="006F6B9B">
        <w:rPr>
          <w:lang w:eastAsia="en-GB"/>
        </w:rPr>
        <w:t>Figure 4.3 summarises the dominant measurement and analysis approach categories used across the included studies.</w:t>
      </w:r>
    </w:p>
    <w:p w14:paraId="18A3323B" w14:textId="77777777" w:rsidR="006F6B9B" w:rsidRDefault="006F6B9B" w:rsidP="00A20681">
      <w:pPr>
        <w:rPr>
          <w:lang w:eastAsia="en-GB"/>
        </w:rPr>
      </w:pPr>
    </w:p>
    <w:p w14:paraId="03D284CE" w14:textId="77777777" w:rsidR="00402EF1" w:rsidRDefault="00C1433F" w:rsidP="00A20681">
      <w:pPr>
        <w:rPr>
          <w:lang w:eastAsia="en-GB"/>
        </w:rPr>
      </w:pPr>
      <w:r>
        <w:rPr>
          <w:noProof/>
          <w:lang w:eastAsia="en-GB"/>
        </w:rPr>
        <w:drawing>
          <wp:inline distT="0" distB="0" distL="0" distR="0" wp14:anchorId="09E6BC97" wp14:editId="768FC9A9">
            <wp:extent cx="5730875" cy="4029710"/>
            <wp:effectExtent l="0" t="0" r="3175" b="8890"/>
            <wp:docPr id="13774640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4029710"/>
                    </a:xfrm>
                    <a:prstGeom prst="rect">
                      <a:avLst/>
                    </a:prstGeom>
                    <a:noFill/>
                  </pic:spPr>
                </pic:pic>
              </a:graphicData>
            </a:graphic>
          </wp:inline>
        </w:drawing>
      </w:r>
      <w:r w:rsidR="00390179" w:rsidRPr="00390179">
        <w:t xml:space="preserve"> </w:t>
      </w:r>
      <w:r w:rsidR="00EA2737" w:rsidRPr="00EA2737">
        <w:rPr>
          <w:lang w:eastAsia="en-GB"/>
        </w:rPr>
        <w:t>Figure 4.3: Measurement and analysis approaches (instrument categories)</w:t>
      </w:r>
    </w:p>
    <w:p w14:paraId="3FB6DF58" w14:textId="5618BA16" w:rsidR="00965884" w:rsidRDefault="00965884" w:rsidP="00A20681">
      <w:pPr>
        <w:rPr>
          <w:lang w:eastAsia="en-GB"/>
        </w:rPr>
      </w:pPr>
      <w:r w:rsidRPr="00965884">
        <w:rPr>
          <w:lang w:eastAsia="en-GB"/>
        </w:rPr>
        <w:lastRenderedPageBreak/>
        <w:t>The distribution shows that SEM/PLS</w:t>
      </w:r>
      <w:r w:rsidRPr="00965884">
        <w:rPr>
          <w:rFonts w:ascii="Cambria Math" w:hAnsi="Cambria Math" w:cs="Cambria Math"/>
          <w:lang w:eastAsia="en-GB"/>
        </w:rPr>
        <w:t>‑</w:t>
      </w:r>
      <w:r w:rsidRPr="00965884">
        <w:rPr>
          <w:lang w:eastAsia="en-GB"/>
        </w:rPr>
        <w:t>SEM dominates the evidence base, while review-based studies and other quantitative approaches form smaller clusters. UGC/sentiment, machine learning/predictive approaches and IPA/IGA appear less frequently, indicating that non</w:t>
      </w:r>
      <w:r w:rsidRPr="00965884">
        <w:rPr>
          <w:rFonts w:ascii="Cambria Math" w:hAnsi="Cambria Math" w:cs="Cambria Math"/>
          <w:lang w:eastAsia="en-GB"/>
        </w:rPr>
        <w:t>‑</w:t>
      </w:r>
      <w:r w:rsidRPr="00965884">
        <w:rPr>
          <w:lang w:eastAsia="en-GB"/>
        </w:rPr>
        <w:t>survey and alternative analytic approaches are present but remain minority methods within the included corpus.</w:t>
      </w:r>
    </w:p>
    <w:p w14:paraId="0FA7CDA2" w14:textId="0308CDF9" w:rsidR="00191741" w:rsidRDefault="00191741" w:rsidP="00A20681">
      <w:pPr>
        <w:rPr>
          <w:lang w:eastAsia="en-GB"/>
        </w:rPr>
      </w:pPr>
      <w:r w:rsidRPr="00191741">
        <w:rPr>
          <w:lang w:eastAsia="en-GB"/>
        </w:rPr>
        <w:t>Overall, this section provides a transparent account of how the review corpus was constructed and offers a descriptive context for the evidence mapping (Section 4.4) and the research-question aligned synthesis (Section 4.5) that follow.</w:t>
      </w:r>
    </w:p>
    <w:p w14:paraId="41CF8B97" w14:textId="77777777" w:rsidR="00502836" w:rsidRDefault="00502836" w:rsidP="00E63AAB">
      <w:pPr>
        <w:pStyle w:val="Heading2"/>
        <w:rPr>
          <w:lang w:eastAsia="en-GB"/>
        </w:rPr>
      </w:pPr>
      <w:bookmarkStart w:id="29" w:name="_Toc228889949"/>
      <w:r>
        <w:rPr>
          <w:lang w:eastAsia="en-GB"/>
        </w:rPr>
        <w:t>4.3 Conceptualisation of tourist satisfaction (RQ1)</w:t>
      </w:r>
      <w:bookmarkEnd w:id="29"/>
    </w:p>
    <w:p w14:paraId="57D93AE4" w14:textId="77777777" w:rsidR="00502836" w:rsidRDefault="00502836" w:rsidP="00502836">
      <w:pPr>
        <w:rPr>
          <w:lang w:eastAsia="en-GB"/>
        </w:rPr>
      </w:pPr>
      <w:r>
        <w:rPr>
          <w:lang w:eastAsia="en-GB"/>
        </w:rPr>
        <w:t>This section examines how tourist satisfaction is conceptualised across the included studies, addressing RQ1. Rather than presenting definitions in isolation, the analysis identifies recurring patterns in how satisfaction is understood within post-COVID mass-tourism research.</w:t>
      </w:r>
    </w:p>
    <w:p w14:paraId="43B530F8" w14:textId="77777777" w:rsidR="00502836" w:rsidRDefault="00502836" w:rsidP="00502836">
      <w:pPr>
        <w:rPr>
          <w:lang w:eastAsia="en-GB"/>
        </w:rPr>
      </w:pPr>
    </w:p>
    <w:p w14:paraId="19246267" w14:textId="2F7D7D98" w:rsidR="00502836" w:rsidRDefault="00A73EE8" w:rsidP="00502836">
      <w:pPr>
        <w:rPr>
          <w:lang w:eastAsia="en-GB"/>
        </w:rPr>
      </w:pPr>
      <w:r w:rsidRPr="00A73EE8">
        <w:rPr>
          <w:lang w:eastAsia="en-GB"/>
        </w:rPr>
        <w:t>Across the included studies</w:t>
      </w:r>
      <w:r w:rsidR="00502836">
        <w:rPr>
          <w:lang w:eastAsia="en-GB"/>
        </w:rPr>
        <w:t>, three dominant conceptualisations of tourist satisfaction can be identified. First, satisfaction is frequently treated as a performance-based evaluation, reflecting the extent to which service delivery meets or exceeds tourist expectations. This perspective is typically grounded in service quality frameworks and positions satisfaction as an outcome of functional performance, often linked to measurable attributes such as service efficiency, infrastructure and perceived value.</w:t>
      </w:r>
    </w:p>
    <w:p w14:paraId="23DFC7C3" w14:textId="77777777" w:rsidR="00502836" w:rsidRDefault="00502836" w:rsidP="00502836">
      <w:pPr>
        <w:rPr>
          <w:lang w:eastAsia="en-GB"/>
        </w:rPr>
      </w:pPr>
    </w:p>
    <w:p w14:paraId="5AFF3C1C" w14:textId="77777777" w:rsidR="00502836" w:rsidRDefault="00502836" w:rsidP="00502836">
      <w:pPr>
        <w:rPr>
          <w:lang w:eastAsia="en-GB"/>
        </w:rPr>
      </w:pPr>
      <w:r>
        <w:rPr>
          <w:lang w:eastAsia="en-GB"/>
        </w:rPr>
        <w:t>Second, a more experiential conceptualisation emerges, where satisfaction is understood as a holistic evaluation of the tourism experience. In this view, satisfaction is shaped not only by service performance but also by emotional responses, perceived authenticity and overall experience quality. Studies adopting this perspective emphasise the subjective and interpretive nature of tourist evaluation, particularly in complex and high-density environments.</w:t>
      </w:r>
    </w:p>
    <w:p w14:paraId="0CB1E7D3" w14:textId="77777777" w:rsidR="00502836" w:rsidRDefault="00502836" w:rsidP="00502836">
      <w:pPr>
        <w:rPr>
          <w:lang w:eastAsia="en-GB"/>
        </w:rPr>
      </w:pPr>
    </w:p>
    <w:p w14:paraId="2017417A" w14:textId="77777777" w:rsidR="00502836" w:rsidRDefault="00502836" w:rsidP="00502836">
      <w:pPr>
        <w:rPr>
          <w:lang w:eastAsia="en-GB"/>
        </w:rPr>
      </w:pPr>
      <w:r>
        <w:rPr>
          <w:lang w:eastAsia="en-GB"/>
        </w:rPr>
        <w:t>Third, a context-dependent conceptualisation becomes increasingly visible in post-COVID research. Here, satisfaction is treated as a conditional evaluation influenced by situational factors such as perceived crowding, safety, risk and environmental conditions. Rather than being a stable construct, satisfaction is shaped by the broader context in which the experience takes place, reflecting changing priorities and expectations.</w:t>
      </w:r>
    </w:p>
    <w:p w14:paraId="3737A529" w14:textId="77777777" w:rsidR="00502836" w:rsidRDefault="00502836" w:rsidP="00502836">
      <w:pPr>
        <w:rPr>
          <w:lang w:eastAsia="en-GB"/>
        </w:rPr>
      </w:pPr>
    </w:p>
    <w:p w14:paraId="4BE06101" w14:textId="78772519" w:rsidR="00502836" w:rsidRDefault="00B62779" w:rsidP="00502836">
      <w:pPr>
        <w:rPr>
          <w:lang w:eastAsia="en-GB"/>
        </w:rPr>
      </w:pPr>
      <w:r w:rsidRPr="00B62779">
        <w:rPr>
          <w:lang w:eastAsia="en-GB"/>
        </w:rPr>
        <w:t xml:space="preserve">A key synthesis point across these conceptualisations is a shift from relatively static interpretations towards more conditional and context-sensitive interpretations of satisfaction. At the same time, the included studies do not converge on a single dominant conceptual framework. Different studies emphasise different dimensions, often depending on research setting and measurement approach. This conceptual </w:t>
      </w:r>
      <w:r w:rsidRPr="00B62779">
        <w:rPr>
          <w:lang w:eastAsia="en-GB"/>
        </w:rPr>
        <w:lastRenderedPageBreak/>
        <w:t>diversity supports flexibility in capturing complex tourism experiences, but it also creates challenges for theoretical integration and comparison across studies.</w:t>
      </w:r>
    </w:p>
    <w:p w14:paraId="17CE7D63" w14:textId="77777777" w:rsidR="007C48DE" w:rsidRDefault="007C48DE" w:rsidP="00502836">
      <w:pPr>
        <w:rPr>
          <w:lang w:eastAsia="en-GB"/>
        </w:rPr>
      </w:pPr>
    </w:p>
    <w:p w14:paraId="1B05C1F2" w14:textId="7309BEAB" w:rsidR="003408E7" w:rsidRDefault="003408E7" w:rsidP="00502836">
      <w:pPr>
        <w:rPr>
          <w:lang w:eastAsia="en-GB"/>
        </w:rPr>
      </w:pPr>
      <w:r w:rsidRPr="003408E7">
        <w:rPr>
          <w:lang w:eastAsia="en-GB"/>
        </w:rPr>
        <w:t>To support transparency and readability, a representative summary of included studies is provided in Table 4.2.</w:t>
      </w:r>
    </w:p>
    <w:p w14:paraId="6E6A2FBA" w14:textId="77777777" w:rsidR="007C48DE" w:rsidRDefault="007C48DE" w:rsidP="00502836">
      <w:pPr>
        <w:rPr>
          <w:lang w:eastAsia="en-GB"/>
        </w:rPr>
      </w:pPr>
    </w:p>
    <w:tbl>
      <w:tblPr>
        <w:tblStyle w:val="GridTable4-Accent6"/>
        <w:tblW w:w="0" w:type="auto"/>
        <w:tblLook w:val="04A0" w:firstRow="1" w:lastRow="0" w:firstColumn="1" w:lastColumn="0" w:noHBand="0" w:noVBand="1"/>
      </w:tblPr>
      <w:tblGrid>
        <w:gridCol w:w="1936"/>
        <w:gridCol w:w="572"/>
        <w:gridCol w:w="1747"/>
        <w:gridCol w:w="1642"/>
        <w:gridCol w:w="2379"/>
        <w:gridCol w:w="740"/>
      </w:tblGrid>
      <w:tr w:rsidR="007C48DE" w:rsidRPr="00D01A80" w14:paraId="1886869A" w14:textId="77777777" w:rsidTr="006A4A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B59E0B"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Author(s)</w:t>
            </w:r>
          </w:p>
        </w:tc>
        <w:tc>
          <w:tcPr>
            <w:tcW w:w="0" w:type="auto"/>
            <w:hideMark/>
          </w:tcPr>
          <w:p w14:paraId="1C7CEFCE" w14:textId="77777777" w:rsidR="007C48DE" w:rsidRPr="00AE5B6E" w:rsidRDefault="007C48DE" w:rsidP="006A4A26">
            <w:pPr>
              <w:spacing w:after="160"/>
              <w:cnfStyle w:val="100000000000" w:firstRow="1"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Year</w:t>
            </w:r>
          </w:p>
        </w:tc>
        <w:tc>
          <w:tcPr>
            <w:tcW w:w="0" w:type="auto"/>
            <w:hideMark/>
          </w:tcPr>
          <w:p w14:paraId="00086EAF" w14:textId="77777777" w:rsidR="007C48DE" w:rsidRPr="00AE5B6E" w:rsidRDefault="007C48DE" w:rsidP="006A4A26">
            <w:pPr>
              <w:spacing w:after="160"/>
              <w:cnfStyle w:val="100000000000" w:firstRow="1"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Context / Setting</w:t>
            </w:r>
          </w:p>
        </w:tc>
        <w:tc>
          <w:tcPr>
            <w:tcW w:w="0" w:type="auto"/>
            <w:hideMark/>
          </w:tcPr>
          <w:p w14:paraId="5E8ACF91" w14:textId="77777777" w:rsidR="007C48DE" w:rsidRPr="00AE5B6E" w:rsidRDefault="007C48DE" w:rsidP="006A4A26">
            <w:pPr>
              <w:spacing w:after="160"/>
              <w:cnfStyle w:val="100000000000" w:firstRow="1"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Research Design</w:t>
            </w:r>
          </w:p>
        </w:tc>
        <w:tc>
          <w:tcPr>
            <w:tcW w:w="0" w:type="auto"/>
            <w:hideMark/>
          </w:tcPr>
          <w:p w14:paraId="0E49DD06" w14:textId="77777777" w:rsidR="007C48DE" w:rsidRPr="00AE5B6E" w:rsidRDefault="007C48DE" w:rsidP="006A4A26">
            <w:pPr>
              <w:spacing w:after="160"/>
              <w:cnfStyle w:val="100000000000" w:firstRow="1"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Key Constructs &amp; Indicators</w:t>
            </w:r>
          </w:p>
        </w:tc>
        <w:tc>
          <w:tcPr>
            <w:tcW w:w="0" w:type="auto"/>
            <w:hideMark/>
          </w:tcPr>
          <w:p w14:paraId="42B0ED25" w14:textId="77777777" w:rsidR="007C48DE" w:rsidRPr="00AE5B6E" w:rsidRDefault="007C48DE" w:rsidP="006A4A26">
            <w:pPr>
              <w:spacing w:after="160"/>
              <w:cnfStyle w:val="100000000000" w:firstRow="1"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RQ</w:t>
            </w:r>
          </w:p>
        </w:tc>
      </w:tr>
      <w:tr w:rsidR="007C48DE" w:rsidRPr="00D01A80" w14:paraId="15BCBBC8"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E67378"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Aliedan et al.</w:t>
            </w:r>
          </w:p>
        </w:tc>
        <w:tc>
          <w:tcPr>
            <w:tcW w:w="0" w:type="auto"/>
            <w:hideMark/>
          </w:tcPr>
          <w:p w14:paraId="52E8C545"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2021</w:t>
            </w:r>
          </w:p>
        </w:tc>
        <w:tc>
          <w:tcPr>
            <w:tcW w:w="0" w:type="auto"/>
            <w:hideMark/>
          </w:tcPr>
          <w:p w14:paraId="46E4B983"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Urban mass tourism</w:t>
            </w:r>
          </w:p>
        </w:tc>
        <w:tc>
          <w:tcPr>
            <w:tcW w:w="0" w:type="auto"/>
            <w:hideMark/>
          </w:tcPr>
          <w:p w14:paraId="4FADC170"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SEM (survey)</w:t>
            </w:r>
          </w:p>
        </w:tc>
        <w:tc>
          <w:tcPr>
            <w:tcW w:w="0" w:type="auto"/>
            <w:hideMark/>
          </w:tcPr>
          <w:p w14:paraId="57E2C046"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Satisfaction, destination image, experience quality</w:t>
            </w:r>
          </w:p>
        </w:tc>
        <w:tc>
          <w:tcPr>
            <w:tcW w:w="0" w:type="auto"/>
            <w:hideMark/>
          </w:tcPr>
          <w:p w14:paraId="30F72E6C"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RQ1 / RQ2</w:t>
            </w:r>
          </w:p>
        </w:tc>
      </w:tr>
      <w:tr w:rsidR="007C48DE" w:rsidRPr="00D01A80" w14:paraId="0F30FE5A"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047C9345"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Jiménez</w:t>
            </w:r>
            <w:r w:rsidRPr="00AE5B6E">
              <w:rPr>
                <w:rFonts w:cs="Arial"/>
                <w:sz w:val="16"/>
                <w:szCs w:val="16"/>
                <w:lang w:eastAsia="en-GB"/>
              </w:rPr>
              <w:noBreakHyphen/>
              <w:t>Medina et al.</w:t>
            </w:r>
          </w:p>
        </w:tc>
        <w:tc>
          <w:tcPr>
            <w:tcW w:w="0" w:type="auto"/>
            <w:hideMark/>
          </w:tcPr>
          <w:p w14:paraId="3A2A669A"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2022</w:t>
            </w:r>
          </w:p>
        </w:tc>
        <w:tc>
          <w:tcPr>
            <w:tcW w:w="0" w:type="auto"/>
            <w:hideMark/>
          </w:tcPr>
          <w:p w14:paraId="07AF060E"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Hospitality recovery (Spain)</w:t>
            </w:r>
          </w:p>
        </w:tc>
        <w:tc>
          <w:tcPr>
            <w:tcW w:w="0" w:type="auto"/>
            <w:hideMark/>
          </w:tcPr>
          <w:p w14:paraId="6087EDF9"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SEM</w:t>
            </w:r>
          </w:p>
        </w:tc>
        <w:tc>
          <w:tcPr>
            <w:tcW w:w="0" w:type="auto"/>
            <w:hideMark/>
          </w:tcPr>
          <w:p w14:paraId="59C14DB6"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Safety, hygiene, satisfaction, revisit intention</w:t>
            </w:r>
          </w:p>
        </w:tc>
        <w:tc>
          <w:tcPr>
            <w:tcW w:w="0" w:type="auto"/>
            <w:hideMark/>
          </w:tcPr>
          <w:p w14:paraId="67CF1A4E"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RQ2</w:t>
            </w:r>
          </w:p>
        </w:tc>
      </w:tr>
      <w:tr w:rsidR="007C48DE" w:rsidRPr="00D01A80" w14:paraId="0659A726"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9A7844"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Sánchez</w:t>
            </w:r>
            <w:r w:rsidRPr="00AE5B6E">
              <w:rPr>
                <w:rFonts w:cs="Arial"/>
                <w:sz w:val="16"/>
                <w:szCs w:val="16"/>
                <w:lang w:eastAsia="en-GB"/>
              </w:rPr>
              <w:noBreakHyphen/>
              <w:t>Sánchez et al.</w:t>
            </w:r>
          </w:p>
        </w:tc>
        <w:tc>
          <w:tcPr>
            <w:tcW w:w="0" w:type="auto"/>
            <w:hideMark/>
          </w:tcPr>
          <w:p w14:paraId="7204C408"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2024</w:t>
            </w:r>
          </w:p>
        </w:tc>
        <w:tc>
          <w:tcPr>
            <w:tcW w:w="0" w:type="auto"/>
            <w:hideMark/>
          </w:tcPr>
          <w:p w14:paraId="3BE1665C"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Cultural tourism</w:t>
            </w:r>
          </w:p>
        </w:tc>
        <w:tc>
          <w:tcPr>
            <w:tcW w:w="0" w:type="auto"/>
            <w:hideMark/>
          </w:tcPr>
          <w:p w14:paraId="5120B036"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SEM (longitudinal comparison)</w:t>
            </w:r>
          </w:p>
        </w:tc>
        <w:tc>
          <w:tcPr>
            <w:tcW w:w="0" w:type="auto"/>
            <w:hideMark/>
          </w:tcPr>
          <w:p w14:paraId="6E14EAD2"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COVID</w:t>
            </w:r>
            <w:r w:rsidRPr="00AE5B6E">
              <w:rPr>
                <w:rFonts w:cs="Arial"/>
                <w:sz w:val="16"/>
                <w:szCs w:val="16"/>
                <w:lang w:eastAsia="en-GB"/>
              </w:rPr>
              <w:noBreakHyphen/>
              <w:t>19 effects, satisfaction dynamics</w:t>
            </w:r>
          </w:p>
        </w:tc>
        <w:tc>
          <w:tcPr>
            <w:tcW w:w="0" w:type="auto"/>
            <w:hideMark/>
          </w:tcPr>
          <w:p w14:paraId="33816703"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RQ1</w:t>
            </w:r>
          </w:p>
        </w:tc>
      </w:tr>
      <w:tr w:rsidR="007C48DE" w:rsidRPr="00D01A80" w14:paraId="649DD10B"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386E141A"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Pérez</w:t>
            </w:r>
            <w:r w:rsidRPr="00AE5B6E">
              <w:rPr>
                <w:rFonts w:cs="Arial"/>
                <w:sz w:val="16"/>
                <w:szCs w:val="16"/>
                <w:lang w:eastAsia="en-GB"/>
              </w:rPr>
              <w:noBreakHyphen/>
              <w:t>Campdesuñer et al.</w:t>
            </w:r>
          </w:p>
        </w:tc>
        <w:tc>
          <w:tcPr>
            <w:tcW w:w="0" w:type="auto"/>
            <w:hideMark/>
          </w:tcPr>
          <w:p w14:paraId="7206053B"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2025</w:t>
            </w:r>
          </w:p>
        </w:tc>
        <w:tc>
          <w:tcPr>
            <w:tcW w:w="0" w:type="auto"/>
            <w:hideMark/>
          </w:tcPr>
          <w:p w14:paraId="6C0395D4"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Emerging market destination</w:t>
            </w:r>
          </w:p>
        </w:tc>
        <w:tc>
          <w:tcPr>
            <w:tcW w:w="0" w:type="auto"/>
            <w:hideMark/>
          </w:tcPr>
          <w:p w14:paraId="6097C759"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Multi</w:t>
            </w:r>
            <w:r w:rsidRPr="00AE5B6E">
              <w:rPr>
                <w:rFonts w:cs="Arial"/>
                <w:sz w:val="16"/>
                <w:szCs w:val="16"/>
                <w:lang w:eastAsia="en-GB"/>
              </w:rPr>
              <w:noBreakHyphen/>
              <w:t>group SEM</w:t>
            </w:r>
          </w:p>
        </w:tc>
        <w:tc>
          <w:tcPr>
            <w:tcW w:w="0" w:type="auto"/>
            <w:hideMark/>
          </w:tcPr>
          <w:p w14:paraId="39C77960"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Satisfaction measurement, partial invariance</w:t>
            </w:r>
          </w:p>
        </w:tc>
        <w:tc>
          <w:tcPr>
            <w:tcW w:w="0" w:type="auto"/>
            <w:hideMark/>
          </w:tcPr>
          <w:p w14:paraId="34881BC3"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RQ2</w:t>
            </w:r>
          </w:p>
        </w:tc>
      </w:tr>
      <w:tr w:rsidR="007C48DE" w:rsidRPr="00D01A80" w14:paraId="5F36D7A4"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697E99"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Ghosh et al.</w:t>
            </w:r>
          </w:p>
        </w:tc>
        <w:tc>
          <w:tcPr>
            <w:tcW w:w="0" w:type="auto"/>
            <w:hideMark/>
          </w:tcPr>
          <w:p w14:paraId="0B2A60C4"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2024</w:t>
            </w:r>
          </w:p>
        </w:tc>
        <w:tc>
          <w:tcPr>
            <w:tcW w:w="0" w:type="auto"/>
            <w:hideMark/>
          </w:tcPr>
          <w:p w14:paraId="73CF06FB"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Heritage destination</w:t>
            </w:r>
          </w:p>
        </w:tc>
        <w:tc>
          <w:tcPr>
            <w:tcW w:w="0" w:type="auto"/>
            <w:hideMark/>
          </w:tcPr>
          <w:p w14:paraId="684BCBD5"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IPA / IGA</w:t>
            </w:r>
          </w:p>
        </w:tc>
        <w:tc>
          <w:tcPr>
            <w:tcW w:w="0" w:type="auto"/>
            <w:hideMark/>
          </w:tcPr>
          <w:p w14:paraId="3ED7A5F0"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Expected vs actual satisfaction, priorities</w:t>
            </w:r>
          </w:p>
        </w:tc>
        <w:tc>
          <w:tcPr>
            <w:tcW w:w="0" w:type="auto"/>
            <w:hideMark/>
          </w:tcPr>
          <w:p w14:paraId="7205AFD1"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RQ2</w:t>
            </w:r>
          </w:p>
        </w:tc>
      </w:tr>
      <w:tr w:rsidR="007C48DE" w:rsidRPr="00D01A80" w14:paraId="27B5521C"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55FB8C03"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De Marchi et al.</w:t>
            </w:r>
          </w:p>
        </w:tc>
        <w:tc>
          <w:tcPr>
            <w:tcW w:w="0" w:type="auto"/>
            <w:hideMark/>
          </w:tcPr>
          <w:p w14:paraId="2E373C56"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2022</w:t>
            </w:r>
          </w:p>
        </w:tc>
        <w:tc>
          <w:tcPr>
            <w:tcW w:w="0" w:type="auto"/>
            <w:hideMark/>
          </w:tcPr>
          <w:p w14:paraId="181282A4"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Destination sustainability</w:t>
            </w:r>
          </w:p>
        </w:tc>
        <w:tc>
          <w:tcPr>
            <w:tcW w:w="0" w:type="auto"/>
            <w:hideMark/>
          </w:tcPr>
          <w:p w14:paraId="192A876D"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UGC &amp; sentiment analysis</w:t>
            </w:r>
          </w:p>
        </w:tc>
        <w:tc>
          <w:tcPr>
            <w:tcW w:w="0" w:type="auto"/>
            <w:hideMark/>
          </w:tcPr>
          <w:p w14:paraId="0F9A1CC5"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Satisfaction signals, ETIS indicators</w:t>
            </w:r>
          </w:p>
        </w:tc>
        <w:tc>
          <w:tcPr>
            <w:tcW w:w="0" w:type="auto"/>
            <w:hideMark/>
          </w:tcPr>
          <w:p w14:paraId="264E5F93"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RQ1 / RQ2</w:t>
            </w:r>
          </w:p>
        </w:tc>
      </w:tr>
      <w:tr w:rsidR="007C48DE" w:rsidRPr="00D01A80" w14:paraId="348FE879"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1BCF7D"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Sun et al.</w:t>
            </w:r>
          </w:p>
        </w:tc>
        <w:tc>
          <w:tcPr>
            <w:tcW w:w="0" w:type="auto"/>
            <w:hideMark/>
          </w:tcPr>
          <w:p w14:paraId="2FF3EE04"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2024</w:t>
            </w:r>
          </w:p>
        </w:tc>
        <w:tc>
          <w:tcPr>
            <w:tcW w:w="0" w:type="auto"/>
            <w:hideMark/>
          </w:tcPr>
          <w:p w14:paraId="3BFECFD1"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Multi</w:t>
            </w:r>
            <w:r w:rsidRPr="00AE5B6E">
              <w:rPr>
                <w:rFonts w:cs="Arial"/>
                <w:sz w:val="16"/>
                <w:szCs w:val="16"/>
                <w:lang w:eastAsia="en-GB"/>
              </w:rPr>
              <w:noBreakHyphen/>
              <w:t>destination</w:t>
            </w:r>
          </w:p>
        </w:tc>
        <w:tc>
          <w:tcPr>
            <w:tcW w:w="0" w:type="auto"/>
            <w:hideMark/>
          </w:tcPr>
          <w:p w14:paraId="39775FE4"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UGC topic modelling</w:t>
            </w:r>
          </w:p>
        </w:tc>
        <w:tc>
          <w:tcPr>
            <w:tcW w:w="0" w:type="auto"/>
            <w:hideMark/>
          </w:tcPr>
          <w:p w14:paraId="33A674F0"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Experience themes, satisfaction drivers</w:t>
            </w:r>
          </w:p>
        </w:tc>
        <w:tc>
          <w:tcPr>
            <w:tcW w:w="0" w:type="auto"/>
            <w:hideMark/>
          </w:tcPr>
          <w:p w14:paraId="13E0DD21"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RQ1</w:t>
            </w:r>
          </w:p>
        </w:tc>
      </w:tr>
      <w:tr w:rsidR="007C48DE" w:rsidRPr="00D01A80" w14:paraId="69EF6C51"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0FD62740"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Papadopoulou et al.</w:t>
            </w:r>
          </w:p>
        </w:tc>
        <w:tc>
          <w:tcPr>
            <w:tcW w:w="0" w:type="auto"/>
            <w:hideMark/>
          </w:tcPr>
          <w:p w14:paraId="25AC8C0E"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2023</w:t>
            </w:r>
          </w:p>
        </w:tc>
        <w:tc>
          <w:tcPr>
            <w:tcW w:w="0" w:type="auto"/>
            <w:hideMark/>
          </w:tcPr>
          <w:p w14:paraId="6785CBB3"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Urban hotspots</w:t>
            </w:r>
          </w:p>
        </w:tc>
        <w:tc>
          <w:tcPr>
            <w:tcW w:w="0" w:type="auto"/>
            <w:hideMark/>
          </w:tcPr>
          <w:p w14:paraId="12E49155"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SEM</w:t>
            </w:r>
          </w:p>
        </w:tc>
        <w:tc>
          <w:tcPr>
            <w:tcW w:w="0" w:type="auto"/>
            <w:hideMark/>
          </w:tcPr>
          <w:p w14:paraId="65A834A8"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Perceived crowding, satisfaction, objections to revisit</w:t>
            </w:r>
          </w:p>
        </w:tc>
        <w:tc>
          <w:tcPr>
            <w:tcW w:w="0" w:type="auto"/>
            <w:hideMark/>
          </w:tcPr>
          <w:p w14:paraId="00F8F584"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RQ3</w:t>
            </w:r>
          </w:p>
        </w:tc>
      </w:tr>
      <w:tr w:rsidR="007C48DE" w:rsidRPr="00D01A80" w14:paraId="70358089"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B5571"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Gazi et al.</w:t>
            </w:r>
          </w:p>
        </w:tc>
        <w:tc>
          <w:tcPr>
            <w:tcW w:w="0" w:type="auto"/>
            <w:hideMark/>
          </w:tcPr>
          <w:p w14:paraId="30A99237"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2024</w:t>
            </w:r>
          </w:p>
        </w:tc>
        <w:tc>
          <w:tcPr>
            <w:tcW w:w="0" w:type="auto"/>
            <w:hideMark/>
          </w:tcPr>
          <w:p w14:paraId="745B0A5D"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Hotels (post</w:t>
            </w:r>
            <w:r w:rsidRPr="00AE5B6E">
              <w:rPr>
                <w:rFonts w:cs="Arial"/>
                <w:sz w:val="16"/>
                <w:szCs w:val="16"/>
                <w:lang w:eastAsia="en-GB"/>
              </w:rPr>
              <w:noBreakHyphen/>
              <w:t>COVID)</w:t>
            </w:r>
          </w:p>
        </w:tc>
        <w:tc>
          <w:tcPr>
            <w:tcW w:w="0" w:type="auto"/>
            <w:hideMark/>
          </w:tcPr>
          <w:p w14:paraId="63A98F70"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PLS</w:t>
            </w:r>
            <w:r w:rsidRPr="00AE5B6E">
              <w:rPr>
                <w:rFonts w:cs="Arial"/>
                <w:sz w:val="16"/>
                <w:szCs w:val="16"/>
                <w:lang w:eastAsia="en-GB"/>
              </w:rPr>
              <w:noBreakHyphen/>
              <w:t>SEM / MGA</w:t>
            </w:r>
          </w:p>
        </w:tc>
        <w:tc>
          <w:tcPr>
            <w:tcW w:w="0" w:type="auto"/>
            <w:hideMark/>
          </w:tcPr>
          <w:p w14:paraId="7AF0AD0D"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COVID fear, service quality, satisfaction</w:t>
            </w:r>
          </w:p>
        </w:tc>
        <w:tc>
          <w:tcPr>
            <w:tcW w:w="0" w:type="auto"/>
            <w:hideMark/>
          </w:tcPr>
          <w:p w14:paraId="7E2BC51A" w14:textId="77777777" w:rsidR="007C48DE" w:rsidRPr="00AE5B6E" w:rsidRDefault="007C48DE" w:rsidP="006A4A26">
            <w:pPr>
              <w:spacing w:after="160"/>
              <w:cnfStyle w:val="000000100000" w:firstRow="0" w:lastRow="0" w:firstColumn="0" w:lastColumn="0" w:oddVBand="0" w:evenVBand="0" w:oddHBand="1" w:evenHBand="0" w:firstRowFirstColumn="0" w:firstRowLastColumn="0" w:lastRowFirstColumn="0" w:lastRowLastColumn="0"/>
              <w:rPr>
                <w:rFonts w:cs="Arial"/>
                <w:sz w:val="16"/>
                <w:szCs w:val="16"/>
                <w:lang w:eastAsia="en-GB"/>
              </w:rPr>
            </w:pPr>
            <w:r w:rsidRPr="00AE5B6E">
              <w:rPr>
                <w:rFonts w:cs="Arial"/>
                <w:sz w:val="16"/>
                <w:szCs w:val="16"/>
                <w:lang w:eastAsia="en-GB"/>
              </w:rPr>
              <w:t>RQ2</w:t>
            </w:r>
          </w:p>
        </w:tc>
      </w:tr>
      <w:tr w:rsidR="007C48DE" w:rsidRPr="00D01A80" w14:paraId="70A8371A"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4F90FEFB" w14:textId="77777777" w:rsidR="007C48DE" w:rsidRPr="00AE5B6E" w:rsidRDefault="007C48DE" w:rsidP="006A4A26">
            <w:pPr>
              <w:spacing w:after="160"/>
              <w:rPr>
                <w:rFonts w:cs="Arial"/>
                <w:sz w:val="16"/>
                <w:szCs w:val="16"/>
                <w:lang w:eastAsia="en-GB"/>
              </w:rPr>
            </w:pPr>
            <w:r w:rsidRPr="00AE5B6E">
              <w:rPr>
                <w:rFonts w:cs="Arial"/>
                <w:sz w:val="16"/>
                <w:szCs w:val="16"/>
                <w:lang w:eastAsia="en-GB"/>
              </w:rPr>
              <w:t>Yap et al.</w:t>
            </w:r>
          </w:p>
        </w:tc>
        <w:tc>
          <w:tcPr>
            <w:tcW w:w="0" w:type="auto"/>
            <w:hideMark/>
          </w:tcPr>
          <w:p w14:paraId="0892BCBA"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2025</w:t>
            </w:r>
          </w:p>
        </w:tc>
        <w:tc>
          <w:tcPr>
            <w:tcW w:w="0" w:type="auto"/>
            <w:hideMark/>
          </w:tcPr>
          <w:p w14:paraId="005EE15F"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Cross</w:t>
            </w:r>
            <w:r w:rsidRPr="00AE5B6E">
              <w:rPr>
                <w:rFonts w:cs="Arial"/>
                <w:sz w:val="16"/>
                <w:szCs w:val="16"/>
                <w:lang w:eastAsia="en-GB"/>
              </w:rPr>
              <w:noBreakHyphen/>
              <w:t>context (SLR)</w:t>
            </w:r>
          </w:p>
        </w:tc>
        <w:tc>
          <w:tcPr>
            <w:tcW w:w="0" w:type="auto"/>
            <w:hideMark/>
          </w:tcPr>
          <w:p w14:paraId="52F8BD05"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Systematic review</w:t>
            </w:r>
          </w:p>
        </w:tc>
        <w:tc>
          <w:tcPr>
            <w:tcW w:w="0" w:type="auto"/>
            <w:hideMark/>
          </w:tcPr>
          <w:p w14:paraId="2B785BE9"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STT, satisfaction pathways, mediators</w:t>
            </w:r>
          </w:p>
        </w:tc>
        <w:tc>
          <w:tcPr>
            <w:tcW w:w="0" w:type="auto"/>
            <w:hideMark/>
          </w:tcPr>
          <w:p w14:paraId="436ABB82" w14:textId="77777777" w:rsidR="007C48DE" w:rsidRPr="00AE5B6E" w:rsidRDefault="007C48DE" w:rsidP="006A4A26">
            <w:pPr>
              <w:spacing w:after="160"/>
              <w:cnfStyle w:val="000000000000" w:firstRow="0" w:lastRow="0" w:firstColumn="0" w:lastColumn="0" w:oddVBand="0" w:evenVBand="0" w:oddHBand="0" w:evenHBand="0" w:firstRowFirstColumn="0" w:firstRowLastColumn="0" w:lastRowFirstColumn="0" w:lastRowLastColumn="0"/>
              <w:rPr>
                <w:rFonts w:cs="Arial"/>
                <w:sz w:val="16"/>
                <w:szCs w:val="16"/>
                <w:lang w:eastAsia="en-GB"/>
              </w:rPr>
            </w:pPr>
            <w:r w:rsidRPr="00AE5B6E">
              <w:rPr>
                <w:rFonts w:cs="Arial"/>
                <w:sz w:val="16"/>
                <w:szCs w:val="16"/>
                <w:lang w:eastAsia="en-GB"/>
              </w:rPr>
              <w:t>RQ2</w:t>
            </w:r>
          </w:p>
        </w:tc>
      </w:tr>
    </w:tbl>
    <w:p w14:paraId="46CA9F54" w14:textId="00EF75BE" w:rsidR="00D817D2" w:rsidRDefault="00D817D2" w:rsidP="00502836">
      <w:pPr>
        <w:rPr>
          <w:lang w:eastAsia="en-GB"/>
        </w:rPr>
      </w:pPr>
      <w:r w:rsidRPr="00D817D2">
        <w:rPr>
          <w:lang w:eastAsia="en-GB"/>
        </w:rPr>
        <w:t>Table 4.2: Representative literature summary of included studies (2021–2025)</w:t>
      </w:r>
    </w:p>
    <w:p w14:paraId="4CE28133" w14:textId="73B611E9" w:rsidR="00B323FB" w:rsidRDefault="00B323FB" w:rsidP="00502836">
      <w:pPr>
        <w:rPr>
          <w:lang w:eastAsia="en-GB"/>
        </w:rPr>
      </w:pPr>
      <w:r w:rsidRPr="00B323FB">
        <w:rPr>
          <w:lang w:eastAsia="en-GB"/>
        </w:rPr>
        <w:t>The full literature extraction and coding table for all included studies is provided in Appendix A, while additional background sources used for conceptual framing are listed separately in Appendix B.</w:t>
      </w:r>
    </w:p>
    <w:p w14:paraId="671A2B56" w14:textId="7C94ABA6" w:rsidR="006B1C42" w:rsidRDefault="006B1C42" w:rsidP="00502836">
      <w:pPr>
        <w:rPr>
          <w:lang w:eastAsia="en-GB"/>
        </w:rPr>
      </w:pPr>
      <w:r w:rsidRPr="006B1C42">
        <w:rPr>
          <w:lang w:eastAsia="en-GB"/>
        </w:rPr>
        <w:t>The full literature extraction and coding table for all included studies is provided in Appendix A to ensure transparency and auditability of the SLR process.</w:t>
      </w:r>
    </w:p>
    <w:p w14:paraId="7C58DA25" w14:textId="77777777" w:rsidR="008C7420" w:rsidRPr="008C7420" w:rsidRDefault="008C7420" w:rsidP="008C7420">
      <w:pPr>
        <w:rPr>
          <w:lang w:eastAsia="en-GB"/>
        </w:rPr>
      </w:pPr>
      <w:r w:rsidRPr="008C7420">
        <w:rPr>
          <w:lang w:eastAsia="en-GB"/>
        </w:rPr>
        <w:t>At the same time, the included studies do not converge on a single dominant conceptual framework. Studies emphasise different dimensions of satisfaction, often depending on context and measurement approach. This diversity helps capture complex tourism experiences, but it also makes theoretical integration and cross-study comparison more difficult.</w:t>
      </w:r>
    </w:p>
    <w:p w14:paraId="77B5ABCF" w14:textId="77777777" w:rsidR="008C7420" w:rsidRPr="008C7420" w:rsidRDefault="008C7420" w:rsidP="008C7420">
      <w:pPr>
        <w:rPr>
          <w:lang w:eastAsia="en-GB"/>
        </w:rPr>
      </w:pPr>
      <w:r w:rsidRPr="008C7420">
        <w:rPr>
          <w:lang w:eastAsia="en-GB"/>
        </w:rPr>
        <w:t xml:space="preserve">The context-dependent framing is particularly relevant in mass-tourism environments. Perceived crowding and perceived risk can change how tourists interpret similar conditions, producing different satisfaction evaluations even when objective circumstances appear comparable. This reinforces the view that </w:t>
      </w:r>
      <w:r w:rsidRPr="008C7420">
        <w:rPr>
          <w:lang w:eastAsia="en-GB"/>
        </w:rPr>
        <w:lastRenderedPageBreak/>
        <w:t>satisfaction is shaped by the interaction between experience, expectations and context, not only by service performance.</w:t>
      </w:r>
    </w:p>
    <w:p w14:paraId="76AE8310" w14:textId="77777777" w:rsidR="008C7420" w:rsidRDefault="008C7420" w:rsidP="008C7420">
      <w:pPr>
        <w:rPr>
          <w:lang w:eastAsia="en-GB"/>
        </w:rPr>
      </w:pPr>
      <w:r w:rsidRPr="008C7420">
        <w:rPr>
          <w:lang w:eastAsia="en-GB"/>
        </w:rPr>
        <w:t>Overall, the RQ1 synthesis indicates that tourist satisfaction in post</w:t>
      </w:r>
      <w:r w:rsidRPr="008C7420">
        <w:rPr>
          <w:rFonts w:ascii="Cambria Math" w:hAnsi="Cambria Math" w:cs="Cambria Math"/>
          <w:lang w:eastAsia="en-GB"/>
        </w:rPr>
        <w:t>‑</w:t>
      </w:r>
      <w:r w:rsidRPr="008C7420">
        <w:rPr>
          <w:lang w:eastAsia="en-GB"/>
        </w:rPr>
        <w:t>COVID mass tourism is best treated as multidimensional and context-sensitive. Performance-based models remain visible, but experiential and conditional interpretations are increasingly prominent. This provides a clear basis for examining how satisfaction is operationalised and measured (RQ2) and how it relates to behavioural outcomes under contextual pressure (RQ3) in the following sections.</w:t>
      </w:r>
    </w:p>
    <w:p w14:paraId="19DD0214" w14:textId="4AF6BC9C" w:rsidR="00684EE2" w:rsidRDefault="00684EE2" w:rsidP="008C7420">
      <w:pPr>
        <w:pStyle w:val="Heading2"/>
        <w:rPr>
          <w:lang w:eastAsia="en-GB"/>
        </w:rPr>
      </w:pPr>
      <w:bookmarkStart w:id="30" w:name="_Toc228889950"/>
      <w:r>
        <w:rPr>
          <w:lang w:eastAsia="en-GB"/>
        </w:rPr>
        <w:t>4.4 Measurement of tourist satisfaction (RQ2)</w:t>
      </w:r>
      <w:bookmarkEnd w:id="30"/>
    </w:p>
    <w:p w14:paraId="3B57E60D" w14:textId="77777777" w:rsidR="00684EE2" w:rsidRDefault="00684EE2" w:rsidP="00684EE2">
      <w:pPr>
        <w:rPr>
          <w:lang w:eastAsia="en-GB"/>
        </w:rPr>
      </w:pPr>
      <w:r>
        <w:rPr>
          <w:lang w:eastAsia="en-GB"/>
        </w:rPr>
        <w:t>This section examines how tourist satisfaction is measured across the included studies, addressing RQ2. The analysis focuses on identifying dominant measurement approaches, their underlying assumptions and their implications for comparability and interpretation.</w:t>
      </w:r>
    </w:p>
    <w:p w14:paraId="36214582" w14:textId="77777777" w:rsidR="00684EE2" w:rsidRDefault="00684EE2" w:rsidP="00684EE2">
      <w:pPr>
        <w:rPr>
          <w:lang w:eastAsia="en-GB"/>
        </w:rPr>
      </w:pPr>
    </w:p>
    <w:p w14:paraId="5132B696" w14:textId="77777777" w:rsidR="00F7559B" w:rsidRDefault="00684EE2" w:rsidP="00684EE2">
      <w:pPr>
        <w:rPr>
          <w:lang w:eastAsia="en-GB"/>
        </w:rPr>
      </w:pPr>
      <w:r>
        <w:rPr>
          <w:lang w:eastAsia="en-GB"/>
        </w:rPr>
        <w:t xml:space="preserve">Across the literature, three main measurement approaches can be identified. </w:t>
      </w:r>
    </w:p>
    <w:p w14:paraId="35745C53" w14:textId="52383414" w:rsidR="00684EE2" w:rsidRDefault="00684EE2" w:rsidP="00684EE2">
      <w:pPr>
        <w:rPr>
          <w:lang w:eastAsia="en-GB"/>
        </w:rPr>
      </w:pPr>
      <w:r>
        <w:rPr>
          <w:lang w:eastAsia="en-GB"/>
        </w:rPr>
        <w:t>First, scale-based survey instruments remain the dominant method. These typically rely on multi-item Likert scales derived from service quality frameworks and are frequently analysed using structural equation modelling (SEM) or partial least squares SEM (PLS-SEM). Such approaches enable the modelling of relationships between satisfaction and behavioural outcomes and provide structured, comparable datasets within individual studies.</w:t>
      </w:r>
    </w:p>
    <w:p w14:paraId="4C06BCA9" w14:textId="77777777" w:rsidR="00684EE2" w:rsidRDefault="00684EE2" w:rsidP="00684EE2">
      <w:pPr>
        <w:rPr>
          <w:lang w:eastAsia="en-GB"/>
        </w:rPr>
      </w:pPr>
    </w:p>
    <w:p w14:paraId="39807770" w14:textId="77777777" w:rsidR="00684EE2" w:rsidRDefault="00684EE2" w:rsidP="00684EE2">
      <w:pPr>
        <w:rPr>
          <w:lang w:eastAsia="en-GB"/>
        </w:rPr>
      </w:pPr>
      <w:r>
        <w:rPr>
          <w:lang w:eastAsia="en-GB"/>
        </w:rPr>
        <w:t>Second, attribute-based approaches are used to evaluate specific dimensions of the tourism experience. Methods such as Importance–Performance Analysis (IPA) and related techniques assess the relative importance and performance of different attributes, allowing researchers to identify priority areas for improvement. These approaches provide more granular insights but may not capture overall evaluative judgments in a consistent way.</w:t>
      </w:r>
    </w:p>
    <w:p w14:paraId="1072C793" w14:textId="77777777" w:rsidR="00684EE2" w:rsidRDefault="00684EE2" w:rsidP="00684EE2">
      <w:pPr>
        <w:rPr>
          <w:lang w:eastAsia="en-GB"/>
        </w:rPr>
      </w:pPr>
    </w:p>
    <w:p w14:paraId="1E5F1B9C" w14:textId="77777777" w:rsidR="00684EE2" w:rsidRDefault="00684EE2" w:rsidP="00684EE2">
      <w:pPr>
        <w:rPr>
          <w:lang w:eastAsia="en-GB"/>
        </w:rPr>
      </w:pPr>
      <w:r>
        <w:rPr>
          <w:lang w:eastAsia="en-GB"/>
        </w:rPr>
        <w:t>Third, digital measurement approaches have become increasingly prominent. These include the analysis of user-generated content (UGC), sentiment analysis and text mining techniques. Digital methods provide access to large-scale and real-time data, enabling the identification of experience patterns and emotional responses across different contexts.</w:t>
      </w:r>
    </w:p>
    <w:p w14:paraId="41B2F4E8" w14:textId="77777777" w:rsidR="00684EE2" w:rsidRDefault="00684EE2" w:rsidP="00684EE2">
      <w:pPr>
        <w:rPr>
          <w:lang w:eastAsia="en-GB"/>
        </w:rPr>
      </w:pPr>
    </w:p>
    <w:p w14:paraId="096A3BD4" w14:textId="77777777" w:rsidR="00684EE2" w:rsidRDefault="00684EE2" w:rsidP="00684EE2">
      <w:pPr>
        <w:rPr>
          <w:lang w:eastAsia="en-GB"/>
        </w:rPr>
      </w:pPr>
      <w:r>
        <w:rPr>
          <w:lang w:eastAsia="en-GB"/>
        </w:rPr>
        <w:t xml:space="preserve">A key pattern across these approaches is the coexistence of methodological standardisation and fragmentation. While scale-based methods dominate and provide internal consistency within studies, the widespread use of adapted or bespoke instruments limits comparability across studies. At the same time, the </w:t>
      </w:r>
      <w:r>
        <w:rPr>
          <w:lang w:eastAsia="en-GB"/>
        </w:rPr>
        <w:lastRenderedPageBreak/>
        <w:t>emergence of digital approaches introduces additional diversity in how satisfaction is captured, often focusing on different dimensions of experience.</w:t>
      </w:r>
    </w:p>
    <w:p w14:paraId="4B85FBCC" w14:textId="77777777" w:rsidR="00684EE2" w:rsidRDefault="00684EE2" w:rsidP="00684EE2">
      <w:pPr>
        <w:rPr>
          <w:lang w:eastAsia="en-GB"/>
        </w:rPr>
      </w:pPr>
    </w:p>
    <w:p w14:paraId="6E199B65" w14:textId="77777777" w:rsidR="00684EE2" w:rsidRDefault="00684EE2" w:rsidP="00684EE2">
      <w:pPr>
        <w:rPr>
          <w:lang w:eastAsia="en-GB"/>
        </w:rPr>
      </w:pPr>
      <w:r>
        <w:rPr>
          <w:lang w:eastAsia="en-GB"/>
        </w:rPr>
        <w:t>A further issue concerns measurement equivalence. Evidence suggests that satisfaction indicators may not function uniformly across demographic groups or contexts, meaning that identical measures can produce different interpretations (Pérez-Campdesuñer et al., 2025). This raises concerns about the validity of cross-study comparison and generalisation.</w:t>
      </w:r>
    </w:p>
    <w:p w14:paraId="1838A04D" w14:textId="77777777" w:rsidR="00684EE2" w:rsidRDefault="00684EE2" w:rsidP="00684EE2">
      <w:pPr>
        <w:rPr>
          <w:lang w:eastAsia="en-GB"/>
        </w:rPr>
      </w:pPr>
      <w:r>
        <w:rPr>
          <w:lang w:eastAsia="en-GB"/>
        </w:rPr>
        <w:t>The measurement approaches identified across the literature are summarised in Table 4.3.</w:t>
      </w:r>
    </w:p>
    <w:p w14:paraId="4F6A6D68" w14:textId="77777777" w:rsidR="00684EE2" w:rsidRDefault="00684EE2" w:rsidP="00684EE2">
      <w:pPr>
        <w:rPr>
          <w:lang w:eastAsia="en-GB"/>
        </w:rPr>
      </w:pPr>
    </w:p>
    <w:tbl>
      <w:tblPr>
        <w:tblStyle w:val="GridTable5Dark-Accent6"/>
        <w:tblW w:w="0" w:type="auto"/>
        <w:tblLook w:val="04A0" w:firstRow="1" w:lastRow="0" w:firstColumn="1" w:lastColumn="0" w:noHBand="0" w:noVBand="1"/>
      </w:tblPr>
      <w:tblGrid>
        <w:gridCol w:w="1744"/>
        <w:gridCol w:w="2831"/>
        <w:gridCol w:w="1592"/>
        <w:gridCol w:w="2849"/>
      </w:tblGrid>
      <w:tr w:rsidR="008E4782" w:rsidRPr="008E4782" w14:paraId="10E67287" w14:textId="77777777" w:rsidTr="00E63A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DADD6A" w14:textId="77777777" w:rsidR="008E4782" w:rsidRPr="00AE5B6E" w:rsidRDefault="008E4782" w:rsidP="008E4782">
            <w:pPr>
              <w:jc w:val="center"/>
              <w:rPr>
                <w:rFonts w:eastAsia="Times New Roman" w:cs="Arial"/>
                <w:sz w:val="20"/>
                <w:szCs w:val="20"/>
                <w:lang w:eastAsia="en-GB"/>
                <w14:ligatures w14:val="none"/>
              </w:rPr>
            </w:pPr>
            <w:r w:rsidRPr="00AE5B6E">
              <w:rPr>
                <w:rFonts w:eastAsia="Times New Roman" w:cs="Arial"/>
                <w:sz w:val="20"/>
                <w:szCs w:val="20"/>
                <w:lang w:eastAsia="en-GB"/>
                <w14:ligatures w14:val="none"/>
              </w:rPr>
              <w:t>Measurement approach</w:t>
            </w:r>
          </w:p>
        </w:tc>
        <w:tc>
          <w:tcPr>
            <w:tcW w:w="0" w:type="auto"/>
            <w:hideMark/>
          </w:tcPr>
          <w:p w14:paraId="416CEF3E" w14:textId="77777777" w:rsidR="008E4782" w:rsidRPr="00AE5B6E" w:rsidRDefault="008E4782" w:rsidP="008E4782">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Description</w:t>
            </w:r>
          </w:p>
        </w:tc>
        <w:tc>
          <w:tcPr>
            <w:tcW w:w="0" w:type="auto"/>
            <w:hideMark/>
          </w:tcPr>
          <w:p w14:paraId="0B22FF29" w14:textId="77777777" w:rsidR="008E4782" w:rsidRPr="00AE5B6E" w:rsidRDefault="008E4782" w:rsidP="008E4782">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Typical methods</w:t>
            </w:r>
          </w:p>
        </w:tc>
        <w:tc>
          <w:tcPr>
            <w:tcW w:w="0" w:type="auto"/>
            <w:hideMark/>
          </w:tcPr>
          <w:p w14:paraId="58A36F02" w14:textId="77777777" w:rsidR="008E4782" w:rsidRPr="00AE5B6E" w:rsidRDefault="008E4782" w:rsidP="008E4782">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Key limitations</w:t>
            </w:r>
          </w:p>
        </w:tc>
      </w:tr>
      <w:tr w:rsidR="008E4782" w:rsidRPr="008E4782" w14:paraId="0E48D4EF" w14:textId="77777777" w:rsidTr="00E63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C44D80" w14:textId="77777777" w:rsidR="008E4782" w:rsidRPr="00AE5B6E" w:rsidRDefault="008E4782" w:rsidP="008E4782">
            <w:pPr>
              <w:rPr>
                <w:rFonts w:eastAsia="Times New Roman" w:cs="Arial"/>
                <w:sz w:val="20"/>
                <w:szCs w:val="20"/>
                <w:lang w:eastAsia="en-GB"/>
                <w14:ligatures w14:val="none"/>
              </w:rPr>
            </w:pPr>
            <w:r w:rsidRPr="00AE5B6E">
              <w:rPr>
                <w:rFonts w:eastAsia="Times New Roman" w:cs="Arial"/>
                <w:sz w:val="20"/>
                <w:szCs w:val="20"/>
                <w:lang w:eastAsia="en-GB"/>
                <w14:ligatures w14:val="none"/>
              </w:rPr>
              <w:t>Scale-based (survey models)</w:t>
            </w:r>
          </w:p>
        </w:tc>
        <w:tc>
          <w:tcPr>
            <w:tcW w:w="0" w:type="auto"/>
            <w:hideMark/>
          </w:tcPr>
          <w:p w14:paraId="4CDE2B00" w14:textId="77777777" w:rsidR="008E4782" w:rsidRPr="00AE5B6E" w:rsidRDefault="008E4782" w:rsidP="008E4782">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Measures satisfaction as a latent construct based on multiple indicators of service performance and experience evaluation</w:t>
            </w:r>
          </w:p>
        </w:tc>
        <w:tc>
          <w:tcPr>
            <w:tcW w:w="0" w:type="auto"/>
            <w:hideMark/>
          </w:tcPr>
          <w:p w14:paraId="02247073" w14:textId="77777777" w:rsidR="008E4782" w:rsidRPr="00AE5B6E" w:rsidRDefault="008E4782" w:rsidP="008E4782">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Likert scales, SEM, PLS-SEM</w:t>
            </w:r>
          </w:p>
        </w:tc>
        <w:tc>
          <w:tcPr>
            <w:tcW w:w="0" w:type="auto"/>
            <w:hideMark/>
          </w:tcPr>
          <w:p w14:paraId="4AFAB043" w14:textId="77777777" w:rsidR="008E4782" w:rsidRPr="00AE5B6E" w:rsidRDefault="008E4782" w:rsidP="008E4782">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Limited comparability across studies due to adapted scales; relies on self-reported data</w:t>
            </w:r>
          </w:p>
        </w:tc>
      </w:tr>
      <w:tr w:rsidR="008E4782" w:rsidRPr="008E4782" w14:paraId="3EBF0EF0" w14:textId="77777777" w:rsidTr="00E63AAB">
        <w:tc>
          <w:tcPr>
            <w:cnfStyle w:val="001000000000" w:firstRow="0" w:lastRow="0" w:firstColumn="1" w:lastColumn="0" w:oddVBand="0" w:evenVBand="0" w:oddHBand="0" w:evenHBand="0" w:firstRowFirstColumn="0" w:firstRowLastColumn="0" w:lastRowFirstColumn="0" w:lastRowLastColumn="0"/>
            <w:tcW w:w="0" w:type="auto"/>
            <w:hideMark/>
          </w:tcPr>
          <w:p w14:paraId="1B1D9018" w14:textId="77777777" w:rsidR="008E4782" w:rsidRPr="00AE5B6E" w:rsidRDefault="008E4782" w:rsidP="008E4782">
            <w:pPr>
              <w:rPr>
                <w:rFonts w:eastAsia="Times New Roman" w:cs="Arial"/>
                <w:sz w:val="20"/>
                <w:szCs w:val="20"/>
                <w:lang w:eastAsia="en-GB"/>
                <w14:ligatures w14:val="none"/>
              </w:rPr>
            </w:pPr>
            <w:r w:rsidRPr="00AE5B6E">
              <w:rPr>
                <w:rFonts w:eastAsia="Times New Roman" w:cs="Arial"/>
                <w:sz w:val="20"/>
                <w:szCs w:val="20"/>
                <w:lang w:eastAsia="en-GB"/>
                <w14:ligatures w14:val="none"/>
              </w:rPr>
              <w:t>Attribute-based (IPA/IGA)</w:t>
            </w:r>
          </w:p>
        </w:tc>
        <w:tc>
          <w:tcPr>
            <w:tcW w:w="0" w:type="auto"/>
            <w:hideMark/>
          </w:tcPr>
          <w:p w14:paraId="582DB632" w14:textId="77777777" w:rsidR="008E4782" w:rsidRPr="00AE5B6E" w:rsidRDefault="008E4782" w:rsidP="008E4782">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Evaluates satisfaction through specific destination attributes and their relative importance</w:t>
            </w:r>
          </w:p>
        </w:tc>
        <w:tc>
          <w:tcPr>
            <w:tcW w:w="0" w:type="auto"/>
            <w:hideMark/>
          </w:tcPr>
          <w:p w14:paraId="6CB36EF5" w14:textId="77777777" w:rsidR="008E4782" w:rsidRPr="00AE5B6E" w:rsidRDefault="008E4782" w:rsidP="008E4782">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IPA, IGA, regression</w:t>
            </w:r>
          </w:p>
        </w:tc>
        <w:tc>
          <w:tcPr>
            <w:tcW w:w="0" w:type="auto"/>
            <w:hideMark/>
          </w:tcPr>
          <w:p w14:paraId="3AB4A231" w14:textId="77777777" w:rsidR="008E4782" w:rsidRPr="00AE5B6E" w:rsidRDefault="008E4782" w:rsidP="008E4782">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May not capture overall satisfaction; focuses on selected attributes</w:t>
            </w:r>
          </w:p>
        </w:tc>
      </w:tr>
      <w:tr w:rsidR="008E4782" w:rsidRPr="008E4782" w14:paraId="3FD1ABB7" w14:textId="77777777" w:rsidTr="00E63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ACDE8F" w14:textId="77777777" w:rsidR="008E4782" w:rsidRPr="00AE5B6E" w:rsidRDefault="008E4782" w:rsidP="008E4782">
            <w:pPr>
              <w:rPr>
                <w:rFonts w:eastAsia="Times New Roman" w:cs="Arial"/>
                <w:sz w:val="20"/>
                <w:szCs w:val="20"/>
                <w:lang w:eastAsia="en-GB"/>
                <w14:ligatures w14:val="none"/>
              </w:rPr>
            </w:pPr>
            <w:r w:rsidRPr="00AE5B6E">
              <w:rPr>
                <w:rFonts w:eastAsia="Times New Roman" w:cs="Arial"/>
                <w:sz w:val="20"/>
                <w:szCs w:val="20"/>
                <w:lang w:eastAsia="en-GB"/>
                <w14:ligatures w14:val="none"/>
              </w:rPr>
              <w:t>Digital / UGC-based</w:t>
            </w:r>
          </w:p>
        </w:tc>
        <w:tc>
          <w:tcPr>
            <w:tcW w:w="0" w:type="auto"/>
            <w:hideMark/>
          </w:tcPr>
          <w:p w14:paraId="7CE2F7D3" w14:textId="77777777" w:rsidR="008E4782" w:rsidRPr="00AE5B6E" w:rsidRDefault="008E4782" w:rsidP="008E4782">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Infers satisfaction through user-generated content and digital traces</w:t>
            </w:r>
          </w:p>
        </w:tc>
        <w:tc>
          <w:tcPr>
            <w:tcW w:w="0" w:type="auto"/>
            <w:hideMark/>
          </w:tcPr>
          <w:p w14:paraId="2A4A5EBA" w14:textId="77777777" w:rsidR="008E4782" w:rsidRPr="00AE5B6E" w:rsidRDefault="008E4782" w:rsidP="008E4782">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Sentiment analysis, text mining, ML models</w:t>
            </w:r>
          </w:p>
        </w:tc>
        <w:tc>
          <w:tcPr>
            <w:tcW w:w="0" w:type="auto"/>
            <w:hideMark/>
          </w:tcPr>
          <w:p w14:paraId="0220CFD4" w14:textId="77777777" w:rsidR="008E4782" w:rsidRPr="00AE5B6E" w:rsidRDefault="008E4782" w:rsidP="008E4782">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Representativeness bias; captures emotional tone rather than stable evaluation</w:t>
            </w:r>
          </w:p>
        </w:tc>
      </w:tr>
      <w:tr w:rsidR="008E4782" w:rsidRPr="008E4782" w14:paraId="47C8F75D" w14:textId="77777777" w:rsidTr="00E63AAB">
        <w:tc>
          <w:tcPr>
            <w:cnfStyle w:val="001000000000" w:firstRow="0" w:lastRow="0" w:firstColumn="1" w:lastColumn="0" w:oddVBand="0" w:evenVBand="0" w:oddHBand="0" w:evenHBand="0" w:firstRowFirstColumn="0" w:firstRowLastColumn="0" w:lastRowFirstColumn="0" w:lastRowLastColumn="0"/>
            <w:tcW w:w="0" w:type="auto"/>
            <w:hideMark/>
          </w:tcPr>
          <w:p w14:paraId="69B5720F" w14:textId="77777777" w:rsidR="008E4782" w:rsidRPr="00AE5B6E" w:rsidRDefault="008E4782" w:rsidP="008E4782">
            <w:pPr>
              <w:rPr>
                <w:rFonts w:eastAsia="Times New Roman" w:cs="Arial"/>
                <w:sz w:val="20"/>
                <w:szCs w:val="20"/>
                <w:lang w:eastAsia="en-GB"/>
                <w14:ligatures w14:val="none"/>
              </w:rPr>
            </w:pPr>
            <w:r w:rsidRPr="00AE5B6E">
              <w:rPr>
                <w:rFonts w:eastAsia="Times New Roman" w:cs="Arial"/>
                <w:sz w:val="20"/>
                <w:szCs w:val="20"/>
                <w:lang w:eastAsia="en-GB"/>
                <w14:ligatures w14:val="none"/>
              </w:rPr>
              <w:t>Hybrid / combined approaches</w:t>
            </w:r>
          </w:p>
        </w:tc>
        <w:tc>
          <w:tcPr>
            <w:tcW w:w="0" w:type="auto"/>
            <w:hideMark/>
          </w:tcPr>
          <w:p w14:paraId="70E58D7A" w14:textId="77777777" w:rsidR="008E4782" w:rsidRPr="00AE5B6E" w:rsidRDefault="008E4782" w:rsidP="008E4782">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Integrates survey and digital data or multiple measurement techniques</w:t>
            </w:r>
          </w:p>
        </w:tc>
        <w:tc>
          <w:tcPr>
            <w:tcW w:w="0" w:type="auto"/>
            <w:hideMark/>
          </w:tcPr>
          <w:p w14:paraId="31716DF8" w14:textId="77777777" w:rsidR="008E4782" w:rsidRPr="00AE5B6E" w:rsidRDefault="008E4782" w:rsidP="008E4782">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Mixed methods, combined models</w:t>
            </w:r>
          </w:p>
        </w:tc>
        <w:tc>
          <w:tcPr>
            <w:tcW w:w="0" w:type="auto"/>
            <w:hideMark/>
          </w:tcPr>
          <w:p w14:paraId="67948541" w14:textId="77777777" w:rsidR="008E4782" w:rsidRPr="00AE5B6E" w:rsidRDefault="008E4782" w:rsidP="008E4782">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Complexity in interpretation; lack of standardisation</w:t>
            </w:r>
          </w:p>
        </w:tc>
      </w:tr>
      <w:tr w:rsidR="008E4782" w:rsidRPr="008E4782" w14:paraId="17693AA7" w14:textId="77777777" w:rsidTr="00E63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C68215" w14:textId="77777777" w:rsidR="008E4782" w:rsidRPr="00AE5B6E" w:rsidRDefault="008E4782" w:rsidP="008E4782">
            <w:pPr>
              <w:rPr>
                <w:rFonts w:eastAsia="Times New Roman" w:cs="Arial"/>
                <w:sz w:val="20"/>
                <w:szCs w:val="20"/>
                <w:lang w:eastAsia="en-GB"/>
                <w14:ligatures w14:val="none"/>
              </w:rPr>
            </w:pPr>
            <w:r w:rsidRPr="00AE5B6E">
              <w:rPr>
                <w:rFonts w:eastAsia="Times New Roman" w:cs="Arial"/>
                <w:sz w:val="20"/>
                <w:szCs w:val="20"/>
                <w:lang w:eastAsia="en-GB"/>
                <w14:ligatures w14:val="none"/>
              </w:rPr>
              <w:t>Index / composite models</w:t>
            </w:r>
          </w:p>
        </w:tc>
        <w:tc>
          <w:tcPr>
            <w:tcW w:w="0" w:type="auto"/>
            <w:hideMark/>
          </w:tcPr>
          <w:p w14:paraId="71790431" w14:textId="77777777" w:rsidR="008E4782" w:rsidRPr="00AE5B6E" w:rsidRDefault="008E4782" w:rsidP="008E4782">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Constructs satisfaction indices from multiple indicators</w:t>
            </w:r>
          </w:p>
        </w:tc>
        <w:tc>
          <w:tcPr>
            <w:tcW w:w="0" w:type="auto"/>
            <w:hideMark/>
          </w:tcPr>
          <w:p w14:paraId="4AA2BE37" w14:textId="77777777" w:rsidR="008E4782" w:rsidRPr="00AE5B6E" w:rsidRDefault="008E4782" w:rsidP="008E4782">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Composite indices, weighted models</w:t>
            </w:r>
          </w:p>
        </w:tc>
        <w:tc>
          <w:tcPr>
            <w:tcW w:w="0" w:type="auto"/>
            <w:hideMark/>
          </w:tcPr>
          <w:p w14:paraId="60682BE8" w14:textId="77777777" w:rsidR="008E4782" w:rsidRPr="00AE5B6E" w:rsidRDefault="008E4782" w:rsidP="008E4782">
            <w:pPr>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14:ligatures w14:val="none"/>
              </w:rPr>
            </w:pPr>
            <w:r w:rsidRPr="00AE5B6E">
              <w:rPr>
                <w:rFonts w:eastAsia="Times New Roman" w:cs="Arial"/>
                <w:sz w:val="20"/>
                <w:szCs w:val="20"/>
                <w:lang w:eastAsia="en-GB"/>
                <w14:ligatures w14:val="none"/>
              </w:rPr>
              <w:t>May oversimplify complex experiences; dependent on indicator selection</w:t>
            </w:r>
          </w:p>
        </w:tc>
      </w:tr>
    </w:tbl>
    <w:p w14:paraId="6FB8EDE0" w14:textId="77777777" w:rsidR="00684EE2" w:rsidRDefault="00684EE2" w:rsidP="00684EE2">
      <w:pPr>
        <w:rPr>
          <w:lang w:eastAsia="en-GB"/>
        </w:rPr>
      </w:pPr>
    </w:p>
    <w:p w14:paraId="248AA20A" w14:textId="77777777" w:rsidR="00684EE2" w:rsidRDefault="00684EE2" w:rsidP="00684EE2">
      <w:pPr>
        <w:rPr>
          <w:lang w:eastAsia="en-GB"/>
        </w:rPr>
      </w:pPr>
      <w:r>
        <w:rPr>
          <w:lang w:eastAsia="en-GB"/>
        </w:rPr>
        <w:t>Table 4.3: Measurement approaches and indicators of tourist satisfaction</w:t>
      </w:r>
    </w:p>
    <w:p w14:paraId="4D9102E9" w14:textId="78F4B6BD" w:rsidR="00277770" w:rsidRDefault="006A3D34" w:rsidP="00277770">
      <w:pPr>
        <w:rPr>
          <w:lang w:eastAsia="en-GB"/>
        </w:rPr>
      </w:pPr>
      <w:r w:rsidRPr="006A3D34">
        <w:t>The use of different measurement instruments across the included studies is illustrated in Figure 4.5. The figure provides a descriptive overview of instrument categories and confirms the dominance of survey-based SEM/PLS</w:t>
      </w:r>
      <w:r w:rsidRPr="006A3D34">
        <w:rPr>
          <w:rFonts w:ascii="Cambria Math" w:hAnsi="Cambria Math" w:cs="Cambria Math"/>
        </w:rPr>
        <w:t>‑</w:t>
      </w:r>
      <w:r w:rsidRPr="006A3D34">
        <w:t>SEM designs alongside a smaller presence of attribute-based and digital approaches.</w:t>
      </w:r>
    </w:p>
    <w:p w14:paraId="3076EA26" w14:textId="77777777" w:rsidR="00277770" w:rsidRDefault="00277770" w:rsidP="00277770">
      <w:pPr>
        <w:rPr>
          <w:lang w:eastAsia="en-GB"/>
        </w:rPr>
      </w:pPr>
    </w:p>
    <w:p w14:paraId="1DD21991" w14:textId="77777777" w:rsidR="00277770" w:rsidRDefault="00277770" w:rsidP="00277770">
      <w:pPr>
        <w:rPr>
          <w:lang w:eastAsia="en-GB"/>
        </w:rPr>
      </w:pPr>
    </w:p>
    <w:p w14:paraId="23C4E59D" w14:textId="36C3A7A5" w:rsidR="006C43EF" w:rsidRDefault="009B73FF" w:rsidP="00684EE2">
      <w:pPr>
        <w:rPr>
          <w:lang w:eastAsia="en-GB"/>
        </w:rPr>
      </w:pPr>
      <w:r>
        <w:rPr>
          <w:noProof/>
          <w:lang w:eastAsia="en-GB"/>
        </w:rPr>
        <w:lastRenderedPageBreak/>
        <w:drawing>
          <wp:inline distT="0" distB="0" distL="0" distR="0" wp14:anchorId="27660BF9" wp14:editId="7770B4D2">
            <wp:extent cx="5657850" cy="3599082"/>
            <wp:effectExtent l="0" t="0" r="0" b="1905"/>
            <wp:docPr id="15065021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04161" cy="3628541"/>
                    </a:xfrm>
                    <a:prstGeom prst="rect">
                      <a:avLst/>
                    </a:prstGeom>
                    <a:noFill/>
                  </pic:spPr>
                </pic:pic>
              </a:graphicData>
            </a:graphic>
          </wp:inline>
        </w:drawing>
      </w:r>
    </w:p>
    <w:p w14:paraId="23A628FB" w14:textId="77777777" w:rsidR="00E23894" w:rsidRDefault="00E23894" w:rsidP="00684EE2">
      <w:pPr>
        <w:rPr>
          <w:lang w:eastAsia="en-GB"/>
        </w:rPr>
      </w:pPr>
      <w:r w:rsidRPr="00E23894">
        <w:rPr>
          <w:lang w:eastAsia="en-GB"/>
        </w:rPr>
        <w:t xml:space="preserve">Figure 4.5: Instruments used to measure tourist satisfaction </w:t>
      </w:r>
    </w:p>
    <w:p w14:paraId="60343DA3" w14:textId="77777777" w:rsidR="002543F7" w:rsidRDefault="002543F7" w:rsidP="00684EE2">
      <w:pPr>
        <w:rPr>
          <w:lang w:eastAsia="en-GB"/>
        </w:rPr>
      </w:pPr>
    </w:p>
    <w:p w14:paraId="63E9C6CC" w14:textId="14E9AA15" w:rsidR="00245667" w:rsidRDefault="000A5640" w:rsidP="00684EE2">
      <w:pPr>
        <w:rPr>
          <w:lang w:eastAsia="en-GB"/>
        </w:rPr>
      </w:pPr>
      <w:r w:rsidRPr="000A5640">
        <w:rPr>
          <w:lang w:eastAsia="en-GB"/>
        </w:rPr>
        <w:t xml:space="preserve">The figure confirms the dominance of survey-based and SEM-oriented approaches, while also indicating the presence of alternative methods such as digital analytics and hybrid models. This reinforces the methodological concentration identified in the literature, while also highlighting emerging diversification in measurement practices. </w:t>
      </w:r>
    </w:p>
    <w:p w14:paraId="41CF3B59" w14:textId="54F512F9" w:rsidR="0042510F" w:rsidRDefault="0042510F" w:rsidP="00684EE2">
      <w:pPr>
        <w:rPr>
          <w:lang w:eastAsia="en-GB"/>
        </w:rPr>
      </w:pPr>
      <w:r>
        <w:rPr>
          <w:lang w:eastAsia="en-GB"/>
        </w:rPr>
        <w:t>I</w:t>
      </w:r>
      <w:r w:rsidRPr="0042510F">
        <w:rPr>
          <w:lang w:eastAsia="en-GB"/>
        </w:rPr>
        <w:t>n addition to methodological categories, the relative frequency of specific indicators reveals further patterns in how satisfaction is operationalised. As shown in Figure 4.6, value, digitalisation and destination image are the most frequently examined dimensions, while contextual factors such as safety, crowding and overtourism appear less consistently across the evidence base.</w:t>
      </w:r>
    </w:p>
    <w:p w14:paraId="1E013C99" w14:textId="77777777" w:rsidR="00596061" w:rsidRDefault="00596061" w:rsidP="009979D4">
      <w:pPr>
        <w:pStyle w:val="Heading3"/>
        <w:rPr>
          <w:lang w:eastAsia="en-GB"/>
        </w:rPr>
      </w:pPr>
      <w:bookmarkStart w:id="31" w:name="_Toc228889951"/>
      <w:r>
        <w:rPr>
          <w:lang w:eastAsia="en-GB"/>
        </w:rPr>
        <w:t>4.4.1 Evidence mapping: indicator frequency across the included corpus</w:t>
      </w:r>
      <w:bookmarkEnd w:id="31"/>
    </w:p>
    <w:p w14:paraId="18425367" w14:textId="307E7B85" w:rsidR="00596061" w:rsidRDefault="00596061" w:rsidP="00596061">
      <w:pPr>
        <w:rPr>
          <w:lang w:eastAsia="en-GB"/>
        </w:rPr>
      </w:pPr>
      <w:r>
        <w:rPr>
          <w:lang w:eastAsia="en-GB"/>
        </w:rPr>
        <w:t>To provide a corpus-level view of how satisfaction is operationalised, Figure 4.6 summarises the frequency of extracted indicator categories across the included studies. The figure highlights which domains are most commonly incorporated within satisfaction models and which contextual dimensions appear less consistently.</w:t>
      </w:r>
    </w:p>
    <w:p w14:paraId="6FF8684E" w14:textId="0722FA52" w:rsidR="0018417E" w:rsidRDefault="00A12385" w:rsidP="00684EE2">
      <w:pPr>
        <w:rPr>
          <w:lang w:eastAsia="en-GB"/>
        </w:rPr>
      </w:pPr>
      <w:r>
        <w:rPr>
          <w:noProof/>
          <w:lang w:eastAsia="en-GB"/>
        </w:rPr>
        <w:lastRenderedPageBreak/>
        <w:drawing>
          <wp:inline distT="0" distB="0" distL="0" distR="0" wp14:anchorId="2EAC8040" wp14:editId="179B4C38">
            <wp:extent cx="5257800" cy="3971458"/>
            <wp:effectExtent l="0" t="0" r="0" b="0"/>
            <wp:docPr id="786759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89146" cy="3995135"/>
                    </a:xfrm>
                    <a:prstGeom prst="rect">
                      <a:avLst/>
                    </a:prstGeom>
                    <a:noFill/>
                  </pic:spPr>
                </pic:pic>
              </a:graphicData>
            </a:graphic>
          </wp:inline>
        </w:drawing>
      </w:r>
    </w:p>
    <w:p w14:paraId="02E5E513" w14:textId="7A195B7F" w:rsidR="0018417E" w:rsidRDefault="0018417E" w:rsidP="0018417E">
      <w:pPr>
        <w:rPr>
          <w:lang w:eastAsia="en-GB"/>
        </w:rPr>
      </w:pPr>
      <w:r>
        <w:rPr>
          <w:lang w:eastAsia="en-GB"/>
        </w:rPr>
        <w:t xml:space="preserve">Figure 4.6: Frequency of extracted indicator categories (within included corpus). </w:t>
      </w:r>
    </w:p>
    <w:p w14:paraId="6CE9E4FA" w14:textId="77777777" w:rsidR="00EF5A0C" w:rsidRDefault="00EF5A0C" w:rsidP="00EF5A0C">
      <w:pPr>
        <w:rPr>
          <w:lang w:eastAsia="en-GB"/>
        </w:rPr>
      </w:pPr>
    </w:p>
    <w:p w14:paraId="77009A27" w14:textId="77777777" w:rsidR="00380105" w:rsidRDefault="00380105" w:rsidP="00380105">
      <w:pPr>
        <w:rPr>
          <w:lang w:eastAsia="en-GB"/>
        </w:rPr>
      </w:pPr>
      <w:r w:rsidRPr="00380105">
        <w:rPr>
          <w:lang w:eastAsia="en-GB"/>
        </w:rPr>
        <w:t>Overall, the distribution indicates that value- and experience-related domains appear more frequently across the evidence base, while contextual pressure variables such as safety/hygiene and crowding/overtourism are incorporated more selectively. This mapping provides context for the RQ3 synthesis that follows, where the behavioural implications of contextual pressure are examined in greater detail.</w:t>
      </w:r>
    </w:p>
    <w:p w14:paraId="3E755B70" w14:textId="77777777" w:rsidR="00C528BA" w:rsidRDefault="00C528BA" w:rsidP="009979D4">
      <w:pPr>
        <w:pStyle w:val="Heading3"/>
        <w:rPr>
          <w:lang w:eastAsia="en-GB"/>
        </w:rPr>
      </w:pPr>
      <w:bookmarkStart w:id="32" w:name="_Toc228889952"/>
      <w:r>
        <w:rPr>
          <w:lang w:eastAsia="en-GB"/>
        </w:rPr>
        <w:t>4.4.2 Evidence mapping: indicator coverage by research question</w:t>
      </w:r>
      <w:bookmarkEnd w:id="32"/>
    </w:p>
    <w:p w14:paraId="792EF8DE" w14:textId="26D4E23C" w:rsidR="002743C3" w:rsidRDefault="005E6B45" w:rsidP="00C528BA">
      <w:pPr>
        <w:rPr>
          <w:lang w:eastAsia="en-GB"/>
        </w:rPr>
      </w:pPr>
      <w:r w:rsidRPr="005E6B45">
        <w:rPr>
          <w:lang w:eastAsia="en-GB"/>
        </w:rPr>
        <w:t>Figure 4.4 summarises the distribution of included studies across the three research questions (RQ1–RQ3). This provides context for interpreting how the evidence base is structured before considering indicator coverage.</w:t>
      </w:r>
    </w:p>
    <w:p w14:paraId="3089317F" w14:textId="6D155D45" w:rsidR="002743C3" w:rsidRDefault="00CF31CD" w:rsidP="00C528BA">
      <w:pPr>
        <w:rPr>
          <w:lang w:eastAsia="en-GB"/>
        </w:rPr>
      </w:pPr>
      <w:r>
        <w:rPr>
          <w:noProof/>
          <w:lang w:eastAsia="en-GB"/>
        </w:rPr>
        <w:lastRenderedPageBreak/>
        <w:drawing>
          <wp:inline distT="0" distB="0" distL="0" distR="0" wp14:anchorId="67A80BF6" wp14:editId="34D3B0E7">
            <wp:extent cx="5495925" cy="2273300"/>
            <wp:effectExtent l="0" t="0" r="9525" b="0"/>
            <wp:docPr id="15521219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38206" cy="2332152"/>
                    </a:xfrm>
                    <a:prstGeom prst="rect">
                      <a:avLst/>
                    </a:prstGeom>
                    <a:noFill/>
                  </pic:spPr>
                </pic:pic>
              </a:graphicData>
            </a:graphic>
          </wp:inline>
        </w:drawing>
      </w:r>
    </w:p>
    <w:p w14:paraId="7B1D8C22" w14:textId="77777777" w:rsidR="005E6B45" w:rsidRDefault="005E6B45" w:rsidP="005E6B45">
      <w:pPr>
        <w:rPr>
          <w:lang w:eastAsia="en-GB"/>
        </w:rPr>
      </w:pPr>
      <w:r w:rsidRPr="005E6B45">
        <w:rPr>
          <w:lang w:eastAsia="en-GB"/>
        </w:rPr>
        <w:t>Figure 4.4: Distribution of included studies by research question (coding)</w:t>
      </w:r>
    </w:p>
    <w:p w14:paraId="1F0AE56C" w14:textId="77777777" w:rsidR="002543F7" w:rsidRDefault="002543F7" w:rsidP="005E6B45">
      <w:pPr>
        <w:rPr>
          <w:lang w:eastAsia="en-GB"/>
        </w:rPr>
      </w:pPr>
    </w:p>
    <w:p w14:paraId="5118AEFD" w14:textId="1924527F" w:rsidR="00615F97" w:rsidRPr="005E6B45" w:rsidRDefault="00615F97" w:rsidP="005E6B45">
      <w:pPr>
        <w:rPr>
          <w:lang w:eastAsia="en-GB"/>
        </w:rPr>
      </w:pPr>
      <w:r>
        <w:rPr>
          <w:lang w:eastAsia="en-GB"/>
        </w:rPr>
        <w:t>T</w:t>
      </w:r>
      <w:r w:rsidRPr="00615F97">
        <w:rPr>
          <w:lang w:eastAsia="en-GB"/>
        </w:rPr>
        <w:t>aken together, Figures 4.4 and 4.7 provide an evidence</w:t>
      </w:r>
      <w:r w:rsidRPr="00615F97">
        <w:rPr>
          <w:rFonts w:ascii="Cambria Math" w:hAnsi="Cambria Math" w:cs="Cambria Math"/>
          <w:lang w:eastAsia="en-GB"/>
        </w:rPr>
        <w:t>‑</w:t>
      </w:r>
      <w:r w:rsidRPr="00615F97">
        <w:rPr>
          <w:lang w:eastAsia="en-GB"/>
        </w:rPr>
        <w:t>mapping overview of both (i) study concentration by research question and (ii) indicator coverage by research question. This mapping context supports the RQ3 synthesis that follows in Section 4.5.</w:t>
      </w:r>
    </w:p>
    <w:p w14:paraId="37419E32" w14:textId="1A0E4567" w:rsidR="00C528BA" w:rsidRDefault="00C528BA" w:rsidP="00C528BA">
      <w:pPr>
        <w:rPr>
          <w:lang w:eastAsia="en-GB"/>
        </w:rPr>
      </w:pPr>
      <w:r>
        <w:rPr>
          <w:lang w:eastAsia="en-GB"/>
        </w:rPr>
        <w:t>Figure 4.7 maps indicator category occurrence across RQ1–RQ3 coding. The distribution shows that measurement-related variables cluster more strongly in the RQ2-coded literature, while contextual pressure indicators are more visible in the RQ3-coded stream. This mapping provides context for interpreting where evidence is concentrated and where coverage is more limited.</w:t>
      </w:r>
    </w:p>
    <w:p w14:paraId="6B5EBB14" w14:textId="2EFB4D20" w:rsidR="00C528BA" w:rsidRDefault="00C528BA" w:rsidP="00C528BA">
      <w:pPr>
        <w:rPr>
          <w:lang w:eastAsia="en-GB"/>
        </w:rPr>
      </w:pPr>
      <w:r>
        <w:rPr>
          <w:noProof/>
          <w:lang w:eastAsia="en-GB"/>
        </w:rPr>
        <w:drawing>
          <wp:inline distT="0" distB="0" distL="0" distR="0" wp14:anchorId="6123D932" wp14:editId="59F4EAF0">
            <wp:extent cx="5322570" cy="3066415"/>
            <wp:effectExtent l="0" t="0" r="0" b="635"/>
            <wp:docPr id="19361426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22570" cy="3066415"/>
                    </a:xfrm>
                    <a:prstGeom prst="rect">
                      <a:avLst/>
                    </a:prstGeom>
                    <a:noFill/>
                  </pic:spPr>
                </pic:pic>
              </a:graphicData>
            </a:graphic>
          </wp:inline>
        </w:drawing>
      </w:r>
    </w:p>
    <w:p w14:paraId="24ADD018" w14:textId="2C3BE315" w:rsidR="00C528BA" w:rsidRDefault="00C528BA" w:rsidP="00C528BA">
      <w:pPr>
        <w:rPr>
          <w:lang w:eastAsia="en-GB"/>
        </w:rPr>
      </w:pPr>
      <w:r>
        <w:rPr>
          <w:lang w:eastAsia="en-GB"/>
        </w:rPr>
        <w:t>Figure 4.7: Indicator mapping by research question (counts)</w:t>
      </w:r>
    </w:p>
    <w:p w14:paraId="05550D55" w14:textId="77777777" w:rsidR="002543F7" w:rsidRDefault="002543F7" w:rsidP="00C528BA">
      <w:pPr>
        <w:rPr>
          <w:lang w:eastAsia="en-GB"/>
        </w:rPr>
      </w:pPr>
    </w:p>
    <w:p w14:paraId="6223DF18" w14:textId="7735C677" w:rsidR="0025664D" w:rsidRDefault="0025664D" w:rsidP="00C528BA">
      <w:pPr>
        <w:rPr>
          <w:lang w:eastAsia="en-GB"/>
        </w:rPr>
      </w:pPr>
      <w:r w:rsidRPr="0025664D">
        <w:rPr>
          <w:lang w:eastAsia="en-GB"/>
        </w:rPr>
        <w:lastRenderedPageBreak/>
        <w:t>Taken together, the mapping indicates stronger evidence concentration in measurement-oriented studies, while fewer studies address behavioural outcomes under contextual pressure, which frames the focus of the RQ3 synthesis in Section 4.5.</w:t>
      </w:r>
    </w:p>
    <w:p w14:paraId="16923ACE" w14:textId="38AA4407" w:rsidR="00DE16EC" w:rsidRDefault="00DE16EC" w:rsidP="00096FA5">
      <w:pPr>
        <w:pStyle w:val="Heading2"/>
        <w:rPr>
          <w:lang w:eastAsia="en-GB"/>
        </w:rPr>
      </w:pPr>
      <w:bookmarkStart w:id="33" w:name="_Toc228889953"/>
      <w:r>
        <w:rPr>
          <w:lang w:eastAsia="en-GB"/>
        </w:rPr>
        <w:t>4.5 Satisfaction, contextual pressures and behavioural outcomes (RQ3)</w:t>
      </w:r>
      <w:bookmarkEnd w:id="33"/>
    </w:p>
    <w:p w14:paraId="71BA2864" w14:textId="77777777" w:rsidR="004B16AF" w:rsidRPr="004B16AF" w:rsidRDefault="004B16AF" w:rsidP="004B16AF">
      <w:pPr>
        <w:rPr>
          <w:lang w:eastAsia="en-GB"/>
        </w:rPr>
      </w:pPr>
      <w:r w:rsidRPr="004B16AF">
        <w:rPr>
          <w:lang w:eastAsia="en-GB"/>
        </w:rPr>
        <w:t>This section examines how tourist satisfaction relates to behavioural outcomes under conditions of contextual pressure, addressing RQ3. The synthesis focuses on how overtourism-related crowding and post</w:t>
      </w:r>
      <w:r w:rsidRPr="004B16AF">
        <w:rPr>
          <w:rFonts w:ascii="Cambria Math" w:hAnsi="Cambria Math" w:cs="Cambria Math"/>
          <w:lang w:eastAsia="en-GB"/>
        </w:rPr>
        <w:t>‑</w:t>
      </w:r>
      <w:r w:rsidRPr="004B16AF">
        <w:rPr>
          <w:lang w:eastAsia="en-GB"/>
        </w:rPr>
        <w:t>COVID risk sensitivity shape the satisfaction</w:t>
      </w:r>
      <w:r w:rsidRPr="004B16AF">
        <w:rPr>
          <w:rFonts w:cs="Arial"/>
          <w:lang w:eastAsia="en-GB"/>
        </w:rPr>
        <w:t>–</w:t>
      </w:r>
      <w:r w:rsidRPr="004B16AF">
        <w:rPr>
          <w:lang w:eastAsia="en-GB"/>
        </w:rPr>
        <w:t>behaviour relationship in high-density settings.</w:t>
      </w:r>
    </w:p>
    <w:p w14:paraId="0DAC6F41" w14:textId="77777777" w:rsidR="004B16AF" w:rsidRPr="004B16AF" w:rsidRDefault="004B16AF" w:rsidP="004B16AF">
      <w:pPr>
        <w:rPr>
          <w:lang w:eastAsia="en-GB"/>
        </w:rPr>
      </w:pPr>
      <w:r w:rsidRPr="004B16AF">
        <w:rPr>
          <w:lang w:eastAsia="en-GB"/>
        </w:rPr>
        <w:t>Across the included studies, the satisfaction–behaviour relationship is not consistently linear under contextual pressure. While many models assume that higher satisfaction leads to stronger revisit and recommendation intentions, the reviewed evidence indicates that behavioural intentions can weaken when contextual stressors affect perceived control, comfort and goal fulfilment.</w:t>
      </w:r>
    </w:p>
    <w:p w14:paraId="2B34CBE2" w14:textId="77777777" w:rsidR="004B16AF" w:rsidRPr="004B16AF" w:rsidRDefault="004B16AF" w:rsidP="004B16AF">
      <w:pPr>
        <w:rPr>
          <w:lang w:eastAsia="en-GB"/>
        </w:rPr>
      </w:pPr>
      <w:r w:rsidRPr="004B16AF">
        <w:rPr>
          <w:lang w:eastAsia="en-GB"/>
        </w:rPr>
        <w:t>Perceived crowding is a central factor in this dynamic. Evidence indicates that crowding appraisal can reduce revisit and recommendation intentions even where overall satisfaction remains acceptable, suggesting a divergence between evaluation and behavioural response in high-density environments (Papadopoulou, Ribeiro and Prayag, 2023). This supports the interpretation that tourists may evaluate aspects of the experience positively while simultaneously adjusting future intentions in response to experiential constraints.</w:t>
      </w:r>
    </w:p>
    <w:p w14:paraId="237E6A94" w14:textId="77777777" w:rsidR="004B16AF" w:rsidRPr="004B16AF" w:rsidRDefault="004B16AF" w:rsidP="004B16AF">
      <w:pPr>
        <w:rPr>
          <w:lang w:eastAsia="en-GB"/>
        </w:rPr>
      </w:pPr>
      <w:r w:rsidRPr="004B16AF">
        <w:rPr>
          <w:lang w:eastAsia="en-GB"/>
        </w:rPr>
        <w:t>A similar conditional pattern is visible for post</w:t>
      </w:r>
      <w:r w:rsidRPr="004B16AF">
        <w:rPr>
          <w:rFonts w:ascii="Cambria Math" w:hAnsi="Cambria Math" w:cs="Cambria Math"/>
          <w:lang w:eastAsia="en-GB"/>
        </w:rPr>
        <w:t>‑</w:t>
      </w:r>
      <w:r w:rsidRPr="004B16AF">
        <w:rPr>
          <w:lang w:eastAsia="en-GB"/>
        </w:rPr>
        <w:t>COVID risk sensitivity. Safety concerns and perceived uncertainty can shape behavioural intentions independently of aggregate satisfaction, functioning as boundary conditions that alter how tourists interpret destination conditions and assess the feasibility and desirability of returning. In this sense, behavioural response reflects not only evaluation of experience but also perceived risk and perceived control in the service environment (Gazi et al., 2024; Jiménez</w:t>
      </w:r>
      <w:r w:rsidRPr="004B16AF">
        <w:rPr>
          <w:rFonts w:ascii="Cambria Math" w:hAnsi="Cambria Math" w:cs="Cambria Math"/>
          <w:lang w:eastAsia="en-GB"/>
        </w:rPr>
        <w:t>‑</w:t>
      </w:r>
      <w:r w:rsidRPr="004B16AF">
        <w:rPr>
          <w:lang w:eastAsia="en-GB"/>
        </w:rPr>
        <w:t>Medina et al., 2022).</w:t>
      </w:r>
    </w:p>
    <w:p w14:paraId="43CB8290" w14:textId="77777777" w:rsidR="004B16AF" w:rsidRPr="004B16AF" w:rsidRDefault="004B16AF" w:rsidP="004B16AF">
      <w:pPr>
        <w:rPr>
          <w:lang w:eastAsia="en-GB"/>
        </w:rPr>
      </w:pPr>
      <w:r w:rsidRPr="004B16AF">
        <w:rPr>
          <w:lang w:eastAsia="en-GB"/>
        </w:rPr>
        <w:t>Taken together, the RQ3 synthesis indicates behavioural asymmetry under contextual pressure. Positive outcomes (revisit and recommendation intentions) do not simply move as the inverse of dissatisfaction. Instead, attraction-oriented intentions can coexist with resistance-oriented tendencies such as reluctance, avoidance or objection, particularly where crowding and uncertainty are salient (Papadopoulou, Ribeiro and Prayag, 2023). This supports distinguishing positive and negative behavioural responses as conceptually separate outcomes rather than assuming a single continuum.</w:t>
      </w:r>
    </w:p>
    <w:p w14:paraId="11741DA5" w14:textId="2A6E558D" w:rsidR="004B16AF" w:rsidRDefault="00DE1E02" w:rsidP="004B16AF">
      <w:pPr>
        <w:rPr>
          <w:lang w:eastAsia="en-GB"/>
        </w:rPr>
      </w:pPr>
      <w:r w:rsidRPr="00DE1E02">
        <w:rPr>
          <w:lang w:eastAsia="en-GB"/>
        </w:rPr>
        <w:t>Overall, the evidence suggests that behavioural outcomes in post</w:t>
      </w:r>
      <w:r w:rsidRPr="00DE1E02">
        <w:rPr>
          <w:rFonts w:ascii="Cambria Math" w:hAnsi="Cambria Math" w:cs="Cambria Math"/>
          <w:lang w:eastAsia="en-GB"/>
        </w:rPr>
        <w:t>‑</w:t>
      </w:r>
      <w:r w:rsidRPr="00DE1E02">
        <w:rPr>
          <w:lang w:eastAsia="en-GB"/>
        </w:rPr>
        <w:t>COVID mass</w:t>
      </w:r>
      <w:r w:rsidRPr="00DE1E02">
        <w:rPr>
          <w:rFonts w:ascii="Cambria Math" w:hAnsi="Cambria Math" w:cs="Cambria Math"/>
          <w:lang w:eastAsia="en-GB"/>
        </w:rPr>
        <w:t>‑</w:t>
      </w:r>
      <w:r w:rsidRPr="00DE1E02">
        <w:rPr>
          <w:lang w:eastAsia="en-GB"/>
        </w:rPr>
        <w:t>tourism contexts are conditional and context-dependent. Recognising this complexity is important for interpreting satisfaction indicators and for understanding why destinations may appear stable on satisfaction scores while experiencing behavioural erosion under crowding and risk pressure. This synthesis provides the basis for the transition to discussion and implications in the following section/chapter.</w:t>
      </w:r>
    </w:p>
    <w:p w14:paraId="057B92E2" w14:textId="27841707" w:rsidR="004B361D" w:rsidRDefault="004B361D" w:rsidP="004B16AF">
      <w:pPr>
        <w:pStyle w:val="Heading2"/>
        <w:rPr>
          <w:lang w:eastAsia="en-GB"/>
        </w:rPr>
      </w:pPr>
      <w:bookmarkStart w:id="34" w:name="_Toc228889954"/>
      <w:r>
        <w:rPr>
          <w:lang w:eastAsia="en-GB"/>
        </w:rPr>
        <w:lastRenderedPageBreak/>
        <w:t>4.6 Synthesis of findings</w:t>
      </w:r>
      <w:bookmarkEnd w:id="34"/>
    </w:p>
    <w:p w14:paraId="4A3213EF" w14:textId="77777777" w:rsidR="00B5615A" w:rsidRPr="00B5615A" w:rsidRDefault="00B5615A" w:rsidP="00B5615A">
      <w:pPr>
        <w:rPr>
          <w:lang w:eastAsia="en-GB"/>
        </w:rPr>
      </w:pPr>
      <w:bookmarkStart w:id="35" w:name="_Toc228889955"/>
      <w:r w:rsidRPr="00B5615A">
        <w:rPr>
          <w:lang w:eastAsia="en-GB"/>
        </w:rPr>
        <w:t>This chapter has presented a structured synthesis of the literature in relation to the three research questions, moving beyond descriptive reporting to identify key patterns across the evidence base.</w:t>
      </w:r>
    </w:p>
    <w:p w14:paraId="7E339B40" w14:textId="77777777" w:rsidR="00B5615A" w:rsidRPr="00B5615A" w:rsidRDefault="00B5615A" w:rsidP="00B5615A">
      <w:pPr>
        <w:rPr>
          <w:lang w:eastAsia="en-GB"/>
        </w:rPr>
      </w:pPr>
      <w:r w:rsidRPr="00B5615A">
        <w:rPr>
          <w:lang w:eastAsia="en-GB"/>
        </w:rPr>
        <w:t>First, the analysis of conceptualisation (RQ1) indicates that tourist satisfaction is no longer treated as a purely performance-based evaluation. Instead, the literature reflects a shift towards experiential and context-dependent interpretations, where satisfaction is shaped by situational conditions such as crowding, risk and environmental factors.</w:t>
      </w:r>
    </w:p>
    <w:p w14:paraId="1CD7E7E1" w14:textId="77777777" w:rsidR="00B5615A" w:rsidRPr="00B5615A" w:rsidRDefault="00B5615A" w:rsidP="00B5615A">
      <w:pPr>
        <w:rPr>
          <w:lang w:eastAsia="en-GB"/>
        </w:rPr>
      </w:pPr>
      <w:r w:rsidRPr="00B5615A">
        <w:rPr>
          <w:lang w:eastAsia="en-GB"/>
        </w:rPr>
        <w:t>Second, the analysis of measurement approaches (RQ2) highlights both methodological consistency and fragmentation. While survey-based instruments remain dominant, the use of adapted scales and the emergence of digital approaches limit comparability across studies. At the same time, the distribution of indicators suggests that traditional dimensions of satisfaction are prioritised, while contextual pressures are less systematically integrated into measurement frameworks.</w:t>
      </w:r>
    </w:p>
    <w:p w14:paraId="21E75F82" w14:textId="77777777" w:rsidR="00B5615A" w:rsidRPr="00B5615A" w:rsidRDefault="00B5615A" w:rsidP="00B5615A">
      <w:pPr>
        <w:rPr>
          <w:lang w:eastAsia="en-GB"/>
        </w:rPr>
      </w:pPr>
      <w:r w:rsidRPr="00B5615A">
        <w:rPr>
          <w:lang w:eastAsia="en-GB"/>
        </w:rPr>
        <w:t>Third, the analysis of behavioural outcomes (RQ3) reveals that the relationship between satisfaction and behaviour is conditional rather than linear. Contextual factors such as crowding and perceived risk influence behavioural intentions independently of satisfaction, leading to potential divergence between evaluation and action.</w:t>
      </w:r>
    </w:p>
    <w:p w14:paraId="4447BD9E" w14:textId="77777777" w:rsidR="00B5615A" w:rsidRPr="00B5615A" w:rsidRDefault="00B5615A" w:rsidP="00B5615A">
      <w:pPr>
        <w:rPr>
          <w:lang w:eastAsia="en-GB"/>
        </w:rPr>
      </w:pPr>
      <w:r w:rsidRPr="00B5615A">
        <w:rPr>
          <w:lang w:eastAsia="en-GB"/>
        </w:rPr>
        <w:t>Taken together, these findings point to a central insight: tourist satisfaction in post-COVID mass-tourism contexts is best understood as a context-sensitive construct whose behavioural implications are not uniform. The evidence indicates that satisfaction alone is insufficient to explain tourist behaviour, particularly under conditions of contextual pressure.</w:t>
      </w:r>
    </w:p>
    <w:p w14:paraId="0F422381" w14:textId="77777777" w:rsidR="00B5615A" w:rsidRPr="00B5615A" w:rsidRDefault="00B5615A" w:rsidP="00B5615A">
      <w:pPr>
        <w:rPr>
          <w:lang w:eastAsia="en-GB"/>
        </w:rPr>
      </w:pPr>
      <w:r w:rsidRPr="00B5615A">
        <w:rPr>
          <w:lang w:eastAsia="en-GB"/>
        </w:rPr>
        <w:t>This synthesis highlights a structural imbalance within the literature. While considerable attention is given to how satisfaction is measured, less emphasis is placed on how it is conceptualised and how it translates into behavioural outcomes. This imbalance reinforces the need for a more integrated perspective that considers conceptual, methodological and contextual dimensions simultaneously.</w:t>
      </w:r>
    </w:p>
    <w:p w14:paraId="7758BBD0" w14:textId="77777777" w:rsidR="00B5615A" w:rsidRPr="00B5615A" w:rsidRDefault="00B5615A" w:rsidP="00B5615A">
      <w:pPr>
        <w:rPr>
          <w:lang w:eastAsia="en-GB"/>
        </w:rPr>
      </w:pPr>
      <w:r w:rsidRPr="00B5615A">
        <w:rPr>
          <w:lang w:eastAsia="en-GB"/>
        </w:rPr>
        <w:t>In addition, the synthesis clarifies the boundaries within which the evidence base can be interpreted. The dominance of cross-sectional survey designs means that most studies capture associations rather than change over time. This matters in post</w:t>
      </w:r>
      <w:r w:rsidRPr="00B5615A">
        <w:rPr>
          <w:rFonts w:ascii="Cambria Math" w:hAnsi="Cambria Math" w:cs="Cambria Math"/>
          <w:lang w:eastAsia="en-GB"/>
        </w:rPr>
        <w:t>‑</w:t>
      </w:r>
      <w:r w:rsidRPr="00B5615A">
        <w:rPr>
          <w:lang w:eastAsia="en-GB"/>
        </w:rPr>
        <w:t>COVID mass tourism because density pressure and risk salience can fluctuate across seasons and recovery phases, and behavioural intentions can shift even when overall satisfaction remains acceptable. As a result, stable satisfaction averages should not be interpreted as sufficient evidence of behavioural resilience in high-density contexts.</w:t>
      </w:r>
    </w:p>
    <w:p w14:paraId="222A245C" w14:textId="77777777" w:rsidR="00B5615A" w:rsidRDefault="00B5615A" w:rsidP="00B5615A">
      <w:pPr>
        <w:rPr>
          <w:lang w:eastAsia="en-GB"/>
        </w:rPr>
      </w:pPr>
      <w:r w:rsidRPr="00B5615A">
        <w:rPr>
          <w:lang w:eastAsia="en-GB"/>
        </w:rPr>
        <w:t xml:space="preserve">A further implication is that construct and measurement heterogeneity constrains what can be compared across studies. Where “satisfaction” is operationalised using different indicator sets, cross-context differences may partly reflect measurement </w:t>
      </w:r>
      <w:r w:rsidRPr="00B5615A">
        <w:rPr>
          <w:lang w:eastAsia="en-GB"/>
        </w:rPr>
        <w:lastRenderedPageBreak/>
        <w:t>choices rather than substantive changes in experience. This reinforces the need to interpret synthesis patterns with attention to construct boundaries and to the contextual conditions under which evaluation and intention formation occur.</w:t>
      </w:r>
    </w:p>
    <w:p w14:paraId="26ABE6A9" w14:textId="77777777" w:rsidR="009A7706" w:rsidRDefault="009A7706" w:rsidP="009A7706">
      <w:pPr>
        <w:rPr>
          <w:lang w:eastAsia="en-GB"/>
        </w:rPr>
      </w:pPr>
      <w:r>
        <w:rPr>
          <w:lang w:eastAsia="en-GB"/>
        </w:rPr>
        <w:t>In addition, the synthesis clarifies important boundaries for interpreting the evidence base. The dominance of cross-sectional self-report designs means that most studies capture associations rather than change over time. This matters in post</w:t>
      </w:r>
      <w:r>
        <w:rPr>
          <w:rFonts w:ascii="Cambria Math" w:hAnsi="Cambria Math" w:cs="Cambria Math"/>
          <w:lang w:eastAsia="en-GB"/>
        </w:rPr>
        <w:t>‑</w:t>
      </w:r>
      <w:r>
        <w:rPr>
          <w:lang w:eastAsia="en-GB"/>
        </w:rPr>
        <w:t>COVID mass tourism because density pressure and risk salience can fluctuate across seasons and recovery phases, and behavioural intentions can shift even when overall satisfaction remains acceptable. As a result, stable satisfaction averages should not be interpreted as sufficient evidence of behavioural resilience in high-density contexts.</w:t>
      </w:r>
    </w:p>
    <w:p w14:paraId="2C32FE5A" w14:textId="02705E16" w:rsidR="009A7706" w:rsidRPr="00B5615A" w:rsidRDefault="009A7706" w:rsidP="009A7706">
      <w:pPr>
        <w:rPr>
          <w:lang w:eastAsia="en-GB"/>
        </w:rPr>
      </w:pPr>
      <w:r>
        <w:rPr>
          <w:lang w:eastAsia="en-GB"/>
        </w:rPr>
        <w:t>A further implication is that construct and measurement heterogeneity constrains what can be compared across studies. Where “satisfaction” is operationalised using different indicator sets, cross-context differences may partly reflect measurement choices rather than substantive changes in experience. This reinforces the need to interpret synthesis patterns with attention to construct boundaries and to the contextual conditions under which evaluation and intention formation occur.</w:t>
      </w:r>
    </w:p>
    <w:p w14:paraId="0F5EA96C" w14:textId="77777777" w:rsidR="00B5615A" w:rsidRDefault="00B5615A" w:rsidP="00B5615A">
      <w:pPr>
        <w:rPr>
          <w:lang w:eastAsia="en-GB"/>
        </w:rPr>
      </w:pPr>
      <w:r w:rsidRPr="00B5615A">
        <w:rPr>
          <w:lang w:eastAsia="en-GB"/>
        </w:rPr>
        <w:t>Overall, the findings provide a coherent foundation for the discussion presented in the following chapter, where the theoretical, managerial and methodological implications of these patterns are examined in greater depth.</w:t>
      </w:r>
    </w:p>
    <w:p w14:paraId="371783AE" w14:textId="77777777" w:rsidR="00E54D8A" w:rsidRDefault="00E54D8A" w:rsidP="00B5615A">
      <w:pPr>
        <w:rPr>
          <w:lang w:eastAsia="en-GB"/>
        </w:rPr>
      </w:pPr>
    </w:p>
    <w:p w14:paraId="1626BF95" w14:textId="77777777" w:rsidR="00E54D8A" w:rsidRDefault="00E54D8A" w:rsidP="00B5615A">
      <w:pPr>
        <w:rPr>
          <w:lang w:eastAsia="en-GB"/>
        </w:rPr>
      </w:pPr>
    </w:p>
    <w:p w14:paraId="2D6D0A6B" w14:textId="77777777" w:rsidR="00E54D8A" w:rsidRDefault="00E54D8A" w:rsidP="00B5615A">
      <w:pPr>
        <w:rPr>
          <w:lang w:eastAsia="en-GB"/>
        </w:rPr>
      </w:pPr>
    </w:p>
    <w:p w14:paraId="5C039063" w14:textId="77777777" w:rsidR="00E54D8A" w:rsidRDefault="00E54D8A" w:rsidP="00B5615A">
      <w:pPr>
        <w:rPr>
          <w:lang w:eastAsia="en-GB"/>
        </w:rPr>
      </w:pPr>
    </w:p>
    <w:p w14:paraId="628C59C5" w14:textId="77777777" w:rsidR="00E54D8A" w:rsidRDefault="00E54D8A" w:rsidP="00B5615A">
      <w:pPr>
        <w:rPr>
          <w:lang w:eastAsia="en-GB"/>
        </w:rPr>
      </w:pPr>
    </w:p>
    <w:p w14:paraId="2C0582FA" w14:textId="77777777" w:rsidR="00E54D8A" w:rsidRDefault="00E54D8A" w:rsidP="00B5615A">
      <w:pPr>
        <w:rPr>
          <w:lang w:eastAsia="en-GB"/>
        </w:rPr>
      </w:pPr>
    </w:p>
    <w:p w14:paraId="0FF4111A" w14:textId="77777777" w:rsidR="00E54D8A" w:rsidRDefault="00E54D8A" w:rsidP="00B5615A">
      <w:pPr>
        <w:rPr>
          <w:lang w:eastAsia="en-GB"/>
        </w:rPr>
      </w:pPr>
    </w:p>
    <w:p w14:paraId="4C632700" w14:textId="77777777" w:rsidR="00E54D8A" w:rsidRDefault="00E54D8A" w:rsidP="00B5615A">
      <w:pPr>
        <w:rPr>
          <w:lang w:eastAsia="en-GB"/>
        </w:rPr>
      </w:pPr>
    </w:p>
    <w:p w14:paraId="20617EDF" w14:textId="77777777" w:rsidR="00E54D8A" w:rsidRDefault="00E54D8A" w:rsidP="00B5615A">
      <w:pPr>
        <w:rPr>
          <w:lang w:eastAsia="en-GB"/>
        </w:rPr>
      </w:pPr>
    </w:p>
    <w:p w14:paraId="3DB52C43" w14:textId="77777777" w:rsidR="00E54D8A" w:rsidRDefault="00E54D8A" w:rsidP="00B5615A">
      <w:pPr>
        <w:rPr>
          <w:lang w:eastAsia="en-GB"/>
        </w:rPr>
      </w:pPr>
    </w:p>
    <w:p w14:paraId="5F34CAAF" w14:textId="77777777" w:rsidR="00E54D8A" w:rsidRDefault="00E54D8A" w:rsidP="00B5615A">
      <w:pPr>
        <w:rPr>
          <w:lang w:eastAsia="en-GB"/>
        </w:rPr>
      </w:pPr>
    </w:p>
    <w:p w14:paraId="399D5CAA" w14:textId="77777777" w:rsidR="00E54D8A" w:rsidRDefault="00E54D8A" w:rsidP="00B5615A">
      <w:pPr>
        <w:rPr>
          <w:lang w:eastAsia="en-GB"/>
        </w:rPr>
      </w:pPr>
    </w:p>
    <w:p w14:paraId="361D3F48" w14:textId="77777777" w:rsidR="00E54D8A" w:rsidRDefault="00E54D8A" w:rsidP="00B5615A">
      <w:pPr>
        <w:rPr>
          <w:lang w:eastAsia="en-GB"/>
        </w:rPr>
      </w:pPr>
    </w:p>
    <w:p w14:paraId="07AEB641" w14:textId="77777777" w:rsidR="00E54D8A" w:rsidRDefault="00E54D8A" w:rsidP="00B5615A">
      <w:pPr>
        <w:rPr>
          <w:lang w:eastAsia="en-GB"/>
        </w:rPr>
      </w:pPr>
    </w:p>
    <w:p w14:paraId="1887B480" w14:textId="77777777" w:rsidR="00E54D8A" w:rsidRDefault="00E54D8A" w:rsidP="00B5615A">
      <w:pPr>
        <w:rPr>
          <w:lang w:eastAsia="en-GB"/>
        </w:rPr>
      </w:pPr>
    </w:p>
    <w:p w14:paraId="7160A52F" w14:textId="77777777" w:rsidR="00E54D8A" w:rsidRDefault="00E54D8A" w:rsidP="00B5615A">
      <w:pPr>
        <w:rPr>
          <w:lang w:eastAsia="en-GB"/>
        </w:rPr>
      </w:pPr>
    </w:p>
    <w:p w14:paraId="1E2F7F38" w14:textId="528D3CB4" w:rsidR="005E529C" w:rsidRDefault="005E529C" w:rsidP="00B5615A">
      <w:pPr>
        <w:pStyle w:val="Heading1"/>
        <w:rPr>
          <w:lang w:eastAsia="en-GB"/>
        </w:rPr>
      </w:pPr>
      <w:r w:rsidRPr="005E529C">
        <w:rPr>
          <w:lang w:eastAsia="en-GB"/>
        </w:rPr>
        <w:lastRenderedPageBreak/>
        <w:t>Chapter 5: Discussion and implications</w:t>
      </w:r>
      <w:bookmarkEnd w:id="35"/>
    </w:p>
    <w:p w14:paraId="58435907" w14:textId="77777777" w:rsidR="005E529C" w:rsidRPr="005E529C" w:rsidRDefault="005E529C" w:rsidP="005E529C">
      <w:pPr>
        <w:rPr>
          <w:lang w:eastAsia="en-GB"/>
        </w:rPr>
      </w:pPr>
    </w:p>
    <w:p w14:paraId="56C8375C" w14:textId="77777777" w:rsidR="001661D5" w:rsidRDefault="0048369B" w:rsidP="001661D5">
      <w:pPr>
        <w:pStyle w:val="Heading2"/>
        <w:rPr>
          <w:lang w:eastAsia="en-GB"/>
        </w:rPr>
      </w:pPr>
      <w:r>
        <w:rPr>
          <w:lang w:eastAsia="en-GB"/>
        </w:rPr>
        <w:t xml:space="preserve"> </w:t>
      </w:r>
      <w:bookmarkStart w:id="36" w:name="_Toc228889956"/>
      <w:r w:rsidR="001661D5">
        <w:rPr>
          <w:lang w:eastAsia="en-GB"/>
        </w:rPr>
        <w:t>5.1 Overview of key findings</w:t>
      </w:r>
      <w:bookmarkEnd w:id="36"/>
    </w:p>
    <w:p w14:paraId="794969FD" w14:textId="77777777" w:rsidR="00E36BE7" w:rsidRDefault="00E36BE7" w:rsidP="00E36BE7">
      <w:pPr>
        <w:rPr>
          <w:lang w:eastAsia="en-GB"/>
        </w:rPr>
      </w:pPr>
      <w:r>
        <w:rPr>
          <w:lang w:eastAsia="en-GB"/>
        </w:rPr>
        <w:t>This chapter interprets the findings of the systematic review in relation to the research questions and situates them within the context of post</w:t>
      </w:r>
      <w:r>
        <w:rPr>
          <w:rFonts w:ascii="Cambria Math" w:hAnsi="Cambria Math" w:cs="Cambria Math"/>
          <w:lang w:eastAsia="en-GB"/>
        </w:rPr>
        <w:t>‑</w:t>
      </w:r>
      <w:r>
        <w:rPr>
          <w:lang w:eastAsia="en-GB"/>
        </w:rPr>
        <w:t>COVID mass tourism. The focus is on key patterns and their implications, rather than on repeating the detailed results presented in Chapter 4.</w:t>
      </w:r>
    </w:p>
    <w:p w14:paraId="1073FA5C" w14:textId="77777777" w:rsidR="00E36BE7" w:rsidRDefault="00E36BE7" w:rsidP="00E36BE7">
      <w:pPr>
        <w:rPr>
          <w:lang w:eastAsia="en-GB"/>
        </w:rPr>
      </w:pPr>
      <w:r>
        <w:rPr>
          <w:lang w:eastAsia="en-GB"/>
        </w:rPr>
        <w:t>With regard to conceptualisation (RQ1), the included studies indicate that tourist satisfaction is not consistently treated as a purely performance-based construct. Instead, satisfaction is often framed as a broader evaluative judgement shaped by experiential and contextual factors, including situational constraints and, in post</w:t>
      </w:r>
      <w:r>
        <w:rPr>
          <w:rFonts w:ascii="Cambria Math" w:hAnsi="Cambria Math" w:cs="Cambria Math"/>
          <w:lang w:eastAsia="en-GB"/>
        </w:rPr>
        <w:t>‑</w:t>
      </w:r>
      <w:r>
        <w:rPr>
          <w:lang w:eastAsia="en-GB"/>
        </w:rPr>
        <w:t>COVID settings, safety and hygiene cues and perceived risk. This supports a gradual shift towards viewing satisfaction as context-sensitive appraisal in complex tourism environments (Jiménez</w:t>
      </w:r>
      <w:r>
        <w:rPr>
          <w:rFonts w:ascii="Cambria Math" w:hAnsi="Cambria Math" w:cs="Cambria Math"/>
          <w:lang w:eastAsia="en-GB"/>
        </w:rPr>
        <w:t>‑</w:t>
      </w:r>
      <w:r>
        <w:rPr>
          <w:lang w:eastAsia="en-GB"/>
        </w:rPr>
        <w:t>Medina et al., 2022; S</w:t>
      </w:r>
      <w:r>
        <w:rPr>
          <w:rFonts w:cs="Arial"/>
          <w:lang w:eastAsia="en-GB"/>
        </w:rPr>
        <w:t>á</w:t>
      </w:r>
      <w:r>
        <w:rPr>
          <w:lang w:eastAsia="en-GB"/>
        </w:rPr>
        <w:t>nchez</w:t>
      </w:r>
      <w:r>
        <w:rPr>
          <w:rFonts w:ascii="Cambria Math" w:hAnsi="Cambria Math" w:cs="Cambria Math"/>
          <w:lang w:eastAsia="en-GB"/>
        </w:rPr>
        <w:t>‑</w:t>
      </w:r>
      <w:r>
        <w:rPr>
          <w:lang w:eastAsia="en-GB"/>
        </w:rPr>
        <w:t>S</w:t>
      </w:r>
      <w:r>
        <w:rPr>
          <w:rFonts w:cs="Arial"/>
          <w:lang w:eastAsia="en-GB"/>
        </w:rPr>
        <w:t>á</w:t>
      </w:r>
      <w:r>
        <w:rPr>
          <w:lang w:eastAsia="en-GB"/>
        </w:rPr>
        <w:t>nchez, De</w:t>
      </w:r>
      <w:r>
        <w:rPr>
          <w:rFonts w:ascii="Cambria Math" w:hAnsi="Cambria Math" w:cs="Cambria Math"/>
          <w:lang w:eastAsia="en-GB"/>
        </w:rPr>
        <w:t>‑</w:t>
      </w:r>
      <w:r>
        <w:rPr>
          <w:lang w:eastAsia="en-GB"/>
        </w:rPr>
        <w:t>Pablos</w:t>
      </w:r>
      <w:r>
        <w:rPr>
          <w:rFonts w:ascii="Cambria Math" w:hAnsi="Cambria Math" w:cs="Cambria Math"/>
          <w:lang w:eastAsia="en-GB"/>
        </w:rPr>
        <w:t>‑</w:t>
      </w:r>
      <w:r>
        <w:rPr>
          <w:lang w:eastAsia="en-GB"/>
        </w:rPr>
        <w:t>Heredero and Montes</w:t>
      </w:r>
      <w:r>
        <w:rPr>
          <w:rFonts w:ascii="Cambria Math" w:hAnsi="Cambria Math" w:cs="Cambria Math"/>
          <w:lang w:eastAsia="en-GB"/>
        </w:rPr>
        <w:t>‑</w:t>
      </w:r>
      <w:r>
        <w:rPr>
          <w:lang w:eastAsia="en-GB"/>
        </w:rPr>
        <w:t>Botella, 2024).</w:t>
      </w:r>
    </w:p>
    <w:p w14:paraId="4C58612E" w14:textId="77777777" w:rsidR="00E36BE7" w:rsidRDefault="00E36BE7" w:rsidP="00E36BE7">
      <w:pPr>
        <w:rPr>
          <w:lang w:eastAsia="en-GB"/>
        </w:rPr>
      </w:pPr>
      <w:r>
        <w:rPr>
          <w:lang w:eastAsia="en-GB"/>
        </w:rPr>
        <w:t>In relation to measurement (RQ2), the evidence points to a combination of methodological concentration and variation. Survey-based approaches, particularly those using multi-item scales and SEM/PLS</w:t>
      </w:r>
      <w:r>
        <w:rPr>
          <w:rFonts w:ascii="Cambria Math" w:hAnsi="Cambria Math" w:cs="Cambria Math"/>
          <w:lang w:eastAsia="en-GB"/>
        </w:rPr>
        <w:t>‑</w:t>
      </w:r>
      <w:r>
        <w:rPr>
          <w:lang w:eastAsia="en-GB"/>
        </w:rPr>
        <w:t>SEM techniques, remain dominant. At the same time, the widespread use of adapted instruments and differing indicator sets limits comparability across studies, especially where measurement equivalence is not tested explicitly (P</w:t>
      </w:r>
      <w:r>
        <w:rPr>
          <w:rFonts w:cs="Arial"/>
          <w:lang w:eastAsia="en-GB"/>
        </w:rPr>
        <w:t>é</w:t>
      </w:r>
      <w:r>
        <w:rPr>
          <w:lang w:eastAsia="en-GB"/>
        </w:rPr>
        <w:t>rez</w:t>
      </w:r>
      <w:r>
        <w:rPr>
          <w:rFonts w:ascii="Cambria Math" w:hAnsi="Cambria Math" w:cs="Cambria Math"/>
          <w:lang w:eastAsia="en-GB"/>
        </w:rPr>
        <w:t>‑</w:t>
      </w:r>
      <w:r>
        <w:rPr>
          <w:lang w:eastAsia="en-GB"/>
        </w:rPr>
        <w:t>Campdesu</w:t>
      </w:r>
      <w:r>
        <w:rPr>
          <w:rFonts w:cs="Arial"/>
          <w:lang w:eastAsia="en-GB"/>
        </w:rPr>
        <w:t>ñ</w:t>
      </w:r>
      <w:r>
        <w:rPr>
          <w:lang w:eastAsia="en-GB"/>
        </w:rPr>
        <w:t>er et al., 2025). Digital approaches introduce additional data sources, but they often capture specific experience signals (e.g., sentiment in UGC) rather than a stable and directly comparable satisfaction construct, which raises interpretive and validity concerns (De Marchi, Becarelli and Di Sarli, 2022; Yap et al., 2025).</w:t>
      </w:r>
    </w:p>
    <w:p w14:paraId="7594FFAB" w14:textId="77777777" w:rsidR="00E36BE7" w:rsidRDefault="00E36BE7" w:rsidP="00E36BE7">
      <w:pPr>
        <w:rPr>
          <w:lang w:eastAsia="en-GB"/>
        </w:rPr>
      </w:pPr>
      <w:r>
        <w:rPr>
          <w:lang w:eastAsia="en-GB"/>
        </w:rPr>
        <w:t>The findings related to behavioural outcomes (RQ3) indicate that the relationship between satisfaction and behaviour is not consistently linear. Several studies show that contextual pressures, such as perceived crowding and risk sensitivity, can shape behavioural intentions even when overall satisfaction remains acceptable, weakening revisit and recommendation intentions and, where measured, increasing resistance-oriented responses (Papadopoulou, Ribeiro and Prayag, 2023).</w:t>
      </w:r>
    </w:p>
    <w:p w14:paraId="5B6C30E1" w14:textId="70213AC7" w:rsidR="00301BF5" w:rsidRDefault="00E36BE7" w:rsidP="00E36BE7">
      <w:pPr>
        <w:rPr>
          <w:lang w:eastAsia="en-GB"/>
        </w:rPr>
      </w:pPr>
      <w:r>
        <w:rPr>
          <w:lang w:eastAsia="en-GB"/>
        </w:rPr>
        <w:t>Taken together, these patterns point to a conditional understanding of tourist behaviour in post</w:t>
      </w:r>
      <w:r>
        <w:rPr>
          <w:rFonts w:ascii="Cambria Math" w:hAnsi="Cambria Math" w:cs="Cambria Math"/>
          <w:lang w:eastAsia="en-GB"/>
        </w:rPr>
        <w:t>‑</w:t>
      </w:r>
      <w:r>
        <w:rPr>
          <w:lang w:eastAsia="en-GB"/>
        </w:rPr>
        <w:t>COVID mass tourism. Satisfaction appears to operate alongside contextual pressures rather than acting as a single stable predictor of behavioural outcomes. This interpretation provides the basis for the theoretical, managerial and methodological implications developed in the following sections.</w:t>
      </w:r>
    </w:p>
    <w:p w14:paraId="5E48E9C3" w14:textId="262B88EE" w:rsidR="00615B69" w:rsidRDefault="00615B69" w:rsidP="00301BF5">
      <w:pPr>
        <w:pStyle w:val="Heading2"/>
        <w:rPr>
          <w:lang w:eastAsia="en-GB"/>
        </w:rPr>
      </w:pPr>
      <w:bookmarkStart w:id="37" w:name="_Toc228889957"/>
      <w:r>
        <w:rPr>
          <w:lang w:eastAsia="en-GB"/>
        </w:rPr>
        <w:t>5.2 Theoretical implications</w:t>
      </w:r>
      <w:bookmarkEnd w:id="37"/>
    </w:p>
    <w:p w14:paraId="56D542EB" w14:textId="77777777" w:rsidR="007A7009" w:rsidRDefault="007A7009" w:rsidP="007A7009">
      <w:pPr>
        <w:rPr>
          <w:lang w:eastAsia="en-GB"/>
        </w:rPr>
      </w:pPr>
      <w:r>
        <w:rPr>
          <w:lang w:eastAsia="en-GB"/>
        </w:rPr>
        <w:t xml:space="preserve">The findings of this dissertation have several implications for the theoretical understanding of tourist satisfaction and its relationship with behavioural outcomes in mass-tourism contexts. The aim is not to propose a new grand theory. Instead, the synthesis refines existing perspectives by clarifying where satisfaction becomes context-sensitive, where satisfaction–behaviour links become conditional, and how </w:t>
      </w:r>
      <w:r>
        <w:rPr>
          <w:lang w:eastAsia="en-GB"/>
        </w:rPr>
        <w:lastRenderedPageBreak/>
        <w:t>measurement assumptions constrain theoretical claims in post</w:t>
      </w:r>
      <w:r>
        <w:rPr>
          <w:rFonts w:ascii="Cambria Math" w:hAnsi="Cambria Math" w:cs="Cambria Math"/>
          <w:lang w:eastAsia="en-GB"/>
        </w:rPr>
        <w:t>‑</w:t>
      </w:r>
      <w:r>
        <w:rPr>
          <w:lang w:eastAsia="en-GB"/>
        </w:rPr>
        <w:t>COVID high</w:t>
      </w:r>
      <w:r>
        <w:rPr>
          <w:rFonts w:ascii="Cambria Math" w:hAnsi="Cambria Math" w:cs="Cambria Math"/>
          <w:lang w:eastAsia="en-GB"/>
        </w:rPr>
        <w:t>‑</w:t>
      </w:r>
      <w:r>
        <w:rPr>
          <w:lang w:eastAsia="en-GB"/>
        </w:rPr>
        <w:t>density environments.</w:t>
      </w:r>
    </w:p>
    <w:p w14:paraId="4E7520F0" w14:textId="77777777" w:rsidR="007A7009" w:rsidRDefault="007A7009" w:rsidP="007A7009">
      <w:pPr>
        <w:rPr>
          <w:lang w:eastAsia="en-GB"/>
        </w:rPr>
      </w:pPr>
      <w:r>
        <w:rPr>
          <w:lang w:eastAsia="en-GB"/>
        </w:rPr>
        <w:t>First, the findings support extending established satisfaction frameworks by treating satisfaction as a context-sensitive appraisal rather than only a performance-based outcome. Traditional models conceptualise satisfaction as a post-consumption judgement derived from expectation–performance comparison (Oliver, 1999). This logic remains relevant, but post</w:t>
      </w:r>
      <w:r>
        <w:rPr>
          <w:rFonts w:ascii="Cambria Math" w:hAnsi="Cambria Math" w:cs="Cambria Math"/>
          <w:lang w:eastAsia="en-GB"/>
        </w:rPr>
        <w:t>‑</w:t>
      </w:r>
      <w:r>
        <w:rPr>
          <w:lang w:eastAsia="en-GB"/>
        </w:rPr>
        <w:t>COVID mass-tourism evidence indicates that the weighting of evaluative cues can shift under situational pressure. In particular, safety and hygiene cues and perceived risk become more salient in shaping evaluation, meaning that satisfaction cannot be assumed to function as a context-neutral mediator across settings (Jiménez</w:t>
      </w:r>
      <w:r>
        <w:rPr>
          <w:rFonts w:ascii="Cambria Math" w:hAnsi="Cambria Math" w:cs="Cambria Math"/>
          <w:lang w:eastAsia="en-GB"/>
        </w:rPr>
        <w:t>‑</w:t>
      </w:r>
      <w:r>
        <w:rPr>
          <w:lang w:eastAsia="en-GB"/>
        </w:rPr>
        <w:t>Medina et al., 2022; S</w:t>
      </w:r>
      <w:r>
        <w:rPr>
          <w:rFonts w:cs="Arial"/>
          <w:lang w:eastAsia="en-GB"/>
        </w:rPr>
        <w:t>á</w:t>
      </w:r>
      <w:r>
        <w:rPr>
          <w:lang w:eastAsia="en-GB"/>
        </w:rPr>
        <w:t>nchez</w:t>
      </w:r>
      <w:r>
        <w:rPr>
          <w:rFonts w:ascii="Cambria Math" w:hAnsi="Cambria Math" w:cs="Cambria Math"/>
          <w:lang w:eastAsia="en-GB"/>
        </w:rPr>
        <w:t>‑</w:t>
      </w:r>
      <w:r>
        <w:rPr>
          <w:lang w:eastAsia="en-GB"/>
        </w:rPr>
        <w:t>S</w:t>
      </w:r>
      <w:r>
        <w:rPr>
          <w:rFonts w:cs="Arial"/>
          <w:lang w:eastAsia="en-GB"/>
        </w:rPr>
        <w:t>á</w:t>
      </w:r>
      <w:r>
        <w:rPr>
          <w:lang w:eastAsia="en-GB"/>
        </w:rPr>
        <w:t>nchez, De</w:t>
      </w:r>
      <w:r>
        <w:rPr>
          <w:rFonts w:ascii="Cambria Math" w:hAnsi="Cambria Math" w:cs="Cambria Math"/>
          <w:lang w:eastAsia="en-GB"/>
        </w:rPr>
        <w:t>‑</w:t>
      </w:r>
      <w:r>
        <w:rPr>
          <w:lang w:eastAsia="en-GB"/>
        </w:rPr>
        <w:t>Pablos</w:t>
      </w:r>
      <w:r>
        <w:rPr>
          <w:rFonts w:ascii="Cambria Math" w:hAnsi="Cambria Math" w:cs="Cambria Math"/>
          <w:lang w:eastAsia="en-GB"/>
        </w:rPr>
        <w:t>‑</w:t>
      </w:r>
      <w:r>
        <w:rPr>
          <w:lang w:eastAsia="en-GB"/>
        </w:rPr>
        <w:t>Heredero and Montes</w:t>
      </w:r>
      <w:r>
        <w:rPr>
          <w:rFonts w:ascii="Cambria Math" w:hAnsi="Cambria Math" w:cs="Cambria Math"/>
          <w:lang w:eastAsia="en-GB"/>
        </w:rPr>
        <w:t>‑</w:t>
      </w:r>
      <w:r>
        <w:rPr>
          <w:lang w:eastAsia="en-GB"/>
        </w:rPr>
        <w:t>Botella, 2024; Gazi et al., 2024). The theoretical implication is that expectation</w:t>
      </w:r>
      <w:r>
        <w:rPr>
          <w:rFonts w:cs="Arial"/>
          <w:lang w:eastAsia="en-GB"/>
        </w:rPr>
        <w:t>–</w:t>
      </w:r>
      <w:r>
        <w:rPr>
          <w:lang w:eastAsia="en-GB"/>
        </w:rPr>
        <w:t xml:space="preserve">performance mechanisms should be modelled with explicit boundary conditions. Context does not simply </w:t>
      </w:r>
      <w:r>
        <w:rPr>
          <w:rFonts w:cs="Arial"/>
          <w:lang w:eastAsia="en-GB"/>
        </w:rPr>
        <w:t>“</w:t>
      </w:r>
      <w:r>
        <w:rPr>
          <w:lang w:eastAsia="en-GB"/>
        </w:rPr>
        <w:t>add variance</w:t>
      </w:r>
      <w:r>
        <w:rPr>
          <w:rFonts w:cs="Arial"/>
          <w:lang w:eastAsia="en-GB"/>
        </w:rPr>
        <w:t>”</w:t>
      </w:r>
      <w:r>
        <w:rPr>
          <w:lang w:eastAsia="en-GB"/>
        </w:rPr>
        <w:t>; it can change the meaning of key service cues and the interpretation of what counts as “good performance”.</w:t>
      </w:r>
    </w:p>
    <w:p w14:paraId="7E7D82C8" w14:textId="77777777" w:rsidR="007A7009" w:rsidRDefault="007A7009" w:rsidP="007A7009">
      <w:pPr>
        <w:rPr>
          <w:lang w:eastAsia="en-GB"/>
        </w:rPr>
      </w:pPr>
      <w:r>
        <w:rPr>
          <w:lang w:eastAsia="en-GB"/>
        </w:rPr>
        <w:t>Second, the findings refine how satisfaction should be linked to behavioural outcomes under conditions of uncertainty and density pressure. Many tourism models assume that higher satisfaction leads to stronger revisit and recommendation intentions (Yoon and Uysal, 2005). The reviewed literature suggests that this relationship becomes conditional in high-pressure contexts. Crowding and risk sensitivity can weaken positive intentions even when overall satisfaction remains acceptable, indicating that evaluation and intention formation can become partially decoupled when external constraints shape action options (Papadopoulou, Ribeiro and Prayag, 2023). The theoretical move here is not to deny the satisfaction–loyalty link, but to treat it as contingent. Under contextual pressure, satisfaction may function as an appraisal of experience, while behavioural intentions reflect an additional layer of feasibility, tolerance and constraint.</w:t>
      </w:r>
    </w:p>
    <w:p w14:paraId="300F2C91" w14:textId="77777777" w:rsidR="007A7009" w:rsidRDefault="007A7009" w:rsidP="007A7009">
      <w:pPr>
        <w:rPr>
          <w:lang w:eastAsia="en-GB"/>
        </w:rPr>
      </w:pPr>
      <w:r>
        <w:rPr>
          <w:lang w:eastAsia="en-GB"/>
        </w:rPr>
        <w:t>Third, the synthesis highlights asymmetry in behavioural outcomes and its theoretical consequences for loyalty conceptualisation. Standard loyalty modelling often treats loyalty as a single positive construct (revisit and recommendation). The reviewed evidence from overtourism and perceived crowding contexts indicates that positive evaluations can coexist with resistance-oriented tendencies such as avoidance or objection, particularly where density reduces perceived control and comfort (Papadopoulou, Ribeiro and Prayag, 2023). Theoretical models therefore need outcome specifications that allow asymmetry. Negative responses should not be treated as simply the absence of positive intentions. They represent a qualitatively different behavioural orientation that may emerge under specific contextual conditions. This strengthens the case for a dual-outcome framing in which attraction-oriented intentions and resistance-oriented responses are specified separately, rather than assumed to lie on one continuum.</w:t>
      </w:r>
    </w:p>
    <w:p w14:paraId="512D7E88" w14:textId="77777777" w:rsidR="007A7009" w:rsidRDefault="007A7009" w:rsidP="007A7009">
      <w:pPr>
        <w:rPr>
          <w:lang w:eastAsia="en-GB"/>
        </w:rPr>
      </w:pPr>
      <w:r>
        <w:rPr>
          <w:lang w:eastAsia="en-GB"/>
        </w:rPr>
        <w:t xml:space="preserve">Fourth, the findings imply that measurement is not merely a methodological detail but a theoretical boundary condition. The reviewed literature shows substantial variation in how “tourist satisfaction” is operationalised, often via bespoke indicator </w:t>
      </w:r>
      <w:r>
        <w:rPr>
          <w:lang w:eastAsia="en-GB"/>
        </w:rPr>
        <w:lastRenderedPageBreak/>
        <w:t>sets and context-adapted scales. This diversity supports flexibility, but it limits cross-study comparability and complicates theory building when constructs with the same label capture different dimensions of evaluation. Evidence that performance-only satisfaction models may exhibit conditional validity across demographic groups reinforces the need for explicit equivalence testing before making general theoretical claims about “what drives satisfaction” (Pérez</w:t>
      </w:r>
      <w:r>
        <w:rPr>
          <w:rFonts w:ascii="Cambria Math" w:hAnsi="Cambria Math" w:cs="Cambria Math"/>
          <w:lang w:eastAsia="en-GB"/>
        </w:rPr>
        <w:t>‑</w:t>
      </w:r>
      <w:r>
        <w:rPr>
          <w:lang w:eastAsia="en-GB"/>
        </w:rPr>
        <w:t>Campdesu</w:t>
      </w:r>
      <w:r>
        <w:rPr>
          <w:rFonts w:cs="Arial"/>
          <w:lang w:eastAsia="en-GB"/>
        </w:rPr>
        <w:t>ñ</w:t>
      </w:r>
      <w:r>
        <w:rPr>
          <w:lang w:eastAsia="en-GB"/>
        </w:rPr>
        <w:t>er et al., 2025). In parallel, the increasing use of digital and hybrid approaches introduces further complexity. UGC and sentiment-based signals can provide valuable information, but they may capture affective tone or momentary reactions rather than stable evaluative judgement. This raises construct-validity questions when digital proxies are treated as interchangeable with survey-based satisfaction constructs (De Marchi, Becarelli and Di Sarli, 2022; Yap et al., 2025). The theoretical implication is clear: satisfaction models must state what exactly is being measured and under which assumptions comparisons are legitimate.</w:t>
      </w:r>
    </w:p>
    <w:p w14:paraId="4A19B2C6" w14:textId="595C08A9" w:rsidR="00422722" w:rsidRDefault="007A7009" w:rsidP="007A7009">
      <w:pPr>
        <w:rPr>
          <w:lang w:eastAsia="en-GB"/>
        </w:rPr>
      </w:pPr>
      <w:r>
        <w:rPr>
          <w:lang w:eastAsia="en-GB"/>
        </w:rPr>
        <w:t>Taken together, these implications refine existing satisfaction–loyalty frameworks for post</w:t>
      </w:r>
      <w:r>
        <w:rPr>
          <w:rFonts w:ascii="Cambria Math" w:hAnsi="Cambria Math" w:cs="Cambria Math"/>
          <w:lang w:eastAsia="en-GB"/>
        </w:rPr>
        <w:t>‑</w:t>
      </w:r>
      <w:r>
        <w:rPr>
          <w:lang w:eastAsia="en-GB"/>
        </w:rPr>
        <w:t>COVID mass tourism. Satisfaction should be theorised as a context-sensitive appraisal shaped by boundary conditions (risk sensitivity and density pressure). Behavioural outcomes should be modelled as potentially asymmetric in high-density settings. Measurement assumptions should be treated as constraints on theory claims rather than as technical afterthoughts. By integrating conditionality, asymmetry and theory</w:t>
      </w:r>
      <w:r>
        <w:rPr>
          <w:rFonts w:cs="Arial"/>
          <w:lang w:eastAsia="en-GB"/>
        </w:rPr>
        <w:t>–</w:t>
      </w:r>
      <w:r>
        <w:rPr>
          <w:lang w:eastAsia="en-GB"/>
        </w:rPr>
        <w:t>measurement alignment, this dissertation provides a more realistic theoretical basis for understanding tourist evaluation and behaviour in contemporary mass</w:t>
      </w:r>
      <w:r>
        <w:rPr>
          <w:rFonts w:ascii="Cambria Math" w:hAnsi="Cambria Math" w:cs="Cambria Math"/>
          <w:lang w:eastAsia="en-GB"/>
        </w:rPr>
        <w:t>‑</w:t>
      </w:r>
      <w:r>
        <w:rPr>
          <w:lang w:eastAsia="en-GB"/>
        </w:rPr>
        <w:t>tourism environments (Papadopoulou, Ribeiro and Prayag, 2023; P</w:t>
      </w:r>
      <w:r>
        <w:rPr>
          <w:rFonts w:cs="Arial"/>
          <w:lang w:eastAsia="en-GB"/>
        </w:rPr>
        <w:t>é</w:t>
      </w:r>
      <w:r>
        <w:rPr>
          <w:lang w:eastAsia="en-GB"/>
        </w:rPr>
        <w:t>rez</w:t>
      </w:r>
      <w:r>
        <w:rPr>
          <w:rFonts w:ascii="Cambria Math" w:hAnsi="Cambria Math" w:cs="Cambria Math"/>
          <w:lang w:eastAsia="en-GB"/>
        </w:rPr>
        <w:t>‑</w:t>
      </w:r>
      <w:r>
        <w:rPr>
          <w:lang w:eastAsia="en-GB"/>
        </w:rPr>
        <w:t>Campdesu</w:t>
      </w:r>
      <w:r>
        <w:rPr>
          <w:rFonts w:cs="Arial"/>
          <w:lang w:eastAsia="en-GB"/>
        </w:rPr>
        <w:t>ñ</w:t>
      </w:r>
      <w:r>
        <w:rPr>
          <w:lang w:eastAsia="en-GB"/>
        </w:rPr>
        <w:t>er et al., 2025).</w:t>
      </w:r>
    </w:p>
    <w:p w14:paraId="034311BF" w14:textId="77777777" w:rsidR="00422722" w:rsidRDefault="00422722" w:rsidP="00422722">
      <w:pPr>
        <w:pStyle w:val="Heading2"/>
        <w:rPr>
          <w:lang w:eastAsia="en-GB"/>
        </w:rPr>
      </w:pPr>
      <w:bookmarkStart w:id="38" w:name="_Toc228889958"/>
      <w:r>
        <w:rPr>
          <w:lang w:eastAsia="en-GB"/>
        </w:rPr>
        <w:t>5.3 Managerial implications</w:t>
      </w:r>
      <w:bookmarkEnd w:id="38"/>
    </w:p>
    <w:p w14:paraId="23CA6FF5" w14:textId="77777777" w:rsidR="008B79C5" w:rsidRPr="008B79C5" w:rsidRDefault="008B79C5" w:rsidP="008B79C5">
      <w:pPr>
        <w:rPr>
          <w:lang w:eastAsia="en-GB"/>
        </w:rPr>
      </w:pPr>
      <w:bookmarkStart w:id="39" w:name="_Toc228889959"/>
      <w:r w:rsidRPr="008B79C5">
        <w:rPr>
          <w:lang w:eastAsia="en-GB"/>
        </w:rPr>
        <w:t>The findings of this dissertation have several practical implications for destination managers, destination management organisations (DMOs), tourism planners and service providers operating in post</w:t>
      </w:r>
      <w:r w:rsidRPr="008B79C5">
        <w:rPr>
          <w:rFonts w:ascii="Cambria Math" w:hAnsi="Cambria Math" w:cs="Cambria Math"/>
          <w:lang w:eastAsia="en-GB"/>
        </w:rPr>
        <w:t>‑</w:t>
      </w:r>
      <w:r w:rsidRPr="008B79C5">
        <w:rPr>
          <w:lang w:eastAsia="en-GB"/>
        </w:rPr>
        <w:t>COVID mass</w:t>
      </w:r>
      <w:r w:rsidRPr="008B79C5">
        <w:rPr>
          <w:rFonts w:ascii="Cambria Math" w:hAnsi="Cambria Math" w:cs="Cambria Math"/>
          <w:lang w:eastAsia="en-GB"/>
        </w:rPr>
        <w:t>‑</w:t>
      </w:r>
      <w:r w:rsidRPr="008B79C5">
        <w:rPr>
          <w:lang w:eastAsia="en-GB"/>
        </w:rPr>
        <w:t>tourism environments. The core message is that tourist satisfaction should be interpreted alongside contextual pressure and behavioural signals. It should not be treated as a standalone performance indicator.</w:t>
      </w:r>
    </w:p>
    <w:p w14:paraId="2835BF81" w14:textId="77777777" w:rsidR="008B79C5" w:rsidRPr="008B79C5" w:rsidRDefault="008B79C5" w:rsidP="008B79C5">
      <w:pPr>
        <w:rPr>
          <w:lang w:eastAsia="en-GB"/>
        </w:rPr>
      </w:pPr>
      <w:r w:rsidRPr="008B79C5">
        <w:rPr>
          <w:lang w:eastAsia="en-GB"/>
        </w:rPr>
        <w:t>First, performance monitoring should move beyond aggregate satisfaction scores. Satisfaction remains useful, but it can mask early behavioural erosion under crowding and uncertainty. Managers should therefore track a small set of outcomes alongside satisfaction. At minimum, this should include revisit intention and recommendation intention. Where feasible, it should also include resistance</w:t>
      </w:r>
      <w:r w:rsidRPr="008B79C5">
        <w:rPr>
          <w:rFonts w:ascii="Cambria Math" w:hAnsi="Cambria Math" w:cs="Cambria Math"/>
          <w:lang w:eastAsia="en-GB"/>
        </w:rPr>
        <w:t>‑</w:t>
      </w:r>
      <w:r w:rsidRPr="008B79C5">
        <w:rPr>
          <w:lang w:eastAsia="en-GB"/>
        </w:rPr>
        <w:t>oriented signals such as reluctance to return, avoidance tendencies, or explicit objections expressed in feedback channels. This broader monitoring reduces the risk of interpreting stable satisfaction averages as evidence of long</w:t>
      </w:r>
      <w:r w:rsidRPr="008B79C5">
        <w:rPr>
          <w:rFonts w:ascii="Cambria Math" w:hAnsi="Cambria Math" w:cs="Cambria Math"/>
          <w:lang w:eastAsia="en-GB"/>
        </w:rPr>
        <w:t>‑</w:t>
      </w:r>
      <w:r w:rsidRPr="008B79C5">
        <w:rPr>
          <w:lang w:eastAsia="en-GB"/>
        </w:rPr>
        <w:t>term destination resilience.</w:t>
      </w:r>
    </w:p>
    <w:p w14:paraId="310085DD" w14:textId="77777777" w:rsidR="008B79C5" w:rsidRPr="008B79C5" w:rsidRDefault="008B79C5" w:rsidP="008B79C5">
      <w:pPr>
        <w:rPr>
          <w:lang w:eastAsia="en-GB"/>
        </w:rPr>
      </w:pPr>
      <w:r w:rsidRPr="008B79C5">
        <w:rPr>
          <w:lang w:eastAsia="en-GB"/>
        </w:rPr>
        <w:t xml:space="preserve">Second, destinations should manage crowding as an experiential condition, not only as a physical capacity problem. Perceived crowding is a psychological appraisal that affects comfort, perceived control and the ability to achieve trip goals. This means that crowding can weaken behavioural intentions even when core services are </w:t>
      </w:r>
      <w:r w:rsidRPr="008B79C5">
        <w:rPr>
          <w:lang w:eastAsia="en-GB"/>
        </w:rPr>
        <w:lastRenderedPageBreak/>
        <w:t>delivered effectively. Practical crowding responses should therefore combine operational control with perception management. Operational actions include timed entry, queue management, route design, and rebalancing visitor flows across space and time. Perception management includes clear pre</w:t>
      </w:r>
      <w:r w:rsidRPr="008B79C5">
        <w:rPr>
          <w:rFonts w:ascii="Cambria Math" w:hAnsi="Cambria Math" w:cs="Cambria Math"/>
          <w:lang w:eastAsia="en-GB"/>
        </w:rPr>
        <w:t>‑</w:t>
      </w:r>
      <w:r w:rsidRPr="008B79C5">
        <w:rPr>
          <w:lang w:eastAsia="en-GB"/>
        </w:rPr>
        <w:t>arrival information about peak times, real</w:t>
      </w:r>
      <w:r w:rsidRPr="008B79C5">
        <w:rPr>
          <w:rFonts w:ascii="Cambria Math" w:hAnsi="Cambria Math" w:cs="Cambria Math"/>
          <w:lang w:eastAsia="en-GB"/>
        </w:rPr>
        <w:t>‑</w:t>
      </w:r>
      <w:r w:rsidRPr="008B79C5">
        <w:rPr>
          <w:lang w:eastAsia="en-GB"/>
        </w:rPr>
        <w:t>time updates on congestion, and expectation management at key touchpoints. The aim is to reduce perceived loss of control and to prevent crowding from becoming the dominant feature of the experience.</w:t>
      </w:r>
    </w:p>
    <w:p w14:paraId="7C1C4C7E" w14:textId="77777777" w:rsidR="008B79C5" w:rsidRPr="008B79C5" w:rsidRDefault="008B79C5" w:rsidP="008B79C5">
      <w:pPr>
        <w:rPr>
          <w:lang w:eastAsia="en-GB"/>
        </w:rPr>
      </w:pPr>
      <w:r w:rsidRPr="008B79C5">
        <w:rPr>
          <w:lang w:eastAsia="en-GB"/>
        </w:rPr>
        <w:t>Third, visitor dispersion should be treated as a strategic tool rather than a short</w:t>
      </w:r>
      <w:r w:rsidRPr="008B79C5">
        <w:rPr>
          <w:rFonts w:ascii="Cambria Math" w:hAnsi="Cambria Math" w:cs="Cambria Math"/>
          <w:lang w:eastAsia="en-GB"/>
        </w:rPr>
        <w:t>‑</w:t>
      </w:r>
      <w:r w:rsidRPr="008B79C5">
        <w:rPr>
          <w:lang w:eastAsia="en-GB"/>
        </w:rPr>
        <w:t>term fix. Dispersion can be achieved by developing alternative attractions, promoting secondary routes, and designing themed itineraries that spread demand. Off</w:t>
      </w:r>
      <w:r w:rsidRPr="008B79C5">
        <w:rPr>
          <w:rFonts w:ascii="Cambria Math" w:hAnsi="Cambria Math" w:cs="Cambria Math"/>
          <w:lang w:eastAsia="en-GB"/>
        </w:rPr>
        <w:t>‑</w:t>
      </w:r>
      <w:r w:rsidRPr="008B79C5">
        <w:rPr>
          <w:lang w:eastAsia="en-GB"/>
        </w:rPr>
        <w:t>peak incentives can reduce peak pressure without reducing overall demand. Importantly, dispersion works best when it is coupled with communication. Tourists need simple guidance and trusted signals that alternative sites are worthwhile. This also supports sustainability objectives by reducing concentrated pressure on hotspot locations.</w:t>
      </w:r>
    </w:p>
    <w:p w14:paraId="64AF7C7A" w14:textId="77777777" w:rsidR="008B79C5" w:rsidRPr="008B79C5" w:rsidRDefault="008B79C5" w:rsidP="008B79C5">
      <w:pPr>
        <w:rPr>
          <w:lang w:eastAsia="en-GB"/>
        </w:rPr>
      </w:pPr>
      <w:r w:rsidRPr="008B79C5">
        <w:rPr>
          <w:lang w:eastAsia="en-GB"/>
        </w:rPr>
        <w:t>Fourth, post</w:t>
      </w:r>
      <w:r w:rsidRPr="008B79C5">
        <w:rPr>
          <w:rFonts w:ascii="Cambria Math" w:hAnsi="Cambria Math" w:cs="Cambria Math"/>
          <w:lang w:eastAsia="en-GB"/>
        </w:rPr>
        <w:t>‑</w:t>
      </w:r>
      <w:r w:rsidRPr="008B79C5">
        <w:rPr>
          <w:lang w:eastAsia="en-GB"/>
        </w:rPr>
        <w:t>COVID risk sensitivity should remain part of service design and communication. Even when objective risk is low, perceived risk still influences comfort and intention formation. Managers should maintain visible hygiene practices where appropriate, communicate clearly about safety procedures, and ensure that information is easy to access. Risk communication should be consistent and credible. It should avoid overstating risk, but it should also avoid ambiguity. Segment sensitivity matters. Some visitors have higher uncertainty avoidance and rely more heavily on visible cues. International visitors may also use safety signals as part of destination choice and revisit decisions. Destinations should therefore treat safety and hygiene cues as experience components, not as peripheral operational details.</w:t>
      </w:r>
    </w:p>
    <w:p w14:paraId="3B473427" w14:textId="77777777" w:rsidR="008B79C5" w:rsidRPr="008B79C5" w:rsidRDefault="008B79C5" w:rsidP="008B79C5">
      <w:pPr>
        <w:rPr>
          <w:lang w:eastAsia="en-GB"/>
        </w:rPr>
      </w:pPr>
      <w:r w:rsidRPr="008B79C5">
        <w:rPr>
          <w:lang w:eastAsia="en-GB"/>
        </w:rPr>
        <w:t>Fifth, digitalisation should be used to improve perceived control and to strengthen monitoring, but it should not become the only measurement source. Digital platforms shape expectations before travel and influence evaluation after travel. Mobile tools can reduce friction during the visit, support wayfinding, and provide real</w:t>
      </w:r>
      <w:r w:rsidRPr="008B79C5">
        <w:rPr>
          <w:rFonts w:ascii="Cambria Math" w:hAnsi="Cambria Math" w:cs="Cambria Math"/>
          <w:lang w:eastAsia="en-GB"/>
        </w:rPr>
        <w:t>‑</w:t>
      </w:r>
      <w:r w:rsidRPr="008B79C5">
        <w:rPr>
          <w:lang w:eastAsia="en-GB"/>
        </w:rPr>
        <w:t>time information about congestion and service changes. These functions directly support perceived control, which is especially important in high</w:t>
      </w:r>
      <w:r w:rsidRPr="008B79C5">
        <w:rPr>
          <w:rFonts w:ascii="Cambria Math" w:hAnsi="Cambria Math" w:cs="Cambria Math"/>
          <w:lang w:eastAsia="en-GB"/>
        </w:rPr>
        <w:t>‑</w:t>
      </w:r>
      <w:r w:rsidRPr="008B79C5">
        <w:rPr>
          <w:lang w:eastAsia="en-GB"/>
        </w:rPr>
        <w:t>density environments. At the same time, user-generated content and sentiment signals must be interpreted carefully. They can be biased towards more engaged users and towards extreme experiences. Digital feedback therefore works best as an early</w:t>
      </w:r>
      <w:r w:rsidRPr="008B79C5">
        <w:rPr>
          <w:rFonts w:ascii="Cambria Math" w:hAnsi="Cambria Math" w:cs="Cambria Math"/>
          <w:lang w:eastAsia="en-GB"/>
        </w:rPr>
        <w:t>‑</w:t>
      </w:r>
      <w:r w:rsidRPr="008B79C5">
        <w:rPr>
          <w:lang w:eastAsia="en-GB"/>
        </w:rPr>
        <w:t>warning layer rather than a direct substitute for structured satisfaction measurement. In practice, managers should triangulate. They should combine short on-site surveys, operational indicators and digital signals to obtain a balanced view.</w:t>
      </w:r>
    </w:p>
    <w:p w14:paraId="35A8A239" w14:textId="77777777" w:rsidR="008B79C5" w:rsidRPr="008B79C5" w:rsidRDefault="008B79C5" w:rsidP="008B79C5">
      <w:pPr>
        <w:rPr>
          <w:lang w:eastAsia="en-GB"/>
        </w:rPr>
      </w:pPr>
      <w:r w:rsidRPr="008B79C5">
        <w:rPr>
          <w:lang w:eastAsia="en-GB"/>
        </w:rPr>
        <w:t xml:space="preserve">Sixth, the dual-outcome orientation has direct implications for how loyalty is managed. Many destination strategies assume that improving satisfaction automatically strengthens loyalty. The evidence reviewed in this dissertation suggests that this assumption is risky under contextual pressure. Attraction-oriented intentions (revisit and recommendation) can weaken while resistance-oriented tendencies grow, particularly under crowding and uncertainty. This means that destinations should not interpret “no revisit” simply as “less satisfied”. It may reflect crowding fatigue, loss of control, or risk sensitivity. Managers should therefore </w:t>
      </w:r>
      <w:r w:rsidRPr="008B79C5">
        <w:rPr>
          <w:lang w:eastAsia="en-GB"/>
        </w:rPr>
        <w:lastRenderedPageBreak/>
        <w:t>interpret behavioural outcomes as distinct indicators. They should respond to early resistance signals before they become visible in demand decline or negative reputational effects.</w:t>
      </w:r>
    </w:p>
    <w:p w14:paraId="21642752" w14:textId="77777777" w:rsidR="008B79C5" w:rsidRPr="008B79C5" w:rsidRDefault="008B79C5" w:rsidP="008B79C5">
      <w:pPr>
        <w:rPr>
          <w:lang w:eastAsia="en-GB"/>
        </w:rPr>
      </w:pPr>
      <w:r w:rsidRPr="008B79C5">
        <w:rPr>
          <w:lang w:eastAsia="en-GB"/>
        </w:rPr>
        <w:t>Seventh, the findings support a practical shift towards a context-sensitive performance dashboard. This is a concrete way to operationalise the implications without adding unnecessary complexity. A simple dashboard can include four blocks:</w:t>
      </w:r>
    </w:p>
    <w:p w14:paraId="1A453AA0" w14:textId="77777777" w:rsidR="008B79C5" w:rsidRPr="008B79C5" w:rsidRDefault="008B79C5" w:rsidP="008B79C5">
      <w:pPr>
        <w:rPr>
          <w:lang w:eastAsia="en-GB"/>
        </w:rPr>
      </w:pPr>
    </w:p>
    <w:p w14:paraId="6CE6CAB0" w14:textId="77777777" w:rsidR="008B79C5" w:rsidRPr="008B79C5" w:rsidRDefault="008B79C5" w:rsidP="008B79C5">
      <w:pPr>
        <w:rPr>
          <w:lang w:eastAsia="en-GB"/>
        </w:rPr>
      </w:pPr>
      <w:r w:rsidRPr="008B79C5">
        <w:rPr>
          <w:lang w:eastAsia="en-GB"/>
        </w:rPr>
        <w:t>Evaluation measures: a compact satisfaction and experience-quality set (kept stable across time to support comparability).</w:t>
      </w:r>
    </w:p>
    <w:p w14:paraId="6CFAB579" w14:textId="77777777" w:rsidR="008B79C5" w:rsidRPr="008B79C5" w:rsidRDefault="008B79C5" w:rsidP="008B79C5">
      <w:pPr>
        <w:rPr>
          <w:lang w:eastAsia="en-GB"/>
        </w:rPr>
      </w:pPr>
      <w:r w:rsidRPr="008B79C5">
        <w:rPr>
          <w:lang w:eastAsia="en-GB"/>
        </w:rPr>
        <w:t>Context appraisal measures: short items capturing perceived crowding and perceived control during peak periods.</w:t>
      </w:r>
    </w:p>
    <w:p w14:paraId="6910E6C1" w14:textId="77777777" w:rsidR="008B79C5" w:rsidRPr="008B79C5" w:rsidRDefault="008B79C5" w:rsidP="008B79C5">
      <w:pPr>
        <w:rPr>
          <w:lang w:eastAsia="en-GB"/>
        </w:rPr>
      </w:pPr>
      <w:r w:rsidRPr="008B79C5">
        <w:rPr>
          <w:lang w:eastAsia="en-GB"/>
        </w:rPr>
        <w:t>Behavioural intention measures: revisit and recommendation intentions.</w:t>
      </w:r>
    </w:p>
    <w:p w14:paraId="4871676F" w14:textId="77777777" w:rsidR="008B79C5" w:rsidRPr="008B79C5" w:rsidRDefault="008B79C5" w:rsidP="008B79C5">
      <w:pPr>
        <w:rPr>
          <w:lang w:eastAsia="en-GB"/>
        </w:rPr>
      </w:pPr>
      <w:r w:rsidRPr="008B79C5">
        <w:rPr>
          <w:lang w:eastAsia="en-GB"/>
        </w:rPr>
        <w:t>Resistance signals: reluctance/avoidance/objection proxies derived from surveys, complaint themes, or structured feedback categories.</w:t>
      </w:r>
    </w:p>
    <w:p w14:paraId="4199E7B0" w14:textId="77777777" w:rsidR="008B79C5" w:rsidRPr="008B79C5" w:rsidRDefault="008B79C5" w:rsidP="008B79C5">
      <w:pPr>
        <w:rPr>
          <w:lang w:eastAsia="en-GB"/>
        </w:rPr>
      </w:pPr>
    </w:p>
    <w:p w14:paraId="485A2706" w14:textId="77777777" w:rsidR="008B79C5" w:rsidRPr="008B79C5" w:rsidRDefault="008B79C5" w:rsidP="008B79C5">
      <w:pPr>
        <w:rPr>
          <w:lang w:eastAsia="en-GB"/>
        </w:rPr>
      </w:pPr>
      <w:r w:rsidRPr="008B79C5">
        <w:rPr>
          <w:lang w:eastAsia="en-GB"/>
        </w:rPr>
        <w:t>This dashboard should be reviewed routinely, with extra attention during peak demand periods. It should also be reviewed by segment, because tolerance of density and risk sensitivity varies across traveller groups. Segment-level reporting is essential. It reduces the risk that aggregate averages hide emerging problems in specific groups, sites or time windows.</w:t>
      </w:r>
    </w:p>
    <w:p w14:paraId="4597F416" w14:textId="77777777" w:rsidR="008B79C5" w:rsidRPr="008B79C5" w:rsidRDefault="008B79C5" w:rsidP="008B79C5">
      <w:pPr>
        <w:rPr>
          <w:lang w:eastAsia="en-GB"/>
        </w:rPr>
      </w:pPr>
      <w:r w:rsidRPr="008B79C5">
        <w:rPr>
          <w:lang w:eastAsia="en-GB"/>
        </w:rPr>
        <w:t>Eighth, the dashboard should feed into targeted interventions. If perceived crowding rises while satisfaction remains stable, managers should not assume performance is unaffected. Instead, the destination should treat this as an early warning. Interventions can include increased dispersion, timed access adjustments, staffing changes, queue redesign and enhanced real-time information. If risk sensitivity measures rise, interventions should focus on communication clarity, visible reassurance and friction reduction. If recommendation intention drops while revisit intention remains stable (or vice versa), this can indicate different underlying mechanisms, such as reputational concerns or goal fulfilment problems. The point is to use behavioural patterns diagnostically rather than relying on one metric.</w:t>
      </w:r>
    </w:p>
    <w:p w14:paraId="717BC0D6" w14:textId="77777777" w:rsidR="008B79C5" w:rsidRPr="008B79C5" w:rsidRDefault="008B79C5" w:rsidP="008B79C5">
      <w:pPr>
        <w:rPr>
          <w:lang w:eastAsia="en-GB"/>
        </w:rPr>
      </w:pPr>
      <w:r w:rsidRPr="008B79C5">
        <w:rPr>
          <w:lang w:eastAsia="en-GB"/>
        </w:rPr>
        <w:t>Finally, the findings imply that destination management requires cross-functional coordination. Crowd management is not purely operational, and satisfaction monitoring is not purely marketing. In high</w:t>
      </w:r>
      <w:r w:rsidRPr="008B79C5">
        <w:rPr>
          <w:rFonts w:ascii="Cambria Math" w:hAnsi="Cambria Math" w:cs="Cambria Math"/>
          <w:lang w:eastAsia="en-GB"/>
        </w:rPr>
        <w:t>‑</w:t>
      </w:r>
      <w:r w:rsidRPr="008B79C5">
        <w:rPr>
          <w:lang w:eastAsia="en-GB"/>
        </w:rPr>
        <w:t>density post</w:t>
      </w:r>
      <w:r w:rsidRPr="008B79C5">
        <w:rPr>
          <w:rFonts w:ascii="Cambria Math" w:hAnsi="Cambria Math" w:cs="Cambria Math"/>
          <w:lang w:eastAsia="en-GB"/>
        </w:rPr>
        <w:t>‑</w:t>
      </w:r>
      <w:r w:rsidRPr="008B79C5">
        <w:rPr>
          <w:lang w:eastAsia="en-GB"/>
        </w:rPr>
        <w:t>COVID contexts, experience outcomes emerge from the interaction between operations, communication and digital touchpoints. Destinations therefore benefit from coordination between site operations, transport/mobility teams, marketing/communications and data analytics. This helps align what is promised pre</w:t>
      </w:r>
      <w:r w:rsidRPr="008B79C5">
        <w:rPr>
          <w:rFonts w:ascii="Cambria Math" w:hAnsi="Cambria Math" w:cs="Cambria Math"/>
          <w:lang w:eastAsia="en-GB"/>
        </w:rPr>
        <w:t>‑</w:t>
      </w:r>
      <w:r w:rsidRPr="008B79C5">
        <w:rPr>
          <w:lang w:eastAsia="en-GB"/>
        </w:rPr>
        <w:t>visit, what is delivered on-site, and what is captured in post</w:t>
      </w:r>
      <w:r w:rsidRPr="008B79C5">
        <w:rPr>
          <w:rFonts w:ascii="Cambria Math" w:hAnsi="Cambria Math" w:cs="Cambria Math"/>
          <w:lang w:eastAsia="en-GB"/>
        </w:rPr>
        <w:t>‑</w:t>
      </w:r>
      <w:r w:rsidRPr="008B79C5">
        <w:rPr>
          <w:lang w:eastAsia="en-GB"/>
        </w:rPr>
        <w:t>visit evaluation.</w:t>
      </w:r>
    </w:p>
    <w:p w14:paraId="2B767E19" w14:textId="77777777" w:rsidR="008B79C5" w:rsidRDefault="008B79C5" w:rsidP="008B79C5">
      <w:pPr>
        <w:rPr>
          <w:lang w:eastAsia="en-GB"/>
        </w:rPr>
      </w:pPr>
      <w:r w:rsidRPr="008B79C5">
        <w:rPr>
          <w:lang w:eastAsia="en-GB"/>
        </w:rPr>
        <w:t>Taken together, these implications suggest that effective destination management in post</w:t>
      </w:r>
      <w:r w:rsidRPr="008B79C5">
        <w:rPr>
          <w:rFonts w:ascii="Cambria Math" w:hAnsi="Cambria Math" w:cs="Cambria Math"/>
          <w:lang w:eastAsia="en-GB"/>
        </w:rPr>
        <w:t>‑</w:t>
      </w:r>
      <w:r w:rsidRPr="008B79C5">
        <w:rPr>
          <w:lang w:eastAsia="en-GB"/>
        </w:rPr>
        <w:t xml:space="preserve">COVID mass tourism requires a shift from static evaluation models towards </w:t>
      </w:r>
      <w:r w:rsidRPr="008B79C5">
        <w:rPr>
          <w:lang w:eastAsia="en-GB"/>
        </w:rPr>
        <w:lastRenderedPageBreak/>
        <w:t>context-aware, behaviour-focused strategies. Satisfaction remains important, but it should be interpreted in conjunction with crowding appraisal, risk sensitivity and behavioural signals, rather than in isolation. This approach supports earlier detection of destination pressure and more targeted interventions to protect both experience quality and behavioural outcomes in high-density environments.</w:t>
      </w:r>
    </w:p>
    <w:p w14:paraId="4CF330B0" w14:textId="41566BE8" w:rsidR="00227DD9" w:rsidRDefault="00227DD9" w:rsidP="008B79C5">
      <w:pPr>
        <w:pStyle w:val="Heading2"/>
        <w:rPr>
          <w:lang w:eastAsia="en-GB"/>
        </w:rPr>
      </w:pPr>
      <w:r>
        <w:rPr>
          <w:lang w:eastAsia="en-GB"/>
        </w:rPr>
        <w:t>5.4 Methodological implications</w:t>
      </w:r>
      <w:bookmarkEnd w:id="39"/>
    </w:p>
    <w:p w14:paraId="4D09044E" w14:textId="77777777" w:rsidR="00B72EA5" w:rsidRPr="00B72EA5" w:rsidRDefault="00B72EA5" w:rsidP="00B72EA5">
      <w:pPr>
        <w:rPr>
          <w:lang w:eastAsia="en-GB"/>
        </w:rPr>
      </w:pPr>
      <w:bookmarkStart w:id="40" w:name="_Toc228889960"/>
      <w:r w:rsidRPr="00B72EA5">
        <w:rPr>
          <w:lang w:eastAsia="en-GB"/>
        </w:rPr>
        <w:t>The findings of this dissertation have methodological implications for how tourist satisfaction and behavioural outcomes should be studied in contemporary post</w:t>
      </w:r>
      <w:r w:rsidRPr="00B72EA5">
        <w:rPr>
          <w:rFonts w:ascii="Cambria Math" w:hAnsi="Cambria Math" w:cs="Cambria Math"/>
          <w:lang w:eastAsia="en-GB"/>
        </w:rPr>
        <w:t>‑</w:t>
      </w:r>
      <w:r w:rsidRPr="00B72EA5">
        <w:rPr>
          <w:lang w:eastAsia="en-GB"/>
        </w:rPr>
        <w:t>COVID mass</w:t>
      </w:r>
      <w:r w:rsidRPr="00B72EA5">
        <w:rPr>
          <w:rFonts w:ascii="Cambria Math" w:hAnsi="Cambria Math" w:cs="Cambria Math"/>
          <w:lang w:eastAsia="en-GB"/>
        </w:rPr>
        <w:t>‑</w:t>
      </w:r>
      <w:r w:rsidRPr="00B72EA5">
        <w:rPr>
          <w:lang w:eastAsia="en-GB"/>
        </w:rPr>
        <w:t>tourism research. These implications arise from the dominance of cross-sectional survey designs, variation in measurement instruments and limited equivalence testing, and the expanding use of digital data sources that introduce new validity and representativeness constraints.</w:t>
      </w:r>
    </w:p>
    <w:p w14:paraId="6DF7013F" w14:textId="77777777" w:rsidR="00B72EA5" w:rsidRPr="00B72EA5" w:rsidRDefault="00B72EA5" w:rsidP="00B72EA5">
      <w:pPr>
        <w:rPr>
          <w:lang w:eastAsia="en-GB"/>
        </w:rPr>
      </w:pPr>
      <w:r w:rsidRPr="00B72EA5">
        <w:rPr>
          <w:lang w:eastAsia="en-GB"/>
        </w:rPr>
        <w:t>First, the dominance of survey-based methods highlights both strengths and limitations in the current evidence base. Structured questionnaires and multi-item scales support systematic data collection and statistical modelling, and they remain the standard approach in many post</w:t>
      </w:r>
      <w:r w:rsidRPr="00B72EA5">
        <w:rPr>
          <w:rFonts w:ascii="Cambria Math" w:hAnsi="Cambria Math" w:cs="Cambria Math"/>
          <w:lang w:eastAsia="en-GB"/>
        </w:rPr>
        <w:t>‑</w:t>
      </w:r>
      <w:r w:rsidRPr="00B72EA5">
        <w:rPr>
          <w:lang w:eastAsia="en-GB"/>
        </w:rPr>
        <w:t>COVID studies. However, cross-sectional self-report designs limit causal inference and restrict the ability to capture how satisfaction, risk sensitivity and behavioural responses evolve over time (Page et al., 2021). They also create exposure to common method bias because predictors and outcomes are frequently collected from the same respondents in the same instrument and time window. Future research should therefore prioritise longitudinal designs where feasible. Panel surveys, repeated measurement across seasons, and designs that observe pre</w:t>
      </w:r>
      <w:r w:rsidRPr="00B72EA5">
        <w:rPr>
          <w:rFonts w:ascii="Cambria Math" w:hAnsi="Cambria Math" w:cs="Cambria Math"/>
          <w:lang w:eastAsia="en-GB"/>
        </w:rPr>
        <w:t>‑</w:t>
      </w:r>
      <w:r w:rsidRPr="00B72EA5">
        <w:rPr>
          <w:lang w:eastAsia="en-GB"/>
        </w:rPr>
        <w:t>visit expectations and post</w:t>
      </w:r>
      <w:r w:rsidRPr="00B72EA5">
        <w:rPr>
          <w:rFonts w:ascii="Cambria Math" w:hAnsi="Cambria Math" w:cs="Cambria Math"/>
          <w:lang w:eastAsia="en-GB"/>
        </w:rPr>
        <w:t>‑</w:t>
      </w:r>
      <w:r w:rsidRPr="00B72EA5">
        <w:rPr>
          <w:lang w:eastAsia="en-GB"/>
        </w:rPr>
        <w:t>visit appraisal can better capture temporal change in satisfaction formation and intention dynamics, especially in destinations exposed to fluctuating density pressure and different recovery phases. Where longitudinal designs are not feasible, researchers should still reduce bias by separating measurement points (e.g., measuring satisfaction at the end of the visit and intentions later) and by combining self-report with behavioural or operational indicators where possible.</w:t>
      </w:r>
    </w:p>
    <w:p w14:paraId="37F7B0B8" w14:textId="77777777" w:rsidR="00B72EA5" w:rsidRPr="00B72EA5" w:rsidRDefault="00B72EA5" w:rsidP="00B72EA5">
      <w:pPr>
        <w:rPr>
          <w:lang w:eastAsia="en-GB"/>
        </w:rPr>
      </w:pPr>
      <w:r w:rsidRPr="00B72EA5">
        <w:rPr>
          <w:lang w:eastAsia="en-GB"/>
        </w:rPr>
        <w:t>Second, the findings indicate that measurement approaches are not fully standardised across studies. The widespread use of adapted scales and varying indicator sets means that “tourist satisfaction” is often operationalised differently depending on context. This supports flexibility, but it also constrains comparability across studies and reduces the cumulative value of the literature when results are aggregated conceptually (Pérez</w:t>
      </w:r>
      <w:r w:rsidRPr="00B72EA5">
        <w:rPr>
          <w:rFonts w:ascii="Cambria Math" w:hAnsi="Cambria Math" w:cs="Cambria Math"/>
          <w:lang w:eastAsia="en-GB"/>
        </w:rPr>
        <w:t>‑</w:t>
      </w:r>
      <w:r w:rsidRPr="00B72EA5">
        <w:rPr>
          <w:lang w:eastAsia="en-GB"/>
        </w:rPr>
        <w:t>Campdesu</w:t>
      </w:r>
      <w:r w:rsidRPr="00B72EA5">
        <w:rPr>
          <w:rFonts w:cs="Arial"/>
          <w:lang w:eastAsia="en-GB"/>
        </w:rPr>
        <w:t>ñ</w:t>
      </w:r>
      <w:r w:rsidRPr="00B72EA5">
        <w:rPr>
          <w:lang w:eastAsia="en-GB"/>
        </w:rPr>
        <w:t xml:space="preserve">er et al., 2025). A key methodological implication is that future research should state construct boundaries more explicitly and align measurement choices to those boundaries. In practical terms, studies should clarify whether satisfaction is treated primarily as an overall evaluation, as an attribute-based judgement, or as an experiential appraisal that integrates affect and meaning. Clear construct specification should be paired with transparent reporting of indicator content and validity evidence so that readers can interpret what a given satisfaction measure actually represents. In addition, researchers should justify any context-specific adaptations by explaining which part of the satisfaction construct is </w:t>
      </w:r>
      <w:r w:rsidRPr="00B72EA5">
        <w:rPr>
          <w:lang w:eastAsia="en-GB"/>
        </w:rPr>
        <w:lastRenderedPageBreak/>
        <w:t>being extended (e.g., adding safety/hygiene as evaluative cues rather than mixing them into unrelated service-quality items).</w:t>
      </w:r>
    </w:p>
    <w:p w14:paraId="34434CCD" w14:textId="77777777" w:rsidR="00B72EA5" w:rsidRPr="00B72EA5" w:rsidRDefault="00B72EA5" w:rsidP="00B72EA5">
      <w:pPr>
        <w:rPr>
          <w:lang w:eastAsia="en-GB"/>
        </w:rPr>
      </w:pPr>
      <w:r w:rsidRPr="00B72EA5">
        <w:rPr>
          <w:lang w:eastAsia="en-GB"/>
        </w:rPr>
        <w:t>Third, measurement equivalence requires greater attention as a methodological requirement rather than an optional extension. Evidence that performance-only satisfaction models may exhibit conditional validity across demographic strata highlights that identical items can function differently across groups, which undermines cross-group comparability when invariance is not examined (Pérez</w:t>
      </w:r>
      <w:r w:rsidRPr="00B72EA5">
        <w:rPr>
          <w:rFonts w:ascii="Cambria Math" w:hAnsi="Cambria Math" w:cs="Cambria Math"/>
          <w:lang w:eastAsia="en-GB"/>
        </w:rPr>
        <w:t>‑</w:t>
      </w:r>
      <w:r w:rsidRPr="00B72EA5">
        <w:rPr>
          <w:lang w:eastAsia="en-GB"/>
        </w:rPr>
        <w:t>Campdesu</w:t>
      </w:r>
      <w:r w:rsidRPr="00B72EA5">
        <w:rPr>
          <w:rFonts w:cs="Arial"/>
          <w:lang w:eastAsia="en-GB"/>
        </w:rPr>
        <w:t>ñ</w:t>
      </w:r>
      <w:r w:rsidRPr="00B72EA5">
        <w:rPr>
          <w:lang w:eastAsia="en-GB"/>
        </w:rPr>
        <w:t>er et al., 2025). Future empirical work should therefore incorporate measurement invariance testing when comparing segments, destinations or time periods, and should interpret group differences cautiously where equivalence is not supported (Vandenberg and Lance, 2000). This is particularly important in post</w:t>
      </w:r>
      <w:r w:rsidRPr="00B72EA5">
        <w:rPr>
          <w:rFonts w:ascii="Cambria Math" w:hAnsi="Cambria Math" w:cs="Cambria Math"/>
          <w:lang w:eastAsia="en-GB"/>
        </w:rPr>
        <w:t>‑</w:t>
      </w:r>
      <w:r w:rsidRPr="00B72EA5">
        <w:rPr>
          <w:lang w:eastAsia="en-GB"/>
        </w:rPr>
        <w:t>COVID contexts where constructs such as safety, cleanliness and personal space may be interpreted differently across travellers with different risk profiles. Where invariance cannot be established, researchers should consider alternative strategies, such as partial invariance modelling, group-specific measurement models, or reporting results separately rather than presenting pooled comparisons as directly comparable.</w:t>
      </w:r>
    </w:p>
    <w:p w14:paraId="14E612AB" w14:textId="77777777" w:rsidR="00B72EA5" w:rsidRPr="00B72EA5" w:rsidRDefault="00B72EA5" w:rsidP="00B72EA5">
      <w:pPr>
        <w:rPr>
          <w:lang w:eastAsia="en-GB"/>
        </w:rPr>
      </w:pPr>
      <w:r w:rsidRPr="00B72EA5">
        <w:rPr>
          <w:lang w:eastAsia="en-GB"/>
        </w:rPr>
        <w:t>Fourth, the increasing use of digital data sources introduces both opportunities and methodological challenges. User-generated content, sentiment analysis and text mining can provide large-scale and time-sensitive signals that are difficult to capture with traditional surveys. However, digital traces are affected by self-selection, representativeness limitations and construct-validity ambiguity. Sentiment and review tone may reflect affective expression or momentary reactions rather than stable evaluative judgement, and therefore should not be treated as direct equivalents of survey-based satisfaction constructs (De Marchi, Becarelli and Di Sarli, 2022; Yap et al., 2025). Future research should adopt explicit construct mapping when using digital proxies. Researchers should state what aspect of evaluation is being captured (for example, affective tone, complaint frequency, attribute salience or narrative themes) and under what assumptions it can be interpreted as satisfaction-related evidence. Where possible, digital measures should be calibrated against survey-based constructs (e.g., linking sentiment outputs to concurrent satisfaction items) to improve interpretability. Researchers should also address ethical and governance considerations, including privacy, platform terms and data cleaning, as these affect transparency and replicability.</w:t>
      </w:r>
    </w:p>
    <w:p w14:paraId="5966D474" w14:textId="77777777" w:rsidR="00B72EA5" w:rsidRPr="00B72EA5" w:rsidRDefault="00B72EA5" w:rsidP="00B72EA5">
      <w:pPr>
        <w:rPr>
          <w:lang w:eastAsia="en-GB"/>
        </w:rPr>
      </w:pPr>
      <w:r w:rsidRPr="00B72EA5">
        <w:rPr>
          <w:lang w:eastAsia="en-GB"/>
        </w:rPr>
        <w:t xml:space="preserve">Fifth, the findings support stronger triangulation and mixed-method integration, particularly in complex contexts where crowding and uncertainty shape evaluation and behaviour. Combining survey measures with digital traces and qualitative insight can improve contextual interpretation and reduce reliance on single-source self-report snapshots. Triangulation can also help distinguish between stable satisfaction evaluation and resistance-oriented responses that may not be captured adequately by conventional scales. Methodologically, this requires clear integration frameworks, transparent sequencing (for example, qualitative exploration informing scale refinement), and explicit reporting of how different data streams converge or diverge (Popay et al., 2006; Booth, Sutton and Papaioannou, 2016). Practical triangulation strategies include linking on-site “pulse” survey items to real-time crowding data, </w:t>
      </w:r>
      <w:r w:rsidRPr="00B72EA5">
        <w:rPr>
          <w:lang w:eastAsia="en-GB"/>
        </w:rPr>
        <w:lastRenderedPageBreak/>
        <w:t>combining stated intentions with revealed behavioural indicators (e.g., return booking patterns), and using qualitative interviews to clarify why avoidance or objection emerges even when overall satisfaction is acceptable.</w:t>
      </w:r>
    </w:p>
    <w:p w14:paraId="58F15808" w14:textId="77777777" w:rsidR="00B72EA5" w:rsidRPr="00B72EA5" w:rsidRDefault="00B72EA5" w:rsidP="00B72EA5">
      <w:pPr>
        <w:rPr>
          <w:lang w:eastAsia="en-GB"/>
        </w:rPr>
      </w:pPr>
      <w:r w:rsidRPr="00B72EA5">
        <w:rPr>
          <w:lang w:eastAsia="en-GB"/>
        </w:rPr>
        <w:t>Sixth, the reviewed evidence indicates that future empirical work should align outcome measurement with the behavioural complexity observed under contextual pressure. Where crowding and overtourism are salient, behavioural outcomes should not be reduced to a single positive loyalty construct. Studies should operationalise attraction-oriented intentions (revisit and recommendation) separately from resistance-oriented responses (avoidance, reluctance or objection) where appropriate, and should specify moderators such as perceived crowding and risk sensitivity that can shape these outcomes (Papadopoulou, Ribeiro and Prayag, 2023; Gazi et al., 2024). This is not only a theoretical improvement; it is a methodological requirement if researchers wish to make asymmetries transparent rather than treating them as residual anomalies. Methodologically, this also implies using model specifications that can capture divergence (for example, separate equations for attraction and resistance, or multi-outcome models) rather than assuming that negative response is simply low positive intention.</w:t>
      </w:r>
    </w:p>
    <w:p w14:paraId="3DCB0858" w14:textId="77777777" w:rsidR="00B72EA5" w:rsidRPr="00B72EA5" w:rsidRDefault="00B72EA5" w:rsidP="00B72EA5">
      <w:pPr>
        <w:rPr>
          <w:lang w:eastAsia="en-GB"/>
        </w:rPr>
      </w:pPr>
      <w:r w:rsidRPr="00B72EA5">
        <w:rPr>
          <w:lang w:eastAsia="en-GB"/>
        </w:rPr>
        <w:t>Finally, the synthesis implies that methodological development should pay greater attention to model credibility under contextual pressure. Future studies should report robustness checks more consistently, including sensitivity analyses for alternative operationalisations, checks for multicollinearity among closely related constructs (e.g., value, image, experience quality), and transparent reporting of missing data handling. Where possible, researchers should also address endogeneity risks, for example by using design features that reduce reverse causality (temporal separation), or analytical strategies such as instrumental approaches where defensible. This improves confidence that observed satisfaction–behaviour links reflect substantive processes rather than model artefacts.</w:t>
      </w:r>
    </w:p>
    <w:p w14:paraId="17FEA839" w14:textId="77777777" w:rsidR="00B72EA5" w:rsidRDefault="00B72EA5" w:rsidP="00B72EA5">
      <w:pPr>
        <w:rPr>
          <w:lang w:eastAsia="en-GB"/>
        </w:rPr>
      </w:pPr>
      <w:r w:rsidRPr="00B72EA5">
        <w:rPr>
          <w:lang w:eastAsia="en-GB"/>
        </w:rPr>
        <w:t>Overall, these methodological implications point to the need for research designs that are more temporally sensitive, more explicit about construct definition, and more rigorous about measurement comparability. Progress in post</w:t>
      </w:r>
      <w:r w:rsidRPr="00B72EA5">
        <w:rPr>
          <w:rFonts w:ascii="Cambria Math" w:hAnsi="Cambria Math" w:cs="Cambria Math"/>
          <w:lang w:eastAsia="en-GB"/>
        </w:rPr>
        <w:t>‑</w:t>
      </w:r>
      <w:r w:rsidRPr="00B72EA5">
        <w:rPr>
          <w:lang w:eastAsia="en-GB"/>
        </w:rPr>
        <w:t>COVID mass</w:t>
      </w:r>
      <w:r w:rsidRPr="00B72EA5">
        <w:rPr>
          <w:rFonts w:ascii="Cambria Math" w:hAnsi="Cambria Math" w:cs="Cambria Math"/>
          <w:lang w:eastAsia="en-GB"/>
        </w:rPr>
        <w:t>‑</w:t>
      </w:r>
      <w:r w:rsidRPr="00B72EA5">
        <w:rPr>
          <w:lang w:eastAsia="en-GB"/>
        </w:rPr>
        <w:t>tourism satisfaction research will depend on aligning conceptual clarity with measurement assumptions, strengthening equivalence testing, and using triangulated evidence to capture how satisfaction and behavioural outcomes respond to contextual pressure over time (Page et al., 2021; Pérez</w:t>
      </w:r>
      <w:r w:rsidRPr="00B72EA5">
        <w:rPr>
          <w:rFonts w:ascii="Cambria Math" w:hAnsi="Cambria Math" w:cs="Cambria Math"/>
          <w:lang w:eastAsia="en-GB"/>
        </w:rPr>
        <w:t>‑</w:t>
      </w:r>
      <w:r w:rsidRPr="00B72EA5">
        <w:rPr>
          <w:lang w:eastAsia="en-GB"/>
        </w:rPr>
        <w:t>Campdesu</w:t>
      </w:r>
      <w:r w:rsidRPr="00B72EA5">
        <w:rPr>
          <w:rFonts w:cs="Arial"/>
          <w:lang w:eastAsia="en-GB"/>
        </w:rPr>
        <w:t>ñ</w:t>
      </w:r>
      <w:r w:rsidRPr="00B72EA5">
        <w:rPr>
          <w:lang w:eastAsia="en-GB"/>
        </w:rPr>
        <w:t>er et al., 2025; Papadopoulou, Ribeiro and Prayag, 2023).</w:t>
      </w:r>
    </w:p>
    <w:p w14:paraId="18A25A2D" w14:textId="30C88763" w:rsidR="00647382" w:rsidRDefault="00647382" w:rsidP="00B72EA5">
      <w:pPr>
        <w:pStyle w:val="Heading2"/>
        <w:rPr>
          <w:lang w:eastAsia="en-GB"/>
        </w:rPr>
      </w:pPr>
      <w:r>
        <w:rPr>
          <w:lang w:eastAsia="en-GB"/>
        </w:rPr>
        <w:t>5.5 Limitations and future research</w:t>
      </w:r>
      <w:bookmarkEnd w:id="40"/>
    </w:p>
    <w:p w14:paraId="2271D8F2" w14:textId="77777777" w:rsidR="00F36CAC" w:rsidRDefault="00F36CAC" w:rsidP="00F36CAC">
      <w:pPr>
        <w:rPr>
          <w:lang w:eastAsia="en-GB"/>
        </w:rPr>
      </w:pPr>
      <w:r>
        <w:rPr>
          <w:lang w:eastAsia="en-GB"/>
        </w:rPr>
        <w:t>This dissertation has several limitations that should be considered when interpreting the findings of the systematic literature review. These limitations relate to review scope and coverage, evidence-base constraints, and boundaries inherent in secondary synthesis. At the same time, they indicate clear priorities for future research in post</w:t>
      </w:r>
      <w:r>
        <w:rPr>
          <w:rFonts w:ascii="Cambria Math" w:hAnsi="Cambria Math" w:cs="Cambria Math"/>
          <w:lang w:eastAsia="en-GB"/>
        </w:rPr>
        <w:t>‑</w:t>
      </w:r>
      <w:r>
        <w:rPr>
          <w:lang w:eastAsia="en-GB"/>
        </w:rPr>
        <w:t>COVID mass</w:t>
      </w:r>
      <w:r>
        <w:rPr>
          <w:rFonts w:ascii="Cambria Math" w:hAnsi="Cambria Math" w:cs="Cambria Math"/>
          <w:lang w:eastAsia="en-GB"/>
        </w:rPr>
        <w:t>‑</w:t>
      </w:r>
      <w:r>
        <w:rPr>
          <w:lang w:eastAsia="en-GB"/>
        </w:rPr>
        <w:t>tourism studies.</w:t>
      </w:r>
    </w:p>
    <w:p w14:paraId="049C7F0E" w14:textId="77777777" w:rsidR="00F36CAC" w:rsidRDefault="00F36CAC" w:rsidP="00F36CAC">
      <w:pPr>
        <w:rPr>
          <w:lang w:eastAsia="en-GB"/>
        </w:rPr>
      </w:pPr>
      <w:r>
        <w:rPr>
          <w:lang w:eastAsia="en-GB"/>
        </w:rPr>
        <w:t xml:space="preserve">First, the dissertation is based on secondary evidence rather than primary data. As a result, the synthesis depends on how the included studies conceptualise satisfaction, </w:t>
      </w:r>
      <w:r>
        <w:rPr>
          <w:lang w:eastAsia="en-GB"/>
        </w:rPr>
        <w:lastRenderedPageBreak/>
        <w:t>operationalise key constructs and report behavioural outcomes. The review can consolidate patterns and contrasts across studies, but it cannot resolve design limitations embedded in the primary evidence base (Page et al., 2021; Popay et al., 2006).</w:t>
      </w:r>
    </w:p>
    <w:p w14:paraId="02C2E5FA" w14:textId="77777777" w:rsidR="00F36CAC" w:rsidRDefault="00F36CAC" w:rsidP="00F36CAC">
      <w:pPr>
        <w:rPr>
          <w:lang w:eastAsia="en-GB"/>
        </w:rPr>
      </w:pPr>
      <w:r>
        <w:rPr>
          <w:lang w:eastAsia="en-GB"/>
        </w:rPr>
        <w:t>Second, the review scope is delimited by the post</w:t>
      </w:r>
      <w:r>
        <w:rPr>
          <w:rFonts w:ascii="Cambria Math" w:hAnsi="Cambria Math" w:cs="Cambria Math"/>
          <w:lang w:eastAsia="en-GB"/>
        </w:rPr>
        <w:t>‑</w:t>
      </w:r>
      <w:r>
        <w:rPr>
          <w:lang w:eastAsia="en-GB"/>
        </w:rPr>
        <w:t>COVID window (2021</w:t>
      </w:r>
      <w:r>
        <w:rPr>
          <w:rFonts w:cs="Arial"/>
          <w:lang w:eastAsia="en-GB"/>
        </w:rPr>
        <w:t>–</w:t>
      </w:r>
      <w:r>
        <w:rPr>
          <w:lang w:eastAsia="en-GB"/>
        </w:rPr>
        <w:t>2025) and by the inclusion of peer</w:t>
      </w:r>
      <w:r>
        <w:rPr>
          <w:rFonts w:ascii="Cambria Math" w:hAnsi="Cambria Math" w:cs="Cambria Math"/>
          <w:lang w:eastAsia="en-GB"/>
        </w:rPr>
        <w:t>‑</w:t>
      </w:r>
      <w:r>
        <w:rPr>
          <w:lang w:eastAsia="en-GB"/>
        </w:rPr>
        <w:t>reviewed English</w:t>
      </w:r>
      <w:r>
        <w:rPr>
          <w:rFonts w:ascii="Cambria Math" w:hAnsi="Cambria Math" w:cs="Cambria Math"/>
          <w:lang w:eastAsia="en-GB"/>
        </w:rPr>
        <w:t>‑</w:t>
      </w:r>
      <w:r>
        <w:rPr>
          <w:lang w:eastAsia="en-GB"/>
        </w:rPr>
        <w:t>language journal articles. This improves contextual coherence for post</w:t>
      </w:r>
      <w:r>
        <w:rPr>
          <w:rFonts w:ascii="Cambria Math" w:hAnsi="Cambria Math" w:cs="Cambria Math"/>
          <w:lang w:eastAsia="en-GB"/>
        </w:rPr>
        <w:t>‑</w:t>
      </w:r>
      <w:r>
        <w:rPr>
          <w:lang w:eastAsia="en-GB"/>
        </w:rPr>
        <w:t>COVID mass tourism, but it may exclude earlier theoretical foundations and non</w:t>
      </w:r>
      <w:r>
        <w:rPr>
          <w:rFonts w:ascii="Cambria Math" w:hAnsi="Cambria Math" w:cs="Cambria Math"/>
          <w:lang w:eastAsia="en-GB"/>
        </w:rPr>
        <w:t>‑</w:t>
      </w:r>
      <w:r>
        <w:rPr>
          <w:lang w:eastAsia="en-GB"/>
        </w:rPr>
        <w:t>English scholarship that could provide additional cultural or region-specific perspectives. The findings should therefore be interpreted as representing patterns within a contemporary post</w:t>
      </w:r>
      <w:r>
        <w:rPr>
          <w:rFonts w:ascii="Cambria Math" w:hAnsi="Cambria Math" w:cs="Cambria Math"/>
          <w:lang w:eastAsia="en-GB"/>
        </w:rPr>
        <w:t>‑</w:t>
      </w:r>
      <w:r>
        <w:rPr>
          <w:lang w:eastAsia="en-GB"/>
        </w:rPr>
        <w:t>COVID evidence window rather than a full historical account of the satisfaction literature (Page et al., 2021).</w:t>
      </w:r>
    </w:p>
    <w:p w14:paraId="09FD498B" w14:textId="77777777" w:rsidR="00F36CAC" w:rsidRDefault="00F36CAC" w:rsidP="00F36CAC">
      <w:pPr>
        <w:rPr>
          <w:lang w:eastAsia="en-GB"/>
        </w:rPr>
      </w:pPr>
      <w:r>
        <w:rPr>
          <w:lang w:eastAsia="en-GB"/>
        </w:rPr>
        <w:t>Third, database access constraints required Google Scholar to be used as the primary retrieval platform, supplemented by backward and forward citation tracking. While this strategy supports broad coverage in an interdisciplinary field, it may not provide the same controlled indexing and search reproducibility as multi</w:t>
      </w:r>
      <w:r>
        <w:rPr>
          <w:rFonts w:ascii="Cambria Math" w:hAnsi="Cambria Math" w:cs="Cambria Math"/>
          <w:lang w:eastAsia="en-GB"/>
        </w:rPr>
        <w:t>‑</w:t>
      </w:r>
      <w:r>
        <w:rPr>
          <w:lang w:eastAsia="en-GB"/>
        </w:rPr>
        <w:t>database designs (Booth, Sutton and Papaioannou, 2016). Consequently, the possibility of omission of relevant studies cannot be fully excluded, despite mitigation through citation chaining and transparent screening documentation (Page et al., 2021).</w:t>
      </w:r>
    </w:p>
    <w:p w14:paraId="54FB02EF" w14:textId="77777777" w:rsidR="00F36CAC" w:rsidRDefault="00F36CAC" w:rsidP="00F36CAC">
      <w:pPr>
        <w:rPr>
          <w:lang w:eastAsia="en-GB"/>
        </w:rPr>
      </w:pPr>
      <w:r>
        <w:rPr>
          <w:lang w:eastAsia="en-GB"/>
        </w:rPr>
        <w:t>Fourth, the included evidence base is dominated by cross</w:t>
      </w:r>
      <w:r>
        <w:rPr>
          <w:rFonts w:ascii="Cambria Math" w:hAnsi="Cambria Math" w:cs="Cambria Math"/>
          <w:lang w:eastAsia="en-GB"/>
        </w:rPr>
        <w:t>‑</w:t>
      </w:r>
      <w:r>
        <w:rPr>
          <w:lang w:eastAsia="en-GB"/>
        </w:rPr>
        <w:t>sectional, self</w:t>
      </w:r>
      <w:r>
        <w:rPr>
          <w:rFonts w:ascii="Cambria Math" w:hAnsi="Cambria Math" w:cs="Cambria Math"/>
          <w:lang w:eastAsia="en-GB"/>
        </w:rPr>
        <w:t>‑</w:t>
      </w:r>
      <w:r>
        <w:rPr>
          <w:lang w:eastAsia="en-GB"/>
        </w:rPr>
        <w:t>reported survey studies, most commonly modelled using SEM/PLS</w:t>
      </w:r>
      <w:r>
        <w:rPr>
          <w:rFonts w:ascii="Cambria Math" w:hAnsi="Cambria Math" w:cs="Cambria Math"/>
          <w:lang w:eastAsia="en-GB"/>
        </w:rPr>
        <w:t>‑</w:t>
      </w:r>
      <w:r>
        <w:rPr>
          <w:lang w:eastAsia="en-GB"/>
        </w:rPr>
        <w:t>SEM. This restricts causal inference and limits insight into how satisfaction, risk sensitivity and behavioural responses evolve over time, particularly across recovery phases and changing density pressure. The review therefore synthesises reported associations rather than establishing causal relationships (Page et al., 2021). In addition, the reliance on self-report designs increases exposure to common method bias, because predictors and outcomes are often measured in the same instrument and time window, which can inflate observed relationships.</w:t>
      </w:r>
    </w:p>
    <w:p w14:paraId="3CAC6674" w14:textId="77777777" w:rsidR="00F36CAC" w:rsidRDefault="00F36CAC" w:rsidP="00F36CAC">
      <w:pPr>
        <w:rPr>
          <w:lang w:eastAsia="en-GB"/>
        </w:rPr>
      </w:pPr>
      <w:r>
        <w:rPr>
          <w:lang w:eastAsia="en-GB"/>
        </w:rPr>
        <w:t>Fifth, publication bias remains a structural limitation in systematic reviews relying on peer</w:t>
      </w:r>
      <w:r>
        <w:rPr>
          <w:rFonts w:ascii="Cambria Math" w:hAnsi="Cambria Math" w:cs="Cambria Math"/>
          <w:lang w:eastAsia="en-GB"/>
        </w:rPr>
        <w:t>‑</w:t>
      </w:r>
      <w:r>
        <w:rPr>
          <w:lang w:eastAsia="en-GB"/>
        </w:rPr>
        <w:t>reviewed outlets, where statistically significant or expected relationships may be more likely to be published than null or contradictory findings. Although publication-bias tests are typically associated with meta</w:t>
      </w:r>
      <w:r>
        <w:rPr>
          <w:rFonts w:ascii="Cambria Math" w:hAnsi="Cambria Math" w:cs="Cambria Math"/>
          <w:lang w:eastAsia="en-GB"/>
        </w:rPr>
        <w:t>‑</w:t>
      </w:r>
      <w:r>
        <w:rPr>
          <w:lang w:eastAsia="en-GB"/>
        </w:rPr>
        <w:t>analysis and are not directly applicable to narrative synthesis, the risk remains relevant when interpreting the balance of available evidence (Egger et al., 1997; Booth, Sutton and Papaioannou, 2016). Related to this, excluding grey literature may reduce the visibility of practitioner reports, destination monitoring studies, and operational evaluations that could provide complementary insight into behavioural response under crowding pressure.</w:t>
      </w:r>
    </w:p>
    <w:p w14:paraId="3CE34050" w14:textId="77777777" w:rsidR="00F36CAC" w:rsidRDefault="00F36CAC" w:rsidP="00F36CAC">
      <w:pPr>
        <w:rPr>
          <w:lang w:eastAsia="en-GB"/>
        </w:rPr>
      </w:pPr>
      <w:r>
        <w:rPr>
          <w:lang w:eastAsia="en-GB"/>
        </w:rPr>
        <w:t>Sixth, the synthesis inherits heterogeneity in construct definitions and operationalisation across studies. Tourist satisfaction is not defined or measured consistently, and “loyalty” is often operationalised primarily through positive intentions. This limits the extent to which findings can be compared directly across contexts and instruments, and it constrains what can be generalised at a corpus level without strong equivalence evidence (Pérez</w:t>
      </w:r>
      <w:r>
        <w:rPr>
          <w:rFonts w:ascii="Cambria Math" w:hAnsi="Cambria Math" w:cs="Cambria Math"/>
          <w:lang w:eastAsia="en-GB"/>
        </w:rPr>
        <w:t>‑</w:t>
      </w:r>
      <w:r>
        <w:rPr>
          <w:lang w:eastAsia="en-GB"/>
        </w:rPr>
        <w:t>Campdesu</w:t>
      </w:r>
      <w:r>
        <w:rPr>
          <w:rFonts w:cs="Arial"/>
          <w:lang w:eastAsia="en-GB"/>
        </w:rPr>
        <w:t>ñ</w:t>
      </w:r>
      <w:r>
        <w:rPr>
          <w:lang w:eastAsia="en-GB"/>
        </w:rPr>
        <w:t xml:space="preserve">er et al., 2025). Narrative synthesis supports structured integration, but interpretive judgement </w:t>
      </w:r>
      <w:r>
        <w:rPr>
          <w:lang w:eastAsia="en-GB"/>
        </w:rPr>
        <w:lastRenderedPageBreak/>
        <w:t>remains necessary when mapping conceptually similar constructs across heterogeneous measurement sets (Popay et al., 2006).</w:t>
      </w:r>
    </w:p>
    <w:p w14:paraId="75272489" w14:textId="77777777" w:rsidR="00F36CAC" w:rsidRDefault="00F36CAC" w:rsidP="00F36CAC">
      <w:pPr>
        <w:rPr>
          <w:lang w:eastAsia="en-GB"/>
        </w:rPr>
      </w:pPr>
      <w:r>
        <w:rPr>
          <w:lang w:eastAsia="en-GB"/>
        </w:rPr>
        <w:t>Seventh, the conceptual focus on mass</w:t>
      </w:r>
      <w:r>
        <w:rPr>
          <w:rFonts w:ascii="Cambria Math" w:hAnsi="Cambria Math" w:cs="Cambria Math"/>
          <w:lang w:eastAsia="en-GB"/>
        </w:rPr>
        <w:t>‑</w:t>
      </w:r>
      <w:r>
        <w:rPr>
          <w:lang w:eastAsia="en-GB"/>
        </w:rPr>
        <w:t>tourism and high</w:t>
      </w:r>
      <w:r>
        <w:rPr>
          <w:rFonts w:ascii="Cambria Math" w:hAnsi="Cambria Math" w:cs="Cambria Math"/>
          <w:lang w:eastAsia="en-GB"/>
        </w:rPr>
        <w:t>‑</w:t>
      </w:r>
      <w:r>
        <w:rPr>
          <w:lang w:eastAsia="en-GB"/>
        </w:rPr>
        <w:t>density contexts limits generalisability to niche, low</w:t>
      </w:r>
      <w:r>
        <w:rPr>
          <w:rFonts w:ascii="Cambria Math" w:hAnsi="Cambria Math" w:cs="Cambria Math"/>
          <w:lang w:eastAsia="en-GB"/>
        </w:rPr>
        <w:t>‑</w:t>
      </w:r>
      <w:r>
        <w:rPr>
          <w:lang w:eastAsia="en-GB"/>
        </w:rPr>
        <w:t>density or specialist tourism settings. The dual</w:t>
      </w:r>
      <w:r>
        <w:rPr>
          <w:rFonts w:ascii="Cambria Math" w:hAnsi="Cambria Math" w:cs="Cambria Math"/>
          <w:lang w:eastAsia="en-GB"/>
        </w:rPr>
        <w:t>‑</w:t>
      </w:r>
      <w:r>
        <w:rPr>
          <w:lang w:eastAsia="en-GB"/>
        </w:rPr>
        <w:t>outcome orientation developed in this dissertation is most directly applicable where contextual pressure (crowding, overtourism strain and perceived risk) is salient and where behavioural responses may include resistance-oriented tendencies (Papadopoulou, Ribeiro and Prayag, 2023). Findings should therefore be transferred cautiously to contexts where crowding and post</w:t>
      </w:r>
      <w:r>
        <w:rPr>
          <w:rFonts w:ascii="Cambria Math" w:hAnsi="Cambria Math" w:cs="Cambria Math"/>
          <w:lang w:eastAsia="en-GB"/>
        </w:rPr>
        <w:t>‑</w:t>
      </w:r>
      <w:r>
        <w:rPr>
          <w:lang w:eastAsia="en-GB"/>
        </w:rPr>
        <w:t>COVID risk salience are structurally different.</w:t>
      </w:r>
    </w:p>
    <w:p w14:paraId="79B1960D" w14:textId="77777777" w:rsidR="00F36CAC" w:rsidRDefault="00F36CAC" w:rsidP="00F36CAC">
      <w:pPr>
        <w:rPr>
          <w:lang w:eastAsia="en-GB"/>
        </w:rPr>
      </w:pPr>
      <w:r>
        <w:rPr>
          <w:lang w:eastAsia="en-GB"/>
        </w:rPr>
        <w:t>Building on these limitations, several future research directions follow. First, empirical studies should test the dual</w:t>
      </w:r>
      <w:r>
        <w:rPr>
          <w:rFonts w:ascii="Cambria Math" w:hAnsi="Cambria Math" w:cs="Cambria Math"/>
          <w:lang w:eastAsia="en-GB"/>
        </w:rPr>
        <w:t>‑</w:t>
      </w:r>
      <w:r>
        <w:rPr>
          <w:lang w:eastAsia="en-GB"/>
        </w:rPr>
        <w:t>outcome orientation using primary data, specifying attraction-oriented intentions (revisit and recommendation) and resistance-oriented responses (avoidance, reluctance or objection) as distinct outcomes, and examining how these outcomes vary under different levels of perceived crowding and risk sensitivity (Papadopoulou, Ribeiro and Prayag, 2023; Gazi et al., 2024). Testing this framework across multiple destination types and across peak and off</w:t>
      </w:r>
      <w:r>
        <w:rPr>
          <w:rFonts w:ascii="Cambria Math" w:hAnsi="Cambria Math" w:cs="Cambria Math"/>
          <w:lang w:eastAsia="en-GB"/>
        </w:rPr>
        <w:t>‑</w:t>
      </w:r>
      <w:r>
        <w:rPr>
          <w:lang w:eastAsia="en-GB"/>
        </w:rPr>
        <w:t>peak periods would also help clarify whether behavioural asymmetry is context-specific or generalisable across mass-tourism forms.</w:t>
      </w:r>
    </w:p>
    <w:p w14:paraId="2CD65B59" w14:textId="77777777" w:rsidR="00F36CAC" w:rsidRDefault="00F36CAC" w:rsidP="00F36CAC">
      <w:pPr>
        <w:rPr>
          <w:lang w:eastAsia="en-GB"/>
        </w:rPr>
      </w:pPr>
      <w:r>
        <w:rPr>
          <w:lang w:eastAsia="en-GB"/>
        </w:rPr>
        <w:t>Second, future work should prioritise longitudinal and quasi</w:t>
      </w:r>
      <w:r>
        <w:rPr>
          <w:rFonts w:ascii="Cambria Math" w:hAnsi="Cambria Math" w:cs="Cambria Math"/>
          <w:lang w:eastAsia="en-GB"/>
        </w:rPr>
        <w:t>‑</w:t>
      </w:r>
      <w:r>
        <w:rPr>
          <w:lang w:eastAsia="en-GB"/>
        </w:rPr>
        <w:t>experimental designs to capture temporal dynamics in satisfaction formation and intention change across recovery phases and peak-demand conditions (Page et al., 2021). For example, repeated measurement designs could examine whether behavioural intentions decline during sustained crowding exposure even when satisfaction remains stable, and intervention studies could evaluate whether crowd management or information interventions restore perceived control and behavioural willingness.</w:t>
      </w:r>
    </w:p>
    <w:p w14:paraId="367B2B17" w14:textId="77777777" w:rsidR="00F36CAC" w:rsidRDefault="00F36CAC" w:rsidP="00F36CAC">
      <w:pPr>
        <w:rPr>
          <w:lang w:eastAsia="en-GB"/>
        </w:rPr>
      </w:pPr>
      <w:r>
        <w:rPr>
          <w:lang w:eastAsia="en-GB"/>
        </w:rPr>
        <w:t>Third, measurement development should address comparability directly. Future studies should incorporate explicit measurement equivalence testing across demographic groups and destination contexts, particularly for post</w:t>
      </w:r>
      <w:r>
        <w:rPr>
          <w:rFonts w:ascii="Cambria Math" w:hAnsi="Cambria Math" w:cs="Cambria Math"/>
          <w:lang w:eastAsia="en-GB"/>
        </w:rPr>
        <w:t>‑</w:t>
      </w:r>
      <w:r>
        <w:rPr>
          <w:lang w:eastAsia="en-GB"/>
        </w:rPr>
        <w:t>COVID salient items such as cleanliness, safety and personal space. Evidence of conditional validity in performance-only models reinforces the need for invariance testing before interpreting cross-group differences as substantive (P</w:t>
      </w:r>
      <w:r>
        <w:rPr>
          <w:rFonts w:cs="Arial"/>
          <w:lang w:eastAsia="en-GB"/>
        </w:rPr>
        <w:t>é</w:t>
      </w:r>
      <w:r>
        <w:rPr>
          <w:lang w:eastAsia="en-GB"/>
        </w:rPr>
        <w:t>rez</w:t>
      </w:r>
      <w:r>
        <w:rPr>
          <w:rFonts w:ascii="Cambria Math" w:hAnsi="Cambria Math" w:cs="Cambria Math"/>
          <w:lang w:eastAsia="en-GB"/>
        </w:rPr>
        <w:t>‑</w:t>
      </w:r>
      <w:r>
        <w:rPr>
          <w:lang w:eastAsia="en-GB"/>
        </w:rPr>
        <w:t>Campdesu</w:t>
      </w:r>
      <w:r>
        <w:rPr>
          <w:rFonts w:cs="Arial"/>
          <w:lang w:eastAsia="en-GB"/>
        </w:rPr>
        <w:t>ñ</w:t>
      </w:r>
      <w:r>
        <w:rPr>
          <w:lang w:eastAsia="en-GB"/>
        </w:rPr>
        <w:t>er et al., 2025; Vandenberg and Lance, 2000). Researchers should also improve transparency by reporting indicator content and validity evidence more consistently, enabling more reliable cross-study synthesis.</w:t>
      </w:r>
    </w:p>
    <w:p w14:paraId="2E30EF51" w14:textId="77777777" w:rsidR="00F36CAC" w:rsidRDefault="00F36CAC" w:rsidP="00F36CAC">
      <w:pPr>
        <w:rPr>
          <w:lang w:eastAsia="en-GB"/>
        </w:rPr>
      </w:pPr>
      <w:r>
        <w:rPr>
          <w:lang w:eastAsia="en-GB"/>
        </w:rPr>
        <w:t>Fourth, research should strengthen triangulation across data sources. Combining surveys with digital traces (UGC, sentiment, mobility proxies) and qualitative insight can improve contextual sensitivity, but only when construct mapping is explicit and limitations of representativeness and validity are stated clearly (De Marchi, Becarelli and Di Sarli, 2022; Yap et al., 2025). Future work should clarify which aspect of evaluation a given digital proxy captures (e.g., affective tone versus stable judgement) and should avoid treating sentiment as a direct substitute for satisfaction without calibration or triangulation.</w:t>
      </w:r>
    </w:p>
    <w:p w14:paraId="2659C7BA" w14:textId="77777777" w:rsidR="00F36CAC" w:rsidRDefault="00F36CAC" w:rsidP="00F36CAC">
      <w:pPr>
        <w:rPr>
          <w:lang w:eastAsia="en-GB"/>
        </w:rPr>
      </w:pPr>
      <w:r>
        <w:rPr>
          <w:lang w:eastAsia="en-GB"/>
        </w:rPr>
        <w:lastRenderedPageBreak/>
        <w:t>Fifth, qualitative and mixed-method research is needed to clarify the mechanisms underlying resistance-oriented responses, including how tourists interpret loss of control, crowding fatigue and uncertainty, and how these appraisals translate into avoidance or objection (Papadopoulou, Ribeiro and Prayag, 2023). Qualitative insight can also support better scale design by identifying context-specific cues that shift evaluative weighting in post</w:t>
      </w:r>
      <w:r>
        <w:rPr>
          <w:rFonts w:ascii="Cambria Math" w:hAnsi="Cambria Math" w:cs="Cambria Math"/>
          <w:lang w:eastAsia="en-GB"/>
        </w:rPr>
        <w:t>‑</w:t>
      </w:r>
      <w:r>
        <w:rPr>
          <w:lang w:eastAsia="en-GB"/>
        </w:rPr>
        <w:t>COVID settings.</w:t>
      </w:r>
    </w:p>
    <w:p w14:paraId="5AD91628" w14:textId="5D4FE11E" w:rsidR="00EA3057" w:rsidRDefault="00F36CAC" w:rsidP="00F36CAC">
      <w:pPr>
        <w:rPr>
          <w:lang w:eastAsia="en-GB"/>
        </w:rPr>
      </w:pPr>
      <w:r>
        <w:rPr>
          <w:lang w:eastAsia="en-GB"/>
        </w:rPr>
        <w:t>Overall, addressing these limitations through targeted empirical testing, stronger temporal designs, explicit equivalence procedures and triangulated evidence will support a more robust and cumulative understanding of tourist satisfaction and behavioural outcomes in post</w:t>
      </w:r>
      <w:r>
        <w:rPr>
          <w:rFonts w:ascii="Cambria Math" w:hAnsi="Cambria Math" w:cs="Cambria Math"/>
          <w:lang w:eastAsia="en-GB"/>
        </w:rPr>
        <w:t>‑</w:t>
      </w:r>
      <w:r>
        <w:rPr>
          <w:lang w:eastAsia="en-GB"/>
        </w:rPr>
        <w:t>COVID mass tourism (Page et al., 2021; P</w:t>
      </w:r>
      <w:r>
        <w:rPr>
          <w:rFonts w:cs="Arial"/>
          <w:lang w:eastAsia="en-GB"/>
        </w:rPr>
        <w:t>é</w:t>
      </w:r>
      <w:r>
        <w:rPr>
          <w:lang w:eastAsia="en-GB"/>
        </w:rPr>
        <w:t>rez</w:t>
      </w:r>
      <w:r>
        <w:rPr>
          <w:rFonts w:ascii="Cambria Math" w:hAnsi="Cambria Math" w:cs="Cambria Math"/>
          <w:lang w:eastAsia="en-GB"/>
        </w:rPr>
        <w:t>‑</w:t>
      </w:r>
      <w:r>
        <w:rPr>
          <w:lang w:eastAsia="en-GB"/>
        </w:rPr>
        <w:t>Campdesu</w:t>
      </w:r>
      <w:r>
        <w:rPr>
          <w:rFonts w:cs="Arial"/>
          <w:lang w:eastAsia="en-GB"/>
        </w:rPr>
        <w:t>ñ</w:t>
      </w:r>
      <w:r>
        <w:rPr>
          <w:lang w:eastAsia="en-GB"/>
        </w:rPr>
        <w:t>er et al., 2025).</w:t>
      </w:r>
    </w:p>
    <w:p w14:paraId="427717E1" w14:textId="77777777" w:rsidR="00EA3057" w:rsidRDefault="00EA3057" w:rsidP="0007556E">
      <w:pPr>
        <w:rPr>
          <w:lang w:eastAsia="en-GB"/>
        </w:rPr>
      </w:pPr>
    </w:p>
    <w:p w14:paraId="06991E09" w14:textId="77777777" w:rsidR="00FC7F02" w:rsidRDefault="00FC7F02" w:rsidP="0007556E">
      <w:pPr>
        <w:rPr>
          <w:lang w:eastAsia="en-GB"/>
        </w:rPr>
      </w:pPr>
    </w:p>
    <w:p w14:paraId="2158F054" w14:textId="77777777" w:rsidR="00FC7F02" w:rsidRDefault="00FC7F02" w:rsidP="0007556E">
      <w:pPr>
        <w:rPr>
          <w:lang w:eastAsia="en-GB"/>
        </w:rPr>
      </w:pPr>
    </w:p>
    <w:p w14:paraId="24FCFAD8" w14:textId="77777777" w:rsidR="00FC7F02" w:rsidRDefault="00FC7F02" w:rsidP="0007556E">
      <w:pPr>
        <w:rPr>
          <w:lang w:eastAsia="en-GB"/>
        </w:rPr>
      </w:pPr>
    </w:p>
    <w:p w14:paraId="24C25D5E" w14:textId="77777777" w:rsidR="00FC7F02" w:rsidRDefault="00FC7F02" w:rsidP="0007556E">
      <w:pPr>
        <w:rPr>
          <w:lang w:eastAsia="en-GB"/>
        </w:rPr>
      </w:pPr>
    </w:p>
    <w:p w14:paraId="6F8D2388" w14:textId="77777777" w:rsidR="00FC7F02" w:rsidRDefault="00FC7F02" w:rsidP="0007556E">
      <w:pPr>
        <w:rPr>
          <w:lang w:eastAsia="en-GB"/>
        </w:rPr>
      </w:pPr>
    </w:p>
    <w:p w14:paraId="77A73FA1" w14:textId="77777777" w:rsidR="00FC7F02" w:rsidRDefault="00FC7F02" w:rsidP="0007556E">
      <w:pPr>
        <w:rPr>
          <w:lang w:eastAsia="en-GB"/>
        </w:rPr>
      </w:pPr>
    </w:p>
    <w:p w14:paraId="11BEF3ED" w14:textId="77777777" w:rsidR="00FC7F02" w:rsidRDefault="00FC7F02" w:rsidP="0007556E">
      <w:pPr>
        <w:rPr>
          <w:lang w:eastAsia="en-GB"/>
        </w:rPr>
      </w:pPr>
    </w:p>
    <w:p w14:paraId="33DE8965" w14:textId="77777777" w:rsidR="00FC7F02" w:rsidRDefault="00FC7F02" w:rsidP="0007556E">
      <w:pPr>
        <w:rPr>
          <w:lang w:eastAsia="en-GB"/>
        </w:rPr>
      </w:pPr>
    </w:p>
    <w:p w14:paraId="516A11B1" w14:textId="77777777" w:rsidR="00FC7F02" w:rsidRDefault="00FC7F02" w:rsidP="0007556E">
      <w:pPr>
        <w:rPr>
          <w:lang w:eastAsia="en-GB"/>
        </w:rPr>
      </w:pPr>
    </w:p>
    <w:p w14:paraId="1EA500CA" w14:textId="77777777" w:rsidR="00FC7F02" w:rsidRDefault="00FC7F02" w:rsidP="0007556E">
      <w:pPr>
        <w:rPr>
          <w:lang w:eastAsia="en-GB"/>
        </w:rPr>
      </w:pPr>
    </w:p>
    <w:p w14:paraId="6350DD4D" w14:textId="77777777" w:rsidR="00FC7F02" w:rsidRDefault="00FC7F02" w:rsidP="0007556E">
      <w:pPr>
        <w:rPr>
          <w:lang w:eastAsia="en-GB"/>
        </w:rPr>
      </w:pPr>
    </w:p>
    <w:p w14:paraId="40DC9E3D" w14:textId="77777777" w:rsidR="00FC7F02" w:rsidRDefault="00FC7F02" w:rsidP="0007556E">
      <w:pPr>
        <w:rPr>
          <w:lang w:eastAsia="en-GB"/>
        </w:rPr>
      </w:pPr>
    </w:p>
    <w:p w14:paraId="7D3F7341" w14:textId="77777777" w:rsidR="00FC7F02" w:rsidRDefault="00FC7F02" w:rsidP="0007556E">
      <w:pPr>
        <w:rPr>
          <w:lang w:eastAsia="en-GB"/>
        </w:rPr>
      </w:pPr>
    </w:p>
    <w:p w14:paraId="6BBB80EE" w14:textId="77777777" w:rsidR="00FC7F02" w:rsidRDefault="00FC7F02" w:rsidP="0007556E">
      <w:pPr>
        <w:rPr>
          <w:lang w:eastAsia="en-GB"/>
        </w:rPr>
      </w:pPr>
    </w:p>
    <w:p w14:paraId="3DF6DC94" w14:textId="77777777" w:rsidR="00FC7F02" w:rsidRDefault="00FC7F02" w:rsidP="0007556E">
      <w:pPr>
        <w:rPr>
          <w:lang w:eastAsia="en-GB"/>
        </w:rPr>
      </w:pPr>
    </w:p>
    <w:p w14:paraId="6B7CBDB6" w14:textId="77777777" w:rsidR="00FC7F02" w:rsidRDefault="00FC7F02" w:rsidP="0007556E">
      <w:pPr>
        <w:rPr>
          <w:lang w:eastAsia="en-GB"/>
        </w:rPr>
      </w:pPr>
    </w:p>
    <w:p w14:paraId="233CF762" w14:textId="77777777" w:rsidR="00FC7F02" w:rsidRDefault="00FC7F02" w:rsidP="0007556E">
      <w:pPr>
        <w:rPr>
          <w:lang w:eastAsia="en-GB"/>
        </w:rPr>
      </w:pPr>
    </w:p>
    <w:p w14:paraId="338F810A" w14:textId="77777777" w:rsidR="00FC7F02" w:rsidRDefault="00FC7F02" w:rsidP="0007556E">
      <w:pPr>
        <w:rPr>
          <w:lang w:eastAsia="en-GB"/>
        </w:rPr>
      </w:pPr>
    </w:p>
    <w:p w14:paraId="429B127C" w14:textId="77777777" w:rsidR="00FC7F02" w:rsidRDefault="00FC7F02" w:rsidP="0007556E">
      <w:pPr>
        <w:rPr>
          <w:lang w:eastAsia="en-GB"/>
        </w:rPr>
      </w:pPr>
    </w:p>
    <w:p w14:paraId="76AA1D62" w14:textId="77777777" w:rsidR="00FC7F02" w:rsidRDefault="00FC7F02" w:rsidP="0007556E">
      <w:pPr>
        <w:rPr>
          <w:lang w:eastAsia="en-GB"/>
        </w:rPr>
      </w:pPr>
    </w:p>
    <w:p w14:paraId="03574387" w14:textId="77777777" w:rsidR="0068589C" w:rsidRDefault="0068589C" w:rsidP="0068589C">
      <w:pPr>
        <w:pStyle w:val="Heading1"/>
        <w:rPr>
          <w:lang w:eastAsia="en-GB"/>
        </w:rPr>
      </w:pPr>
      <w:bookmarkStart w:id="41" w:name="_Toc228889961"/>
      <w:r w:rsidRPr="0068589C">
        <w:rPr>
          <w:lang w:eastAsia="en-GB"/>
        </w:rPr>
        <w:lastRenderedPageBreak/>
        <w:t>Chapter 6: Conclusion</w:t>
      </w:r>
      <w:bookmarkEnd w:id="41"/>
    </w:p>
    <w:p w14:paraId="702ACD97" w14:textId="77777777" w:rsidR="00C77F3D" w:rsidRPr="00C77F3D" w:rsidRDefault="00C77F3D" w:rsidP="00C77F3D">
      <w:pPr>
        <w:rPr>
          <w:lang w:eastAsia="en-GB"/>
        </w:rPr>
      </w:pPr>
    </w:p>
    <w:p w14:paraId="4C5F42A8" w14:textId="77777777" w:rsidR="00C77F3D" w:rsidRDefault="00C77F3D" w:rsidP="00C77F3D">
      <w:pPr>
        <w:pStyle w:val="Heading2"/>
        <w:rPr>
          <w:lang w:eastAsia="en-GB"/>
        </w:rPr>
      </w:pPr>
      <w:bookmarkStart w:id="42" w:name="_Toc228889962"/>
      <w:r>
        <w:rPr>
          <w:lang w:eastAsia="en-GB"/>
        </w:rPr>
        <w:t>6.1 Summary of the study</w:t>
      </w:r>
      <w:bookmarkEnd w:id="42"/>
    </w:p>
    <w:p w14:paraId="499EF703" w14:textId="77777777" w:rsidR="008E0343" w:rsidRDefault="008E0343" w:rsidP="008E0343">
      <w:pPr>
        <w:rPr>
          <w:lang w:eastAsia="en-GB"/>
        </w:rPr>
      </w:pPr>
      <w:r>
        <w:rPr>
          <w:lang w:eastAsia="en-GB"/>
        </w:rPr>
        <w:t>This dissertation examined tourist satisfaction and its relationship with behavioural outcomes in post</w:t>
      </w:r>
      <w:r>
        <w:rPr>
          <w:rFonts w:ascii="Cambria Math" w:hAnsi="Cambria Math" w:cs="Cambria Math"/>
          <w:lang w:eastAsia="en-GB"/>
        </w:rPr>
        <w:t>‑</w:t>
      </w:r>
      <w:r>
        <w:rPr>
          <w:lang w:eastAsia="en-GB"/>
        </w:rPr>
        <w:t>COVID mass</w:t>
      </w:r>
      <w:r>
        <w:rPr>
          <w:rFonts w:ascii="Cambria Math" w:hAnsi="Cambria Math" w:cs="Cambria Math"/>
          <w:lang w:eastAsia="en-GB"/>
        </w:rPr>
        <w:t>‑</w:t>
      </w:r>
      <w:r>
        <w:rPr>
          <w:lang w:eastAsia="en-GB"/>
        </w:rPr>
        <w:t>tourism contexts using a systematic literature review. The study was guided by three research questions that addressed how satisfaction is conceptualised (RQ1), how it is measured (RQ2), and how contextual pressures influence behavioural responses (RQ3). The review synthesised evidence from 52 peer</w:t>
      </w:r>
      <w:r>
        <w:rPr>
          <w:rFonts w:ascii="Cambria Math" w:hAnsi="Cambria Math" w:cs="Cambria Math"/>
          <w:lang w:eastAsia="en-GB"/>
        </w:rPr>
        <w:t>‑</w:t>
      </w:r>
      <w:r>
        <w:rPr>
          <w:lang w:eastAsia="en-GB"/>
        </w:rPr>
        <w:t>reviewed studies published between 2021 and 2025 within mass</w:t>
      </w:r>
      <w:r>
        <w:rPr>
          <w:rFonts w:ascii="Cambria Math" w:hAnsi="Cambria Math" w:cs="Cambria Math"/>
          <w:lang w:eastAsia="en-GB"/>
        </w:rPr>
        <w:t>‑</w:t>
      </w:r>
      <w:r>
        <w:rPr>
          <w:lang w:eastAsia="en-GB"/>
        </w:rPr>
        <w:t>tourism settings.</w:t>
      </w:r>
    </w:p>
    <w:p w14:paraId="7276FFE9" w14:textId="77777777" w:rsidR="008E0343" w:rsidRDefault="008E0343" w:rsidP="008E0343">
      <w:pPr>
        <w:rPr>
          <w:lang w:eastAsia="en-GB"/>
        </w:rPr>
      </w:pPr>
      <w:r>
        <w:rPr>
          <w:lang w:eastAsia="en-GB"/>
        </w:rPr>
        <w:t>Overall, the synthesis indicates that tourist satisfaction is increasingly treated as an experiential and context-sensitive appraisal rather than a purely performance-driven score. In post</w:t>
      </w:r>
      <w:r>
        <w:rPr>
          <w:rFonts w:ascii="Cambria Math" w:hAnsi="Cambria Math" w:cs="Cambria Math"/>
          <w:lang w:eastAsia="en-GB"/>
        </w:rPr>
        <w:t>‑</w:t>
      </w:r>
      <w:r>
        <w:rPr>
          <w:lang w:eastAsia="en-GB"/>
        </w:rPr>
        <w:t>COVID settings, evaluation is shaped by situational conditions, including perceived crowding and risk sensitivity. Safety and hygiene cues are therefore more visible within satisfaction formation than in many pre</w:t>
      </w:r>
      <w:r>
        <w:rPr>
          <w:rFonts w:ascii="Cambria Math" w:hAnsi="Cambria Math" w:cs="Cambria Math"/>
          <w:lang w:eastAsia="en-GB"/>
        </w:rPr>
        <w:t>‑</w:t>
      </w:r>
      <w:r>
        <w:rPr>
          <w:lang w:eastAsia="en-GB"/>
        </w:rPr>
        <w:t>pandemic models.</w:t>
      </w:r>
    </w:p>
    <w:p w14:paraId="5A4474F8" w14:textId="77777777" w:rsidR="008E0343" w:rsidRDefault="008E0343" w:rsidP="008E0343">
      <w:pPr>
        <w:rPr>
          <w:lang w:eastAsia="en-GB"/>
        </w:rPr>
      </w:pPr>
      <w:r>
        <w:rPr>
          <w:lang w:eastAsia="en-GB"/>
        </w:rPr>
        <w:t>In relation to measurement, the evidence base remains dominated by survey-based approaches, most commonly using multi-item scales and structural modelling techniques. At the same time, instruments and indicator sets differ across studies. This limits cross-study comparability and means that “satisfaction” does not always represent an equivalent construct across contexts and visitor segments. Digital and hybrid approaches (e.g., UGC and sentiment signals) add additional perspectives, but they also introduce validity and representativeness constraints when treated as proxies for satisfaction.</w:t>
      </w:r>
    </w:p>
    <w:p w14:paraId="0F483A85" w14:textId="77777777" w:rsidR="008E0343" w:rsidRDefault="008E0343" w:rsidP="008E0343">
      <w:pPr>
        <w:rPr>
          <w:lang w:eastAsia="en-GB"/>
        </w:rPr>
      </w:pPr>
      <w:r>
        <w:rPr>
          <w:lang w:eastAsia="en-GB"/>
        </w:rPr>
        <w:t>Finally, the synthesis suggests that behavioural outcomes do not always follow a simple linear pattern from satisfaction to loyalty intentions. In high-density contexts, contextual pressures can weaken revisit and recommendation intentions even when overall satisfaction remains acceptable. This supports a more conditional reading of tourist behaviour under crowding and uncertainty.</w:t>
      </w:r>
    </w:p>
    <w:p w14:paraId="62712FCC" w14:textId="60F9AD6C" w:rsidR="006546F0" w:rsidRDefault="008E0343" w:rsidP="008E0343">
      <w:pPr>
        <w:rPr>
          <w:lang w:eastAsia="en-GB"/>
        </w:rPr>
      </w:pPr>
      <w:r>
        <w:rPr>
          <w:lang w:eastAsia="en-GB"/>
        </w:rPr>
        <w:t>Together, these findings provide an integrated view of how satisfaction, context and behavioural response interact in post</w:t>
      </w:r>
      <w:r>
        <w:rPr>
          <w:rFonts w:ascii="Cambria Math" w:hAnsi="Cambria Math" w:cs="Cambria Math"/>
          <w:lang w:eastAsia="en-GB"/>
        </w:rPr>
        <w:t>‑</w:t>
      </w:r>
      <w:r>
        <w:rPr>
          <w:lang w:eastAsia="en-GB"/>
        </w:rPr>
        <w:t>COVID mass tourism and prepare the ground for the dissertation</w:t>
      </w:r>
      <w:r>
        <w:rPr>
          <w:rFonts w:cs="Arial"/>
          <w:lang w:eastAsia="en-GB"/>
        </w:rPr>
        <w:t>’</w:t>
      </w:r>
      <w:r>
        <w:rPr>
          <w:lang w:eastAsia="en-GB"/>
        </w:rPr>
        <w:t>s key contributions summarised in Section 6.2.</w:t>
      </w:r>
    </w:p>
    <w:p w14:paraId="29B4E0CB" w14:textId="77777777" w:rsidR="006546F0" w:rsidRDefault="006546F0" w:rsidP="006546F0">
      <w:pPr>
        <w:pStyle w:val="Heading2"/>
        <w:rPr>
          <w:lang w:eastAsia="en-GB"/>
        </w:rPr>
      </w:pPr>
      <w:bookmarkStart w:id="43" w:name="_Toc228889963"/>
      <w:r>
        <w:rPr>
          <w:lang w:eastAsia="en-GB"/>
        </w:rPr>
        <w:t>6.2 Key contributions</w:t>
      </w:r>
      <w:bookmarkEnd w:id="43"/>
    </w:p>
    <w:p w14:paraId="5BBE4A64" w14:textId="77777777" w:rsidR="00D91BC0" w:rsidRPr="00D91BC0" w:rsidRDefault="00D91BC0" w:rsidP="00257CA9">
      <w:pPr>
        <w:rPr>
          <w:lang w:eastAsia="en-GB"/>
        </w:rPr>
      </w:pPr>
      <w:bookmarkStart w:id="44" w:name="_Toc228889964"/>
      <w:r w:rsidRPr="00D91BC0">
        <w:rPr>
          <w:lang w:eastAsia="en-GB"/>
        </w:rPr>
        <w:t>This dissertation makes several contributions to understanding tourist satisfaction and behavioural outcomes in post</w:t>
      </w:r>
      <w:r w:rsidRPr="00D91BC0">
        <w:rPr>
          <w:rFonts w:ascii="Cambria Math" w:hAnsi="Cambria Math" w:cs="Cambria Math"/>
          <w:lang w:eastAsia="en-GB"/>
        </w:rPr>
        <w:t>‑</w:t>
      </w:r>
      <w:r w:rsidRPr="00D91BC0">
        <w:rPr>
          <w:lang w:eastAsia="en-GB"/>
        </w:rPr>
        <w:t>COVID mass</w:t>
      </w:r>
      <w:r w:rsidRPr="00D91BC0">
        <w:rPr>
          <w:rFonts w:ascii="Cambria Math" w:hAnsi="Cambria Math" w:cs="Cambria Math"/>
          <w:lang w:eastAsia="en-GB"/>
        </w:rPr>
        <w:t>‑</w:t>
      </w:r>
      <w:r w:rsidRPr="00D91BC0">
        <w:rPr>
          <w:lang w:eastAsia="en-GB"/>
        </w:rPr>
        <w:t>tourism contexts. The contributions do not claim a new grand theory. Instead, they refine existing satisfaction and loyalty perspectives by integrating conceptual, methodological and contextual dimensions that are often treated separately in the literature.</w:t>
      </w:r>
    </w:p>
    <w:p w14:paraId="2E38C249" w14:textId="77777777" w:rsidR="00D91BC0" w:rsidRPr="00D91BC0" w:rsidRDefault="00D91BC0" w:rsidP="00257CA9">
      <w:pPr>
        <w:rPr>
          <w:lang w:eastAsia="en-GB"/>
        </w:rPr>
      </w:pPr>
      <w:r w:rsidRPr="00D91BC0">
        <w:rPr>
          <w:lang w:eastAsia="en-GB"/>
        </w:rPr>
        <w:t>First, the dissertation contributes conceptually by positioning tourist satisfaction as a context</w:t>
      </w:r>
      <w:r w:rsidRPr="00D91BC0">
        <w:rPr>
          <w:rFonts w:ascii="Cambria Math" w:hAnsi="Cambria Math" w:cs="Cambria Math"/>
          <w:lang w:eastAsia="en-GB"/>
        </w:rPr>
        <w:t>‑</w:t>
      </w:r>
      <w:r w:rsidRPr="00D91BC0">
        <w:rPr>
          <w:lang w:eastAsia="en-GB"/>
        </w:rPr>
        <w:t>sensitive and experience</w:t>
      </w:r>
      <w:r w:rsidRPr="00D91BC0">
        <w:rPr>
          <w:rFonts w:ascii="Cambria Math" w:hAnsi="Cambria Math" w:cs="Cambria Math"/>
          <w:lang w:eastAsia="en-GB"/>
        </w:rPr>
        <w:t>‑</w:t>
      </w:r>
      <w:r w:rsidRPr="00D91BC0">
        <w:rPr>
          <w:lang w:eastAsia="en-GB"/>
        </w:rPr>
        <w:t xml:space="preserve">based evaluation rather than a purely performance-driven score. This framing recognises that satisfaction judgements can </w:t>
      </w:r>
      <w:r w:rsidRPr="00D91BC0">
        <w:rPr>
          <w:lang w:eastAsia="en-GB"/>
        </w:rPr>
        <w:lastRenderedPageBreak/>
        <w:t>be shaped by situational conditions such as perceived crowding, risk sensitivity and digitally mediated interaction. As a result, satisfaction cannot be assumed to operate as a stable or universally comparable construct across destinations and visitor segments.</w:t>
      </w:r>
    </w:p>
    <w:p w14:paraId="528229D5" w14:textId="77777777" w:rsidR="00D91BC0" w:rsidRPr="00D91BC0" w:rsidRDefault="00D91BC0" w:rsidP="00257CA9">
      <w:pPr>
        <w:rPr>
          <w:lang w:eastAsia="en-GB"/>
        </w:rPr>
      </w:pPr>
      <w:r w:rsidRPr="00D91BC0">
        <w:rPr>
          <w:lang w:eastAsia="en-GB"/>
        </w:rPr>
        <w:t>Second, the dissertation contributes by clarifying that the satisfaction–behaviour relationship is conditional rather than uniformly linear in high</w:t>
      </w:r>
      <w:r w:rsidRPr="00D91BC0">
        <w:rPr>
          <w:rFonts w:ascii="Cambria Math" w:hAnsi="Cambria Math" w:cs="Cambria Math"/>
          <w:lang w:eastAsia="en-GB"/>
        </w:rPr>
        <w:t>‑</w:t>
      </w:r>
      <w:r w:rsidRPr="00D91BC0">
        <w:rPr>
          <w:lang w:eastAsia="en-GB"/>
        </w:rPr>
        <w:t>density post</w:t>
      </w:r>
      <w:r w:rsidRPr="00D91BC0">
        <w:rPr>
          <w:rFonts w:ascii="Cambria Math" w:hAnsi="Cambria Math" w:cs="Cambria Math"/>
          <w:lang w:eastAsia="en-GB"/>
        </w:rPr>
        <w:t>‑</w:t>
      </w:r>
      <w:r w:rsidRPr="00D91BC0">
        <w:rPr>
          <w:lang w:eastAsia="en-GB"/>
        </w:rPr>
        <w:t>COVID environments. The synthesis indicates that contextual pressures, especially crowding and perceived risk, can weaken revisit and recommendation intentions even when overall satisfaction remains acceptable. This challenges the assumption that satisfaction reliably predicts positive behavioural outcomes and supports a more careful interpretation of intention formation under contextual constraints.</w:t>
      </w:r>
    </w:p>
    <w:p w14:paraId="668BBCDF" w14:textId="77777777" w:rsidR="00D91BC0" w:rsidRPr="00D91BC0" w:rsidRDefault="00D91BC0" w:rsidP="00257CA9">
      <w:pPr>
        <w:rPr>
          <w:lang w:eastAsia="en-GB"/>
        </w:rPr>
      </w:pPr>
      <w:r w:rsidRPr="00D91BC0">
        <w:rPr>
          <w:lang w:eastAsia="en-GB"/>
        </w:rPr>
        <w:t>Third, the primary contribution of the dissertation is the development of a dual</w:t>
      </w:r>
      <w:r w:rsidRPr="00D91BC0">
        <w:rPr>
          <w:rFonts w:ascii="Cambria Math" w:hAnsi="Cambria Math" w:cs="Cambria Math"/>
          <w:lang w:eastAsia="en-GB"/>
        </w:rPr>
        <w:t>‑</w:t>
      </w:r>
      <w:r w:rsidRPr="00D91BC0">
        <w:rPr>
          <w:lang w:eastAsia="en-GB"/>
        </w:rPr>
        <w:t>outcome perspective on behavioural response. Rather than treating loyalty as a single positive construct, the dissertation distinguishes attraction</w:t>
      </w:r>
      <w:r w:rsidRPr="00D91BC0">
        <w:rPr>
          <w:rFonts w:ascii="Cambria Math" w:hAnsi="Cambria Math" w:cs="Cambria Math"/>
          <w:lang w:eastAsia="en-GB"/>
        </w:rPr>
        <w:t>‑</w:t>
      </w:r>
      <w:r w:rsidRPr="00D91BC0">
        <w:rPr>
          <w:lang w:eastAsia="en-GB"/>
        </w:rPr>
        <w:t>oriented intentions (revisit and recommendation) from resistance</w:t>
      </w:r>
      <w:r w:rsidRPr="00D91BC0">
        <w:rPr>
          <w:rFonts w:ascii="Cambria Math" w:hAnsi="Cambria Math" w:cs="Cambria Math"/>
          <w:lang w:eastAsia="en-GB"/>
        </w:rPr>
        <w:t>‑</w:t>
      </w:r>
      <w:r w:rsidRPr="00D91BC0">
        <w:rPr>
          <w:lang w:eastAsia="en-GB"/>
        </w:rPr>
        <w:t>oriented responses (avoidance, reluctance or objection). This distinction offers a clearer framework for understanding behavioural asymmetry in mass</w:t>
      </w:r>
      <w:r w:rsidRPr="00D91BC0">
        <w:rPr>
          <w:rFonts w:ascii="Cambria Math" w:hAnsi="Cambria Math" w:cs="Cambria Math"/>
          <w:lang w:eastAsia="en-GB"/>
        </w:rPr>
        <w:t>‑</w:t>
      </w:r>
      <w:r w:rsidRPr="00D91BC0">
        <w:rPr>
          <w:lang w:eastAsia="en-GB"/>
        </w:rPr>
        <w:t>tourism contexts and provides a more realistic representation of how tourists respond to contextual pressure. It also refines satisfaction–loyalty modelling by treating negative behavioural tendencies as analytically distinct outcomes rather than as the simple absence of positive loyalty.</w:t>
      </w:r>
    </w:p>
    <w:p w14:paraId="19D9B7D1" w14:textId="77777777" w:rsidR="00D91BC0" w:rsidRPr="00D91BC0" w:rsidRDefault="00D91BC0" w:rsidP="00257CA9">
      <w:pPr>
        <w:rPr>
          <w:lang w:eastAsia="en-GB"/>
        </w:rPr>
      </w:pPr>
      <w:r w:rsidRPr="00D91BC0">
        <w:rPr>
          <w:lang w:eastAsia="en-GB"/>
        </w:rPr>
        <w:t>Fourth, the dissertation contributes methodologically by highlighting how measurement diversity and limited comparability constrain what can be generalised across studies. Satisfaction is operationalised using heterogeneous instruments and indicator sets, which limits cross</w:t>
      </w:r>
      <w:r w:rsidRPr="00D91BC0">
        <w:rPr>
          <w:rFonts w:ascii="Cambria Math" w:hAnsi="Cambria Math" w:cs="Cambria Math"/>
          <w:lang w:eastAsia="en-GB"/>
        </w:rPr>
        <w:t>‑</w:t>
      </w:r>
      <w:r w:rsidRPr="00D91BC0">
        <w:rPr>
          <w:lang w:eastAsia="en-GB"/>
        </w:rPr>
        <w:t>study comparison, particularly when equivalence is not tested. By foregrounding construct clarity, measurement equivalence and the limitations of digital proxies, the dissertation reinforces that measurement assumptions function as boundary conditions for theoretical claims, especially in post</w:t>
      </w:r>
      <w:r w:rsidRPr="00D91BC0">
        <w:rPr>
          <w:rFonts w:ascii="Cambria Math" w:hAnsi="Cambria Math" w:cs="Cambria Math"/>
          <w:lang w:eastAsia="en-GB"/>
        </w:rPr>
        <w:t>‑</w:t>
      </w:r>
      <w:r w:rsidRPr="00D91BC0">
        <w:rPr>
          <w:lang w:eastAsia="en-GB"/>
        </w:rPr>
        <w:t>COVID research where safety and risk cues are incorporated unevenly.</w:t>
      </w:r>
    </w:p>
    <w:p w14:paraId="506D899E" w14:textId="77777777" w:rsidR="00D91BC0" w:rsidRPr="00D91BC0" w:rsidRDefault="00D91BC0" w:rsidP="00257CA9">
      <w:pPr>
        <w:rPr>
          <w:lang w:eastAsia="en-GB"/>
        </w:rPr>
      </w:pPr>
      <w:r w:rsidRPr="00D91BC0">
        <w:rPr>
          <w:lang w:eastAsia="en-GB"/>
        </w:rPr>
        <w:t>Fifth, the dissertation contributes to research practice by supporting a more integrated and context</w:t>
      </w:r>
      <w:r w:rsidRPr="00D91BC0">
        <w:rPr>
          <w:rFonts w:ascii="Cambria Math" w:hAnsi="Cambria Math" w:cs="Cambria Math"/>
          <w:lang w:eastAsia="en-GB"/>
        </w:rPr>
        <w:t>‑</w:t>
      </w:r>
      <w:r w:rsidRPr="00D91BC0">
        <w:rPr>
          <w:lang w:eastAsia="en-GB"/>
        </w:rPr>
        <w:t>aware approach to studying tourist experience. The synthesis highlights the value of triangulation, combining survey measures with digital and qualitative evidence, and of incorporating contextual variables explicitly into analytical models. This approach provides a more comprehensive basis for explaining how satisfaction is formed and how it translates into behavioural outcomes under uncertainty and density pressure.</w:t>
      </w:r>
    </w:p>
    <w:p w14:paraId="2EDB43F5" w14:textId="77777777" w:rsidR="00D91BC0" w:rsidRDefault="00D91BC0" w:rsidP="00257CA9">
      <w:pPr>
        <w:rPr>
          <w:lang w:eastAsia="en-GB"/>
        </w:rPr>
      </w:pPr>
      <w:r w:rsidRPr="00D91BC0">
        <w:rPr>
          <w:lang w:eastAsia="en-GB"/>
        </w:rPr>
        <w:t>Finally, the dissertation contributes by clarifying contextual pressure as a boundary condition in contemporary tourism research. Factors such as crowding and perceived risk do not simply add explanatory variables; they can reshape both evaluative processes and behavioural outcomes. This supports a shift from static satisfaction models towards more dynamic, context</w:t>
      </w:r>
      <w:r w:rsidRPr="00D91BC0">
        <w:rPr>
          <w:rFonts w:ascii="Cambria Math" w:hAnsi="Cambria Math" w:cs="Cambria Math"/>
          <w:lang w:eastAsia="en-GB"/>
        </w:rPr>
        <w:t>‑</w:t>
      </w:r>
      <w:r w:rsidRPr="00D91BC0">
        <w:rPr>
          <w:lang w:eastAsia="en-GB"/>
        </w:rPr>
        <w:t>sensitive frameworks that better reflect mass</w:t>
      </w:r>
      <w:r w:rsidRPr="00D91BC0">
        <w:rPr>
          <w:rFonts w:ascii="Cambria Math" w:hAnsi="Cambria Math" w:cs="Cambria Math"/>
          <w:lang w:eastAsia="en-GB"/>
        </w:rPr>
        <w:t>‑</w:t>
      </w:r>
      <w:r w:rsidRPr="00D91BC0">
        <w:rPr>
          <w:lang w:eastAsia="en-GB"/>
        </w:rPr>
        <w:t>tourism environments characterised by variability, uncertainty and high visitor density.</w:t>
      </w:r>
    </w:p>
    <w:p w14:paraId="5D30F130" w14:textId="13CCB227" w:rsidR="00E0048E" w:rsidRDefault="00E0048E" w:rsidP="00D91BC0">
      <w:pPr>
        <w:pStyle w:val="Heading2"/>
        <w:rPr>
          <w:lang w:eastAsia="en-GB"/>
        </w:rPr>
      </w:pPr>
      <w:r>
        <w:rPr>
          <w:lang w:eastAsia="en-GB"/>
        </w:rPr>
        <w:lastRenderedPageBreak/>
        <w:t>6.3 Final concluding remarks</w:t>
      </w:r>
      <w:bookmarkEnd w:id="44"/>
    </w:p>
    <w:p w14:paraId="0F70C7FA" w14:textId="77777777" w:rsidR="00DB439C" w:rsidRDefault="00DB439C" w:rsidP="00DB439C">
      <w:pPr>
        <w:rPr>
          <w:lang w:eastAsia="en-GB"/>
        </w:rPr>
      </w:pPr>
      <w:r>
        <w:rPr>
          <w:lang w:eastAsia="en-GB"/>
        </w:rPr>
        <w:t>This dissertation examined how tourist satisfaction operates in post</w:t>
      </w:r>
      <w:r>
        <w:rPr>
          <w:rFonts w:ascii="Cambria Math" w:hAnsi="Cambria Math" w:cs="Cambria Math"/>
          <w:lang w:eastAsia="en-GB"/>
        </w:rPr>
        <w:t>‑</w:t>
      </w:r>
      <w:r>
        <w:rPr>
          <w:lang w:eastAsia="en-GB"/>
        </w:rPr>
        <w:t>COVID mass</w:t>
      </w:r>
      <w:r>
        <w:rPr>
          <w:rFonts w:ascii="Cambria Math" w:hAnsi="Cambria Math" w:cs="Cambria Math"/>
          <w:lang w:eastAsia="en-GB"/>
        </w:rPr>
        <w:t>‑</w:t>
      </w:r>
      <w:r>
        <w:rPr>
          <w:lang w:eastAsia="en-GB"/>
        </w:rPr>
        <w:t>tourism contexts and how contextual pressures shape behavioural outcomes. The synthesis indicates that satisfaction should not be treated as a standalone performance indicator. It is better interpreted alongside the conditions in which experiences occur, particularly crowding pressure and risk sensitivity.</w:t>
      </w:r>
    </w:p>
    <w:p w14:paraId="74B476CB" w14:textId="77777777" w:rsidR="00DB439C" w:rsidRDefault="00DB439C" w:rsidP="00DB439C">
      <w:pPr>
        <w:rPr>
          <w:lang w:eastAsia="en-GB"/>
        </w:rPr>
      </w:pPr>
      <w:r>
        <w:rPr>
          <w:lang w:eastAsia="en-GB"/>
        </w:rPr>
        <w:t>The study highlights that behavioural responses depend not only on overall evaluation but also on situational constraints and perceived control. Under high</w:t>
      </w:r>
      <w:r>
        <w:rPr>
          <w:rFonts w:ascii="Cambria Math" w:hAnsi="Cambria Math" w:cs="Cambria Math"/>
          <w:lang w:eastAsia="en-GB"/>
        </w:rPr>
        <w:t>‑</w:t>
      </w:r>
      <w:r>
        <w:rPr>
          <w:lang w:eastAsia="en-GB"/>
        </w:rPr>
        <w:t>density conditions, visitors may evaluate parts of the experience positively while still adjusting future intentions. This means that stable satisfaction scores can coexist with weakening behavioural intentions, especially when crowding and uncertainty are salient.</w:t>
      </w:r>
    </w:p>
    <w:p w14:paraId="4A3E33B2" w14:textId="77777777" w:rsidR="00DB439C" w:rsidRDefault="00DB439C" w:rsidP="00DB439C">
      <w:pPr>
        <w:rPr>
          <w:lang w:eastAsia="en-GB"/>
        </w:rPr>
      </w:pPr>
      <w:r>
        <w:rPr>
          <w:lang w:eastAsia="en-GB"/>
        </w:rPr>
        <w:t>These conclusions reinforce the need for more context-aware approaches in both research and practice. Treating satisfaction as a conditional, experience-based appraisal provides a more realistic basis for analysing tourism evaluation and for managing destinations under pressure. It also supports the development of frameworks that capture behavioural complexity rather than assuming uniformly positive and linear responses.</w:t>
      </w:r>
    </w:p>
    <w:p w14:paraId="10E47C6E" w14:textId="4F520782" w:rsidR="00C77F3D" w:rsidRDefault="00DB439C" w:rsidP="00DB439C">
      <w:pPr>
        <w:rPr>
          <w:lang w:eastAsia="en-GB"/>
        </w:rPr>
      </w:pPr>
      <w:r>
        <w:rPr>
          <w:lang w:eastAsia="en-GB"/>
        </w:rPr>
        <w:t>Overall, the dissertation contributes a clearer understanding of tourist satisfaction in post</w:t>
      </w:r>
      <w:r>
        <w:rPr>
          <w:rFonts w:ascii="Cambria Math" w:hAnsi="Cambria Math" w:cs="Cambria Math"/>
          <w:lang w:eastAsia="en-GB"/>
        </w:rPr>
        <w:t>‑</w:t>
      </w:r>
      <w:r>
        <w:rPr>
          <w:lang w:eastAsia="en-GB"/>
        </w:rPr>
        <w:t>COVID mass tourism by linking context, measurement and behavioural response. This perspective can help research and destination management move beyond simplified assumptions and towards interpretations that better reflect contemporary high</w:t>
      </w:r>
      <w:r>
        <w:rPr>
          <w:rFonts w:ascii="Cambria Math" w:hAnsi="Cambria Math" w:cs="Cambria Math"/>
          <w:lang w:eastAsia="en-GB"/>
        </w:rPr>
        <w:t>‑</w:t>
      </w:r>
      <w:r>
        <w:rPr>
          <w:lang w:eastAsia="en-GB"/>
        </w:rPr>
        <w:t>density tourism realities.</w:t>
      </w:r>
    </w:p>
    <w:p w14:paraId="0F29FDA9" w14:textId="77777777" w:rsidR="00CF4E29" w:rsidRDefault="00CF4E29" w:rsidP="00CF4E29">
      <w:pPr>
        <w:rPr>
          <w:lang w:eastAsia="en-GB"/>
        </w:rPr>
      </w:pPr>
      <w:r>
        <w:rPr>
          <w:lang w:eastAsia="en-GB"/>
        </w:rPr>
        <w:t>A practical implication of the dissertation’s overall message is that destinations should be cautious when interpreting “good performance” based solely on satisfaction indicators. In high-density environments, satisfaction can remain acceptable while behavioural intentions weaken because tourists adjust future decisions in response to perceived feasibility, crowding fatigue, and risk sensitivity. This does not imply that satisfaction becomes irrelevant; rather, it means that satisfaction should be interpreted as part of a broader evaluation–constraint process. Under contextual pressure, intention formation reflects both how tourists evaluate the experience and whether they perceive the destination as controllable, comfortable and predictable enough to justify return.</w:t>
      </w:r>
    </w:p>
    <w:p w14:paraId="2C2AF1D4" w14:textId="58F4E441" w:rsidR="008B2A72" w:rsidRDefault="00CF4E29" w:rsidP="00CF4E29">
      <w:pPr>
        <w:rPr>
          <w:lang w:eastAsia="en-GB"/>
        </w:rPr>
      </w:pPr>
      <w:r>
        <w:rPr>
          <w:lang w:eastAsia="en-GB"/>
        </w:rPr>
        <w:t>At the same time, the dissertation highlights that better measurement is not simply a technical refinement. It is necessary for valid interpretation in a post</w:t>
      </w:r>
      <w:r>
        <w:rPr>
          <w:rFonts w:ascii="Cambria Math" w:hAnsi="Cambria Math" w:cs="Cambria Math"/>
          <w:lang w:eastAsia="en-GB"/>
        </w:rPr>
        <w:t>‑</w:t>
      </w:r>
      <w:r>
        <w:rPr>
          <w:lang w:eastAsia="en-GB"/>
        </w:rPr>
        <w:t>COVID environment where the salience of safety, hygiene, personal space and digital touchpoints has changed. Progress in this field therefore depends on aligning conceptual definitions with measurement choices and on reporting comparability evidence more consistently. This alignment will support stronger cumulative knowledge and more actionable insight for destination management in mass-tourism settings.</w:t>
      </w:r>
    </w:p>
    <w:p w14:paraId="45D537C5" w14:textId="77777777" w:rsidR="008B2A72" w:rsidRDefault="008B2A72" w:rsidP="00DB439C">
      <w:pPr>
        <w:rPr>
          <w:lang w:eastAsia="en-GB"/>
        </w:rPr>
      </w:pPr>
    </w:p>
    <w:p w14:paraId="0BAC32B2" w14:textId="77777777" w:rsidR="00E34F21" w:rsidRDefault="00E34F21" w:rsidP="00B05857">
      <w:pPr>
        <w:pStyle w:val="Heading1"/>
      </w:pPr>
      <w:bookmarkStart w:id="45" w:name="_Toc227235049"/>
      <w:bookmarkStart w:id="46" w:name="_Toc228889965"/>
      <w:r w:rsidRPr="00E34F21">
        <w:lastRenderedPageBreak/>
        <w:t>References</w:t>
      </w:r>
      <w:bookmarkEnd w:id="45"/>
      <w:bookmarkEnd w:id="46"/>
    </w:p>
    <w:p w14:paraId="3A3E4D5A" w14:textId="77777777" w:rsidR="00EC5084" w:rsidRDefault="00EC5084" w:rsidP="00887498">
      <w:pPr>
        <w:pStyle w:val="ListParagraph"/>
        <w:numPr>
          <w:ilvl w:val="0"/>
          <w:numId w:val="8"/>
        </w:numPr>
      </w:pPr>
      <w:r>
        <w:t>Aliedan, M.M., Sobaih, A.E.E. and Elshaer, I.A. (2021) ‘Influence of cities</w:t>
      </w:r>
      <w:r w:rsidRPr="00887498">
        <w:rPr>
          <w:rFonts w:ascii="Cambria Math" w:hAnsi="Cambria Math" w:cs="Cambria Math"/>
        </w:rPr>
        <w:t>‑</w:t>
      </w:r>
      <w:r>
        <w:t>based entertainment on tourist satisfaction: mediating roles of destination image and experience quality</w:t>
      </w:r>
      <w:r w:rsidRPr="00887498">
        <w:rPr>
          <w:rFonts w:cs="Arial"/>
        </w:rPr>
        <w:t>’</w:t>
      </w:r>
      <w:r>
        <w:t>, Sustainability, 13(19), 11086. Available at: https://doi.org/10.3390/su131911086 (Accessed: 16 April 2026).</w:t>
      </w:r>
    </w:p>
    <w:p w14:paraId="032A541C" w14:textId="422B7FC5" w:rsidR="00EC5084" w:rsidRDefault="00EC5084" w:rsidP="00887498">
      <w:pPr>
        <w:pStyle w:val="ListParagraph"/>
        <w:numPr>
          <w:ilvl w:val="0"/>
          <w:numId w:val="8"/>
        </w:numPr>
      </w:pPr>
      <w:r>
        <w:t xml:space="preserve">Baker, D.A. and Crompton, J.L. (2000) ‘Quality, satisfaction and behavioral intentions’, Annals of Tourism Research, 27(3), pp. 785–804. Available at: https://doi.org/10.1016/S0160-7383(99)00108-5 (Accessed: 16 April 2026). </w:t>
      </w:r>
    </w:p>
    <w:p w14:paraId="09E9648E" w14:textId="77777777" w:rsidR="00EC5084" w:rsidRDefault="00EC5084" w:rsidP="00887498">
      <w:pPr>
        <w:pStyle w:val="ListParagraph"/>
        <w:numPr>
          <w:ilvl w:val="0"/>
          <w:numId w:val="8"/>
        </w:numPr>
      </w:pPr>
      <w:r>
        <w:t>Booth, A., Sutton, A. and Papaioannou, D. (2016) Systematic approaches to a successful literature review. 2nd edn. London: SAGE Publications.</w:t>
      </w:r>
    </w:p>
    <w:p w14:paraId="59C35FC6" w14:textId="0D3D2C0A" w:rsidR="00EC5084" w:rsidRDefault="00EC5084" w:rsidP="00887498">
      <w:pPr>
        <w:pStyle w:val="ListParagraph"/>
        <w:numPr>
          <w:ilvl w:val="0"/>
          <w:numId w:val="8"/>
        </w:numPr>
      </w:pPr>
      <w:r>
        <w:t xml:space="preserve">Buhalis, D. and Amaranggana, A. (2015) ‘Smart tourism destinations: Enhancing tourism experience through personalisation of services’, in Tussyadiah, I. and Inversini, A. (eds.) Information and Communication Technologies in Tourism 2015. Cham: Springer, pp. 377–389. Available at: https://doi.org/10.1007/978-3-319-14343-9_28 (Accessed: 16 April 2026). </w:t>
      </w:r>
    </w:p>
    <w:p w14:paraId="373E04A4" w14:textId="77777777" w:rsidR="00EC5084" w:rsidRDefault="00EC5084" w:rsidP="00887498">
      <w:pPr>
        <w:pStyle w:val="ListParagraph"/>
        <w:numPr>
          <w:ilvl w:val="0"/>
          <w:numId w:val="8"/>
        </w:numPr>
      </w:pPr>
      <w:r>
        <w:t>Critical Appraisal Skills Programme (CASP) (n.d.) CASP checklists. Available at: https://casp-uk.net (Accessed: 16 April 2026).</w:t>
      </w:r>
    </w:p>
    <w:p w14:paraId="6144CA56" w14:textId="7ECF3733" w:rsidR="00EC5084" w:rsidRDefault="00EC5084" w:rsidP="00887498">
      <w:pPr>
        <w:pStyle w:val="ListParagraph"/>
        <w:numPr>
          <w:ilvl w:val="0"/>
          <w:numId w:val="8"/>
        </w:numPr>
      </w:pPr>
      <w:r>
        <w:t xml:space="preserve">Cronin, J.J. and Taylor, S.A. (1992) ‘Measuring service quality: A reexamination and extension’, Journal of Marketing, 56(3), pp. 55–68. Available at: https://doi.org/10.2307/1252296 (Accessed: 16 April 2026). </w:t>
      </w:r>
    </w:p>
    <w:p w14:paraId="27133F61" w14:textId="77777777" w:rsidR="00EC5084" w:rsidRDefault="00EC5084" w:rsidP="00887498">
      <w:pPr>
        <w:pStyle w:val="ListParagraph"/>
        <w:numPr>
          <w:ilvl w:val="0"/>
          <w:numId w:val="8"/>
        </w:numPr>
      </w:pPr>
      <w:r>
        <w:t>De Marchi, V., Becarelli, P. and Di Sarli, A. (2022) ‘Tourism sustainability index: Measuring tourism sustainability based on the ETIS toolkit, by exploring tourist satisfaction via sentiment analysis’, Sustainability, 14(13), 8049. Available at: https://doi.org/10.3390/su14138049 (Accessed: 16 April 2026).</w:t>
      </w:r>
    </w:p>
    <w:p w14:paraId="28732290" w14:textId="77777777" w:rsidR="00EC5084" w:rsidRDefault="00EC5084" w:rsidP="00887498">
      <w:pPr>
        <w:pStyle w:val="ListParagraph"/>
        <w:numPr>
          <w:ilvl w:val="0"/>
          <w:numId w:val="8"/>
        </w:numPr>
      </w:pPr>
      <w:r>
        <w:t>Denyer, D. and Tranfield, D. (2009) ‘Producing a systematic review’, in Buchanan, D.A. and Bryman, A. (eds.) The SAGE handbook of organizational research methods. London: SAGE Publications, pp. 671–689.</w:t>
      </w:r>
    </w:p>
    <w:p w14:paraId="6401BC3C" w14:textId="77777777" w:rsidR="00EC5084" w:rsidRDefault="00EC5084" w:rsidP="00887498">
      <w:pPr>
        <w:pStyle w:val="ListParagraph"/>
        <w:numPr>
          <w:ilvl w:val="0"/>
          <w:numId w:val="8"/>
        </w:numPr>
      </w:pPr>
      <w:r>
        <w:t>Egger, M., Davey Smith, G., Schneider, M. and Minder, C. (1997) ‘Bias in meta-analysis detected by a simple, graphical test’, BMJ, 315(7109), pp. 629–634. Available at: https://doi.org/10.1136/bmj.315.7109.629 (Accessed: 16 April 2026).</w:t>
      </w:r>
    </w:p>
    <w:p w14:paraId="319F4667" w14:textId="77777777" w:rsidR="00EC5084" w:rsidRDefault="00EC5084" w:rsidP="00887498">
      <w:pPr>
        <w:pStyle w:val="ListParagraph"/>
        <w:numPr>
          <w:ilvl w:val="0"/>
          <w:numId w:val="8"/>
        </w:numPr>
      </w:pPr>
      <w:r>
        <w:t>Gazi, M.A.I., Islam, M.A., Masud, A.A., Senathirajah, A.R.S., Biswas, S. and Shuvro, R.A. (2024) ‘The moderating impacts of COVID</w:t>
      </w:r>
      <w:r w:rsidRPr="00887498">
        <w:rPr>
          <w:rFonts w:ascii="Cambria Math" w:hAnsi="Cambria Math" w:cs="Cambria Math"/>
        </w:rPr>
        <w:t>‑</w:t>
      </w:r>
      <w:r>
        <w:t>19 fear on hotel service quality and tourist satisfaction</w:t>
      </w:r>
      <w:r w:rsidRPr="00887498">
        <w:rPr>
          <w:rFonts w:cs="Arial"/>
        </w:rPr>
        <w:t>’</w:t>
      </w:r>
      <w:r>
        <w:t>, Cogent Social Sciences, 10(1), 2331079. Available at: https://doi.org/10.1080/23311886.2024.2331079 (Accessed: 16 April 2026).</w:t>
      </w:r>
    </w:p>
    <w:p w14:paraId="465CB9E1" w14:textId="6E8588E0" w:rsidR="00EC5084" w:rsidRDefault="00EC5084" w:rsidP="00887498">
      <w:pPr>
        <w:pStyle w:val="ListParagraph"/>
        <w:numPr>
          <w:ilvl w:val="0"/>
          <w:numId w:val="8"/>
        </w:numPr>
      </w:pPr>
      <w:r>
        <w:t>Ghosh, M.S., Rana, P.S., Shyju, P.J. and Olsen, D.H. (2024) ‘The applicability of improvement gap analysis to understand pre</w:t>
      </w:r>
      <w:r w:rsidRPr="00887498">
        <w:rPr>
          <w:rFonts w:ascii="Cambria Math" w:hAnsi="Cambria Math" w:cs="Cambria Math"/>
        </w:rPr>
        <w:t>‑</w:t>
      </w:r>
      <w:r>
        <w:t xml:space="preserve"> and post</w:t>
      </w:r>
      <w:r w:rsidRPr="00887498">
        <w:rPr>
          <w:rFonts w:ascii="Cambria Math" w:hAnsi="Cambria Math" w:cs="Cambria Math"/>
        </w:rPr>
        <w:t>‑</w:t>
      </w:r>
      <w:r>
        <w:t>Covid</w:t>
      </w:r>
      <w:r w:rsidRPr="00887498">
        <w:rPr>
          <w:rFonts w:ascii="Cambria Math" w:hAnsi="Cambria Math" w:cs="Cambria Math"/>
        </w:rPr>
        <w:t>‑</w:t>
      </w:r>
      <w:r>
        <w:t>19 foreign tourists</w:t>
      </w:r>
      <w:r w:rsidRPr="00887498">
        <w:rPr>
          <w:rFonts w:cs="Arial"/>
        </w:rPr>
        <w:t>’</w:t>
      </w:r>
      <w:r>
        <w:t xml:space="preserve"> satisfaction at a heritage destination</w:t>
      </w:r>
      <w:r w:rsidRPr="00887498">
        <w:rPr>
          <w:rFonts w:cs="Arial"/>
        </w:rPr>
        <w:t>’</w:t>
      </w:r>
      <w:r>
        <w:t>, Tourism Review International, 28(3), pp. 163</w:t>
      </w:r>
      <w:r w:rsidRPr="00887498">
        <w:rPr>
          <w:rFonts w:cs="Arial"/>
        </w:rPr>
        <w:t>–</w:t>
      </w:r>
      <w:r>
        <w:t xml:space="preserve">182. Available at: https://doi.org/10.3727/194344224X17065495994396 (Accessed: 16 April 2026). </w:t>
      </w:r>
    </w:p>
    <w:p w14:paraId="6E53CC1F" w14:textId="13E0E234" w:rsidR="00EC5084" w:rsidRDefault="00EC5084" w:rsidP="00887498">
      <w:pPr>
        <w:pStyle w:val="ListParagraph"/>
        <w:numPr>
          <w:ilvl w:val="0"/>
          <w:numId w:val="8"/>
        </w:numPr>
      </w:pPr>
      <w:r>
        <w:t xml:space="preserve">Gretzel, U., Sigala, M., Xiang, Z. and Koo, C. (2015) ‘Smart tourism: Foundations and developments’, Electronic Markets, 25(3), pp. 179–188. Available at: https://doi.org/10.1007/s12525-015-0196-8 (Accessed: 16 April 2026). </w:t>
      </w:r>
    </w:p>
    <w:p w14:paraId="1FCAA3DF" w14:textId="77777777" w:rsidR="00EC5084" w:rsidRDefault="00EC5084" w:rsidP="00887498">
      <w:pPr>
        <w:pStyle w:val="ListParagraph"/>
        <w:numPr>
          <w:ilvl w:val="0"/>
          <w:numId w:val="8"/>
        </w:numPr>
      </w:pPr>
      <w:r>
        <w:lastRenderedPageBreak/>
        <w:t>Hong, Q.N., Pluye, P., Fàbregues, S., Bartlett, G., Boardman, F., Cargo, M., Dagenais, P., Gagnon, M.P., Griffiths, F., Nicolau, B., O’Cathain, A., Rousseau, M.C. and Vedel, I. (2018) ‘The Mixed Methods Appraisal Tool (MMAT) version 2018 for information professionals and researchers’, Education for Information, 34(4), pp. 285–291.</w:t>
      </w:r>
    </w:p>
    <w:p w14:paraId="3BFD56FD" w14:textId="77777777" w:rsidR="00EC5084" w:rsidRDefault="00EC5084" w:rsidP="00887498">
      <w:pPr>
        <w:pStyle w:val="ListParagraph"/>
        <w:numPr>
          <w:ilvl w:val="0"/>
          <w:numId w:val="8"/>
        </w:numPr>
      </w:pPr>
      <w:r>
        <w:t>Hoque, M.M., Uddin, M.K., Islam, M.S. and Hossain, M.I. (2026) ‘Predictive modelling of tourist satisfaction based on service marketing mix elements using machine learning techniques’, TheScientificWorldJournal, 2026, Article ID 8897342. Available at: https://doi.org/10.1155/2026/8897342 (Accessed: 16 April 2026).</w:t>
      </w:r>
    </w:p>
    <w:p w14:paraId="00FEEB80" w14:textId="77777777" w:rsidR="00EC5084" w:rsidRDefault="00EC5084" w:rsidP="00887498">
      <w:pPr>
        <w:pStyle w:val="ListParagraph"/>
        <w:numPr>
          <w:ilvl w:val="0"/>
          <w:numId w:val="8"/>
        </w:numPr>
      </w:pPr>
      <w:r>
        <w:t>Joanna Briggs Institute (JBI) (n.d.) JBI critical appraisal tools. Available at: https://jbi.global/critical-appraisal-tools (Accessed: 16 April 2026).</w:t>
      </w:r>
    </w:p>
    <w:p w14:paraId="4E9D3AD5" w14:textId="77777777" w:rsidR="00EC5084" w:rsidRDefault="00EC5084" w:rsidP="00887498">
      <w:pPr>
        <w:pStyle w:val="ListParagraph"/>
        <w:numPr>
          <w:ilvl w:val="0"/>
          <w:numId w:val="8"/>
        </w:numPr>
      </w:pPr>
      <w:r>
        <w:t>Joanna Briggs Institute (JBI) (2024) JBI manual for evidence synthesis. Adelaide: Joanna Briggs Institute.</w:t>
      </w:r>
    </w:p>
    <w:p w14:paraId="00E6D31A" w14:textId="77777777" w:rsidR="00EC5084" w:rsidRDefault="00EC5084" w:rsidP="00887498">
      <w:pPr>
        <w:pStyle w:val="ListParagraph"/>
        <w:numPr>
          <w:ilvl w:val="0"/>
          <w:numId w:val="8"/>
        </w:numPr>
      </w:pPr>
      <w:r>
        <w:t>Jiménez</w:t>
      </w:r>
      <w:r w:rsidRPr="00887498">
        <w:rPr>
          <w:rFonts w:ascii="Cambria Math" w:hAnsi="Cambria Math" w:cs="Cambria Math"/>
        </w:rPr>
        <w:t>‑</w:t>
      </w:r>
      <w:r>
        <w:t>Medina, P., Navarro</w:t>
      </w:r>
      <w:r w:rsidRPr="00887498">
        <w:rPr>
          <w:rFonts w:ascii="Cambria Math" w:hAnsi="Cambria Math" w:cs="Cambria Math"/>
        </w:rPr>
        <w:t>‑</w:t>
      </w:r>
      <w:r>
        <w:t>Azor</w:t>
      </w:r>
      <w:r w:rsidRPr="00887498">
        <w:rPr>
          <w:rFonts w:cs="Arial"/>
        </w:rPr>
        <w:t>í</w:t>
      </w:r>
      <w:r>
        <w:t>n, J.M., Cubillas</w:t>
      </w:r>
      <w:r w:rsidRPr="00887498">
        <w:rPr>
          <w:rFonts w:ascii="Cambria Math" w:hAnsi="Cambria Math" w:cs="Cambria Math"/>
        </w:rPr>
        <w:t>‑</w:t>
      </w:r>
      <w:r>
        <w:t>Para, C. and Artal</w:t>
      </w:r>
      <w:r w:rsidRPr="00887498">
        <w:rPr>
          <w:rFonts w:ascii="Cambria Math" w:hAnsi="Cambria Math" w:cs="Cambria Math"/>
        </w:rPr>
        <w:t>‑</w:t>
      </w:r>
      <w:r>
        <w:t xml:space="preserve">Tur, A. (2022) </w:t>
      </w:r>
      <w:r w:rsidRPr="00887498">
        <w:rPr>
          <w:rFonts w:cs="Arial"/>
        </w:rPr>
        <w:t>‘</w:t>
      </w:r>
      <w:r>
        <w:t>What safety and security measures really matter in the post</w:t>
      </w:r>
      <w:r w:rsidRPr="00887498">
        <w:rPr>
          <w:rFonts w:ascii="Cambria Math" w:hAnsi="Cambria Math" w:cs="Cambria Math"/>
        </w:rPr>
        <w:t>‑</w:t>
      </w:r>
      <w:r>
        <w:t>COVID recovery of the hospitality industry? An analysis of the visitor</w:t>
      </w:r>
      <w:r w:rsidRPr="00887498">
        <w:rPr>
          <w:rFonts w:cs="Arial"/>
        </w:rPr>
        <w:t>’</w:t>
      </w:r>
      <w:r>
        <w:t>s intention to return in Spain</w:t>
      </w:r>
      <w:r w:rsidRPr="00887498">
        <w:rPr>
          <w:rFonts w:cs="Arial"/>
        </w:rPr>
        <w:t>’</w:t>
      </w:r>
      <w:r>
        <w:t>, Tourism and Hospitality, 3(3), pp. 620</w:t>
      </w:r>
      <w:r w:rsidRPr="00887498">
        <w:rPr>
          <w:rFonts w:cs="Arial"/>
        </w:rPr>
        <w:t>–</w:t>
      </w:r>
      <w:r>
        <w:t>634. Available at: https://doi.org/10.3390/tourhosp3030038 (Accessed: 16 April 2026).</w:t>
      </w:r>
    </w:p>
    <w:p w14:paraId="323D4398" w14:textId="77777777" w:rsidR="00EC5084" w:rsidRDefault="00EC5084" w:rsidP="00887498">
      <w:pPr>
        <w:pStyle w:val="ListParagraph"/>
        <w:numPr>
          <w:ilvl w:val="0"/>
          <w:numId w:val="8"/>
        </w:numPr>
      </w:pPr>
      <w:r>
        <w:t>Kitchenham, B., Brereton, O.P., Budgen, D., Turner, M., Bailey, J. and Linkman, S. (2009) ‘Systematic literature reviews in software engineering – A systematic literature review’, Information and Software Technology, 51(1), pp. 7–15. Available at: https://doi.org/10.1016/j.infsof.2008.09.009 (Accessed: 16 April 2026).</w:t>
      </w:r>
    </w:p>
    <w:p w14:paraId="7356EC11" w14:textId="17CA1B70" w:rsidR="00EC5084" w:rsidRDefault="00EC5084" w:rsidP="00887498">
      <w:pPr>
        <w:pStyle w:val="ListParagraph"/>
        <w:numPr>
          <w:ilvl w:val="0"/>
          <w:numId w:val="8"/>
        </w:numPr>
      </w:pPr>
      <w:r>
        <w:t xml:space="preserve">Liu, B. (2012) Sentiment analysis and opinion mining. San Rafael, CA: Morgan &amp; Claypool Publishers. </w:t>
      </w:r>
    </w:p>
    <w:p w14:paraId="68AB4950" w14:textId="35529CDD" w:rsidR="00EC5084" w:rsidRDefault="00EC5084" w:rsidP="00887498">
      <w:pPr>
        <w:pStyle w:val="ListParagraph"/>
        <w:numPr>
          <w:ilvl w:val="0"/>
          <w:numId w:val="8"/>
        </w:numPr>
      </w:pPr>
      <w:r>
        <w:t xml:space="preserve">Martilla, J.A. and James, J.C. (1977) ‘Importance-performance analysis’, Journal of Marketing, 41(1), pp. 77–79. Available at: https://doi.org/10.1177/002224297704100112 (Accessed: 16 April 2026). </w:t>
      </w:r>
    </w:p>
    <w:p w14:paraId="0E287156" w14:textId="77777777" w:rsidR="00EC5084" w:rsidRDefault="00EC5084" w:rsidP="00887498">
      <w:pPr>
        <w:pStyle w:val="ListParagraph"/>
        <w:numPr>
          <w:ilvl w:val="0"/>
          <w:numId w:val="8"/>
        </w:numPr>
      </w:pPr>
      <w:r>
        <w:t>Moher, D., Liberati, A., Tetzlaff, J. and Altman, D.G. (2009) ‘Preferred reporting items for systematic reviews and meta</w:t>
      </w:r>
      <w:r w:rsidRPr="00887498">
        <w:rPr>
          <w:rFonts w:ascii="Cambria Math" w:hAnsi="Cambria Math" w:cs="Cambria Math"/>
        </w:rPr>
        <w:t>‑</w:t>
      </w:r>
      <w:r>
        <w:t>analyses: The PRISMA statement</w:t>
      </w:r>
      <w:r w:rsidRPr="00887498">
        <w:rPr>
          <w:rFonts w:cs="Arial"/>
        </w:rPr>
        <w:t>’</w:t>
      </w:r>
      <w:r>
        <w:t>, PLoS Medicine, 6(7), e1000097. Available at: https://doi.org/10.1371/journal.pmed.1000097 (Accessed: 16 April 2026).</w:t>
      </w:r>
    </w:p>
    <w:p w14:paraId="4090999A" w14:textId="77777777" w:rsidR="00EC5084" w:rsidRDefault="00EC5084" w:rsidP="00887498">
      <w:pPr>
        <w:pStyle w:val="ListParagraph"/>
        <w:numPr>
          <w:ilvl w:val="0"/>
          <w:numId w:val="8"/>
        </w:numPr>
      </w:pPr>
      <w:r>
        <w:t>Nikolov, R. (2026) Tourist satisfaction and the dark side of loyalty in post</w:t>
      </w:r>
      <w:r w:rsidRPr="00887498">
        <w:rPr>
          <w:rFonts w:ascii="Cambria Math" w:hAnsi="Cambria Math" w:cs="Cambria Math"/>
        </w:rPr>
        <w:t>‑</w:t>
      </w:r>
      <w:r>
        <w:t>COVID mass tourism: A systematic literature review of measurement, experience and overtourism dynamics. Unpublished MBA dissertation, University of Wales Trinity Saint David.</w:t>
      </w:r>
    </w:p>
    <w:p w14:paraId="06618CFA" w14:textId="3D589810" w:rsidR="00EC5084" w:rsidRDefault="00EC5084" w:rsidP="00887498">
      <w:pPr>
        <w:pStyle w:val="ListParagraph"/>
        <w:numPr>
          <w:ilvl w:val="0"/>
          <w:numId w:val="8"/>
        </w:numPr>
      </w:pPr>
      <w:r>
        <w:t xml:space="preserve">Oliver, R.L. (1980) ‘A cognitive model of the antecedents and consequences of satisfaction decisions’, Journal of Marketing Research, 17(4), pp. 460–469. Available at: https://doi.org/10.1177/002224378001700405 (Accessed: 16 April 2026). </w:t>
      </w:r>
    </w:p>
    <w:p w14:paraId="676A191A" w14:textId="7C82FF94" w:rsidR="00EC5084" w:rsidRDefault="00EC5084" w:rsidP="00887498">
      <w:pPr>
        <w:pStyle w:val="ListParagraph"/>
        <w:numPr>
          <w:ilvl w:val="0"/>
          <w:numId w:val="8"/>
        </w:numPr>
      </w:pPr>
      <w:r>
        <w:t xml:space="preserve">Oliver, R.L. (1999) ‘Whence consumer loyalty?’, Journal of Marketing, 63(Special Issue), pp. 33–44. Available at: https://doi.org/10.2307/1252099 (Accessed: 16 April 2026). </w:t>
      </w:r>
    </w:p>
    <w:p w14:paraId="6C51E2D1" w14:textId="77777777" w:rsidR="00EC5084" w:rsidRDefault="00EC5084" w:rsidP="00887498">
      <w:pPr>
        <w:pStyle w:val="ListParagraph"/>
        <w:numPr>
          <w:ilvl w:val="0"/>
          <w:numId w:val="8"/>
        </w:numPr>
      </w:pPr>
      <w:r>
        <w:t xml:space="preserve">Page, M.J., McKenzie, J.E., Bossuyt, P.M., Boutron, I., Hoffmann, T.C., Mulrow, C.D., Shamseer, L., Tetzlaff, J.M., Akl, E.A., Brennan, S.E., Chou, R., </w:t>
      </w:r>
      <w:r>
        <w:lastRenderedPageBreak/>
        <w:t>Glanville, J., Grimshaw, J.M., Hróbjartsson, A., Lalu, M.M., Li, T., Loder, E.W., Mayo</w:t>
      </w:r>
      <w:r w:rsidRPr="00887498">
        <w:rPr>
          <w:rFonts w:ascii="Cambria Math" w:hAnsi="Cambria Math" w:cs="Cambria Math"/>
        </w:rPr>
        <w:t>‑</w:t>
      </w:r>
      <w:r>
        <w:t xml:space="preserve">Wilson, E., McDonald, S., McGuinness, L.A., Stewart, L.A., Thomas, J., Tricco, A.C., Welch, V.A., Whiting, P. and Moher, D. (2021) </w:t>
      </w:r>
      <w:r w:rsidRPr="00887498">
        <w:rPr>
          <w:rFonts w:cs="Arial"/>
        </w:rPr>
        <w:t>‘</w:t>
      </w:r>
      <w:r>
        <w:t>The PRISMA 2020 statement: An updated guideline for reporting systematic reviews</w:t>
      </w:r>
      <w:r w:rsidRPr="00887498">
        <w:rPr>
          <w:rFonts w:cs="Arial"/>
        </w:rPr>
        <w:t>’</w:t>
      </w:r>
      <w:r>
        <w:t>, BMJ, 372, n71. Available at: https://doi.org/10.1136/bmj.n71 (Accessed: 16 April 2026).</w:t>
      </w:r>
    </w:p>
    <w:p w14:paraId="1C776D1B" w14:textId="77777777" w:rsidR="00EC5084" w:rsidRDefault="00EC5084" w:rsidP="00887498">
      <w:pPr>
        <w:pStyle w:val="ListParagraph"/>
        <w:numPr>
          <w:ilvl w:val="0"/>
          <w:numId w:val="8"/>
        </w:numPr>
      </w:pPr>
      <w:r>
        <w:t>Papadopoulou, E., Ribeiro, M.A. and Prayag, G. (2023) ‘Psychological determinants of tourist satisfaction and destination loyalty: The influence of perceived overcrowding and overtourism’, Journal of Travel Research, 62(6), pp. 1309–1326. Available at: https://doi.org/10.1177/00472875221089049 (Accessed: 16 April 2026).</w:t>
      </w:r>
    </w:p>
    <w:p w14:paraId="2CA15DFB" w14:textId="77777777" w:rsidR="00EC5084" w:rsidRDefault="00EC5084" w:rsidP="00887498">
      <w:pPr>
        <w:pStyle w:val="ListParagraph"/>
        <w:numPr>
          <w:ilvl w:val="0"/>
          <w:numId w:val="8"/>
        </w:numPr>
      </w:pPr>
      <w:r>
        <w:t>Parasuraman, A., Zeithaml, V.A. and Berry, L.L. (1988) ‘SERVQUAL: A multiple-item scale for measuring consumer perceptions of service quality’, Journal of Retailing, 64(1), pp. 12–40.</w:t>
      </w:r>
    </w:p>
    <w:p w14:paraId="459F305D" w14:textId="77777777" w:rsidR="00EC5084" w:rsidRDefault="00EC5084" w:rsidP="00887498">
      <w:pPr>
        <w:pStyle w:val="ListParagraph"/>
        <w:numPr>
          <w:ilvl w:val="0"/>
          <w:numId w:val="8"/>
        </w:numPr>
      </w:pPr>
      <w:r>
        <w:t>Paul, J. and Criado, A.R. (2020) ‘The art of writing literature review: What do we know and what do we need to know?’, International Business Review, 29(4), 101717. Available at: https://doi.org/10.1016/j.ibusrev.2020.101717 (Accessed: 16 April 2026).</w:t>
      </w:r>
    </w:p>
    <w:p w14:paraId="070F32E2" w14:textId="77777777" w:rsidR="00EC5084" w:rsidRDefault="00EC5084" w:rsidP="00887498">
      <w:pPr>
        <w:pStyle w:val="ListParagraph"/>
        <w:numPr>
          <w:ilvl w:val="0"/>
          <w:numId w:val="8"/>
        </w:numPr>
      </w:pPr>
      <w:r>
        <w:t>Pérez</w:t>
      </w:r>
      <w:r w:rsidRPr="00887498">
        <w:rPr>
          <w:rFonts w:ascii="Cambria Math" w:hAnsi="Cambria Math" w:cs="Cambria Math"/>
        </w:rPr>
        <w:t>‑</w:t>
      </w:r>
      <w:r>
        <w:t>Campdesu</w:t>
      </w:r>
      <w:r w:rsidRPr="00887498">
        <w:rPr>
          <w:rFonts w:cs="Arial"/>
        </w:rPr>
        <w:t>ñ</w:t>
      </w:r>
      <w:r>
        <w:t>er, R., S</w:t>
      </w:r>
      <w:r w:rsidRPr="00887498">
        <w:rPr>
          <w:rFonts w:cs="Arial"/>
        </w:rPr>
        <w:t>á</w:t>
      </w:r>
      <w:r>
        <w:t>nchez</w:t>
      </w:r>
      <w:r w:rsidRPr="00887498">
        <w:rPr>
          <w:rFonts w:ascii="Cambria Math" w:hAnsi="Cambria Math" w:cs="Cambria Math"/>
        </w:rPr>
        <w:t>‑</w:t>
      </w:r>
      <w:r>
        <w:t>Rodr</w:t>
      </w:r>
      <w:r w:rsidRPr="00887498">
        <w:rPr>
          <w:rFonts w:cs="Arial"/>
        </w:rPr>
        <w:t>í</w:t>
      </w:r>
      <w:r>
        <w:t>guez, A., Garc</w:t>
      </w:r>
      <w:r w:rsidRPr="00887498">
        <w:rPr>
          <w:rFonts w:cs="Arial"/>
        </w:rPr>
        <w:t>í</w:t>
      </w:r>
      <w:r>
        <w:t>a</w:t>
      </w:r>
      <w:r w:rsidRPr="00887498">
        <w:rPr>
          <w:rFonts w:ascii="Cambria Math" w:hAnsi="Cambria Math" w:cs="Cambria Math"/>
        </w:rPr>
        <w:t>‑</w:t>
      </w:r>
      <w:r>
        <w:t>Vidal, G., Mart</w:t>
      </w:r>
      <w:r w:rsidRPr="00887498">
        <w:rPr>
          <w:rFonts w:cs="Arial"/>
        </w:rPr>
        <w:t>í</w:t>
      </w:r>
      <w:r>
        <w:t>nez</w:t>
      </w:r>
      <w:r w:rsidRPr="00887498">
        <w:rPr>
          <w:rFonts w:ascii="Cambria Math" w:hAnsi="Cambria Math" w:cs="Cambria Math"/>
        </w:rPr>
        <w:t>‑</w:t>
      </w:r>
      <w:r>
        <w:t>Vivar, R., Vald</w:t>
      </w:r>
      <w:r w:rsidRPr="00887498">
        <w:rPr>
          <w:rFonts w:cs="Arial"/>
        </w:rPr>
        <w:t>é</w:t>
      </w:r>
      <w:r>
        <w:t>s</w:t>
      </w:r>
      <w:r w:rsidRPr="00887498">
        <w:rPr>
          <w:rFonts w:ascii="Cambria Math" w:hAnsi="Cambria Math" w:cs="Cambria Math"/>
        </w:rPr>
        <w:t>‑</w:t>
      </w:r>
      <w:r>
        <w:t>Alarc</w:t>
      </w:r>
      <w:r w:rsidRPr="00887498">
        <w:rPr>
          <w:rFonts w:cs="Arial"/>
        </w:rPr>
        <w:t>ó</w:t>
      </w:r>
      <w:r>
        <w:t>n, M.E. and De</w:t>
      </w:r>
      <w:r w:rsidRPr="00887498">
        <w:rPr>
          <w:rFonts w:ascii="Cambria Math" w:hAnsi="Cambria Math" w:cs="Cambria Math"/>
        </w:rPr>
        <w:t>‑</w:t>
      </w:r>
      <w:r>
        <w:t>Miguel</w:t>
      </w:r>
      <w:r w:rsidRPr="00887498">
        <w:rPr>
          <w:rFonts w:ascii="Cambria Math" w:hAnsi="Cambria Math" w:cs="Cambria Math"/>
        </w:rPr>
        <w:t>‑</w:t>
      </w:r>
      <w:r>
        <w:t>Guzm</w:t>
      </w:r>
      <w:r w:rsidRPr="00887498">
        <w:rPr>
          <w:rFonts w:cs="Arial"/>
        </w:rPr>
        <w:t>á</w:t>
      </w:r>
      <w:r>
        <w:t xml:space="preserve">n, M. (2025) </w:t>
      </w:r>
      <w:r w:rsidRPr="00887498">
        <w:rPr>
          <w:rFonts w:cs="Arial"/>
        </w:rPr>
        <w:t>‘</w:t>
      </w:r>
      <w:r>
        <w:t>Demographic capital and the conditional validity of SERVPERF: Rethinking tourist satisfaction models in an emerging market destination</w:t>
      </w:r>
      <w:r w:rsidRPr="00887498">
        <w:rPr>
          <w:rFonts w:cs="Arial"/>
        </w:rPr>
        <w:t>’</w:t>
      </w:r>
      <w:r>
        <w:t>, Administrative Sciences, 15(7), 272. Available at: https://doi.org/10.3390/admsci15070272 (Accessed: 16 April 2026).</w:t>
      </w:r>
    </w:p>
    <w:p w14:paraId="6D1FCC6F" w14:textId="77777777" w:rsidR="00EC5084" w:rsidRDefault="00EC5084" w:rsidP="00887498">
      <w:pPr>
        <w:pStyle w:val="ListParagraph"/>
        <w:numPr>
          <w:ilvl w:val="0"/>
          <w:numId w:val="8"/>
        </w:numPr>
      </w:pPr>
      <w:r>
        <w:t>Petticrew, M. and Roberts, H. (2006) Systematic reviews in the social sciences: A practical guide. Oxford: Blackwell Publishing.</w:t>
      </w:r>
    </w:p>
    <w:p w14:paraId="77F2B156" w14:textId="666352D7" w:rsidR="00EC5084" w:rsidRDefault="00EC5084" w:rsidP="00887498">
      <w:pPr>
        <w:pStyle w:val="ListParagraph"/>
        <w:numPr>
          <w:ilvl w:val="0"/>
          <w:numId w:val="8"/>
        </w:numPr>
      </w:pPr>
      <w:r>
        <w:t xml:space="preserve">Pine, B.J. II and Gilmore, J.H. (1999) The experience economy: Work is theatre and every business a stage. Boston, MA: Harvard Business School Press. </w:t>
      </w:r>
    </w:p>
    <w:p w14:paraId="348A298D" w14:textId="77777777" w:rsidR="00EC5084" w:rsidRDefault="00EC5084" w:rsidP="00887498">
      <w:pPr>
        <w:pStyle w:val="ListParagraph"/>
        <w:numPr>
          <w:ilvl w:val="0"/>
          <w:numId w:val="8"/>
        </w:numPr>
      </w:pPr>
      <w:r>
        <w:t>Popay, J., Roberts, H., Sowden, A., Petticrew, M., Arai, L., Rodgers, M., Britten, N., Roen, K. and Duffy, S. (2006) Guidance on the conduct of narrative synthesis in systematic literature reviews. London: ESRC.</w:t>
      </w:r>
    </w:p>
    <w:p w14:paraId="3368E30F" w14:textId="0B6DF63F" w:rsidR="00EC5084" w:rsidRDefault="00EC5084" w:rsidP="00887498">
      <w:pPr>
        <w:pStyle w:val="ListParagraph"/>
        <w:numPr>
          <w:ilvl w:val="0"/>
          <w:numId w:val="8"/>
        </w:numPr>
      </w:pPr>
      <w:r>
        <w:t xml:space="preserve">Reisinger, Y. and Mavondo, F.T. (2005) ‘Travel anxiety and intentions to travel internationally: Implications of travel risk perception’, Journal of Travel Research, 43(3), pp. 212–225. Available at: https://doi.org/10.1177/0047287504272017 (Accessed: 16 April 2026). </w:t>
      </w:r>
    </w:p>
    <w:p w14:paraId="59DB924F" w14:textId="77777777" w:rsidR="00EC5084" w:rsidRDefault="00EC5084" w:rsidP="00887498">
      <w:pPr>
        <w:pStyle w:val="ListParagraph"/>
        <w:numPr>
          <w:ilvl w:val="0"/>
          <w:numId w:val="8"/>
        </w:numPr>
      </w:pPr>
      <w:r>
        <w:t>Sánchez</w:t>
      </w:r>
      <w:r w:rsidRPr="00887498">
        <w:rPr>
          <w:rFonts w:ascii="Cambria Math" w:hAnsi="Cambria Math" w:cs="Cambria Math"/>
        </w:rPr>
        <w:t>‑</w:t>
      </w:r>
      <w:r>
        <w:t>S</w:t>
      </w:r>
      <w:r w:rsidRPr="00887498">
        <w:rPr>
          <w:rFonts w:cs="Arial"/>
        </w:rPr>
        <w:t>á</w:t>
      </w:r>
      <w:r>
        <w:t>nchez, M.D., De</w:t>
      </w:r>
      <w:r w:rsidRPr="00887498">
        <w:rPr>
          <w:rFonts w:ascii="Cambria Math" w:hAnsi="Cambria Math" w:cs="Cambria Math"/>
        </w:rPr>
        <w:t>‑</w:t>
      </w:r>
      <w:r>
        <w:t>Pablos</w:t>
      </w:r>
      <w:r w:rsidRPr="00887498">
        <w:rPr>
          <w:rFonts w:ascii="Cambria Math" w:hAnsi="Cambria Math" w:cs="Cambria Math"/>
        </w:rPr>
        <w:t>‑</w:t>
      </w:r>
      <w:r>
        <w:t>Heredero, C. and Montes</w:t>
      </w:r>
      <w:r w:rsidRPr="00887498">
        <w:rPr>
          <w:rFonts w:ascii="Cambria Math" w:hAnsi="Cambria Math" w:cs="Cambria Math"/>
        </w:rPr>
        <w:t>‑</w:t>
      </w:r>
      <w:r>
        <w:t xml:space="preserve">Botella, J.L. (2024) </w:t>
      </w:r>
      <w:r w:rsidRPr="00887498">
        <w:rPr>
          <w:rFonts w:cs="Arial"/>
        </w:rPr>
        <w:t>‘</w:t>
      </w:r>
      <w:r>
        <w:t>Direct and moderating effects of COVID</w:t>
      </w:r>
      <w:r w:rsidRPr="00887498">
        <w:rPr>
          <w:rFonts w:ascii="Cambria Math" w:hAnsi="Cambria Math" w:cs="Cambria Math"/>
        </w:rPr>
        <w:t>‑</w:t>
      </w:r>
      <w:r>
        <w:t>19 on cultural tourist satisfaction</w:t>
      </w:r>
      <w:r w:rsidRPr="00887498">
        <w:rPr>
          <w:rFonts w:cs="Arial"/>
        </w:rPr>
        <w:t>’</w:t>
      </w:r>
      <w:r>
        <w:t>, European Research on Management and Business Economics, 30(1), 100238. Available at: https://doi.org/10.1016/j.iedeen.2023.100238 (Accessed: 16 April 2026).</w:t>
      </w:r>
    </w:p>
    <w:p w14:paraId="5788D510" w14:textId="148C9732" w:rsidR="00EC5084" w:rsidRDefault="00EC5084" w:rsidP="00887498">
      <w:pPr>
        <w:pStyle w:val="ListParagraph"/>
        <w:numPr>
          <w:ilvl w:val="0"/>
          <w:numId w:val="8"/>
        </w:numPr>
      </w:pPr>
      <w:r>
        <w:t xml:space="preserve">Shelby, B. and Heberlein, T.A. (1986) Carrying capacity in recreation settings. Corvallis, OR: Oregon State University Press. </w:t>
      </w:r>
    </w:p>
    <w:p w14:paraId="3762A406" w14:textId="70911780" w:rsidR="00EC5084" w:rsidRDefault="00EC5084" w:rsidP="00887498">
      <w:pPr>
        <w:pStyle w:val="ListParagraph"/>
        <w:numPr>
          <w:ilvl w:val="0"/>
          <w:numId w:val="8"/>
        </w:numPr>
      </w:pPr>
      <w:r>
        <w:t xml:space="preserve">Stokols, D. (1972) ‘On the distinction between density and crowding: Some implications for future research’, Psychological Review, 79(3), pp. 275–277. Available at: https://doi.org/10.1037/h0032706 (Accessed: 16 April 2026). </w:t>
      </w:r>
    </w:p>
    <w:p w14:paraId="5E3B5285" w14:textId="77777777" w:rsidR="00EC5084" w:rsidRDefault="00EC5084" w:rsidP="00887498">
      <w:pPr>
        <w:pStyle w:val="ListParagraph"/>
        <w:numPr>
          <w:ilvl w:val="0"/>
          <w:numId w:val="8"/>
        </w:numPr>
      </w:pPr>
      <w:r>
        <w:lastRenderedPageBreak/>
        <w:t>Sun, X., Wang, Z., Zhou, M., Wang, T. and Li, H. (2024) ‘Segmenting tourists’ motivations via online reviews: Service strategies for enhancing tourist satisfaction’, Heliyon, 10(1), e23539. Available at: https://doi.org/10.1016/j.heliyon.2023.e23539 (Accessed: 16 April 2026).</w:t>
      </w:r>
    </w:p>
    <w:p w14:paraId="24D99814" w14:textId="77777777" w:rsidR="00EC5084" w:rsidRDefault="00EC5084" w:rsidP="00887498">
      <w:pPr>
        <w:pStyle w:val="ListParagraph"/>
        <w:numPr>
          <w:ilvl w:val="0"/>
          <w:numId w:val="8"/>
        </w:numPr>
      </w:pPr>
      <w:r>
        <w:t>Tranfield, D., Denyer, D. and Smart, P. (2003) ‘Towards a methodology for developing evidence</w:t>
      </w:r>
      <w:r w:rsidRPr="00887498">
        <w:rPr>
          <w:rFonts w:ascii="Cambria Math" w:hAnsi="Cambria Math" w:cs="Cambria Math"/>
        </w:rPr>
        <w:t>‑</w:t>
      </w:r>
      <w:r>
        <w:t>informed management knowledge by means of systematic review</w:t>
      </w:r>
      <w:r w:rsidRPr="00887498">
        <w:rPr>
          <w:rFonts w:cs="Arial"/>
        </w:rPr>
        <w:t>’</w:t>
      </w:r>
      <w:r>
        <w:t>, British Journal of Management, 14(3), pp. 207</w:t>
      </w:r>
      <w:r w:rsidRPr="00887498">
        <w:rPr>
          <w:rFonts w:cs="Arial"/>
        </w:rPr>
        <w:t>–</w:t>
      </w:r>
      <w:r>
        <w:t>222. Available at: https://doi.org/10.1111/1467-8551.00375 (Accessed: 16 April 2026).</w:t>
      </w:r>
    </w:p>
    <w:p w14:paraId="4AABEFFC" w14:textId="093F8E80" w:rsidR="00EC5084" w:rsidRDefault="00EC5084" w:rsidP="00887498">
      <w:pPr>
        <w:pStyle w:val="ListParagraph"/>
        <w:numPr>
          <w:ilvl w:val="0"/>
          <w:numId w:val="8"/>
        </w:numPr>
      </w:pPr>
      <w:r>
        <w:t xml:space="preserve">UNWTO (2018) ‘Overtourism’? Understanding and managing urban tourism growth beyond perceptions, executive summary. Madrid: World Tourism Organization (UNWTO). Available at: https://doi.org/10.18111/9789284420070 (Accessed: 16 April 2026). </w:t>
      </w:r>
    </w:p>
    <w:p w14:paraId="412283A5" w14:textId="77777777" w:rsidR="00EC5084" w:rsidRDefault="00EC5084" w:rsidP="00887498">
      <w:pPr>
        <w:pStyle w:val="ListParagraph"/>
        <w:numPr>
          <w:ilvl w:val="0"/>
          <w:numId w:val="8"/>
        </w:numPr>
      </w:pPr>
      <w:r>
        <w:t>UWTSD (2026) LCMB7035 Dissertation module handbook. Swansea: University of Wales Trinity Saint David.</w:t>
      </w:r>
    </w:p>
    <w:p w14:paraId="64211666" w14:textId="77777777" w:rsidR="00EC5084" w:rsidRDefault="00EC5084" w:rsidP="00887498">
      <w:pPr>
        <w:pStyle w:val="ListParagraph"/>
        <w:numPr>
          <w:ilvl w:val="0"/>
          <w:numId w:val="8"/>
        </w:numPr>
      </w:pPr>
      <w:r>
        <w:t>Vandenberg, R.J. and Lance, C.E. (2000) ‘A review and synthesis of the measurement invariance literature: Suggestions, practices, and recommendations for organisational research’, Organizational Research Methods, 3(1), pp. 4–70. Available at: https://doi.org/10.1177/109442810031002 (Accessed: 16 April 2026).</w:t>
      </w:r>
    </w:p>
    <w:p w14:paraId="64652F81" w14:textId="0B17B12B" w:rsidR="00EC5084" w:rsidRDefault="00EC5084" w:rsidP="00887498">
      <w:pPr>
        <w:pStyle w:val="ListParagraph"/>
        <w:numPr>
          <w:ilvl w:val="0"/>
          <w:numId w:val="8"/>
        </w:numPr>
      </w:pPr>
      <w:r>
        <w:t xml:space="preserve">Xiang, Z. and Gretzel, U. (2010) ‘Role of social media in online travel information search’, Tourism Management, 31(2), pp. 179–188. Available at: https://doi.org/10.1016/j.tourman.2009.02.016 (Accessed: 16 April 2026). </w:t>
      </w:r>
    </w:p>
    <w:p w14:paraId="18DC49A6" w14:textId="77777777" w:rsidR="00EC5084" w:rsidRDefault="00EC5084" w:rsidP="00887498">
      <w:pPr>
        <w:pStyle w:val="ListParagraph"/>
        <w:numPr>
          <w:ilvl w:val="0"/>
          <w:numId w:val="8"/>
        </w:numPr>
      </w:pPr>
      <w:r>
        <w:t>Yang, X., Ali, N.A. and Tat, H.H. (2025) ‘Study on tourism development using CRITIC method for tourist satisfaction’, IEEE Access, 13, pp. 34210–34225. Available at: https://doi.org/10.1109/ACCESS.2025.3552279 (Accessed: 16 April 2026).</w:t>
      </w:r>
    </w:p>
    <w:p w14:paraId="56021A5A" w14:textId="77777777" w:rsidR="00EC5084" w:rsidRDefault="00EC5084" w:rsidP="00887498">
      <w:pPr>
        <w:pStyle w:val="ListParagraph"/>
        <w:numPr>
          <w:ilvl w:val="0"/>
          <w:numId w:val="8"/>
        </w:numPr>
      </w:pPr>
      <w:r>
        <w:t>Yap, Y.Y., Tan, S.H., Tan, B.C. and Tan, S.K. (2025) ‘Smart tourism technologies and tourist satisfaction: A systematic literature review and research agenda’, Acta Psychologica, 247, 105191. Available at: https://doi.org/10.1016/j.actpsy.2025.105191 (Accessed: 16 April 2026).</w:t>
      </w:r>
    </w:p>
    <w:p w14:paraId="29B9DF9D" w14:textId="26F48342" w:rsidR="00EC5084" w:rsidRDefault="00EC5084" w:rsidP="00887498">
      <w:pPr>
        <w:pStyle w:val="ListParagraph"/>
        <w:numPr>
          <w:ilvl w:val="0"/>
          <w:numId w:val="8"/>
        </w:numPr>
      </w:pPr>
      <w:r>
        <w:t xml:space="preserve">Yoon, Y. and Uysal, M. (2005) ‘An examination of the effects of motivation and satisfaction on destination loyalty: A structural model’, Tourism Management, 26(1), pp. 45–56. Available at: https://doi.org/10.1016/j.tourman.2003.08.016 (Accessed: 16 April 2026). </w:t>
      </w:r>
    </w:p>
    <w:p w14:paraId="6C5FF567" w14:textId="09293264" w:rsidR="00E34F21" w:rsidRDefault="00EC5084" w:rsidP="00887498">
      <w:pPr>
        <w:pStyle w:val="ListParagraph"/>
        <w:numPr>
          <w:ilvl w:val="0"/>
          <w:numId w:val="8"/>
        </w:numPr>
        <w:rPr>
          <w:lang w:eastAsia="en-GB"/>
        </w:rPr>
      </w:pPr>
      <w:r>
        <w:t>Zeithaml, V.A. (1988) ‘Consumer perceptions of price, quality, and value: A means-end model and synthesis of evidence’, Journal of Marketing, 52(3), pp. 2–22. Available at: https://doi.org/10.1177/002224298805200302 (Accessed: 16 April 2026).</w:t>
      </w:r>
    </w:p>
    <w:p w14:paraId="2018441D" w14:textId="77777777" w:rsidR="00535420" w:rsidRDefault="00535420" w:rsidP="00C77F3D">
      <w:pPr>
        <w:rPr>
          <w:lang w:eastAsia="en-GB"/>
        </w:rPr>
      </w:pPr>
    </w:p>
    <w:p w14:paraId="50D7E9CE" w14:textId="77777777" w:rsidR="00535420" w:rsidRDefault="00535420" w:rsidP="00C77F3D">
      <w:pPr>
        <w:rPr>
          <w:lang w:eastAsia="en-GB"/>
        </w:rPr>
      </w:pPr>
    </w:p>
    <w:p w14:paraId="51F7B799" w14:textId="77777777" w:rsidR="00535420" w:rsidRDefault="00535420" w:rsidP="00C77F3D">
      <w:pPr>
        <w:rPr>
          <w:lang w:eastAsia="en-GB"/>
        </w:rPr>
      </w:pPr>
    </w:p>
    <w:p w14:paraId="42C4378D" w14:textId="77777777" w:rsidR="00535420" w:rsidRDefault="00535420" w:rsidP="00C77F3D">
      <w:pPr>
        <w:rPr>
          <w:lang w:eastAsia="en-GB"/>
        </w:rPr>
      </w:pPr>
    </w:p>
    <w:p w14:paraId="3F6694FF" w14:textId="77777777" w:rsidR="00535420" w:rsidRDefault="00535420" w:rsidP="00C77F3D">
      <w:pPr>
        <w:rPr>
          <w:lang w:eastAsia="en-GB"/>
        </w:rPr>
      </w:pPr>
    </w:p>
    <w:p w14:paraId="72BA1C41" w14:textId="77777777" w:rsidR="0057199C" w:rsidRDefault="0057199C" w:rsidP="0057199C">
      <w:pPr>
        <w:keepNext/>
        <w:keepLines/>
        <w:spacing w:before="360" w:after="80"/>
        <w:outlineLvl w:val="0"/>
        <w:rPr>
          <w:rFonts w:eastAsiaTheme="majorEastAsia" w:cstheme="majorBidi"/>
          <w:color w:val="4EA72E" w:themeColor="accent6"/>
          <w:sz w:val="40"/>
          <w:szCs w:val="40"/>
        </w:rPr>
      </w:pPr>
      <w:bookmarkStart w:id="47" w:name="_Toc227235050"/>
      <w:bookmarkStart w:id="48" w:name="_Toc228889966"/>
      <w:r w:rsidRPr="0057199C">
        <w:rPr>
          <w:rFonts w:eastAsiaTheme="majorEastAsia" w:cstheme="majorBidi"/>
          <w:color w:val="4EA72E" w:themeColor="accent6"/>
          <w:sz w:val="40"/>
          <w:szCs w:val="40"/>
        </w:rPr>
        <w:lastRenderedPageBreak/>
        <w:t>Appendix A: Systematic Literature Review Corpus and Data Extraction Framework</w:t>
      </w:r>
      <w:bookmarkEnd w:id="47"/>
      <w:bookmarkEnd w:id="48"/>
    </w:p>
    <w:p w14:paraId="7D50B716" w14:textId="77777777" w:rsidR="009E6F9B" w:rsidRDefault="009E6F9B" w:rsidP="0057199C">
      <w:pPr>
        <w:keepNext/>
        <w:keepLines/>
        <w:spacing w:before="360" w:after="80"/>
        <w:outlineLvl w:val="0"/>
        <w:rPr>
          <w:rFonts w:eastAsiaTheme="majorEastAsia" w:cstheme="majorBidi"/>
          <w:color w:val="4EA72E" w:themeColor="accent6"/>
          <w:sz w:val="40"/>
          <w:szCs w:val="40"/>
        </w:rPr>
      </w:pPr>
    </w:p>
    <w:p w14:paraId="68DACD7E" w14:textId="77777777" w:rsidR="0057199C" w:rsidRPr="0057199C" w:rsidRDefault="0057199C" w:rsidP="00595CC0">
      <w:r w:rsidRPr="0057199C">
        <w:t>This appendix provides the full extraction and coding table for all studies included in the systematic literature review (n = 52). The table details study characteristics, methodological features, indicator categories and research question alignment, ensuring transparency and auditability of the SLR process.</w:t>
      </w:r>
    </w:p>
    <w:p w14:paraId="2D0A398F" w14:textId="77777777" w:rsidR="0057199C" w:rsidRPr="0057199C" w:rsidRDefault="0057199C" w:rsidP="00595CC0">
      <w:r w:rsidRPr="0057199C">
        <w:t>Table A1: Full extraction table of studies included in the systematic literature review (2021–2025)</w:t>
      </w:r>
    </w:p>
    <w:tbl>
      <w:tblPr>
        <w:tblStyle w:val="GridTable4-Accent6"/>
        <w:tblW w:w="0" w:type="auto"/>
        <w:tblLayout w:type="fixed"/>
        <w:tblLook w:val="04A0" w:firstRow="1" w:lastRow="0" w:firstColumn="1" w:lastColumn="0" w:noHBand="0" w:noVBand="1"/>
      </w:tblPr>
      <w:tblGrid>
        <w:gridCol w:w="1413"/>
        <w:gridCol w:w="709"/>
        <w:gridCol w:w="1134"/>
        <w:gridCol w:w="1134"/>
        <w:gridCol w:w="708"/>
        <w:gridCol w:w="567"/>
        <w:gridCol w:w="454"/>
        <w:gridCol w:w="493"/>
        <w:gridCol w:w="782"/>
        <w:gridCol w:w="965"/>
        <w:gridCol w:w="657"/>
      </w:tblGrid>
      <w:tr w:rsidR="001B4539" w:rsidRPr="001B4539" w14:paraId="0EFF92C5" w14:textId="77777777" w:rsidTr="00ED78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3FCBF199" w14:textId="77777777" w:rsidR="001B4539" w:rsidRPr="001B4539" w:rsidRDefault="001B4539" w:rsidP="001B4539">
            <w:pPr>
              <w:spacing w:after="160"/>
              <w:rPr>
                <w:sz w:val="16"/>
                <w:szCs w:val="16"/>
                <w:lang w:eastAsia="en-GB"/>
              </w:rPr>
            </w:pPr>
            <w:r w:rsidRPr="001B4539">
              <w:rPr>
                <w:sz w:val="16"/>
                <w:szCs w:val="16"/>
                <w:lang w:eastAsia="en-GB"/>
              </w:rPr>
              <w:t>Author(s)</w:t>
            </w:r>
          </w:p>
        </w:tc>
        <w:tc>
          <w:tcPr>
            <w:tcW w:w="709" w:type="dxa"/>
            <w:hideMark/>
          </w:tcPr>
          <w:p w14:paraId="0E004FEE"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Year</w:t>
            </w:r>
          </w:p>
        </w:tc>
        <w:tc>
          <w:tcPr>
            <w:tcW w:w="1134" w:type="dxa"/>
            <w:hideMark/>
          </w:tcPr>
          <w:p w14:paraId="3D070CAB"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Journal</w:t>
            </w:r>
          </w:p>
        </w:tc>
        <w:tc>
          <w:tcPr>
            <w:tcW w:w="1134" w:type="dxa"/>
            <w:hideMark/>
          </w:tcPr>
          <w:p w14:paraId="527DC03B"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Method</w:t>
            </w:r>
          </w:p>
        </w:tc>
        <w:tc>
          <w:tcPr>
            <w:tcW w:w="708" w:type="dxa"/>
            <w:hideMark/>
          </w:tcPr>
          <w:p w14:paraId="3D44758B"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Safety/Hygiene</w:t>
            </w:r>
          </w:p>
        </w:tc>
        <w:tc>
          <w:tcPr>
            <w:tcW w:w="567" w:type="dxa"/>
            <w:hideMark/>
          </w:tcPr>
          <w:p w14:paraId="065E34BC"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Digitalisation</w:t>
            </w:r>
          </w:p>
        </w:tc>
        <w:tc>
          <w:tcPr>
            <w:tcW w:w="454" w:type="dxa"/>
            <w:hideMark/>
          </w:tcPr>
          <w:p w14:paraId="6719BE9A"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Crowding</w:t>
            </w:r>
          </w:p>
        </w:tc>
        <w:tc>
          <w:tcPr>
            <w:tcW w:w="493" w:type="dxa"/>
            <w:hideMark/>
          </w:tcPr>
          <w:p w14:paraId="61B1FD86"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Value</w:t>
            </w:r>
          </w:p>
        </w:tc>
        <w:tc>
          <w:tcPr>
            <w:tcW w:w="782" w:type="dxa"/>
            <w:hideMark/>
          </w:tcPr>
          <w:p w14:paraId="0457E6E2"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Destination Image</w:t>
            </w:r>
          </w:p>
        </w:tc>
        <w:tc>
          <w:tcPr>
            <w:tcW w:w="965" w:type="dxa"/>
            <w:hideMark/>
          </w:tcPr>
          <w:p w14:paraId="3B41207A"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Satisfaction → Loyalty</w:t>
            </w:r>
          </w:p>
        </w:tc>
        <w:tc>
          <w:tcPr>
            <w:tcW w:w="657" w:type="dxa"/>
            <w:hideMark/>
          </w:tcPr>
          <w:p w14:paraId="4C87C0E3"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w:t>
            </w:r>
          </w:p>
        </w:tc>
      </w:tr>
      <w:tr w:rsidR="001B4539" w:rsidRPr="001B4539" w14:paraId="72F09E46"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DAE3BEC" w14:textId="77777777" w:rsidR="001B4539" w:rsidRPr="001B4539" w:rsidRDefault="001B4539" w:rsidP="001B4539">
            <w:pPr>
              <w:spacing w:after="160"/>
              <w:rPr>
                <w:sz w:val="16"/>
                <w:szCs w:val="16"/>
                <w:lang w:eastAsia="en-GB"/>
              </w:rPr>
            </w:pPr>
            <w:r w:rsidRPr="001B4539">
              <w:rPr>
                <w:sz w:val="16"/>
                <w:szCs w:val="16"/>
                <w:lang w:eastAsia="en-GB"/>
              </w:rPr>
              <w:t>Munir et al.</w:t>
            </w:r>
          </w:p>
        </w:tc>
        <w:tc>
          <w:tcPr>
            <w:tcW w:w="709" w:type="dxa"/>
            <w:hideMark/>
          </w:tcPr>
          <w:p w14:paraId="203DBAF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7B3A03F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7BB73F6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4008F5A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2C5561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784C0A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AE033D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630AEA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4A8C1F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4926DCC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7F5CC7C9"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13F4D76C" w14:textId="77777777" w:rsidR="001B4539" w:rsidRPr="001B4539" w:rsidRDefault="001B4539" w:rsidP="001B4539">
            <w:pPr>
              <w:spacing w:after="160"/>
              <w:rPr>
                <w:sz w:val="16"/>
                <w:szCs w:val="16"/>
                <w:lang w:eastAsia="en-GB"/>
              </w:rPr>
            </w:pPr>
            <w:r w:rsidRPr="001B4539">
              <w:rPr>
                <w:sz w:val="16"/>
                <w:szCs w:val="16"/>
                <w:lang w:eastAsia="en-GB"/>
              </w:rPr>
              <w:t>Bašan et al.</w:t>
            </w:r>
          </w:p>
        </w:tc>
        <w:tc>
          <w:tcPr>
            <w:tcW w:w="709" w:type="dxa"/>
            <w:hideMark/>
          </w:tcPr>
          <w:p w14:paraId="32F9049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2021</w:t>
            </w:r>
          </w:p>
        </w:tc>
        <w:tc>
          <w:tcPr>
            <w:tcW w:w="1134" w:type="dxa"/>
            <w:hideMark/>
          </w:tcPr>
          <w:p w14:paraId="163274E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Econviews</w:t>
            </w:r>
          </w:p>
        </w:tc>
        <w:tc>
          <w:tcPr>
            <w:tcW w:w="1134" w:type="dxa"/>
            <w:hideMark/>
          </w:tcPr>
          <w:p w14:paraId="28BB2CB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EFA/PCA/Regression</w:t>
            </w:r>
          </w:p>
        </w:tc>
        <w:tc>
          <w:tcPr>
            <w:tcW w:w="708" w:type="dxa"/>
            <w:hideMark/>
          </w:tcPr>
          <w:p w14:paraId="2FAF32D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F3D103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14A489E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074ABD6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59500C0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6EE94D1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73E62B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5DF580DD"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25695FA9" w14:textId="77777777" w:rsidR="001B4539" w:rsidRPr="001B4539" w:rsidRDefault="001B4539" w:rsidP="001B4539">
            <w:pPr>
              <w:spacing w:after="160"/>
              <w:rPr>
                <w:sz w:val="16"/>
                <w:szCs w:val="16"/>
                <w:lang w:eastAsia="en-GB"/>
              </w:rPr>
            </w:pPr>
            <w:r w:rsidRPr="001B4539">
              <w:rPr>
                <w:sz w:val="16"/>
                <w:szCs w:val="16"/>
                <w:lang w:eastAsia="en-GB"/>
              </w:rPr>
              <w:t>Pérez-Campdesuñer et al.</w:t>
            </w:r>
          </w:p>
        </w:tc>
        <w:tc>
          <w:tcPr>
            <w:tcW w:w="709" w:type="dxa"/>
            <w:hideMark/>
          </w:tcPr>
          <w:p w14:paraId="568790C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29C975C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Administrative Sciences</w:t>
            </w:r>
          </w:p>
        </w:tc>
        <w:tc>
          <w:tcPr>
            <w:tcW w:w="1134" w:type="dxa"/>
            <w:hideMark/>
          </w:tcPr>
          <w:p w14:paraId="30B87DE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SERVPERF (CFA/SEM)</w:t>
            </w:r>
          </w:p>
        </w:tc>
        <w:tc>
          <w:tcPr>
            <w:tcW w:w="708" w:type="dxa"/>
            <w:hideMark/>
          </w:tcPr>
          <w:p w14:paraId="30C2F79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42A1FCB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B6867D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F64BD3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6BC729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686371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45FB8A4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6FA2BAE3"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2E5D96C5" w14:textId="77777777" w:rsidR="001B4539" w:rsidRPr="001B4539" w:rsidRDefault="001B4539" w:rsidP="001B4539">
            <w:pPr>
              <w:spacing w:after="160"/>
              <w:rPr>
                <w:sz w:val="16"/>
                <w:szCs w:val="16"/>
                <w:lang w:eastAsia="en-GB"/>
              </w:rPr>
            </w:pPr>
            <w:r w:rsidRPr="001B4539">
              <w:rPr>
                <w:sz w:val="16"/>
                <w:szCs w:val="16"/>
                <w:lang w:eastAsia="en-GB"/>
              </w:rPr>
              <w:t>Shrestha et al.</w:t>
            </w:r>
          </w:p>
        </w:tc>
        <w:tc>
          <w:tcPr>
            <w:tcW w:w="709" w:type="dxa"/>
            <w:hideMark/>
          </w:tcPr>
          <w:p w14:paraId="576DE06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2D46AB4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KSII Transactions</w:t>
            </w:r>
          </w:p>
        </w:tc>
        <w:tc>
          <w:tcPr>
            <w:tcW w:w="1134" w:type="dxa"/>
            <w:hideMark/>
          </w:tcPr>
          <w:p w14:paraId="0B25B72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ML (SVM/RF/NN)</w:t>
            </w:r>
          </w:p>
        </w:tc>
        <w:tc>
          <w:tcPr>
            <w:tcW w:w="708" w:type="dxa"/>
            <w:hideMark/>
          </w:tcPr>
          <w:p w14:paraId="40F056B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5F3C8F5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3154C28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BB82D9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3B973D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C9EAAB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6E09237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3D92EA96"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50E87FE3" w14:textId="77777777" w:rsidR="001B4539" w:rsidRPr="001B4539" w:rsidRDefault="001B4539" w:rsidP="001B4539">
            <w:pPr>
              <w:spacing w:after="160"/>
              <w:rPr>
                <w:sz w:val="16"/>
                <w:szCs w:val="16"/>
                <w:lang w:eastAsia="en-GB"/>
              </w:rPr>
            </w:pPr>
            <w:r w:rsidRPr="001B4539">
              <w:rPr>
                <w:sz w:val="16"/>
                <w:szCs w:val="16"/>
                <w:lang w:eastAsia="en-GB"/>
              </w:rPr>
              <w:t>De Marchi et al.</w:t>
            </w:r>
          </w:p>
        </w:tc>
        <w:tc>
          <w:tcPr>
            <w:tcW w:w="709" w:type="dxa"/>
            <w:hideMark/>
          </w:tcPr>
          <w:p w14:paraId="027F173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60A9393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5705F13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UGC/Sentiment</w:t>
            </w:r>
          </w:p>
        </w:tc>
        <w:tc>
          <w:tcPr>
            <w:tcW w:w="708" w:type="dxa"/>
            <w:hideMark/>
          </w:tcPr>
          <w:p w14:paraId="1A02C45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732E16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75FEBF5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8FEE44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7588BE9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1A04097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27ECAC1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6C5309DD"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483E5C7A" w14:textId="77777777" w:rsidR="001B4539" w:rsidRPr="001B4539" w:rsidRDefault="001B4539" w:rsidP="001B4539">
            <w:pPr>
              <w:spacing w:after="160"/>
              <w:rPr>
                <w:sz w:val="16"/>
                <w:szCs w:val="16"/>
                <w:lang w:eastAsia="en-GB"/>
              </w:rPr>
            </w:pPr>
            <w:r w:rsidRPr="001B4539">
              <w:rPr>
                <w:sz w:val="16"/>
                <w:szCs w:val="16"/>
                <w:lang w:eastAsia="en-GB"/>
              </w:rPr>
              <w:t>Aniramu et al.</w:t>
            </w:r>
          </w:p>
        </w:tc>
        <w:tc>
          <w:tcPr>
            <w:tcW w:w="709" w:type="dxa"/>
            <w:hideMark/>
          </w:tcPr>
          <w:p w14:paraId="1B6E81F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797C01A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Sustainable Environment</w:t>
            </w:r>
          </w:p>
        </w:tc>
        <w:tc>
          <w:tcPr>
            <w:tcW w:w="1134" w:type="dxa"/>
            <w:hideMark/>
          </w:tcPr>
          <w:p w14:paraId="255803E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IPA + Regression</w:t>
            </w:r>
          </w:p>
        </w:tc>
        <w:tc>
          <w:tcPr>
            <w:tcW w:w="708" w:type="dxa"/>
            <w:hideMark/>
          </w:tcPr>
          <w:p w14:paraId="3C99F98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A057BC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3F69E6F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CCF818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1FA9F1E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5B262D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3787B5B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251E264"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8AE6210" w14:textId="77777777" w:rsidR="001B4539" w:rsidRPr="001B4539" w:rsidRDefault="001B4539" w:rsidP="001B4539">
            <w:pPr>
              <w:spacing w:after="160"/>
              <w:rPr>
                <w:sz w:val="16"/>
                <w:szCs w:val="16"/>
                <w:lang w:eastAsia="en-GB"/>
              </w:rPr>
            </w:pPr>
            <w:r w:rsidRPr="001B4539">
              <w:rPr>
                <w:sz w:val="16"/>
                <w:szCs w:val="16"/>
                <w:lang w:eastAsia="en-GB"/>
              </w:rPr>
              <w:t>Aliedan et al.</w:t>
            </w:r>
          </w:p>
        </w:tc>
        <w:tc>
          <w:tcPr>
            <w:tcW w:w="709" w:type="dxa"/>
            <w:hideMark/>
          </w:tcPr>
          <w:p w14:paraId="64F4E68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2021</w:t>
            </w:r>
          </w:p>
        </w:tc>
        <w:tc>
          <w:tcPr>
            <w:tcW w:w="1134" w:type="dxa"/>
            <w:hideMark/>
          </w:tcPr>
          <w:p w14:paraId="223D171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1CABE13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08EAD6B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43CE48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1F170C8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248141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3238BFE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4625F3A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Via mediation</w:t>
            </w:r>
          </w:p>
        </w:tc>
        <w:tc>
          <w:tcPr>
            <w:tcW w:w="657" w:type="dxa"/>
            <w:hideMark/>
          </w:tcPr>
          <w:p w14:paraId="390224F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46FCFF5A"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A66E00F" w14:textId="77777777" w:rsidR="001B4539" w:rsidRPr="001B4539" w:rsidRDefault="001B4539" w:rsidP="001B4539">
            <w:pPr>
              <w:spacing w:after="160"/>
              <w:rPr>
                <w:sz w:val="16"/>
                <w:szCs w:val="16"/>
                <w:lang w:eastAsia="en-GB"/>
              </w:rPr>
            </w:pPr>
            <w:r w:rsidRPr="001B4539">
              <w:rPr>
                <w:sz w:val="16"/>
                <w:szCs w:val="16"/>
                <w:lang w:eastAsia="en-GB"/>
              </w:rPr>
              <w:t>Peng &amp; Jiang</w:t>
            </w:r>
          </w:p>
        </w:tc>
        <w:tc>
          <w:tcPr>
            <w:tcW w:w="709" w:type="dxa"/>
            <w:hideMark/>
          </w:tcPr>
          <w:p w14:paraId="17AE6F1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19E8EF2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Journal of Sensors</w:t>
            </w:r>
          </w:p>
        </w:tc>
        <w:tc>
          <w:tcPr>
            <w:tcW w:w="1134" w:type="dxa"/>
            <w:hideMark/>
          </w:tcPr>
          <w:p w14:paraId="182B28D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 index</w:t>
            </w:r>
          </w:p>
        </w:tc>
        <w:tc>
          <w:tcPr>
            <w:tcW w:w="708" w:type="dxa"/>
            <w:hideMark/>
          </w:tcPr>
          <w:p w14:paraId="4ACACE7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15FAFE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EED0B3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6D4EB7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415A18E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87B677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713CDD2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7A5A79F8"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2DD05F8" w14:textId="77777777" w:rsidR="001B4539" w:rsidRPr="001B4539" w:rsidRDefault="001B4539" w:rsidP="001B4539">
            <w:pPr>
              <w:spacing w:after="160"/>
              <w:rPr>
                <w:sz w:val="16"/>
                <w:szCs w:val="16"/>
                <w:lang w:eastAsia="en-GB"/>
              </w:rPr>
            </w:pPr>
            <w:r w:rsidRPr="001B4539">
              <w:rPr>
                <w:sz w:val="16"/>
                <w:szCs w:val="16"/>
                <w:lang w:eastAsia="en-GB"/>
              </w:rPr>
              <w:t>Jameel et al.</w:t>
            </w:r>
          </w:p>
        </w:tc>
        <w:tc>
          <w:tcPr>
            <w:tcW w:w="709" w:type="dxa"/>
            <w:hideMark/>
          </w:tcPr>
          <w:p w14:paraId="243AF8F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56E484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Humanities &amp; Social Sciences Communications</w:t>
            </w:r>
          </w:p>
        </w:tc>
        <w:tc>
          <w:tcPr>
            <w:tcW w:w="1134" w:type="dxa"/>
            <w:hideMark/>
          </w:tcPr>
          <w:p w14:paraId="72D824E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690DCDC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519CF76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0DCB302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70277C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4B99E3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1FF7F2D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062CA8F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65474B0B"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7C061D6B" w14:textId="77777777" w:rsidR="001B4539" w:rsidRPr="001B4539" w:rsidRDefault="001B4539" w:rsidP="001B4539">
            <w:pPr>
              <w:spacing w:after="160"/>
              <w:rPr>
                <w:sz w:val="16"/>
                <w:szCs w:val="16"/>
                <w:lang w:eastAsia="en-GB"/>
              </w:rPr>
            </w:pPr>
            <w:r w:rsidRPr="001B4539">
              <w:rPr>
                <w:sz w:val="16"/>
                <w:szCs w:val="16"/>
                <w:lang w:eastAsia="en-GB"/>
              </w:rPr>
              <w:t>Gazi et al.</w:t>
            </w:r>
          </w:p>
        </w:tc>
        <w:tc>
          <w:tcPr>
            <w:tcW w:w="709" w:type="dxa"/>
            <w:hideMark/>
          </w:tcPr>
          <w:p w14:paraId="11A39BA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4C97A41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Cogent Social Sciences</w:t>
            </w:r>
          </w:p>
        </w:tc>
        <w:tc>
          <w:tcPr>
            <w:tcW w:w="1134" w:type="dxa"/>
            <w:hideMark/>
          </w:tcPr>
          <w:p w14:paraId="707F16A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PLS-SEM/MGA</w:t>
            </w:r>
          </w:p>
        </w:tc>
        <w:tc>
          <w:tcPr>
            <w:tcW w:w="708" w:type="dxa"/>
            <w:hideMark/>
          </w:tcPr>
          <w:p w14:paraId="569571D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3E3C34B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6BF4FD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4677CA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1268C7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EE814C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4872558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76A04D0"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B16D7A2" w14:textId="77777777" w:rsidR="001B4539" w:rsidRPr="001B4539" w:rsidRDefault="001B4539" w:rsidP="001B4539">
            <w:pPr>
              <w:spacing w:after="160"/>
              <w:rPr>
                <w:sz w:val="16"/>
                <w:szCs w:val="16"/>
                <w:lang w:eastAsia="en-GB"/>
              </w:rPr>
            </w:pPr>
            <w:r w:rsidRPr="001B4539">
              <w:rPr>
                <w:sz w:val="16"/>
                <w:szCs w:val="16"/>
                <w:lang w:eastAsia="en-GB"/>
              </w:rPr>
              <w:t>Wu &amp; Yang</w:t>
            </w:r>
          </w:p>
        </w:tc>
        <w:tc>
          <w:tcPr>
            <w:tcW w:w="709" w:type="dxa"/>
            <w:hideMark/>
          </w:tcPr>
          <w:p w14:paraId="365B5E9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6A494AC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JDMM</w:t>
            </w:r>
          </w:p>
        </w:tc>
        <w:tc>
          <w:tcPr>
            <w:tcW w:w="1134" w:type="dxa"/>
            <w:hideMark/>
          </w:tcPr>
          <w:p w14:paraId="18C6B8C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UGC (KMeans + IPA)</w:t>
            </w:r>
          </w:p>
        </w:tc>
        <w:tc>
          <w:tcPr>
            <w:tcW w:w="708" w:type="dxa"/>
            <w:hideMark/>
          </w:tcPr>
          <w:p w14:paraId="1AAB167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0889B5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03BCD5A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7E5CB76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5F5383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6B7BA18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0F08D5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7EF30703"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294775BC" w14:textId="77777777" w:rsidR="001B4539" w:rsidRPr="001B4539" w:rsidRDefault="001B4539" w:rsidP="001B4539">
            <w:pPr>
              <w:spacing w:after="160"/>
              <w:rPr>
                <w:sz w:val="16"/>
                <w:szCs w:val="16"/>
                <w:lang w:eastAsia="en-GB"/>
              </w:rPr>
            </w:pPr>
            <w:r w:rsidRPr="001B4539">
              <w:rPr>
                <w:sz w:val="16"/>
                <w:szCs w:val="16"/>
                <w:lang w:eastAsia="en-GB"/>
              </w:rPr>
              <w:t>Sugiama et al.</w:t>
            </w:r>
          </w:p>
        </w:tc>
        <w:tc>
          <w:tcPr>
            <w:tcW w:w="709" w:type="dxa"/>
            <w:hideMark/>
          </w:tcPr>
          <w:p w14:paraId="357C67E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00ABE14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IJASTE</w:t>
            </w:r>
          </w:p>
        </w:tc>
        <w:tc>
          <w:tcPr>
            <w:tcW w:w="1134" w:type="dxa"/>
            <w:hideMark/>
          </w:tcPr>
          <w:p w14:paraId="5CED36D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135E4AE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236C289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075E8DF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179E7E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4CC3076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0FEC20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786612F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07113683"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C610A94" w14:textId="77777777" w:rsidR="001B4539" w:rsidRPr="001B4539" w:rsidRDefault="001B4539" w:rsidP="001B4539">
            <w:pPr>
              <w:spacing w:after="160"/>
              <w:rPr>
                <w:sz w:val="16"/>
                <w:szCs w:val="16"/>
                <w:lang w:eastAsia="en-GB"/>
              </w:rPr>
            </w:pPr>
            <w:r w:rsidRPr="001B4539">
              <w:rPr>
                <w:sz w:val="16"/>
                <w:szCs w:val="16"/>
                <w:lang w:eastAsia="en-GB"/>
              </w:rPr>
              <w:t>Gao et al.</w:t>
            </w:r>
          </w:p>
        </w:tc>
        <w:tc>
          <w:tcPr>
            <w:tcW w:w="709" w:type="dxa"/>
            <w:hideMark/>
          </w:tcPr>
          <w:p w14:paraId="41DFBFC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3FCD4AB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PLOS ONE</w:t>
            </w:r>
          </w:p>
        </w:tc>
        <w:tc>
          <w:tcPr>
            <w:tcW w:w="1134" w:type="dxa"/>
            <w:hideMark/>
          </w:tcPr>
          <w:p w14:paraId="41B7963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Mediated model</w:t>
            </w:r>
          </w:p>
        </w:tc>
        <w:tc>
          <w:tcPr>
            <w:tcW w:w="708" w:type="dxa"/>
            <w:hideMark/>
          </w:tcPr>
          <w:p w14:paraId="3B0A5FA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1804287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729129C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5FDB61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313FDD6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A1ECAE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0A5C03F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223E4B96"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A64E4E8" w14:textId="77777777" w:rsidR="001B4539" w:rsidRPr="001B4539" w:rsidRDefault="001B4539" w:rsidP="001B4539">
            <w:pPr>
              <w:spacing w:after="160"/>
              <w:rPr>
                <w:sz w:val="16"/>
                <w:szCs w:val="16"/>
                <w:lang w:eastAsia="en-GB"/>
              </w:rPr>
            </w:pPr>
            <w:r w:rsidRPr="001B4539">
              <w:rPr>
                <w:sz w:val="16"/>
                <w:szCs w:val="16"/>
                <w:lang w:eastAsia="en-GB"/>
              </w:rPr>
              <w:t>Kusumah</w:t>
            </w:r>
          </w:p>
        </w:tc>
        <w:tc>
          <w:tcPr>
            <w:tcW w:w="709" w:type="dxa"/>
            <w:hideMark/>
          </w:tcPr>
          <w:p w14:paraId="4BAE5D4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7B3DC4E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IJTC</w:t>
            </w:r>
          </w:p>
        </w:tc>
        <w:tc>
          <w:tcPr>
            <w:tcW w:w="1134" w:type="dxa"/>
            <w:hideMark/>
          </w:tcPr>
          <w:p w14:paraId="0BB70C9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086B95E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2262F24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48F6219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574028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E9229B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7856690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260829F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15F5D1B8"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AE67A14" w14:textId="77777777" w:rsidR="001B4539" w:rsidRPr="001B4539" w:rsidRDefault="001B4539" w:rsidP="001B4539">
            <w:pPr>
              <w:spacing w:after="160"/>
              <w:rPr>
                <w:sz w:val="16"/>
                <w:szCs w:val="16"/>
                <w:lang w:eastAsia="en-GB"/>
              </w:rPr>
            </w:pPr>
            <w:r w:rsidRPr="001B4539">
              <w:rPr>
                <w:sz w:val="16"/>
                <w:szCs w:val="16"/>
                <w:lang w:eastAsia="en-GB"/>
              </w:rPr>
              <w:lastRenderedPageBreak/>
              <w:t>Zhao et al.</w:t>
            </w:r>
          </w:p>
        </w:tc>
        <w:tc>
          <w:tcPr>
            <w:tcW w:w="709" w:type="dxa"/>
            <w:hideMark/>
          </w:tcPr>
          <w:p w14:paraId="06E6412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4A5D967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JHTM</w:t>
            </w:r>
          </w:p>
        </w:tc>
        <w:tc>
          <w:tcPr>
            <w:tcW w:w="1134" w:type="dxa"/>
            <w:hideMark/>
          </w:tcPr>
          <w:p w14:paraId="0361EFE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5F3E46B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32CB33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14E4877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E2EDB4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69FA30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353D90F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15EF3CA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1B996F9C"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127B4288" w14:textId="77777777" w:rsidR="001B4539" w:rsidRPr="001B4539" w:rsidRDefault="001B4539" w:rsidP="001B4539">
            <w:pPr>
              <w:spacing w:after="160"/>
              <w:rPr>
                <w:sz w:val="16"/>
                <w:szCs w:val="16"/>
                <w:lang w:eastAsia="en-GB"/>
              </w:rPr>
            </w:pPr>
            <w:r w:rsidRPr="001B4539">
              <w:rPr>
                <w:sz w:val="16"/>
                <w:szCs w:val="16"/>
                <w:lang w:eastAsia="en-GB"/>
              </w:rPr>
              <w:t>Liu et al.</w:t>
            </w:r>
          </w:p>
        </w:tc>
        <w:tc>
          <w:tcPr>
            <w:tcW w:w="709" w:type="dxa"/>
            <w:hideMark/>
          </w:tcPr>
          <w:p w14:paraId="1DB4283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23775A1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34C6E55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4D59FA8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0FEDBDE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E9C0A9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334FD08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17FF73F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3E10383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F49C1B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06A4A271"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685B7D40" w14:textId="77777777" w:rsidR="001B4539" w:rsidRPr="001B4539" w:rsidRDefault="001B4539" w:rsidP="001B4539">
            <w:pPr>
              <w:spacing w:after="160"/>
              <w:rPr>
                <w:sz w:val="16"/>
                <w:szCs w:val="16"/>
                <w:lang w:eastAsia="en-GB"/>
              </w:rPr>
            </w:pPr>
            <w:r w:rsidRPr="001B4539">
              <w:rPr>
                <w:sz w:val="16"/>
                <w:szCs w:val="16"/>
                <w:lang w:eastAsia="en-GB"/>
              </w:rPr>
              <w:t>Yang et al.</w:t>
            </w:r>
          </w:p>
        </w:tc>
        <w:tc>
          <w:tcPr>
            <w:tcW w:w="709" w:type="dxa"/>
            <w:hideMark/>
          </w:tcPr>
          <w:p w14:paraId="18E0E85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73D9D7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IEEE Access</w:t>
            </w:r>
          </w:p>
        </w:tc>
        <w:tc>
          <w:tcPr>
            <w:tcW w:w="1134" w:type="dxa"/>
            <w:hideMark/>
          </w:tcPr>
          <w:p w14:paraId="61CE5B2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CRITIC + MLP + GA</w:t>
            </w:r>
          </w:p>
        </w:tc>
        <w:tc>
          <w:tcPr>
            <w:tcW w:w="708" w:type="dxa"/>
            <w:hideMark/>
          </w:tcPr>
          <w:p w14:paraId="448BFC9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4965749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5436688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654A1D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37D181A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B68E27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1C53C3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703C2B56"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74F877F5" w14:textId="77777777" w:rsidR="001B4539" w:rsidRPr="001B4539" w:rsidRDefault="001B4539" w:rsidP="001B4539">
            <w:pPr>
              <w:spacing w:after="160"/>
              <w:rPr>
                <w:sz w:val="16"/>
                <w:szCs w:val="16"/>
                <w:lang w:eastAsia="en-GB"/>
              </w:rPr>
            </w:pPr>
            <w:r w:rsidRPr="001B4539">
              <w:rPr>
                <w:sz w:val="16"/>
                <w:szCs w:val="16"/>
                <w:lang w:eastAsia="en-GB"/>
              </w:rPr>
              <w:t>Jiménez-Medina et al.</w:t>
            </w:r>
          </w:p>
        </w:tc>
        <w:tc>
          <w:tcPr>
            <w:tcW w:w="709" w:type="dxa"/>
            <w:hideMark/>
          </w:tcPr>
          <w:p w14:paraId="7B1ED79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6941DEF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Tourism &amp; Hospitality</w:t>
            </w:r>
          </w:p>
        </w:tc>
        <w:tc>
          <w:tcPr>
            <w:tcW w:w="1134" w:type="dxa"/>
            <w:hideMark/>
          </w:tcPr>
          <w:p w14:paraId="1F13E0E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Models</w:t>
            </w:r>
          </w:p>
        </w:tc>
        <w:tc>
          <w:tcPr>
            <w:tcW w:w="708" w:type="dxa"/>
            <w:hideMark/>
          </w:tcPr>
          <w:p w14:paraId="58A8E89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62EF084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071D3A1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074AB4A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5801A09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17AC1F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6D6FAC9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AC40103"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F577B67" w14:textId="77777777" w:rsidR="001B4539" w:rsidRPr="001B4539" w:rsidRDefault="001B4539" w:rsidP="001B4539">
            <w:pPr>
              <w:spacing w:after="160"/>
              <w:rPr>
                <w:sz w:val="16"/>
                <w:szCs w:val="16"/>
                <w:lang w:eastAsia="en-GB"/>
              </w:rPr>
            </w:pPr>
            <w:r w:rsidRPr="001B4539">
              <w:rPr>
                <w:sz w:val="16"/>
                <w:szCs w:val="16"/>
                <w:lang w:eastAsia="en-GB"/>
              </w:rPr>
              <w:t>Papadopoulou et al.</w:t>
            </w:r>
          </w:p>
        </w:tc>
        <w:tc>
          <w:tcPr>
            <w:tcW w:w="709" w:type="dxa"/>
            <w:hideMark/>
          </w:tcPr>
          <w:p w14:paraId="6A25ED5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4C0E208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Journal of Travel Research</w:t>
            </w:r>
          </w:p>
        </w:tc>
        <w:tc>
          <w:tcPr>
            <w:tcW w:w="1134" w:type="dxa"/>
            <w:hideMark/>
          </w:tcPr>
          <w:p w14:paraId="5502CEA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67BEE74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21BBB6B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395D19C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93" w:type="dxa"/>
            <w:hideMark/>
          </w:tcPr>
          <w:p w14:paraId="43B2502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AB94A0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215A877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290B1F7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RQ3</w:t>
            </w:r>
          </w:p>
        </w:tc>
      </w:tr>
      <w:tr w:rsidR="001B4539" w:rsidRPr="001B4539" w14:paraId="5A927BA2"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C679A92" w14:textId="77777777" w:rsidR="001B4539" w:rsidRPr="001B4539" w:rsidRDefault="001B4539" w:rsidP="001B4539">
            <w:pPr>
              <w:spacing w:after="160"/>
              <w:rPr>
                <w:sz w:val="16"/>
                <w:szCs w:val="16"/>
                <w:lang w:eastAsia="en-GB"/>
              </w:rPr>
            </w:pPr>
            <w:r w:rsidRPr="001B4539">
              <w:rPr>
                <w:sz w:val="16"/>
                <w:szCs w:val="16"/>
                <w:lang w:eastAsia="en-GB"/>
              </w:rPr>
              <w:t>Sun et al.</w:t>
            </w:r>
          </w:p>
        </w:tc>
        <w:tc>
          <w:tcPr>
            <w:tcW w:w="709" w:type="dxa"/>
            <w:hideMark/>
          </w:tcPr>
          <w:p w14:paraId="6DA19BA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6BDCE32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Heliyon</w:t>
            </w:r>
          </w:p>
        </w:tc>
        <w:tc>
          <w:tcPr>
            <w:tcW w:w="1134" w:type="dxa"/>
            <w:hideMark/>
          </w:tcPr>
          <w:p w14:paraId="140343A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UGC/Text mining</w:t>
            </w:r>
          </w:p>
        </w:tc>
        <w:tc>
          <w:tcPr>
            <w:tcW w:w="708" w:type="dxa"/>
            <w:hideMark/>
          </w:tcPr>
          <w:p w14:paraId="5C48556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5E025A6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1B528AB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8A066E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C9845E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08BF235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27BB615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7DC5751C"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09DC9B2" w14:textId="77777777" w:rsidR="001B4539" w:rsidRPr="001B4539" w:rsidRDefault="001B4539" w:rsidP="001B4539">
            <w:pPr>
              <w:spacing w:after="160"/>
              <w:rPr>
                <w:sz w:val="16"/>
                <w:szCs w:val="16"/>
                <w:lang w:eastAsia="en-GB"/>
              </w:rPr>
            </w:pPr>
            <w:r w:rsidRPr="001B4539">
              <w:rPr>
                <w:sz w:val="16"/>
                <w:szCs w:val="16"/>
                <w:lang w:eastAsia="en-GB"/>
              </w:rPr>
              <w:t>Sánchez-Sánchez et al.</w:t>
            </w:r>
          </w:p>
        </w:tc>
        <w:tc>
          <w:tcPr>
            <w:tcW w:w="709" w:type="dxa"/>
            <w:hideMark/>
          </w:tcPr>
          <w:p w14:paraId="004F955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0820349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ERMBE</w:t>
            </w:r>
          </w:p>
        </w:tc>
        <w:tc>
          <w:tcPr>
            <w:tcW w:w="1134" w:type="dxa"/>
            <w:hideMark/>
          </w:tcPr>
          <w:p w14:paraId="568E81D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3417D60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117BDA8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77A9DF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60C014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599B8C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555204F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4695D97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0F283A77"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1B2AB82C" w14:textId="77777777" w:rsidR="001B4539" w:rsidRPr="001B4539" w:rsidRDefault="001B4539" w:rsidP="001B4539">
            <w:pPr>
              <w:spacing w:after="160"/>
              <w:rPr>
                <w:sz w:val="16"/>
                <w:szCs w:val="16"/>
                <w:lang w:eastAsia="en-GB"/>
              </w:rPr>
            </w:pPr>
            <w:r w:rsidRPr="001B4539">
              <w:rPr>
                <w:sz w:val="16"/>
                <w:szCs w:val="16"/>
                <w:lang w:eastAsia="en-GB"/>
              </w:rPr>
              <w:t>Qin et al.</w:t>
            </w:r>
          </w:p>
        </w:tc>
        <w:tc>
          <w:tcPr>
            <w:tcW w:w="709" w:type="dxa"/>
            <w:hideMark/>
          </w:tcPr>
          <w:p w14:paraId="50E8335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77069C1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Technological &amp; Economic Dev.</w:t>
            </w:r>
          </w:p>
        </w:tc>
        <w:tc>
          <w:tcPr>
            <w:tcW w:w="1134" w:type="dxa"/>
            <w:hideMark/>
          </w:tcPr>
          <w:p w14:paraId="53A0335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UGC + config</w:t>
            </w:r>
          </w:p>
        </w:tc>
        <w:tc>
          <w:tcPr>
            <w:tcW w:w="708" w:type="dxa"/>
            <w:hideMark/>
          </w:tcPr>
          <w:p w14:paraId="43DE87F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4B12F62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3179434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417CFB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70888B2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414F31A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1631CA3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6B3AC07B"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5579278" w14:textId="77777777" w:rsidR="001B4539" w:rsidRPr="001B4539" w:rsidRDefault="001B4539" w:rsidP="001B4539">
            <w:pPr>
              <w:spacing w:after="160"/>
              <w:rPr>
                <w:sz w:val="16"/>
                <w:szCs w:val="16"/>
                <w:lang w:eastAsia="en-GB"/>
              </w:rPr>
            </w:pPr>
            <w:r w:rsidRPr="001B4539">
              <w:rPr>
                <w:sz w:val="16"/>
                <w:szCs w:val="16"/>
                <w:lang w:eastAsia="en-GB"/>
              </w:rPr>
              <w:t>Yap et al.</w:t>
            </w:r>
          </w:p>
        </w:tc>
        <w:tc>
          <w:tcPr>
            <w:tcW w:w="709" w:type="dxa"/>
            <w:hideMark/>
          </w:tcPr>
          <w:p w14:paraId="5B9AB1A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589E260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Acta Psychologica</w:t>
            </w:r>
          </w:p>
        </w:tc>
        <w:tc>
          <w:tcPr>
            <w:tcW w:w="1134" w:type="dxa"/>
            <w:hideMark/>
          </w:tcPr>
          <w:p w14:paraId="462532D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SLR</w:t>
            </w:r>
          </w:p>
        </w:tc>
        <w:tc>
          <w:tcPr>
            <w:tcW w:w="708" w:type="dxa"/>
            <w:hideMark/>
          </w:tcPr>
          <w:p w14:paraId="1C1BE4E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5285AD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2832A2E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39A16BC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0B0EA5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E1BE4A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2F1F9F9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3CD6C0F5"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47F71599" w14:textId="77777777" w:rsidR="001B4539" w:rsidRPr="001B4539" w:rsidRDefault="001B4539" w:rsidP="001B4539">
            <w:pPr>
              <w:spacing w:after="160"/>
              <w:rPr>
                <w:sz w:val="16"/>
                <w:szCs w:val="16"/>
                <w:lang w:eastAsia="en-GB"/>
              </w:rPr>
            </w:pPr>
            <w:r w:rsidRPr="001B4539">
              <w:rPr>
                <w:sz w:val="16"/>
                <w:szCs w:val="16"/>
                <w:lang w:eastAsia="en-GB"/>
              </w:rPr>
              <w:t>Jimenez-García et al.</w:t>
            </w:r>
          </w:p>
        </w:tc>
        <w:tc>
          <w:tcPr>
            <w:tcW w:w="709" w:type="dxa"/>
            <w:hideMark/>
          </w:tcPr>
          <w:p w14:paraId="6D0467D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5D0FC9F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Administrative Sciences</w:t>
            </w:r>
          </w:p>
        </w:tc>
        <w:tc>
          <w:tcPr>
            <w:tcW w:w="1134" w:type="dxa"/>
            <w:hideMark/>
          </w:tcPr>
          <w:p w14:paraId="41C2F6B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6F7EE3D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1F71BB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FEE7A3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AD3883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501E7A7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3C4C9C5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62178F0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68F73E61"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5B54070" w14:textId="77777777" w:rsidR="001B4539" w:rsidRPr="001B4539" w:rsidRDefault="001B4539" w:rsidP="001B4539">
            <w:pPr>
              <w:spacing w:after="160"/>
              <w:rPr>
                <w:sz w:val="16"/>
                <w:szCs w:val="16"/>
                <w:lang w:eastAsia="en-GB"/>
              </w:rPr>
            </w:pPr>
            <w:r w:rsidRPr="001B4539">
              <w:rPr>
                <w:sz w:val="16"/>
                <w:szCs w:val="16"/>
                <w:lang w:eastAsia="en-GB"/>
              </w:rPr>
              <w:t>Jebbouri et al.</w:t>
            </w:r>
          </w:p>
        </w:tc>
        <w:tc>
          <w:tcPr>
            <w:tcW w:w="709" w:type="dxa"/>
            <w:hideMark/>
          </w:tcPr>
          <w:p w14:paraId="6575BC7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70CBE86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Frontiers in Psychology</w:t>
            </w:r>
          </w:p>
        </w:tc>
        <w:tc>
          <w:tcPr>
            <w:tcW w:w="1134" w:type="dxa"/>
            <w:hideMark/>
          </w:tcPr>
          <w:p w14:paraId="599FF36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6849F94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8EE105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FF5756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6A5D93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38BFDC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2C93CED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3D72677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43A08329"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4D22BF81" w14:textId="77777777" w:rsidR="001B4539" w:rsidRPr="001B4539" w:rsidRDefault="001B4539" w:rsidP="001B4539">
            <w:pPr>
              <w:spacing w:after="160"/>
              <w:rPr>
                <w:sz w:val="16"/>
                <w:szCs w:val="16"/>
                <w:lang w:eastAsia="en-GB"/>
              </w:rPr>
            </w:pPr>
            <w:r w:rsidRPr="001B4539">
              <w:rPr>
                <w:sz w:val="16"/>
                <w:szCs w:val="16"/>
                <w:lang w:eastAsia="en-GB"/>
              </w:rPr>
              <w:t>Guerreiro et al.</w:t>
            </w:r>
          </w:p>
        </w:tc>
        <w:tc>
          <w:tcPr>
            <w:tcW w:w="709" w:type="dxa"/>
            <w:hideMark/>
          </w:tcPr>
          <w:p w14:paraId="4919954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758171D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Journal of Vacation Marketing</w:t>
            </w:r>
          </w:p>
        </w:tc>
        <w:tc>
          <w:tcPr>
            <w:tcW w:w="1134" w:type="dxa"/>
            <w:hideMark/>
          </w:tcPr>
          <w:p w14:paraId="01F9B1F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EFA + SEM</w:t>
            </w:r>
          </w:p>
        </w:tc>
        <w:tc>
          <w:tcPr>
            <w:tcW w:w="708" w:type="dxa"/>
            <w:hideMark/>
          </w:tcPr>
          <w:p w14:paraId="632CBDE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467EF03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0ED3150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2DB52B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301ED4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3BF8CE1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5306B6D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79C8549F"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FD492CF" w14:textId="77777777" w:rsidR="001B4539" w:rsidRPr="001B4539" w:rsidRDefault="001B4539" w:rsidP="001B4539">
            <w:pPr>
              <w:spacing w:after="160"/>
              <w:rPr>
                <w:sz w:val="16"/>
                <w:szCs w:val="16"/>
                <w:lang w:eastAsia="en-GB"/>
              </w:rPr>
            </w:pPr>
            <w:r w:rsidRPr="001B4539">
              <w:rPr>
                <w:sz w:val="16"/>
                <w:szCs w:val="16"/>
                <w:lang w:eastAsia="en-GB"/>
              </w:rPr>
              <w:t>Mwesiumo &amp; Abdalla</w:t>
            </w:r>
          </w:p>
        </w:tc>
        <w:tc>
          <w:tcPr>
            <w:tcW w:w="709" w:type="dxa"/>
            <w:hideMark/>
          </w:tcPr>
          <w:p w14:paraId="1911040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3CD3C7D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Current Issues in Tourism</w:t>
            </w:r>
          </w:p>
        </w:tc>
        <w:tc>
          <w:tcPr>
            <w:tcW w:w="1134" w:type="dxa"/>
            <w:hideMark/>
          </w:tcPr>
          <w:p w14:paraId="23A5B03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2666CBA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50A0C2E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4261F8F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39864B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85D4DB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E7A97D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00207F8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1807471D"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15635306" w14:textId="77777777" w:rsidR="001B4539" w:rsidRPr="001B4539" w:rsidRDefault="001B4539" w:rsidP="001B4539">
            <w:pPr>
              <w:spacing w:after="160"/>
              <w:rPr>
                <w:sz w:val="16"/>
                <w:szCs w:val="16"/>
                <w:lang w:eastAsia="en-GB"/>
              </w:rPr>
            </w:pPr>
            <w:r w:rsidRPr="001B4539">
              <w:rPr>
                <w:sz w:val="16"/>
                <w:szCs w:val="16"/>
                <w:lang w:eastAsia="en-GB"/>
              </w:rPr>
              <w:t>Yacoub et al.</w:t>
            </w:r>
          </w:p>
        </w:tc>
        <w:tc>
          <w:tcPr>
            <w:tcW w:w="709" w:type="dxa"/>
            <w:hideMark/>
          </w:tcPr>
          <w:p w14:paraId="1E74C76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112731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PLOS ONE</w:t>
            </w:r>
          </w:p>
        </w:tc>
        <w:tc>
          <w:tcPr>
            <w:tcW w:w="1134" w:type="dxa"/>
            <w:hideMark/>
          </w:tcPr>
          <w:p w14:paraId="3BD512F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7844712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4B4F28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CC9027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670EFA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55A640F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61639A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7DAE051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58D9AA84"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6A3FD6B5" w14:textId="77777777" w:rsidR="001B4539" w:rsidRPr="001B4539" w:rsidRDefault="001B4539" w:rsidP="001B4539">
            <w:pPr>
              <w:spacing w:after="160"/>
              <w:rPr>
                <w:sz w:val="16"/>
                <w:szCs w:val="16"/>
                <w:lang w:eastAsia="en-GB"/>
              </w:rPr>
            </w:pPr>
            <w:r w:rsidRPr="001B4539">
              <w:rPr>
                <w:sz w:val="16"/>
                <w:szCs w:val="16"/>
                <w:lang w:eastAsia="en-GB"/>
              </w:rPr>
              <w:t>Dumitrașcu et al.</w:t>
            </w:r>
          </w:p>
        </w:tc>
        <w:tc>
          <w:tcPr>
            <w:tcW w:w="709" w:type="dxa"/>
            <w:hideMark/>
          </w:tcPr>
          <w:p w14:paraId="2E1CE04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24D4EDA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17AE85D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Accessibility</w:t>
            </w:r>
          </w:p>
        </w:tc>
        <w:tc>
          <w:tcPr>
            <w:tcW w:w="708" w:type="dxa"/>
            <w:hideMark/>
          </w:tcPr>
          <w:p w14:paraId="1D51AFA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1CD2B2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16FD76E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4C809F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5932EE1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1E5E73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3BE4F00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6E118E29"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16F5F99" w14:textId="77777777" w:rsidR="001B4539" w:rsidRPr="001B4539" w:rsidRDefault="001B4539" w:rsidP="001B4539">
            <w:pPr>
              <w:spacing w:after="160"/>
              <w:rPr>
                <w:sz w:val="16"/>
                <w:szCs w:val="16"/>
                <w:lang w:eastAsia="en-GB"/>
              </w:rPr>
            </w:pPr>
            <w:r w:rsidRPr="001B4539">
              <w:rPr>
                <w:sz w:val="16"/>
                <w:szCs w:val="16"/>
                <w:lang w:eastAsia="en-GB"/>
              </w:rPr>
              <w:t>Wang et al.</w:t>
            </w:r>
          </w:p>
        </w:tc>
        <w:tc>
          <w:tcPr>
            <w:tcW w:w="709" w:type="dxa"/>
            <w:hideMark/>
          </w:tcPr>
          <w:p w14:paraId="18B33BA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2F049C6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JQAHT</w:t>
            </w:r>
          </w:p>
        </w:tc>
        <w:tc>
          <w:tcPr>
            <w:tcW w:w="1134" w:type="dxa"/>
            <w:hideMark/>
          </w:tcPr>
          <w:p w14:paraId="5EF03B3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411C57C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75FC92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30B5AE6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4F12E7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738F6A4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FED461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2CA5C20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1FBB5B08"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3287B242" w14:textId="77777777" w:rsidR="001B4539" w:rsidRPr="001B4539" w:rsidRDefault="001B4539" w:rsidP="001B4539">
            <w:pPr>
              <w:spacing w:after="160"/>
              <w:rPr>
                <w:sz w:val="16"/>
                <w:szCs w:val="16"/>
                <w:lang w:eastAsia="en-GB"/>
              </w:rPr>
            </w:pPr>
            <w:r w:rsidRPr="001B4539">
              <w:rPr>
                <w:sz w:val="16"/>
                <w:szCs w:val="16"/>
                <w:lang w:eastAsia="en-GB"/>
              </w:rPr>
              <w:t>Zhang et al.</w:t>
            </w:r>
          </w:p>
        </w:tc>
        <w:tc>
          <w:tcPr>
            <w:tcW w:w="709" w:type="dxa"/>
            <w:hideMark/>
          </w:tcPr>
          <w:p w14:paraId="1ACE4F1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77BCF94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27B3DD0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Regression</w:t>
            </w:r>
          </w:p>
        </w:tc>
        <w:tc>
          <w:tcPr>
            <w:tcW w:w="708" w:type="dxa"/>
            <w:hideMark/>
          </w:tcPr>
          <w:p w14:paraId="3A3427D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DE9676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7E31B84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47698F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64D6FF3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270ABA4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6198031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525EEFEC"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719FF4EE" w14:textId="77777777" w:rsidR="001B4539" w:rsidRPr="001B4539" w:rsidRDefault="001B4539" w:rsidP="001B4539">
            <w:pPr>
              <w:spacing w:after="160"/>
              <w:rPr>
                <w:sz w:val="16"/>
                <w:szCs w:val="16"/>
                <w:lang w:eastAsia="en-GB"/>
              </w:rPr>
            </w:pPr>
            <w:r w:rsidRPr="001B4539">
              <w:rPr>
                <w:sz w:val="16"/>
                <w:szCs w:val="16"/>
                <w:lang w:eastAsia="en-GB"/>
              </w:rPr>
              <w:t>Khoshroo &amp; Soltani</w:t>
            </w:r>
          </w:p>
        </w:tc>
        <w:tc>
          <w:tcPr>
            <w:tcW w:w="709" w:type="dxa"/>
            <w:hideMark/>
          </w:tcPr>
          <w:p w14:paraId="2084430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D0D157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EJIM</w:t>
            </w:r>
          </w:p>
        </w:tc>
        <w:tc>
          <w:tcPr>
            <w:tcW w:w="1134" w:type="dxa"/>
            <w:hideMark/>
          </w:tcPr>
          <w:p w14:paraId="49FDB54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SLR + Meta-analysis</w:t>
            </w:r>
          </w:p>
        </w:tc>
        <w:tc>
          <w:tcPr>
            <w:tcW w:w="708" w:type="dxa"/>
            <w:hideMark/>
          </w:tcPr>
          <w:p w14:paraId="2521057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EDC874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6D3F1DE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96A7EF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7596443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20C3D47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13B99A3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55C30BF3"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F2721CE" w14:textId="77777777" w:rsidR="001B4539" w:rsidRPr="001B4539" w:rsidRDefault="001B4539" w:rsidP="001B4539">
            <w:pPr>
              <w:spacing w:after="160"/>
              <w:rPr>
                <w:sz w:val="16"/>
                <w:szCs w:val="16"/>
                <w:lang w:eastAsia="en-GB"/>
              </w:rPr>
            </w:pPr>
            <w:r w:rsidRPr="001B4539">
              <w:rPr>
                <w:sz w:val="16"/>
                <w:szCs w:val="16"/>
                <w:lang w:eastAsia="en-GB"/>
              </w:rPr>
              <w:t>Tian &amp; Jebbouri</w:t>
            </w:r>
          </w:p>
        </w:tc>
        <w:tc>
          <w:tcPr>
            <w:tcW w:w="709" w:type="dxa"/>
            <w:hideMark/>
          </w:tcPr>
          <w:p w14:paraId="3B4892F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6A3B9B6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Frontiers</w:t>
            </w:r>
          </w:p>
        </w:tc>
        <w:tc>
          <w:tcPr>
            <w:tcW w:w="1134" w:type="dxa"/>
            <w:hideMark/>
          </w:tcPr>
          <w:p w14:paraId="0BC5675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2F19E21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0F03B81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1CBA307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DE2CEA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711DB83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C3061D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0725F20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23BA2243"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6AE4A76" w14:textId="77777777" w:rsidR="001B4539" w:rsidRPr="001B4539" w:rsidRDefault="001B4539" w:rsidP="001B4539">
            <w:pPr>
              <w:spacing w:after="160"/>
              <w:rPr>
                <w:sz w:val="16"/>
                <w:szCs w:val="16"/>
                <w:lang w:eastAsia="en-GB"/>
              </w:rPr>
            </w:pPr>
            <w:r w:rsidRPr="001B4539">
              <w:rPr>
                <w:sz w:val="16"/>
                <w:szCs w:val="16"/>
                <w:lang w:eastAsia="en-GB"/>
              </w:rPr>
              <w:t>Zhou &amp; Yu</w:t>
            </w:r>
          </w:p>
        </w:tc>
        <w:tc>
          <w:tcPr>
            <w:tcW w:w="709" w:type="dxa"/>
            <w:hideMark/>
          </w:tcPr>
          <w:p w14:paraId="576B5AE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4C8AEEB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08F4AF1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2DEC9E5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983BC9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7DE7854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35F2235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254242A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A02F0A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5DD7328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5F6A1599"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36C1272D" w14:textId="77777777" w:rsidR="001B4539" w:rsidRPr="001B4539" w:rsidRDefault="001B4539" w:rsidP="001B4539">
            <w:pPr>
              <w:spacing w:after="160"/>
              <w:rPr>
                <w:sz w:val="16"/>
                <w:szCs w:val="16"/>
                <w:lang w:eastAsia="en-GB"/>
              </w:rPr>
            </w:pPr>
            <w:r w:rsidRPr="001B4539">
              <w:rPr>
                <w:sz w:val="16"/>
                <w:szCs w:val="16"/>
                <w:lang w:eastAsia="en-GB"/>
              </w:rPr>
              <w:t>Kłos &amp; Staniek</w:t>
            </w:r>
          </w:p>
        </w:tc>
        <w:tc>
          <w:tcPr>
            <w:tcW w:w="709" w:type="dxa"/>
            <w:hideMark/>
          </w:tcPr>
          <w:p w14:paraId="2B08C41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A57589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53ED344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GIS</w:t>
            </w:r>
          </w:p>
        </w:tc>
        <w:tc>
          <w:tcPr>
            <w:tcW w:w="708" w:type="dxa"/>
            <w:hideMark/>
          </w:tcPr>
          <w:p w14:paraId="4DFA4DF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168E115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633B0B5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B2E19C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2A01B6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348CB3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AA7B8D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58489B18"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03CB6919" w14:textId="77777777" w:rsidR="001B4539" w:rsidRPr="001B4539" w:rsidRDefault="001B4539" w:rsidP="001B4539">
            <w:pPr>
              <w:spacing w:after="160"/>
              <w:rPr>
                <w:sz w:val="16"/>
                <w:szCs w:val="16"/>
                <w:lang w:eastAsia="en-GB"/>
              </w:rPr>
            </w:pPr>
            <w:r w:rsidRPr="001B4539">
              <w:rPr>
                <w:sz w:val="16"/>
                <w:szCs w:val="16"/>
                <w:lang w:eastAsia="en-GB"/>
              </w:rPr>
              <w:t>Say</w:t>
            </w:r>
          </w:p>
        </w:tc>
        <w:tc>
          <w:tcPr>
            <w:tcW w:w="709" w:type="dxa"/>
            <w:hideMark/>
          </w:tcPr>
          <w:p w14:paraId="2D8BA7B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61AEFEA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Psychology &amp; Education</w:t>
            </w:r>
          </w:p>
        </w:tc>
        <w:tc>
          <w:tcPr>
            <w:tcW w:w="1134" w:type="dxa"/>
            <w:hideMark/>
          </w:tcPr>
          <w:p w14:paraId="116D778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Survey</w:t>
            </w:r>
          </w:p>
        </w:tc>
        <w:tc>
          <w:tcPr>
            <w:tcW w:w="708" w:type="dxa"/>
            <w:hideMark/>
          </w:tcPr>
          <w:p w14:paraId="2F8F953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25B4B2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735EBC2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466269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DE2A49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AD1818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2642E1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680F6745"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472BBCA" w14:textId="77777777" w:rsidR="001B4539" w:rsidRPr="001B4539" w:rsidRDefault="001B4539" w:rsidP="001B4539">
            <w:pPr>
              <w:spacing w:after="160"/>
              <w:rPr>
                <w:sz w:val="16"/>
                <w:szCs w:val="16"/>
                <w:lang w:eastAsia="en-GB"/>
              </w:rPr>
            </w:pPr>
            <w:r w:rsidRPr="001B4539">
              <w:rPr>
                <w:sz w:val="16"/>
                <w:szCs w:val="16"/>
                <w:lang w:eastAsia="en-GB"/>
              </w:rPr>
              <w:lastRenderedPageBreak/>
              <w:t>Guzmán Pérez et al.</w:t>
            </w:r>
          </w:p>
        </w:tc>
        <w:tc>
          <w:tcPr>
            <w:tcW w:w="709" w:type="dxa"/>
            <w:hideMark/>
          </w:tcPr>
          <w:p w14:paraId="709B1D9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9CAB7D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ICMarkTech</w:t>
            </w:r>
          </w:p>
        </w:tc>
        <w:tc>
          <w:tcPr>
            <w:tcW w:w="1134" w:type="dxa"/>
            <w:hideMark/>
          </w:tcPr>
          <w:p w14:paraId="40FC984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356B242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A56BAC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1C47DFC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0C6172D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117FAB3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9D892F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348B88E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79E63C53"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1F9B71B" w14:textId="77777777" w:rsidR="001B4539" w:rsidRPr="001B4539" w:rsidRDefault="001B4539" w:rsidP="001B4539">
            <w:pPr>
              <w:spacing w:after="160"/>
              <w:rPr>
                <w:sz w:val="16"/>
                <w:szCs w:val="16"/>
                <w:lang w:eastAsia="en-GB"/>
              </w:rPr>
            </w:pPr>
            <w:r w:rsidRPr="001B4539">
              <w:rPr>
                <w:sz w:val="16"/>
                <w:szCs w:val="16"/>
                <w:lang w:eastAsia="en-GB"/>
              </w:rPr>
              <w:t>Halpern &amp; Mwesiumo</w:t>
            </w:r>
          </w:p>
        </w:tc>
        <w:tc>
          <w:tcPr>
            <w:tcW w:w="709" w:type="dxa"/>
            <w:hideMark/>
          </w:tcPr>
          <w:p w14:paraId="53F2560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12DA645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JTR</w:t>
            </w:r>
          </w:p>
        </w:tc>
        <w:tc>
          <w:tcPr>
            <w:tcW w:w="1134" w:type="dxa"/>
            <w:hideMark/>
          </w:tcPr>
          <w:p w14:paraId="5F4840B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PLS-SEM + IPMA</w:t>
            </w:r>
          </w:p>
        </w:tc>
        <w:tc>
          <w:tcPr>
            <w:tcW w:w="708" w:type="dxa"/>
            <w:hideMark/>
          </w:tcPr>
          <w:p w14:paraId="71E8520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8A089D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41D43A0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05C3A27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3D3CB3B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CC6DFA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547DD1C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01146C39"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0A5255B" w14:textId="77777777" w:rsidR="001B4539" w:rsidRPr="001B4539" w:rsidRDefault="001B4539" w:rsidP="001B4539">
            <w:pPr>
              <w:spacing w:after="160"/>
              <w:rPr>
                <w:sz w:val="16"/>
                <w:szCs w:val="16"/>
                <w:lang w:eastAsia="en-GB"/>
              </w:rPr>
            </w:pPr>
            <w:r w:rsidRPr="001B4539">
              <w:rPr>
                <w:sz w:val="16"/>
                <w:szCs w:val="16"/>
                <w:lang w:eastAsia="en-GB"/>
              </w:rPr>
              <w:t>Punzo et al.</w:t>
            </w:r>
          </w:p>
        </w:tc>
        <w:tc>
          <w:tcPr>
            <w:tcW w:w="709" w:type="dxa"/>
            <w:hideMark/>
          </w:tcPr>
          <w:p w14:paraId="2A96C86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759422E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Social Indicators Research</w:t>
            </w:r>
          </w:p>
        </w:tc>
        <w:tc>
          <w:tcPr>
            <w:tcW w:w="1134" w:type="dxa"/>
            <w:hideMark/>
          </w:tcPr>
          <w:p w14:paraId="4F0B532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Index</w:t>
            </w:r>
          </w:p>
        </w:tc>
        <w:tc>
          <w:tcPr>
            <w:tcW w:w="708" w:type="dxa"/>
            <w:hideMark/>
          </w:tcPr>
          <w:p w14:paraId="0080EBC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CE24CD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40AAD79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751E324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27C510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63DFF1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6370FFD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63A04096"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07887D42" w14:textId="77777777" w:rsidR="001B4539" w:rsidRPr="001B4539" w:rsidRDefault="001B4539" w:rsidP="001B4539">
            <w:pPr>
              <w:spacing w:after="160"/>
              <w:rPr>
                <w:sz w:val="16"/>
                <w:szCs w:val="16"/>
                <w:lang w:eastAsia="en-GB"/>
              </w:rPr>
            </w:pPr>
            <w:r w:rsidRPr="001B4539">
              <w:rPr>
                <w:sz w:val="16"/>
                <w:szCs w:val="16"/>
                <w:lang w:eastAsia="en-GB"/>
              </w:rPr>
              <w:t>Guo et al.</w:t>
            </w:r>
          </w:p>
        </w:tc>
        <w:tc>
          <w:tcPr>
            <w:tcW w:w="709" w:type="dxa"/>
            <w:hideMark/>
          </w:tcPr>
          <w:p w14:paraId="1A3A097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3F892FC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KSII Transactions</w:t>
            </w:r>
          </w:p>
        </w:tc>
        <w:tc>
          <w:tcPr>
            <w:tcW w:w="1134" w:type="dxa"/>
            <w:hideMark/>
          </w:tcPr>
          <w:p w14:paraId="0CFB6AF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Big data</w:t>
            </w:r>
          </w:p>
        </w:tc>
        <w:tc>
          <w:tcPr>
            <w:tcW w:w="708" w:type="dxa"/>
            <w:hideMark/>
          </w:tcPr>
          <w:p w14:paraId="2443F47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5E05D4B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20BF454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4D0AC5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3470B51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2DFF64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44F7706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EED2390"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5DAAF88" w14:textId="77777777" w:rsidR="001B4539" w:rsidRPr="001B4539" w:rsidRDefault="001B4539" w:rsidP="001B4539">
            <w:pPr>
              <w:spacing w:after="160"/>
              <w:rPr>
                <w:sz w:val="16"/>
                <w:szCs w:val="16"/>
                <w:lang w:eastAsia="en-GB"/>
              </w:rPr>
            </w:pPr>
            <w:r w:rsidRPr="001B4539">
              <w:rPr>
                <w:sz w:val="16"/>
                <w:szCs w:val="16"/>
                <w:lang w:eastAsia="en-GB"/>
              </w:rPr>
              <w:t>Chhabra et al.</w:t>
            </w:r>
          </w:p>
        </w:tc>
        <w:tc>
          <w:tcPr>
            <w:tcW w:w="709" w:type="dxa"/>
            <w:hideMark/>
          </w:tcPr>
          <w:p w14:paraId="018CC39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1038EAE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Journal of Tourism Futures</w:t>
            </w:r>
          </w:p>
        </w:tc>
        <w:tc>
          <w:tcPr>
            <w:tcW w:w="1134" w:type="dxa"/>
            <w:hideMark/>
          </w:tcPr>
          <w:p w14:paraId="729942D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SLR</w:t>
            </w:r>
          </w:p>
        </w:tc>
        <w:tc>
          <w:tcPr>
            <w:tcW w:w="708" w:type="dxa"/>
            <w:hideMark/>
          </w:tcPr>
          <w:p w14:paraId="7CA7098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2F25CEE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587FFAD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0C6F26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B4E53A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6EB04C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3123367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07A7FF40"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5A7A04DB" w14:textId="77777777" w:rsidR="001B4539" w:rsidRPr="001B4539" w:rsidRDefault="001B4539" w:rsidP="001B4539">
            <w:pPr>
              <w:spacing w:after="160"/>
              <w:rPr>
                <w:sz w:val="16"/>
                <w:szCs w:val="16"/>
                <w:lang w:eastAsia="en-GB"/>
              </w:rPr>
            </w:pPr>
            <w:r w:rsidRPr="001B4539">
              <w:rPr>
                <w:sz w:val="16"/>
                <w:szCs w:val="16"/>
                <w:lang w:eastAsia="en-GB"/>
              </w:rPr>
              <w:t>Doğan</w:t>
            </w:r>
          </w:p>
        </w:tc>
        <w:tc>
          <w:tcPr>
            <w:tcW w:w="709" w:type="dxa"/>
            <w:hideMark/>
          </w:tcPr>
          <w:p w14:paraId="1619329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5FB63C9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Tourist Destination</w:t>
            </w:r>
          </w:p>
        </w:tc>
        <w:tc>
          <w:tcPr>
            <w:tcW w:w="1134" w:type="dxa"/>
            <w:hideMark/>
          </w:tcPr>
          <w:p w14:paraId="6D4065F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Review</w:t>
            </w:r>
          </w:p>
        </w:tc>
        <w:tc>
          <w:tcPr>
            <w:tcW w:w="708" w:type="dxa"/>
            <w:hideMark/>
          </w:tcPr>
          <w:p w14:paraId="5A94BC8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1710597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6943D67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A8820B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35D271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27B15FD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5AB5B32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3A0C1B4F"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52F7E050" w14:textId="77777777" w:rsidR="001B4539" w:rsidRPr="001B4539" w:rsidRDefault="001B4539" w:rsidP="001B4539">
            <w:pPr>
              <w:spacing w:after="160"/>
              <w:rPr>
                <w:sz w:val="16"/>
                <w:szCs w:val="16"/>
                <w:lang w:eastAsia="en-GB"/>
              </w:rPr>
            </w:pPr>
            <w:r w:rsidRPr="001B4539">
              <w:rPr>
                <w:sz w:val="16"/>
                <w:szCs w:val="16"/>
                <w:lang w:eastAsia="en-GB"/>
              </w:rPr>
              <w:t>Tarrant et al.</w:t>
            </w:r>
          </w:p>
        </w:tc>
        <w:tc>
          <w:tcPr>
            <w:tcW w:w="709" w:type="dxa"/>
            <w:hideMark/>
          </w:tcPr>
          <w:p w14:paraId="0A65416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698A7B7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Highlights of Sustainability</w:t>
            </w:r>
          </w:p>
        </w:tc>
        <w:tc>
          <w:tcPr>
            <w:tcW w:w="1134" w:type="dxa"/>
            <w:hideMark/>
          </w:tcPr>
          <w:p w14:paraId="00B01BF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Survey</w:t>
            </w:r>
          </w:p>
        </w:tc>
        <w:tc>
          <w:tcPr>
            <w:tcW w:w="708" w:type="dxa"/>
            <w:hideMark/>
          </w:tcPr>
          <w:p w14:paraId="7F2CA27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E62D9F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61500F6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93" w:type="dxa"/>
            <w:hideMark/>
          </w:tcPr>
          <w:p w14:paraId="576AB67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33E6858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2D9CD8B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7532D46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RQ3</w:t>
            </w:r>
          </w:p>
        </w:tc>
      </w:tr>
      <w:tr w:rsidR="001B4539" w:rsidRPr="001B4539" w14:paraId="594DCB38"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7D808B13" w14:textId="77777777" w:rsidR="001B4539" w:rsidRPr="001B4539" w:rsidRDefault="001B4539" w:rsidP="001B4539">
            <w:pPr>
              <w:spacing w:after="160"/>
              <w:rPr>
                <w:sz w:val="16"/>
                <w:szCs w:val="16"/>
                <w:lang w:eastAsia="en-GB"/>
              </w:rPr>
            </w:pPr>
            <w:r w:rsidRPr="001B4539">
              <w:rPr>
                <w:sz w:val="16"/>
                <w:szCs w:val="16"/>
                <w:lang w:eastAsia="en-GB"/>
              </w:rPr>
              <w:t>Ismail et al.</w:t>
            </w:r>
          </w:p>
        </w:tc>
        <w:tc>
          <w:tcPr>
            <w:tcW w:w="709" w:type="dxa"/>
            <w:hideMark/>
          </w:tcPr>
          <w:p w14:paraId="47644EE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6E33456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IJRISS</w:t>
            </w:r>
          </w:p>
        </w:tc>
        <w:tc>
          <w:tcPr>
            <w:tcW w:w="1134" w:type="dxa"/>
            <w:hideMark/>
          </w:tcPr>
          <w:p w14:paraId="3FF9C88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Regression</w:t>
            </w:r>
          </w:p>
        </w:tc>
        <w:tc>
          <w:tcPr>
            <w:tcW w:w="708" w:type="dxa"/>
            <w:hideMark/>
          </w:tcPr>
          <w:p w14:paraId="6C8E835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2515F1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76BA087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9E2A00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662229B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47A8723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2433263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568C1EB"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87A08E0" w14:textId="77777777" w:rsidR="001B4539" w:rsidRPr="001B4539" w:rsidRDefault="001B4539" w:rsidP="001B4539">
            <w:pPr>
              <w:spacing w:after="160"/>
              <w:rPr>
                <w:sz w:val="16"/>
                <w:szCs w:val="16"/>
                <w:lang w:eastAsia="en-GB"/>
              </w:rPr>
            </w:pPr>
            <w:r w:rsidRPr="001B4539">
              <w:rPr>
                <w:sz w:val="16"/>
                <w:szCs w:val="16"/>
                <w:lang w:eastAsia="en-GB"/>
              </w:rPr>
              <w:t>Thapa et al.</w:t>
            </w:r>
          </w:p>
        </w:tc>
        <w:tc>
          <w:tcPr>
            <w:tcW w:w="709" w:type="dxa"/>
            <w:hideMark/>
          </w:tcPr>
          <w:p w14:paraId="1CB3319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218190B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The Academic</w:t>
            </w:r>
          </w:p>
        </w:tc>
        <w:tc>
          <w:tcPr>
            <w:tcW w:w="1134" w:type="dxa"/>
            <w:hideMark/>
          </w:tcPr>
          <w:p w14:paraId="0299C52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602D28A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F7CA2E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B8320E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0934B9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0DC6ABE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9BCA50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7514435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2F6397BA"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49AC76E5" w14:textId="77777777" w:rsidR="001B4539" w:rsidRPr="001B4539" w:rsidRDefault="001B4539" w:rsidP="001B4539">
            <w:pPr>
              <w:spacing w:after="160"/>
              <w:rPr>
                <w:sz w:val="16"/>
                <w:szCs w:val="16"/>
                <w:lang w:eastAsia="en-GB"/>
              </w:rPr>
            </w:pPr>
            <w:r w:rsidRPr="001B4539">
              <w:rPr>
                <w:sz w:val="16"/>
                <w:szCs w:val="16"/>
                <w:lang w:eastAsia="en-GB"/>
              </w:rPr>
              <w:t>Ning &amp; Shin</w:t>
            </w:r>
          </w:p>
        </w:tc>
        <w:tc>
          <w:tcPr>
            <w:tcW w:w="709" w:type="dxa"/>
            <w:hideMark/>
          </w:tcPr>
          <w:p w14:paraId="785A12E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3294B88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JTSHR</w:t>
            </w:r>
          </w:p>
        </w:tc>
        <w:tc>
          <w:tcPr>
            <w:tcW w:w="1134" w:type="dxa"/>
            <w:hideMark/>
          </w:tcPr>
          <w:p w14:paraId="0E7725E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Regression</w:t>
            </w:r>
          </w:p>
        </w:tc>
        <w:tc>
          <w:tcPr>
            <w:tcW w:w="708" w:type="dxa"/>
            <w:hideMark/>
          </w:tcPr>
          <w:p w14:paraId="0BF4C34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47F3C6B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6E1B517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9112D2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12FE12C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8240FF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5A84B01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1C247B7D"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AC097B5" w14:textId="77777777" w:rsidR="001B4539" w:rsidRPr="001B4539" w:rsidRDefault="001B4539" w:rsidP="001B4539">
            <w:pPr>
              <w:spacing w:after="160"/>
              <w:rPr>
                <w:sz w:val="16"/>
                <w:szCs w:val="16"/>
                <w:lang w:eastAsia="en-GB"/>
              </w:rPr>
            </w:pPr>
            <w:r w:rsidRPr="001B4539">
              <w:rPr>
                <w:sz w:val="16"/>
                <w:szCs w:val="16"/>
                <w:lang w:eastAsia="en-GB"/>
              </w:rPr>
              <w:t>Musa et al.</w:t>
            </w:r>
          </w:p>
        </w:tc>
        <w:tc>
          <w:tcPr>
            <w:tcW w:w="709" w:type="dxa"/>
            <w:hideMark/>
          </w:tcPr>
          <w:p w14:paraId="6988CC2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400BCB8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IJRISS</w:t>
            </w:r>
          </w:p>
        </w:tc>
        <w:tc>
          <w:tcPr>
            <w:tcW w:w="1134" w:type="dxa"/>
            <w:hideMark/>
          </w:tcPr>
          <w:p w14:paraId="1F8AF29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3088BBA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0893F61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2F54DD4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5BA79A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3DD9319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04F48D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CAB212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bl>
    <w:p w14:paraId="081211D8" w14:textId="77777777" w:rsidR="00915108" w:rsidRDefault="00915108" w:rsidP="00C77F3D">
      <w:pPr>
        <w:rPr>
          <w:lang w:eastAsia="en-GB"/>
        </w:rPr>
      </w:pPr>
    </w:p>
    <w:p w14:paraId="67CEAF0C" w14:textId="77777777" w:rsidR="00901D3D" w:rsidRDefault="00901D3D" w:rsidP="00C77F3D">
      <w:pPr>
        <w:rPr>
          <w:lang w:eastAsia="en-GB"/>
        </w:rPr>
      </w:pPr>
    </w:p>
    <w:p w14:paraId="4B72E6EA" w14:textId="77777777" w:rsidR="00901D3D" w:rsidRDefault="00901D3D" w:rsidP="00C77F3D">
      <w:pPr>
        <w:rPr>
          <w:lang w:eastAsia="en-GB"/>
        </w:rPr>
      </w:pPr>
    </w:p>
    <w:p w14:paraId="44E85C66" w14:textId="77777777" w:rsidR="00901D3D" w:rsidRDefault="00901D3D" w:rsidP="00C77F3D">
      <w:pPr>
        <w:rPr>
          <w:lang w:eastAsia="en-GB"/>
        </w:rPr>
      </w:pPr>
    </w:p>
    <w:p w14:paraId="6B84FC39" w14:textId="77777777" w:rsidR="00901D3D" w:rsidRDefault="00901D3D" w:rsidP="00C77F3D">
      <w:pPr>
        <w:rPr>
          <w:lang w:eastAsia="en-GB"/>
        </w:rPr>
      </w:pPr>
    </w:p>
    <w:p w14:paraId="40B2C8E0" w14:textId="77777777" w:rsidR="00901D3D" w:rsidRDefault="00901D3D" w:rsidP="00C77F3D">
      <w:pPr>
        <w:rPr>
          <w:lang w:eastAsia="en-GB"/>
        </w:rPr>
      </w:pPr>
    </w:p>
    <w:p w14:paraId="284ED890" w14:textId="77777777" w:rsidR="00901D3D" w:rsidRDefault="00901D3D" w:rsidP="00C77F3D">
      <w:pPr>
        <w:rPr>
          <w:lang w:eastAsia="en-GB"/>
        </w:rPr>
      </w:pPr>
    </w:p>
    <w:p w14:paraId="118E0E4A" w14:textId="77777777" w:rsidR="00901D3D" w:rsidRDefault="00901D3D" w:rsidP="00C77F3D">
      <w:pPr>
        <w:rPr>
          <w:lang w:eastAsia="en-GB"/>
        </w:rPr>
      </w:pPr>
    </w:p>
    <w:p w14:paraId="16D62CDF" w14:textId="77777777" w:rsidR="00901D3D" w:rsidRDefault="00901D3D" w:rsidP="00C77F3D">
      <w:pPr>
        <w:rPr>
          <w:lang w:eastAsia="en-GB"/>
        </w:rPr>
      </w:pPr>
    </w:p>
    <w:p w14:paraId="34F5F3B4" w14:textId="77777777" w:rsidR="00901D3D" w:rsidRDefault="00901D3D" w:rsidP="00C77F3D">
      <w:pPr>
        <w:rPr>
          <w:lang w:eastAsia="en-GB"/>
        </w:rPr>
      </w:pPr>
    </w:p>
    <w:p w14:paraId="55B5F9E2" w14:textId="77777777" w:rsidR="00901D3D" w:rsidRDefault="00901D3D" w:rsidP="00C77F3D">
      <w:pPr>
        <w:rPr>
          <w:lang w:eastAsia="en-GB"/>
        </w:rPr>
      </w:pPr>
    </w:p>
    <w:p w14:paraId="5939467E" w14:textId="77777777" w:rsidR="00901D3D" w:rsidRDefault="00901D3D" w:rsidP="00C77F3D">
      <w:pPr>
        <w:rPr>
          <w:lang w:eastAsia="en-GB"/>
        </w:rPr>
      </w:pPr>
    </w:p>
    <w:p w14:paraId="3ED65DE5" w14:textId="77777777" w:rsidR="00901D3D" w:rsidRDefault="00901D3D" w:rsidP="00C77F3D">
      <w:pPr>
        <w:rPr>
          <w:lang w:eastAsia="en-GB"/>
        </w:rPr>
      </w:pPr>
    </w:p>
    <w:p w14:paraId="7506C58B" w14:textId="77777777" w:rsidR="00901D3D" w:rsidRDefault="00901D3D" w:rsidP="00C77F3D">
      <w:pPr>
        <w:rPr>
          <w:lang w:eastAsia="en-GB"/>
        </w:rPr>
      </w:pPr>
    </w:p>
    <w:p w14:paraId="60565FA4" w14:textId="544F7A42" w:rsidR="0057199C" w:rsidRDefault="00915108" w:rsidP="00C77F3D">
      <w:pPr>
        <w:rPr>
          <w:lang w:eastAsia="en-GB"/>
        </w:rPr>
      </w:pPr>
      <w:r w:rsidRPr="00915108">
        <w:rPr>
          <w:lang w:eastAsia="en-GB"/>
        </w:rPr>
        <w:t>This appendix provides the full extraction and coding table for all studies included in the systematic literature review (peer-reviewed journal articles, 2021–2025). The table details study characteristics, methodological features, coded indicator categories and research-question alignment to support transparency and auditability.</w:t>
      </w:r>
    </w:p>
    <w:p w14:paraId="73D55D17" w14:textId="6CCC6169" w:rsidR="000F3DCD" w:rsidRDefault="000F3DCD" w:rsidP="000F3DCD">
      <w:pPr>
        <w:pStyle w:val="Heading1"/>
        <w:rPr>
          <w:lang w:eastAsia="en-GB"/>
        </w:rPr>
      </w:pPr>
      <w:bookmarkStart w:id="49" w:name="_Toc228889967"/>
      <w:r w:rsidRPr="000F3DCD">
        <w:rPr>
          <w:lang w:eastAsia="en-GB"/>
        </w:rPr>
        <w:lastRenderedPageBreak/>
        <w:t>Appendix B: Supporting Background Sources Used for Conceptual Framing</w:t>
      </w:r>
      <w:bookmarkEnd w:id="49"/>
    </w:p>
    <w:p w14:paraId="7671A5BD" w14:textId="77777777" w:rsidR="009E6F9B" w:rsidRPr="009E6F9B" w:rsidRDefault="009E6F9B" w:rsidP="009E6F9B">
      <w:pPr>
        <w:rPr>
          <w:lang w:eastAsia="en-GB"/>
        </w:rPr>
      </w:pPr>
    </w:p>
    <w:tbl>
      <w:tblPr>
        <w:tblStyle w:val="GridTable4-Accent6"/>
        <w:tblW w:w="0" w:type="auto"/>
        <w:tblLook w:val="04A0" w:firstRow="1" w:lastRow="0" w:firstColumn="1" w:lastColumn="0" w:noHBand="0" w:noVBand="1"/>
      </w:tblPr>
      <w:tblGrid>
        <w:gridCol w:w="672"/>
        <w:gridCol w:w="2272"/>
        <w:gridCol w:w="578"/>
        <w:gridCol w:w="848"/>
        <w:gridCol w:w="674"/>
        <w:gridCol w:w="498"/>
        <w:gridCol w:w="758"/>
        <w:gridCol w:w="803"/>
        <w:gridCol w:w="736"/>
        <w:gridCol w:w="634"/>
        <w:gridCol w:w="543"/>
      </w:tblGrid>
      <w:tr w:rsidR="00CE1733" w:rsidRPr="00CE1733" w14:paraId="5501F140" w14:textId="77777777" w:rsidTr="00CE17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29E1D8" w14:textId="77777777" w:rsidR="00CE1733" w:rsidRPr="00CE1733" w:rsidRDefault="00CE1733" w:rsidP="00CE1733">
            <w:pPr>
              <w:jc w:val="center"/>
              <w:rPr>
                <w:rFonts w:eastAsia="Times New Roman" w:cs="Arial"/>
                <w:sz w:val="16"/>
                <w:szCs w:val="16"/>
                <w:lang w:eastAsia="en-GB"/>
                <w14:ligatures w14:val="none"/>
              </w:rPr>
            </w:pPr>
            <w:r w:rsidRPr="00CE1733">
              <w:rPr>
                <w:rFonts w:eastAsia="Times New Roman" w:cs="Arial"/>
                <w:sz w:val="16"/>
                <w:szCs w:val="16"/>
                <w:lang w:eastAsia="en-GB"/>
                <w14:ligatures w14:val="none"/>
              </w:rPr>
              <w:t>Author(s) &amp; Year</w:t>
            </w:r>
          </w:p>
        </w:tc>
        <w:tc>
          <w:tcPr>
            <w:tcW w:w="0" w:type="auto"/>
            <w:hideMark/>
          </w:tcPr>
          <w:p w14:paraId="24C9DF0E"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Full Reference (Harvard Style)</w:t>
            </w:r>
          </w:p>
        </w:tc>
        <w:tc>
          <w:tcPr>
            <w:tcW w:w="0" w:type="auto"/>
            <w:hideMark/>
          </w:tcPr>
          <w:p w14:paraId="6F7EEFC7"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Source Type</w:t>
            </w:r>
          </w:p>
        </w:tc>
        <w:tc>
          <w:tcPr>
            <w:tcW w:w="0" w:type="auto"/>
            <w:hideMark/>
          </w:tcPr>
          <w:p w14:paraId="73C1A15F"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Methodology</w:t>
            </w:r>
          </w:p>
        </w:tc>
        <w:tc>
          <w:tcPr>
            <w:tcW w:w="0" w:type="auto"/>
            <w:hideMark/>
          </w:tcPr>
          <w:p w14:paraId="6658B1EB"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Empirical</w:t>
            </w:r>
          </w:p>
        </w:tc>
        <w:tc>
          <w:tcPr>
            <w:tcW w:w="0" w:type="auto"/>
            <w:hideMark/>
          </w:tcPr>
          <w:p w14:paraId="73AE80AD"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Case Study</w:t>
            </w:r>
          </w:p>
        </w:tc>
        <w:tc>
          <w:tcPr>
            <w:tcW w:w="0" w:type="auto"/>
            <w:hideMark/>
          </w:tcPr>
          <w:p w14:paraId="088B53CE"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Theoretical</w:t>
            </w:r>
          </w:p>
        </w:tc>
        <w:tc>
          <w:tcPr>
            <w:tcW w:w="0" w:type="auto"/>
            <w:hideMark/>
          </w:tcPr>
          <w:p w14:paraId="641AA920"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Quantitative</w:t>
            </w:r>
          </w:p>
        </w:tc>
        <w:tc>
          <w:tcPr>
            <w:tcW w:w="0" w:type="auto"/>
            <w:hideMark/>
          </w:tcPr>
          <w:p w14:paraId="6DD71FAB"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Qualitative</w:t>
            </w:r>
          </w:p>
        </w:tc>
        <w:tc>
          <w:tcPr>
            <w:tcW w:w="0" w:type="auto"/>
            <w:hideMark/>
          </w:tcPr>
          <w:p w14:paraId="70E6C44D"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Mixed Methods</w:t>
            </w:r>
          </w:p>
        </w:tc>
        <w:tc>
          <w:tcPr>
            <w:tcW w:w="0" w:type="auto"/>
            <w:hideMark/>
          </w:tcPr>
          <w:p w14:paraId="6005AE70" w14:textId="77777777" w:rsidR="00CE1733" w:rsidRPr="00CE1733" w:rsidRDefault="00CE1733" w:rsidP="00CE1733">
            <w:pPr>
              <w:jc w:val="center"/>
              <w:cnfStyle w:val="100000000000" w:firstRow="1"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Linked RQ</w:t>
            </w:r>
          </w:p>
        </w:tc>
      </w:tr>
      <w:tr w:rsidR="00CE1733" w:rsidRPr="00CE1733" w14:paraId="4A2B443C" w14:textId="77777777" w:rsidTr="00CE17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911A0A" w14:textId="77777777" w:rsidR="00CE1733" w:rsidRPr="00CE1733" w:rsidRDefault="00CE1733" w:rsidP="00CE1733">
            <w:pPr>
              <w:rPr>
                <w:rFonts w:eastAsia="Times New Roman" w:cs="Arial"/>
                <w:sz w:val="16"/>
                <w:szCs w:val="16"/>
                <w:lang w:eastAsia="en-GB"/>
                <w14:ligatures w14:val="none"/>
              </w:rPr>
            </w:pPr>
            <w:r w:rsidRPr="00CE1733">
              <w:rPr>
                <w:rFonts w:eastAsia="Times New Roman" w:cs="Arial"/>
                <w:sz w:val="16"/>
                <w:szCs w:val="16"/>
                <w:lang w:eastAsia="en-GB"/>
                <w14:ligatures w14:val="none"/>
              </w:rPr>
              <w:t>UNWTO; CELTH; ETFI (2018)</w:t>
            </w:r>
          </w:p>
        </w:tc>
        <w:tc>
          <w:tcPr>
            <w:tcW w:w="0" w:type="auto"/>
            <w:hideMark/>
          </w:tcPr>
          <w:p w14:paraId="47A0B9CA"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 xml:space="preserve">UNWTO, CELTH and ETFI (2018) </w:t>
            </w:r>
            <w:r w:rsidRPr="00CE1733">
              <w:rPr>
                <w:rFonts w:eastAsia="Times New Roman" w:cs="Arial"/>
                <w:i/>
                <w:iCs/>
                <w:sz w:val="16"/>
                <w:szCs w:val="16"/>
                <w:lang w:eastAsia="en-GB"/>
                <w14:ligatures w14:val="none"/>
              </w:rPr>
              <w:t>“Overtourism”? Understanding and Managing Urban Tourism Growth beyond Perceptions (Executive Summary).</w:t>
            </w:r>
            <w:r w:rsidRPr="00CE1733">
              <w:rPr>
                <w:rFonts w:eastAsia="Times New Roman" w:cs="Arial"/>
                <w:sz w:val="16"/>
                <w:szCs w:val="16"/>
                <w:lang w:eastAsia="en-GB"/>
                <w14:ligatures w14:val="none"/>
              </w:rPr>
              <w:t xml:space="preserve"> UNWTO. Available at: </w:t>
            </w:r>
            <w:hyperlink r:id="rId20" w:history="1">
              <w:r w:rsidRPr="00CE1733">
                <w:rPr>
                  <w:rFonts w:eastAsia="Times New Roman" w:cs="Arial"/>
                  <w:color w:val="0000FF"/>
                  <w:sz w:val="16"/>
                  <w:szCs w:val="16"/>
                  <w:u w:val="single"/>
                  <w:lang w:eastAsia="en-GB"/>
                  <w14:ligatures w14:val="none"/>
                </w:rPr>
                <w:t>https://doi.org/10.18111/9789284420070</w:t>
              </w:r>
            </w:hyperlink>
            <w:r w:rsidRPr="00CE1733">
              <w:rPr>
                <w:rFonts w:eastAsia="Times New Roman" w:cs="Arial"/>
                <w:sz w:val="16"/>
                <w:szCs w:val="16"/>
                <w:lang w:eastAsia="en-GB"/>
                <w14:ligatures w14:val="none"/>
              </w:rPr>
              <w:t xml:space="preserve"> (Accessed: 16 April 2026).</w:t>
            </w:r>
          </w:p>
        </w:tc>
        <w:tc>
          <w:tcPr>
            <w:tcW w:w="0" w:type="auto"/>
            <w:hideMark/>
          </w:tcPr>
          <w:p w14:paraId="7C045125"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Report</w:t>
            </w:r>
          </w:p>
        </w:tc>
        <w:tc>
          <w:tcPr>
            <w:tcW w:w="0" w:type="auto"/>
            <w:hideMark/>
          </w:tcPr>
          <w:p w14:paraId="4CAA05AE"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Policy</w:t>
            </w:r>
          </w:p>
        </w:tc>
        <w:tc>
          <w:tcPr>
            <w:tcW w:w="0" w:type="auto"/>
            <w:hideMark/>
          </w:tcPr>
          <w:p w14:paraId="31A8CD30"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33D47046"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77E3EBFE"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Yes</w:t>
            </w:r>
          </w:p>
        </w:tc>
        <w:tc>
          <w:tcPr>
            <w:tcW w:w="0" w:type="auto"/>
            <w:hideMark/>
          </w:tcPr>
          <w:p w14:paraId="7DE162CF"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4A98A2FF"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5CB1FDF5"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33687A5E"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RQ3</w:t>
            </w:r>
          </w:p>
        </w:tc>
      </w:tr>
      <w:tr w:rsidR="00CE1733" w:rsidRPr="00CE1733" w14:paraId="3B3666C6" w14:textId="77777777" w:rsidTr="00CE1733">
        <w:tc>
          <w:tcPr>
            <w:cnfStyle w:val="001000000000" w:firstRow="0" w:lastRow="0" w:firstColumn="1" w:lastColumn="0" w:oddVBand="0" w:evenVBand="0" w:oddHBand="0" w:evenHBand="0" w:firstRowFirstColumn="0" w:firstRowLastColumn="0" w:lastRowFirstColumn="0" w:lastRowLastColumn="0"/>
            <w:tcW w:w="0" w:type="auto"/>
            <w:hideMark/>
          </w:tcPr>
          <w:p w14:paraId="78E594B3" w14:textId="77777777" w:rsidR="00CE1733" w:rsidRPr="00CE1733" w:rsidRDefault="00CE1733" w:rsidP="00CE1733">
            <w:pPr>
              <w:rPr>
                <w:rFonts w:eastAsia="Times New Roman" w:cs="Arial"/>
                <w:sz w:val="16"/>
                <w:szCs w:val="16"/>
                <w:lang w:eastAsia="en-GB"/>
                <w14:ligatures w14:val="none"/>
              </w:rPr>
            </w:pPr>
            <w:r w:rsidRPr="00CE1733">
              <w:rPr>
                <w:rFonts w:eastAsia="Times New Roman" w:cs="Arial"/>
                <w:sz w:val="16"/>
                <w:szCs w:val="16"/>
                <w:lang w:eastAsia="en-GB"/>
                <w14:ligatures w14:val="none"/>
              </w:rPr>
              <w:t>Pham et al. (2024)</w:t>
            </w:r>
          </w:p>
        </w:tc>
        <w:tc>
          <w:tcPr>
            <w:tcW w:w="0" w:type="auto"/>
            <w:hideMark/>
          </w:tcPr>
          <w:p w14:paraId="1A868E3E"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 xml:space="preserve">Pham, K., Andereck, K.L. and Vogt, C.A. (2024) ‘Overtourism: Causes, Solutions, and Management Challenges’, in </w:t>
            </w:r>
            <w:r w:rsidRPr="00CE1733">
              <w:rPr>
                <w:rFonts w:eastAsia="Times New Roman" w:cs="Arial"/>
                <w:i/>
                <w:iCs/>
                <w:sz w:val="16"/>
                <w:szCs w:val="16"/>
                <w:lang w:eastAsia="en-GB"/>
                <w14:ligatures w14:val="none"/>
              </w:rPr>
              <w:t>Sustainable Development and Resilience of Tourism.</w:t>
            </w:r>
            <w:r w:rsidRPr="00CE1733">
              <w:rPr>
                <w:rFonts w:eastAsia="Times New Roman" w:cs="Arial"/>
                <w:sz w:val="16"/>
                <w:szCs w:val="16"/>
                <w:lang w:eastAsia="en-GB"/>
                <w14:ligatures w14:val="none"/>
              </w:rPr>
              <w:t xml:space="preserve"> Springer. Available at: </w:t>
            </w:r>
            <w:hyperlink r:id="rId21" w:history="1">
              <w:r w:rsidRPr="00CE1733">
                <w:rPr>
                  <w:rFonts w:eastAsia="Times New Roman" w:cs="Arial"/>
                  <w:color w:val="0000FF"/>
                  <w:sz w:val="16"/>
                  <w:szCs w:val="16"/>
                  <w:u w:val="single"/>
                  <w:lang w:eastAsia="en-GB"/>
                  <w14:ligatures w14:val="none"/>
                </w:rPr>
                <w:t>https://doi.org/10.1007/978-3-031-63145-0_10</w:t>
              </w:r>
            </w:hyperlink>
            <w:r w:rsidRPr="00CE1733">
              <w:rPr>
                <w:rFonts w:eastAsia="Times New Roman" w:cs="Arial"/>
                <w:sz w:val="16"/>
                <w:szCs w:val="16"/>
                <w:lang w:eastAsia="en-GB"/>
                <w14:ligatures w14:val="none"/>
              </w:rPr>
              <w:t xml:space="preserve"> (Accessed: 16 April 2026).</w:t>
            </w:r>
          </w:p>
        </w:tc>
        <w:tc>
          <w:tcPr>
            <w:tcW w:w="0" w:type="auto"/>
            <w:hideMark/>
          </w:tcPr>
          <w:p w14:paraId="370B93B3"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Book Chapter</w:t>
            </w:r>
          </w:p>
        </w:tc>
        <w:tc>
          <w:tcPr>
            <w:tcW w:w="0" w:type="auto"/>
            <w:hideMark/>
          </w:tcPr>
          <w:p w14:paraId="522E1630"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Conceptual</w:t>
            </w:r>
          </w:p>
        </w:tc>
        <w:tc>
          <w:tcPr>
            <w:tcW w:w="0" w:type="auto"/>
            <w:hideMark/>
          </w:tcPr>
          <w:p w14:paraId="4D161950"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63D5DECA"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1ED0C539"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Yes</w:t>
            </w:r>
          </w:p>
        </w:tc>
        <w:tc>
          <w:tcPr>
            <w:tcW w:w="0" w:type="auto"/>
            <w:hideMark/>
          </w:tcPr>
          <w:p w14:paraId="4A2AED61"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6BE17BA0"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44509DB7"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63BF413B" w14:textId="77777777" w:rsidR="00CE1733" w:rsidRPr="00CE1733" w:rsidRDefault="00CE1733" w:rsidP="00CE1733">
            <w:pPr>
              <w:cnfStyle w:val="000000000000" w:firstRow="0" w:lastRow="0" w:firstColumn="0" w:lastColumn="0" w:oddVBand="0" w:evenVBand="0" w:oddHBand="0"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RQ3</w:t>
            </w:r>
          </w:p>
        </w:tc>
      </w:tr>
      <w:tr w:rsidR="00CE1733" w:rsidRPr="00CE1733" w14:paraId="3835337E" w14:textId="77777777" w:rsidTr="00CE17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119AD0" w14:textId="77777777" w:rsidR="00CE1733" w:rsidRPr="00CE1733" w:rsidRDefault="00CE1733" w:rsidP="00CE1733">
            <w:pPr>
              <w:rPr>
                <w:rFonts w:eastAsia="Times New Roman" w:cs="Arial"/>
                <w:sz w:val="16"/>
                <w:szCs w:val="16"/>
                <w:lang w:eastAsia="en-GB"/>
                <w14:ligatures w14:val="none"/>
              </w:rPr>
            </w:pPr>
            <w:r w:rsidRPr="00CE1733">
              <w:rPr>
                <w:rFonts w:eastAsia="Times New Roman" w:cs="Arial"/>
                <w:sz w:val="16"/>
                <w:szCs w:val="16"/>
                <w:lang w:eastAsia="en-GB"/>
                <w14:ligatures w14:val="none"/>
              </w:rPr>
              <w:t>Jain et al. (2025)</w:t>
            </w:r>
          </w:p>
        </w:tc>
        <w:tc>
          <w:tcPr>
            <w:tcW w:w="0" w:type="auto"/>
            <w:hideMark/>
          </w:tcPr>
          <w:p w14:paraId="0B6CF216"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 xml:space="preserve">Jain, C., </w:t>
            </w:r>
            <w:proofErr w:type="spellStart"/>
            <w:r w:rsidRPr="00CE1733">
              <w:rPr>
                <w:rFonts w:eastAsia="Times New Roman" w:cs="Arial"/>
                <w:sz w:val="16"/>
                <w:szCs w:val="16"/>
                <w:lang w:eastAsia="en-GB"/>
                <w14:ligatures w14:val="none"/>
              </w:rPr>
              <w:t>Kapooria</w:t>
            </w:r>
            <w:proofErr w:type="spellEnd"/>
            <w:r w:rsidRPr="00CE1733">
              <w:rPr>
                <w:rFonts w:eastAsia="Times New Roman" w:cs="Arial"/>
                <w:sz w:val="16"/>
                <w:szCs w:val="16"/>
                <w:lang w:eastAsia="en-GB"/>
                <w14:ligatures w14:val="none"/>
              </w:rPr>
              <w:t xml:space="preserve">, P.J. and Singh, S. (2025) ‘Revamping Hospitality and Tourism: A Review of Service Quality Perceptions Post-COVID-19’, in </w:t>
            </w:r>
            <w:r w:rsidRPr="00CE1733">
              <w:rPr>
                <w:rFonts w:eastAsia="Times New Roman" w:cs="Arial"/>
                <w:i/>
                <w:iCs/>
                <w:sz w:val="16"/>
                <w:szCs w:val="16"/>
                <w:lang w:eastAsia="en-GB"/>
                <w14:ligatures w14:val="none"/>
              </w:rPr>
              <w:t>Market Dynamics and Strategies in a Post-Crisis World.</w:t>
            </w:r>
            <w:r w:rsidRPr="00CE1733">
              <w:rPr>
                <w:rFonts w:eastAsia="Times New Roman" w:cs="Arial"/>
                <w:sz w:val="16"/>
                <w:szCs w:val="16"/>
                <w:lang w:eastAsia="en-GB"/>
                <w14:ligatures w14:val="none"/>
              </w:rPr>
              <w:t xml:space="preserve"> World Scientific. Available at: </w:t>
            </w:r>
            <w:hyperlink r:id="rId22" w:history="1">
              <w:r w:rsidRPr="00CE1733">
                <w:rPr>
                  <w:rFonts w:eastAsia="Times New Roman" w:cs="Arial"/>
                  <w:color w:val="0000FF"/>
                  <w:sz w:val="16"/>
                  <w:szCs w:val="16"/>
                  <w:u w:val="single"/>
                  <w:lang w:eastAsia="en-GB"/>
                  <w14:ligatures w14:val="none"/>
                </w:rPr>
                <w:t>https://doi.org/10.1142/9789811292101_0016</w:t>
              </w:r>
            </w:hyperlink>
            <w:r w:rsidRPr="00CE1733">
              <w:rPr>
                <w:rFonts w:eastAsia="Times New Roman" w:cs="Arial"/>
                <w:sz w:val="16"/>
                <w:szCs w:val="16"/>
                <w:lang w:eastAsia="en-GB"/>
                <w14:ligatures w14:val="none"/>
              </w:rPr>
              <w:t xml:space="preserve"> (Accessed: 16 April 2026).</w:t>
            </w:r>
          </w:p>
        </w:tc>
        <w:tc>
          <w:tcPr>
            <w:tcW w:w="0" w:type="auto"/>
            <w:hideMark/>
          </w:tcPr>
          <w:p w14:paraId="6D8FE545"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Book Chapter</w:t>
            </w:r>
          </w:p>
        </w:tc>
        <w:tc>
          <w:tcPr>
            <w:tcW w:w="0" w:type="auto"/>
            <w:hideMark/>
          </w:tcPr>
          <w:p w14:paraId="445B7982"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Conceptual</w:t>
            </w:r>
          </w:p>
        </w:tc>
        <w:tc>
          <w:tcPr>
            <w:tcW w:w="0" w:type="auto"/>
            <w:hideMark/>
          </w:tcPr>
          <w:p w14:paraId="04514A5F"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Yes</w:t>
            </w:r>
          </w:p>
        </w:tc>
        <w:tc>
          <w:tcPr>
            <w:tcW w:w="0" w:type="auto"/>
            <w:hideMark/>
          </w:tcPr>
          <w:p w14:paraId="3D9EBF55"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0E1EE8CA"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52D536BE"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58A1FB0D"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59290E5E"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No</w:t>
            </w:r>
          </w:p>
        </w:tc>
        <w:tc>
          <w:tcPr>
            <w:tcW w:w="0" w:type="auto"/>
            <w:hideMark/>
          </w:tcPr>
          <w:p w14:paraId="17191487" w14:textId="77777777" w:rsidR="00CE1733" w:rsidRPr="00CE1733" w:rsidRDefault="00CE1733" w:rsidP="00CE1733">
            <w:pPr>
              <w:cnfStyle w:val="000000100000" w:firstRow="0" w:lastRow="0" w:firstColumn="0" w:lastColumn="0" w:oddVBand="0" w:evenVBand="0" w:oddHBand="1" w:evenHBand="0" w:firstRowFirstColumn="0" w:firstRowLastColumn="0" w:lastRowFirstColumn="0" w:lastRowLastColumn="0"/>
              <w:rPr>
                <w:rFonts w:eastAsia="Times New Roman" w:cs="Arial"/>
                <w:sz w:val="16"/>
                <w:szCs w:val="16"/>
                <w:lang w:eastAsia="en-GB"/>
                <w14:ligatures w14:val="none"/>
              </w:rPr>
            </w:pPr>
            <w:r w:rsidRPr="00CE1733">
              <w:rPr>
                <w:rFonts w:eastAsia="Times New Roman" w:cs="Arial"/>
                <w:sz w:val="16"/>
                <w:szCs w:val="16"/>
                <w:lang w:eastAsia="en-GB"/>
                <w14:ligatures w14:val="none"/>
              </w:rPr>
              <w:t>RQ2</w:t>
            </w:r>
          </w:p>
        </w:tc>
      </w:tr>
    </w:tbl>
    <w:p w14:paraId="3B3D8B3F" w14:textId="77777777" w:rsidR="00A0007E" w:rsidRPr="00A0007E" w:rsidRDefault="00A0007E" w:rsidP="00A0007E">
      <w:pPr>
        <w:rPr>
          <w:lang w:eastAsia="en-GB"/>
        </w:rPr>
      </w:pPr>
    </w:p>
    <w:p w14:paraId="69A600E9" w14:textId="77777777" w:rsidR="00A0007E" w:rsidRDefault="00A0007E" w:rsidP="00A0007E">
      <w:pPr>
        <w:rPr>
          <w:rFonts w:eastAsiaTheme="majorEastAsia" w:cstheme="majorBidi"/>
          <w:color w:val="3A7C22" w:themeColor="accent6" w:themeShade="BF"/>
          <w:sz w:val="32"/>
          <w:szCs w:val="40"/>
          <w:lang w:eastAsia="en-GB"/>
        </w:rPr>
      </w:pPr>
    </w:p>
    <w:p w14:paraId="4474FF4F" w14:textId="0BBCD0E1" w:rsidR="000D5CC4" w:rsidRDefault="000D5CC4" w:rsidP="000D5CC4">
      <w:pPr>
        <w:rPr>
          <w:lang w:eastAsia="en-GB"/>
        </w:rPr>
      </w:pPr>
      <w:r w:rsidRPr="000D5CC4">
        <w:rPr>
          <w:lang w:eastAsia="en-GB"/>
        </w:rPr>
        <w:t>This appendix lists additional sources used to support conceptual framing and background context (e.g., policy reports and book chapters) that fall outside the SLR inclusion criteria. These sources are not part of the included SLR corpus and were not coded as included studies, but are referenced to support definitions and contextual discussion.</w:t>
      </w:r>
    </w:p>
    <w:sectPr w:rsidR="000D5CC4" w:rsidSect="00B3278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62934" w14:textId="77777777" w:rsidR="00044A70" w:rsidRDefault="00044A70" w:rsidP="0066244B">
      <w:pPr>
        <w:spacing w:after="0" w:line="240" w:lineRule="auto"/>
      </w:pPr>
      <w:r>
        <w:separator/>
      </w:r>
    </w:p>
  </w:endnote>
  <w:endnote w:type="continuationSeparator" w:id="0">
    <w:p w14:paraId="19852A93" w14:textId="77777777" w:rsidR="00044A70" w:rsidRDefault="00044A70" w:rsidP="00662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804759"/>
      <w:docPartObj>
        <w:docPartGallery w:val="Page Numbers (Bottom of Page)"/>
        <w:docPartUnique/>
      </w:docPartObj>
    </w:sdtPr>
    <w:sdtEndPr>
      <w:rPr>
        <w:noProof/>
      </w:rPr>
    </w:sdtEndPr>
    <w:sdtContent>
      <w:p w14:paraId="40198305" w14:textId="4F01F389" w:rsidR="009F55FF" w:rsidRDefault="009F55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79003" w14:textId="77777777" w:rsidR="009F55FF" w:rsidRDefault="009F5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721BE" w14:textId="77777777" w:rsidR="00044A70" w:rsidRDefault="00044A70" w:rsidP="0066244B">
      <w:pPr>
        <w:spacing w:after="0" w:line="240" w:lineRule="auto"/>
      </w:pPr>
      <w:r>
        <w:separator/>
      </w:r>
    </w:p>
  </w:footnote>
  <w:footnote w:type="continuationSeparator" w:id="0">
    <w:p w14:paraId="6A9BBEF2" w14:textId="77777777" w:rsidR="00044A70" w:rsidRDefault="00044A70" w:rsidP="006624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63DB5"/>
    <w:multiLevelType w:val="hybridMultilevel"/>
    <w:tmpl w:val="CC289822"/>
    <w:lvl w:ilvl="0" w:tplc="514072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95F7A"/>
    <w:multiLevelType w:val="multilevel"/>
    <w:tmpl w:val="4A3EA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1223A4"/>
    <w:multiLevelType w:val="hybridMultilevel"/>
    <w:tmpl w:val="2CD07776"/>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EE3E1E"/>
    <w:multiLevelType w:val="multilevel"/>
    <w:tmpl w:val="A726D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713BEF"/>
    <w:multiLevelType w:val="hybridMultilevel"/>
    <w:tmpl w:val="12D84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E83A5B"/>
    <w:multiLevelType w:val="hybridMultilevel"/>
    <w:tmpl w:val="55C4BA3A"/>
    <w:lvl w:ilvl="0" w:tplc="0402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BF53D52"/>
    <w:multiLevelType w:val="hybridMultilevel"/>
    <w:tmpl w:val="79EA8050"/>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CD3C14"/>
    <w:multiLevelType w:val="multilevel"/>
    <w:tmpl w:val="3CA4C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9B1790"/>
    <w:multiLevelType w:val="hybridMultilevel"/>
    <w:tmpl w:val="6A2A3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2244C5"/>
    <w:multiLevelType w:val="hybridMultilevel"/>
    <w:tmpl w:val="10947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0D099A"/>
    <w:multiLevelType w:val="multilevel"/>
    <w:tmpl w:val="01B28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9E519F"/>
    <w:multiLevelType w:val="hybridMultilevel"/>
    <w:tmpl w:val="F870A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0C7AAA"/>
    <w:multiLevelType w:val="hybridMultilevel"/>
    <w:tmpl w:val="4A482834"/>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6771F1"/>
    <w:multiLevelType w:val="hybridMultilevel"/>
    <w:tmpl w:val="09BA7050"/>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C6319A"/>
    <w:multiLevelType w:val="multilevel"/>
    <w:tmpl w:val="1F207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93821A6"/>
    <w:multiLevelType w:val="hybridMultilevel"/>
    <w:tmpl w:val="21344078"/>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9912121">
    <w:abstractNumId w:val="10"/>
  </w:num>
  <w:num w:numId="2" w16cid:durableId="949047888">
    <w:abstractNumId w:val="3"/>
  </w:num>
  <w:num w:numId="3" w16cid:durableId="1980767214">
    <w:abstractNumId w:val="1"/>
  </w:num>
  <w:num w:numId="4" w16cid:durableId="1638997082">
    <w:abstractNumId w:val="11"/>
  </w:num>
  <w:num w:numId="5" w16cid:durableId="2109956814">
    <w:abstractNumId w:val="7"/>
  </w:num>
  <w:num w:numId="6" w16cid:durableId="1868324863">
    <w:abstractNumId w:val="14"/>
  </w:num>
  <w:num w:numId="7" w16cid:durableId="1284532976">
    <w:abstractNumId w:val="8"/>
  </w:num>
  <w:num w:numId="8" w16cid:durableId="45572678">
    <w:abstractNumId w:val="9"/>
  </w:num>
  <w:num w:numId="9" w16cid:durableId="1681547648">
    <w:abstractNumId w:val="4"/>
  </w:num>
  <w:num w:numId="10" w16cid:durableId="1416585650">
    <w:abstractNumId w:val="0"/>
  </w:num>
  <w:num w:numId="11" w16cid:durableId="2084795140">
    <w:abstractNumId w:val="5"/>
  </w:num>
  <w:num w:numId="12" w16cid:durableId="2134668575">
    <w:abstractNumId w:val="15"/>
  </w:num>
  <w:num w:numId="13" w16cid:durableId="113329782">
    <w:abstractNumId w:val="12"/>
  </w:num>
  <w:num w:numId="14" w16cid:durableId="140270017">
    <w:abstractNumId w:val="2"/>
  </w:num>
  <w:num w:numId="15" w16cid:durableId="870800381">
    <w:abstractNumId w:val="6"/>
  </w:num>
  <w:num w:numId="16" w16cid:durableId="12757501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F1C"/>
    <w:rsid w:val="000077C1"/>
    <w:rsid w:val="00007F03"/>
    <w:rsid w:val="000236E0"/>
    <w:rsid w:val="00026DF0"/>
    <w:rsid w:val="00027B58"/>
    <w:rsid w:val="000345B3"/>
    <w:rsid w:val="00043ECC"/>
    <w:rsid w:val="00044084"/>
    <w:rsid w:val="00044A70"/>
    <w:rsid w:val="0005320F"/>
    <w:rsid w:val="00072C95"/>
    <w:rsid w:val="00073FE2"/>
    <w:rsid w:val="0007556E"/>
    <w:rsid w:val="000820D5"/>
    <w:rsid w:val="00096FA5"/>
    <w:rsid w:val="000A469E"/>
    <w:rsid w:val="000A5640"/>
    <w:rsid w:val="000B1E35"/>
    <w:rsid w:val="000D5CC4"/>
    <w:rsid w:val="000D63A1"/>
    <w:rsid w:val="000D707B"/>
    <w:rsid w:val="000F3DCD"/>
    <w:rsid w:val="00114B06"/>
    <w:rsid w:val="001345CC"/>
    <w:rsid w:val="00135EDC"/>
    <w:rsid w:val="00156333"/>
    <w:rsid w:val="001661D5"/>
    <w:rsid w:val="00175F7A"/>
    <w:rsid w:val="00183394"/>
    <w:rsid w:val="0018417E"/>
    <w:rsid w:val="00191741"/>
    <w:rsid w:val="00191A07"/>
    <w:rsid w:val="001B4539"/>
    <w:rsid w:val="001B6012"/>
    <w:rsid w:val="001C34F9"/>
    <w:rsid w:val="00227DD9"/>
    <w:rsid w:val="00233DB7"/>
    <w:rsid w:val="002342BA"/>
    <w:rsid w:val="00234F46"/>
    <w:rsid w:val="00235D50"/>
    <w:rsid w:val="00245667"/>
    <w:rsid w:val="002543F7"/>
    <w:rsid w:val="0025664D"/>
    <w:rsid w:val="00257CA9"/>
    <w:rsid w:val="0027085E"/>
    <w:rsid w:val="002743C3"/>
    <w:rsid w:val="00277770"/>
    <w:rsid w:val="00295DA8"/>
    <w:rsid w:val="002B2814"/>
    <w:rsid w:val="002C601F"/>
    <w:rsid w:val="002C76BE"/>
    <w:rsid w:val="002F1AD8"/>
    <w:rsid w:val="002F258F"/>
    <w:rsid w:val="00301BF5"/>
    <w:rsid w:val="00337FAC"/>
    <w:rsid w:val="003408E7"/>
    <w:rsid w:val="00347B25"/>
    <w:rsid w:val="00353214"/>
    <w:rsid w:val="003575DB"/>
    <w:rsid w:val="00361235"/>
    <w:rsid w:val="00361FAE"/>
    <w:rsid w:val="003639A8"/>
    <w:rsid w:val="003713DC"/>
    <w:rsid w:val="00377BCC"/>
    <w:rsid w:val="00380105"/>
    <w:rsid w:val="00383091"/>
    <w:rsid w:val="00390179"/>
    <w:rsid w:val="00397F34"/>
    <w:rsid w:val="003B24FD"/>
    <w:rsid w:val="003D7118"/>
    <w:rsid w:val="003E6B38"/>
    <w:rsid w:val="00400BB9"/>
    <w:rsid w:val="00402EF1"/>
    <w:rsid w:val="00422722"/>
    <w:rsid w:val="00423421"/>
    <w:rsid w:val="0042510F"/>
    <w:rsid w:val="00427939"/>
    <w:rsid w:val="00427AA9"/>
    <w:rsid w:val="00435A61"/>
    <w:rsid w:val="004373D3"/>
    <w:rsid w:val="00460C54"/>
    <w:rsid w:val="00461465"/>
    <w:rsid w:val="00473182"/>
    <w:rsid w:val="0048369B"/>
    <w:rsid w:val="00485D37"/>
    <w:rsid w:val="00492C47"/>
    <w:rsid w:val="004A64CA"/>
    <w:rsid w:val="004B16AF"/>
    <w:rsid w:val="004B361D"/>
    <w:rsid w:val="004C0821"/>
    <w:rsid w:val="004C237E"/>
    <w:rsid w:val="004C596C"/>
    <w:rsid w:val="004C6365"/>
    <w:rsid w:val="004D5A43"/>
    <w:rsid w:val="004F3A6A"/>
    <w:rsid w:val="00500A8D"/>
    <w:rsid w:val="00502836"/>
    <w:rsid w:val="005149CD"/>
    <w:rsid w:val="00517701"/>
    <w:rsid w:val="00522F25"/>
    <w:rsid w:val="00535420"/>
    <w:rsid w:val="005478BD"/>
    <w:rsid w:val="00550A8F"/>
    <w:rsid w:val="005531EA"/>
    <w:rsid w:val="00567E97"/>
    <w:rsid w:val="0057199C"/>
    <w:rsid w:val="005743D4"/>
    <w:rsid w:val="00582839"/>
    <w:rsid w:val="00586A5B"/>
    <w:rsid w:val="00595CC0"/>
    <w:rsid w:val="00596061"/>
    <w:rsid w:val="0059768D"/>
    <w:rsid w:val="005D034B"/>
    <w:rsid w:val="005E529C"/>
    <w:rsid w:val="005E6B45"/>
    <w:rsid w:val="005E6E63"/>
    <w:rsid w:val="00615B69"/>
    <w:rsid w:val="00615E41"/>
    <w:rsid w:val="00615F97"/>
    <w:rsid w:val="0063350F"/>
    <w:rsid w:val="00637516"/>
    <w:rsid w:val="00647382"/>
    <w:rsid w:val="006546F0"/>
    <w:rsid w:val="00661758"/>
    <w:rsid w:val="0066244B"/>
    <w:rsid w:val="0066570C"/>
    <w:rsid w:val="0068147C"/>
    <w:rsid w:val="00684EE2"/>
    <w:rsid w:val="0068589C"/>
    <w:rsid w:val="006946AA"/>
    <w:rsid w:val="006A3D34"/>
    <w:rsid w:val="006A425A"/>
    <w:rsid w:val="006A62A2"/>
    <w:rsid w:val="006B1B34"/>
    <w:rsid w:val="006B1C42"/>
    <w:rsid w:val="006B344F"/>
    <w:rsid w:val="006C1A5B"/>
    <w:rsid w:val="006C43EF"/>
    <w:rsid w:val="006F09BC"/>
    <w:rsid w:val="006F6B9B"/>
    <w:rsid w:val="00701E90"/>
    <w:rsid w:val="007030C4"/>
    <w:rsid w:val="00716D4A"/>
    <w:rsid w:val="0072276A"/>
    <w:rsid w:val="00722C8A"/>
    <w:rsid w:val="00724AC7"/>
    <w:rsid w:val="00756D57"/>
    <w:rsid w:val="00767A4D"/>
    <w:rsid w:val="0079648B"/>
    <w:rsid w:val="007A5E1D"/>
    <w:rsid w:val="007A7009"/>
    <w:rsid w:val="007B5444"/>
    <w:rsid w:val="007C01DF"/>
    <w:rsid w:val="007C48DE"/>
    <w:rsid w:val="007F4615"/>
    <w:rsid w:val="00801EF4"/>
    <w:rsid w:val="00815393"/>
    <w:rsid w:val="0081785E"/>
    <w:rsid w:val="0082533F"/>
    <w:rsid w:val="00825B7A"/>
    <w:rsid w:val="008262F8"/>
    <w:rsid w:val="00833E31"/>
    <w:rsid w:val="00846672"/>
    <w:rsid w:val="00853C1D"/>
    <w:rsid w:val="00855733"/>
    <w:rsid w:val="00856B9E"/>
    <w:rsid w:val="008617B9"/>
    <w:rsid w:val="0086775D"/>
    <w:rsid w:val="00873E12"/>
    <w:rsid w:val="00886117"/>
    <w:rsid w:val="00887498"/>
    <w:rsid w:val="00894773"/>
    <w:rsid w:val="008A5780"/>
    <w:rsid w:val="008A5BB5"/>
    <w:rsid w:val="008A7315"/>
    <w:rsid w:val="008B154A"/>
    <w:rsid w:val="008B2A72"/>
    <w:rsid w:val="008B79C5"/>
    <w:rsid w:val="008C0DA8"/>
    <w:rsid w:val="008C1BA4"/>
    <w:rsid w:val="008C2370"/>
    <w:rsid w:val="008C5E77"/>
    <w:rsid w:val="008C7420"/>
    <w:rsid w:val="008E0343"/>
    <w:rsid w:val="008E11F2"/>
    <w:rsid w:val="008E3521"/>
    <w:rsid w:val="008E4782"/>
    <w:rsid w:val="008E61AC"/>
    <w:rsid w:val="008E73A4"/>
    <w:rsid w:val="008F2B27"/>
    <w:rsid w:val="00901D3D"/>
    <w:rsid w:val="00903321"/>
    <w:rsid w:val="00912141"/>
    <w:rsid w:val="00915108"/>
    <w:rsid w:val="00931BE7"/>
    <w:rsid w:val="00945795"/>
    <w:rsid w:val="00957AEA"/>
    <w:rsid w:val="0096490B"/>
    <w:rsid w:val="00965884"/>
    <w:rsid w:val="00966933"/>
    <w:rsid w:val="00972FD7"/>
    <w:rsid w:val="00976078"/>
    <w:rsid w:val="0098374A"/>
    <w:rsid w:val="00985973"/>
    <w:rsid w:val="00996EBA"/>
    <w:rsid w:val="009979D4"/>
    <w:rsid w:val="009A597D"/>
    <w:rsid w:val="009A7706"/>
    <w:rsid w:val="009B73FF"/>
    <w:rsid w:val="009C41B2"/>
    <w:rsid w:val="009C5EDF"/>
    <w:rsid w:val="009D167B"/>
    <w:rsid w:val="009D4AB7"/>
    <w:rsid w:val="009E2A96"/>
    <w:rsid w:val="009E3361"/>
    <w:rsid w:val="009E6F9B"/>
    <w:rsid w:val="009F15B5"/>
    <w:rsid w:val="009F2696"/>
    <w:rsid w:val="009F55FF"/>
    <w:rsid w:val="00A0007E"/>
    <w:rsid w:val="00A12385"/>
    <w:rsid w:val="00A163B4"/>
    <w:rsid w:val="00A20681"/>
    <w:rsid w:val="00A222ED"/>
    <w:rsid w:val="00A33984"/>
    <w:rsid w:val="00A40C3F"/>
    <w:rsid w:val="00A41B03"/>
    <w:rsid w:val="00A5139C"/>
    <w:rsid w:val="00A51AAB"/>
    <w:rsid w:val="00A51B07"/>
    <w:rsid w:val="00A63F8E"/>
    <w:rsid w:val="00A73EE8"/>
    <w:rsid w:val="00A83D78"/>
    <w:rsid w:val="00A851D9"/>
    <w:rsid w:val="00A967D9"/>
    <w:rsid w:val="00AB1D31"/>
    <w:rsid w:val="00AD0422"/>
    <w:rsid w:val="00AE1011"/>
    <w:rsid w:val="00AE1C80"/>
    <w:rsid w:val="00AE5B6E"/>
    <w:rsid w:val="00AF6919"/>
    <w:rsid w:val="00B05857"/>
    <w:rsid w:val="00B1476D"/>
    <w:rsid w:val="00B172C7"/>
    <w:rsid w:val="00B323FB"/>
    <w:rsid w:val="00B3278F"/>
    <w:rsid w:val="00B33AE9"/>
    <w:rsid w:val="00B43986"/>
    <w:rsid w:val="00B453C8"/>
    <w:rsid w:val="00B45BE8"/>
    <w:rsid w:val="00B5615A"/>
    <w:rsid w:val="00B62779"/>
    <w:rsid w:val="00B6329D"/>
    <w:rsid w:val="00B672CE"/>
    <w:rsid w:val="00B72EA5"/>
    <w:rsid w:val="00B73A1E"/>
    <w:rsid w:val="00B82A90"/>
    <w:rsid w:val="00B843A6"/>
    <w:rsid w:val="00B925B2"/>
    <w:rsid w:val="00BA2EF8"/>
    <w:rsid w:val="00BB2CB3"/>
    <w:rsid w:val="00BB36AF"/>
    <w:rsid w:val="00BB5C6C"/>
    <w:rsid w:val="00BB648A"/>
    <w:rsid w:val="00BD237E"/>
    <w:rsid w:val="00BD7C50"/>
    <w:rsid w:val="00BF43C1"/>
    <w:rsid w:val="00C0005C"/>
    <w:rsid w:val="00C1433F"/>
    <w:rsid w:val="00C156E7"/>
    <w:rsid w:val="00C34509"/>
    <w:rsid w:val="00C37C42"/>
    <w:rsid w:val="00C401CD"/>
    <w:rsid w:val="00C528BA"/>
    <w:rsid w:val="00C54E7A"/>
    <w:rsid w:val="00C714BB"/>
    <w:rsid w:val="00C715A7"/>
    <w:rsid w:val="00C77618"/>
    <w:rsid w:val="00C77F3D"/>
    <w:rsid w:val="00C83E96"/>
    <w:rsid w:val="00C840C3"/>
    <w:rsid w:val="00C91587"/>
    <w:rsid w:val="00C92D21"/>
    <w:rsid w:val="00CC5A08"/>
    <w:rsid w:val="00CE1733"/>
    <w:rsid w:val="00CF1562"/>
    <w:rsid w:val="00CF31CD"/>
    <w:rsid w:val="00CF4E29"/>
    <w:rsid w:val="00D01A80"/>
    <w:rsid w:val="00D07C70"/>
    <w:rsid w:val="00D12960"/>
    <w:rsid w:val="00D16EDA"/>
    <w:rsid w:val="00D21E75"/>
    <w:rsid w:val="00D467FA"/>
    <w:rsid w:val="00D56392"/>
    <w:rsid w:val="00D66861"/>
    <w:rsid w:val="00D817D2"/>
    <w:rsid w:val="00D91BC0"/>
    <w:rsid w:val="00D925F1"/>
    <w:rsid w:val="00D9298B"/>
    <w:rsid w:val="00D97AB8"/>
    <w:rsid w:val="00DB1F34"/>
    <w:rsid w:val="00DB2CFA"/>
    <w:rsid w:val="00DB439C"/>
    <w:rsid w:val="00DE16EC"/>
    <w:rsid w:val="00DE1E02"/>
    <w:rsid w:val="00E0048E"/>
    <w:rsid w:val="00E05DF0"/>
    <w:rsid w:val="00E23894"/>
    <w:rsid w:val="00E254AD"/>
    <w:rsid w:val="00E27B1B"/>
    <w:rsid w:val="00E34F21"/>
    <w:rsid w:val="00E36BE7"/>
    <w:rsid w:val="00E54D8A"/>
    <w:rsid w:val="00E57350"/>
    <w:rsid w:val="00E5783C"/>
    <w:rsid w:val="00E63AAB"/>
    <w:rsid w:val="00E63E4A"/>
    <w:rsid w:val="00E73FE5"/>
    <w:rsid w:val="00E90003"/>
    <w:rsid w:val="00E939F2"/>
    <w:rsid w:val="00E95F9B"/>
    <w:rsid w:val="00EA24D2"/>
    <w:rsid w:val="00EA2737"/>
    <w:rsid w:val="00EA3057"/>
    <w:rsid w:val="00EB337B"/>
    <w:rsid w:val="00EC2C7B"/>
    <w:rsid w:val="00EC4FD4"/>
    <w:rsid w:val="00EC5084"/>
    <w:rsid w:val="00ED40A1"/>
    <w:rsid w:val="00ED48EB"/>
    <w:rsid w:val="00ED4D6D"/>
    <w:rsid w:val="00ED535E"/>
    <w:rsid w:val="00EE16D1"/>
    <w:rsid w:val="00EE1737"/>
    <w:rsid w:val="00EE1C4F"/>
    <w:rsid w:val="00EE57BC"/>
    <w:rsid w:val="00EF0049"/>
    <w:rsid w:val="00EF5A0C"/>
    <w:rsid w:val="00F17046"/>
    <w:rsid w:val="00F21625"/>
    <w:rsid w:val="00F2249C"/>
    <w:rsid w:val="00F33484"/>
    <w:rsid w:val="00F33DBC"/>
    <w:rsid w:val="00F36CAC"/>
    <w:rsid w:val="00F40F1C"/>
    <w:rsid w:val="00F41735"/>
    <w:rsid w:val="00F45763"/>
    <w:rsid w:val="00F6769F"/>
    <w:rsid w:val="00F7559B"/>
    <w:rsid w:val="00F85182"/>
    <w:rsid w:val="00FA5328"/>
    <w:rsid w:val="00FB12A0"/>
    <w:rsid w:val="00FB1BEA"/>
    <w:rsid w:val="00FB6B7F"/>
    <w:rsid w:val="00FC0852"/>
    <w:rsid w:val="00FC463A"/>
    <w:rsid w:val="00FC7F02"/>
    <w:rsid w:val="00FD3224"/>
    <w:rsid w:val="00FE3A96"/>
    <w:rsid w:val="00FE49B1"/>
    <w:rsid w:val="00FF6768"/>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555F6"/>
  <w15:chartTrackingRefBased/>
  <w15:docId w15:val="{7FE48CC9-7A1D-4EC6-9888-83FFA3C87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8DE"/>
    <w:rPr>
      <w:rFonts w:ascii="Arial" w:hAnsi="Arial"/>
      <w:sz w:val="24"/>
    </w:rPr>
  </w:style>
  <w:style w:type="paragraph" w:styleId="Heading1">
    <w:name w:val="heading 1"/>
    <w:basedOn w:val="Normal"/>
    <w:next w:val="Normal"/>
    <w:link w:val="Heading1Char"/>
    <w:uiPriority w:val="9"/>
    <w:qFormat/>
    <w:rsid w:val="00427939"/>
    <w:pPr>
      <w:keepNext/>
      <w:keepLines/>
      <w:spacing w:before="360" w:after="80"/>
      <w:outlineLvl w:val="0"/>
    </w:pPr>
    <w:rPr>
      <w:rFonts w:eastAsiaTheme="majorEastAsia" w:cstheme="majorBidi"/>
      <w:color w:val="3A7C22" w:themeColor="accent6" w:themeShade="BF"/>
      <w:sz w:val="32"/>
      <w:szCs w:val="40"/>
    </w:rPr>
  </w:style>
  <w:style w:type="paragraph" w:styleId="Heading2">
    <w:name w:val="heading 2"/>
    <w:basedOn w:val="Normal"/>
    <w:next w:val="Normal"/>
    <w:link w:val="Heading2Char"/>
    <w:uiPriority w:val="9"/>
    <w:unhideWhenUsed/>
    <w:qFormat/>
    <w:rsid w:val="00427939"/>
    <w:pPr>
      <w:keepNext/>
      <w:keepLines/>
      <w:spacing w:before="160" w:after="80"/>
      <w:outlineLvl w:val="1"/>
    </w:pPr>
    <w:rPr>
      <w:rFonts w:eastAsiaTheme="majorEastAsia" w:cstheme="majorBidi"/>
      <w:color w:val="8DD873" w:themeColor="accent6" w:themeTint="99"/>
      <w:sz w:val="28"/>
      <w:szCs w:val="32"/>
    </w:rPr>
  </w:style>
  <w:style w:type="paragraph" w:styleId="Heading3">
    <w:name w:val="heading 3"/>
    <w:basedOn w:val="Normal"/>
    <w:next w:val="Normal"/>
    <w:link w:val="Heading3Char"/>
    <w:uiPriority w:val="9"/>
    <w:unhideWhenUsed/>
    <w:qFormat/>
    <w:rsid w:val="009979D4"/>
    <w:pPr>
      <w:keepNext/>
      <w:keepLines/>
      <w:spacing w:before="160" w:after="80"/>
      <w:outlineLvl w:val="2"/>
    </w:pPr>
    <w:rPr>
      <w:rFonts w:eastAsiaTheme="majorEastAsia" w:cstheme="majorBidi"/>
      <w:color w:val="275317" w:themeColor="accent6" w:themeShade="80"/>
      <w:sz w:val="28"/>
      <w:szCs w:val="28"/>
    </w:rPr>
  </w:style>
  <w:style w:type="paragraph" w:styleId="Heading4">
    <w:name w:val="heading 4"/>
    <w:basedOn w:val="Normal"/>
    <w:next w:val="Normal"/>
    <w:link w:val="Heading4Char"/>
    <w:uiPriority w:val="9"/>
    <w:semiHidden/>
    <w:unhideWhenUsed/>
    <w:qFormat/>
    <w:rsid w:val="00F40F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F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F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F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F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F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939"/>
    <w:rPr>
      <w:rFonts w:ascii="Arial" w:eastAsiaTheme="majorEastAsia" w:hAnsi="Arial" w:cstheme="majorBidi"/>
      <w:color w:val="3A7C22" w:themeColor="accent6" w:themeShade="BF"/>
      <w:sz w:val="32"/>
      <w:szCs w:val="40"/>
    </w:rPr>
  </w:style>
  <w:style w:type="character" w:customStyle="1" w:styleId="Heading2Char">
    <w:name w:val="Heading 2 Char"/>
    <w:basedOn w:val="DefaultParagraphFont"/>
    <w:link w:val="Heading2"/>
    <w:uiPriority w:val="9"/>
    <w:rsid w:val="00427939"/>
    <w:rPr>
      <w:rFonts w:ascii="Arial" w:eastAsiaTheme="majorEastAsia" w:hAnsi="Arial" w:cstheme="majorBidi"/>
      <w:color w:val="8DD873" w:themeColor="accent6" w:themeTint="99"/>
      <w:sz w:val="28"/>
      <w:szCs w:val="32"/>
    </w:rPr>
  </w:style>
  <w:style w:type="character" w:customStyle="1" w:styleId="Heading3Char">
    <w:name w:val="Heading 3 Char"/>
    <w:basedOn w:val="DefaultParagraphFont"/>
    <w:link w:val="Heading3"/>
    <w:uiPriority w:val="9"/>
    <w:rsid w:val="009979D4"/>
    <w:rPr>
      <w:rFonts w:ascii="Arial" w:eastAsiaTheme="majorEastAsia" w:hAnsi="Arial" w:cstheme="majorBidi"/>
      <w:color w:val="275317" w:themeColor="accent6" w:themeShade="80"/>
      <w:sz w:val="28"/>
      <w:szCs w:val="28"/>
    </w:rPr>
  </w:style>
  <w:style w:type="character" w:customStyle="1" w:styleId="Heading4Char">
    <w:name w:val="Heading 4 Char"/>
    <w:basedOn w:val="DefaultParagraphFont"/>
    <w:link w:val="Heading4"/>
    <w:uiPriority w:val="9"/>
    <w:semiHidden/>
    <w:rsid w:val="00F40F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F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F1C"/>
    <w:rPr>
      <w:rFonts w:eastAsiaTheme="majorEastAsia" w:cstheme="majorBidi"/>
      <w:color w:val="272727" w:themeColor="text1" w:themeTint="D8"/>
    </w:rPr>
  </w:style>
  <w:style w:type="paragraph" w:styleId="Title">
    <w:name w:val="Title"/>
    <w:basedOn w:val="Normal"/>
    <w:next w:val="Normal"/>
    <w:link w:val="TitleChar"/>
    <w:uiPriority w:val="10"/>
    <w:qFormat/>
    <w:rsid w:val="00550A8F"/>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550A8F"/>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F40F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F1C"/>
    <w:pPr>
      <w:spacing w:before="160"/>
      <w:jc w:val="center"/>
    </w:pPr>
    <w:rPr>
      <w:i/>
      <w:iCs/>
      <w:color w:val="404040" w:themeColor="text1" w:themeTint="BF"/>
    </w:rPr>
  </w:style>
  <w:style w:type="character" w:customStyle="1" w:styleId="QuoteChar">
    <w:name w:val="Quote Char"/>
    <w:basedOn w:val="DefaultParagraphFont"/>
    <w:link w:val="Quote"/>
    <w:uiPriority w:val="29"/>
    <w:rsid w:val="00F40F1C"/>
    <w:rPr>
      <w:i/>
      <w:iCs/>
      <w:color w:val="404040" w:themeColor="text1" w:themeTint="BF"/>
    </w:rPr>
  </w:style>
  <w:style w:type="paragraph" w:styleId="ListParagraph">
    <w:name w:val="List Paragraph"/>
    <w:basedOn w:val="Normal"/>
    <w:uiPriority w:val="34"/>
    <w:qFormat/>
    <w:rsid w:val="00F40F1C"/>
    <w:pPr>
      <w:ind w:left="720"/>
      <w:contextualSpacing/>
    </w:pPr>
  </w:style>
  <w:style w:type="character" w:styleId="IntenseEmphasis">
    <w:name w:val="Intense Emphasis"/>
    <w:basedOn w:val="DefaultParagraphFont"/>
    <w:uiPriority w:val="21"/>
    <w:qFormat/>
    <w:rsid w:val="00F40F1C"/>
    <w:rPr>
      <w:i/>
      <w:iCs/>
      <w:color w:val="0F4761" w:themeColor="accent1" w:themeShade="BF"/>
    </w:rPr>
  </w:style>
  <w:style w:type="paragraph" w:styleId="IntenseQuote">
    <w:name w:val="Intense Quote"/>
    <w:basedOn w:val="Normal"/>
    <w:next w:val="Normal"/>
    <w:link w:val="IntenseQuoteChar"/>
    <w:uiPriority w:val="30"/>
    <w:qFormat/>
    <w:rsid w:val="00F40F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F1C"/>
    <w:rPr>
      <w:i/>
      <w:iCs/>
      <w:color w:val="0F4761" w:themeColor="accent1" w:themeShade="BF"/>
    </w:rPr>
  </w:style>
  <w:style w:type="character" w:styleId="IntenseReference">
    <w:name w:val="Intense Reference"/>
    <w:basedOn w:val="DefaultParagraphFont"/>
    <w:uiPriority w:val="32"/>
    <w:qFormat/>
    <w:rsid w:val="00F40F1C"/>
    <w:rPr>
      <w:b/>
      <w:bCs/>
      <w:smallCaps/>
      <w:color w:val="0F4761" w:themeColor="accent1" w:themeShade="BF"/>
      <w:spacing w:val="5"/>
    </w:rPr>
  </w:style>
  <w:style w:type="paragraph" w:styleId="Header">
    <w:name w:val="header"/>
    <w:basedOn w:val="Normal"/>
    <w:link w:val="HeaderChar"/>
    <w:uiPriority w:val="99"/>
    <w:unhideWhenUsed/>
    <w:rsid w:val="00662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44B"/>
    <w:rPr>
      <w:rFonts w:ascii="Arial" w:hAnsi="Arial"/>
      <w:sz w:val="24"/>
    </w:rPr>
  </w:style>
  <w:style w:type="paragraph" w:styleId="Footer">
    <w:name w:val="footer"/>
    <w:basedOn w:val="Normal"/>
    <w:link w:val="FooterChar"/>
    <w:uiPriority w:val="99"/>
    <w:unhideWhenUsed/>
    <w:rsid w:val="00662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44B"/>
    <w:rPr>
      <w:rFonts w:ascii="Arial" w:hAnsi="Arial"/>
      <w:sz w:val="24"/>
    </w:rPr>
  </w:style>
  <w:style w:type="paragraph" w:styleId="NormalWeb">
    <w:name w:val="Normal (Web)"/>
    <w:basedOn w:val="Normal"/>
    <w:uiPriority w:val="99"/>
    <w:semiHidden/>
    <w:unhideWhenUsed/>
    <w:rsid w:val="00353214"/>
    <w:pPr>
      <w:spacing w:before="100" w:beforeAutospacing="1" w:after="100" w:afterAutospacing="1" w:line="240" w:lineRule="auto"/>
    </w:pPr>
    <w:rPr>
      <w:rFonts w:ascii="Times New Roman" w:eastAsia="Times New Roman" w:hAnsi="Times New Roman" w:cs="Times New Roman"/>
      <w:szCs w:val="24"/>
      <w:lang w:eastAsia="en-GB"/>
      <w14:ligatures w14:val="none"/>
    </w:rPr>
  </w:style>
  <w:style w:type="paragraph" w:styleId="TOC1">
    <w:name w:val="toc 1"/>
    <w:basedOn w:val="Normal"/>
    <w:next w:val="Normal"/>
    <w:autoRedefine/>
    <w:uiPriority w:val="39"/>
    <w:unhideWhenUsed/>
    <w:rsid w:val="0066570C"/>
    <w:pPr>
      <w:spacing w:after="100"/>
    </w:pPr>
  </w:style>
  <w:style w:type="paragraph" w:styleId="TOC2">
    <w:name w:val="toc 2"/>
    <w:basedOn w:val="Normal"/>
    <w:next w:val="Normal"/>
    <w:autoRedefine/>
    <w:uiPriority w:val="39"/>
    <w:unhideWhenUsed/>
    <w:rsid w:val="0066570C"/>
    <w:pPr>
      <w:spacing w:after="100"/>
      <w:ind w:left="240"/>
    </w:pPr>
  </w:style>
  <w:style w:type="character" w:styleId="Hyperlink">
    <w:name w:val="Hyperlink"/>
    <w:basedOn w:val="DefaultParagraphFont"/>
    <w:uiPriority w:val="99"/>
    <w:unhideWhenUsed/>
    <w:rsid w:val="0066570C"/>
    <w:rPr>
      <w:color w:val="467886" w:themeColor="hyperlink"/>
      <w:u w:val="single"/>
    </w:rPr>
  </w:style>
  <w:style w:type="paragraph" w:customStyle="1" w:styleId="isselectedend">
    <w:name w:val="isselectedend"/>
    <w:basedOn w:val="Normal"/>
    <w:rsid w:val="002B2814"/>
    <w:pPr>
      <w:spacing w:before="100" w:beforeAutospacing="1" w:after="100" w:afterAutospacing="1" w:line="240" w:lineRule="auto"/>
    </w:pPr>
    <w:rPr>
      <w:rFonts w:ascii="Times New Roman" w:eastAsia="Times New Roman" w:hAnsi="Times New Roman" w:cs="Times New Roman"/>
      <w:szCs w:val="24"/>
      <w:lang w:eastAsia="en-GB"/>
      <w14:ligatures w14:val="none"/>
    </w:rPr>
  </w:style>
  <w:style w:type="character" w:styleId="Strong">
    <w:name w:val="Strong"/>
    <w:basedOn w:val="DefaultParagraphFont"/>
    <w:uiPriority w:val="22"/>
    <w:qFormat/>
    <w:rsid w:val="002B2814"/>
    <w:rPr>
      <w:b/>
      <w:bCs/>
    </w:rPr>
  </w:style>
  <w:style w:type="paragraph" w:styleId="TOC3">
    <w:name w:val="toc 3"/>
    <w:basedOn w:val="Normal"/>
    <w:next w:val="Normal"/>
    <w:autoRedefine/>
    <w:uiPriority w:val="39"/>
    <w:unhideWhenUsed/>
    <w:rsid w:val="0005320F"/>
    <w:pPr>
      <w:spacing w:after="100"/>
      <w:ind w:left="480"/>
    </w:pPr>
  </w:style>
  <w:style w:type="table" w:styleId="GridTable5Dark-Accent4">
    <w:name w:val="Grid Table 5 Dark Accent 4"/>
    <w:basedOn w:val="TableNormal"/>
    <w:uiPriority w:val="50"/>
    <w:rsid w:val="00361FA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6">
    <w:name w:val="Grid Table 5 Dark Accent 6"/>
    <w:basedOn w:val="TableNormal"/>
    <w:uiPriority w:val="50"/>
    <w:rsid w:val="00361FA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6">
    <w:name w:val="Grid Table 4 Accent 6"/>
    <w:basedOn w:val="TableNormal"/>
    <w:uiPriority w:val="49"/>
    <w:rsid w:val="00D01A80"/>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PlaceholderText">
    <w:name w:val="Placeholder Text"/>
    <w:basedOn w:val="DefaultParagraphFont"/>
    <w:uiPriority w:val="99"/>
    <w:semiHidden/>
    <w:rsid w:val="00FE3A96"/>
    <w:rPr>
      <w:color w:val="666666"/>
    </w:rPr>
  </w:style>
  <w:style w:type="table" w:styleId="TableGrid">
    <w:name w:val="Table Grid"/>
    <w:basedOn w:val="TableNormal"/>
    <w:uiPriority w:val="39"/>
    <w:rsid w:val="006A4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https://doi.org/10.1007/978-3-031-63145-0_10"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i.org/10.18111/978928442007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142/9789811292101_0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FA566C-9F01-4805-BBCE-10E8929E530F}">
  <we:reference id="8c1c3d44-57e9-40d7-86e4-4adf88fea1dd" version="3.0.0.0" store="EXCatalog" storeType="EXCatalog"/>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rwoutputstyle:69bb04bb8249c90031920ddf&quot;,&quot;styleType&quot;:&quot;global&quot;,&quot;name&quot;:&quot;Cite Them Right, 13th edition - Harvard&quot;,&quot;userId&quot;:&quot;user:5c65ce0be4b09a36bed143f1&quot;,&quot;isInstitutional&quot;:false,&quot;citeStyle&quot;:&quot;INTEXT_AND_FOOTNOTE&quot;,&quot;isSorted&quot;:false,&quot;usesNumbers&quot;:false,&quot;lrwStyleId&quot;:4462,&quot;authorDisambiguation&quot;:&quot;surname_firstname&quot;}"/>
    <we:property name="rcm.version" value="2"/>
    <we:property name="rw.officeVersion" value="&quot;1.3&quot;"/>
    <we:property name="citations" value="{&quot;154656031&quot;:{&quot;referencesIds&quot;:[&quot;doc:69b69011278e9f4f42f8fb1a&quot;],&quot;referencesOptions&quot;:{&quot;doc:69b69011278e9f4f42f8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56031,&quot;citationText&quot;:&quot;&lt;span style=\&quot;font-family:Arial;font-size:16px;color:#000000\&quot;&gt;(Nain and Awasthi, 202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f9feffc724085bc91409dce072f8c57a">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85791fb8f44d7859898e4289c36377ec"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6763C1-B72B-490E-97C8-23C0FB8D785F}">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82F6F86F-2A92-44E0-B9B2-2605DF00D946}">
  <ds:schemaRefs>
    <ds:schemaRef ds:uri="http://schemas.microsoft.com/sharepoint/v3/contenttype/forms"/>
  </ds:schemaRefs>
</ds:datastoreItem>
</file>

<file path=customXml/itemProps3.xml><?xml version="1.0" encoding="utf-8"?>
<ds:datastoreItem xmlns:ds="http://schemas.openxmlformats.org/officeDocument/2006/customXml" ds:itemID="{2C9C8D0B-B415-43CA-AF73-1BE464B91A36}">
  <ds:schemaRefs>
    <ds:schemaRef ds:uri="http://schemas.openxmlformats.org/officeDocument/2006/bibliography"/>
  </ds:schemaRefs>
</ds:datastoreItem>
</file>

<file path=customXml/itemProps4.xml><?xml version="1.0" encoding="utf-8"?>
<ds:datastoreItem xmlns:ds="http://schemas.openxmlformats.org/officeDocument/2006/customXml" ds:itemID="{D8CFB501-7308-4DFF-883B-31811835A1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19773</Words>
  <Characters>112710</Characters>
  <Application>Microsoft Office Word</Application>
  <DocSecurity>0</DocSecurity>
  <Lines>939</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326</cp:revision>
  <dcterms:created xsi:type="dcterms:W3CDTF">2026-04-22T08:31:00Z</dcterms:created>
  <dcterms:modified xsi:type="dcterms:W3CDTF">2026-05-05T18:16:00Z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