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Ex1.xml" ContentType="application/vnd.ms-office.chartex+xml"/>
  <Override PartName="/word/charts/style3.xml" ContentType="application/vnd.ms-office.chartstyle+xml"/>
  <Override PartName="/word/charts/colors3.xml" ContentType="application/vnd.ms-office.chartcolorstyle+xml"/>
  <Override PartName="/word/charts/chart3.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5.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7.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8.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9.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0.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1.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2.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3.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4.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5.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6.xml" ContentType="application/vnd.openxmlformats-officedocument.drawingml.chart+xml"/>
  <Override PartName="/word/charts/style17.xml" ContentType="application/vnd.ms-office.chartstyle+xml"/>
  <Override PartName="/word/charts/colors17.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C7C4D2" w14:textId="77777777" w:rsidR="00857122" w:rsidRDefault="00857122" w:rsidP="00857122">
      <w:pPr>
        <w:rPr>
          <w:sz w:val="36"/>
          <w:szCs w:val="36"/>
        </w:rPr>
      </w:pPr>
      <w:r>
        <w:rPr>
          <w:sz w:val="36"/>
          <w:szCs w:val="36"/>
        </w:rPr>
        <w:t xml:space="preserve">Student name - Himanshu </w:t>
      </w:r>
      <w:proofErr w:type="spellStart"/>
      <w:r>
        <w:rPr>
          <w:sz w:val="36"/>
          <w:szCs w:val="36"/>
        </w:rPr>
        <w:t>Sureshbhai</w:t>
      </w:r>
      <w:proofErr w:type="spellEnd"/>
      <w:r>
        <w:rPr>
          <w:sz w:val="36"/>
          <w:szCs w:val="36"/>
        </w:rPr>
        <w:t xml:space="preserve"> Rathod</w:t>
      </w:r>
    </w:p>
    <w:p w14:paraId="70D6756B" w14:textId="77777777" w:rsidR="00857122" w:rsidRDefault="00857122" w:rsidP="00857122">
      <w:pPr>
        <w:rPr>
          <w:sz w:val="36"/>
          <w:szCs w:val="36"/>
        </w:rPr>
      </w:pPr>
      <w:r>
        <w:rPr>
          <w:sz w:val="36"/>
          <w:szCs w:val="36"/>
        </w:rPr>
        <w:t>Student id – 2335335</w:t>
      </w:r>
    </w:p>
    <w:p w14:paraId="6E636E7F" w14:textId="77777777" w:rsidR="00857122" w:rsidRDefault="00857122" w:rsidP="00857122">
      <w:pPr>
        <w:rPr>
          <w:sz w:val="36"/>
          <w:szCs w:val="36"/>
        </w:rPr>
      </w:pPr>
      <w:r>
        <w:rPr>
          <w:sz w:val="36"/>
          <w:szCs w:val="36"/>
        </w:rPr>
        <w:t>Lecture – Financial Management</w:t>
      </w:r>
    </w:p>
    <w:p w14:paraId="7792FC3D" w14:textId="77777777" w:rsidR="00857122" w:rsidRDefault="00857122" w:rsidP="00857122">
      <w:pPr>
        <w:rPr>
          <w:sz w:val="36"/>
          <w:szCs w:val="36"/>
        </w:rPr>
      </w:pPr>
      <w:r>
        <w:rPr>
          <w:sz w:val="36"/>
          <w:szCs w:val="36"/>
        </w:rPr>
        <w:t>Subject code – LCMB7002</w:t>
      </w:r>
    </w:p>
    <w:p w14:paraId="40CDA234" w14:textId="5CE3A4F9" w:rsidR="00DF7F11" w:rsidRDefault="00857122" w:rsidP="00857122">
      <w:pPr>
        <w:rPr>
          <w:sz w:val="36"/>
          <w:szCs w:val="36"/>
        </w:rPr>
      </w:pPr>
      <w:r>
        <w:rPr>
          <w:sz w:val="36"/>
          <w:szCs w:val="36"/>
        </w:rPr>
        <w:t>Lecturer – MD Kalam</w:t>
      </w:r>
    </w:p>
    <w:p w14:paraId="22D5856E" w14:textId="77777777" w:rsidR="00857122" w:rsidRDefault="00857122" w:rsidP="00857122">
      <w:pPr>
        <w:rPr>
          <w:sz w:val="36"/>
          <w:szCs w:val="36"/>
        </w:rPr>
      </w:pPr>
    </w:p>
    <w:p w14:paraId="0581AC95" w14:textId="77777777" w:rsidR="00857122" w:rsidRDefault="00857122" w:rsidP="00857122">
      <w:pPr>
        <w:rPr>
          <w:sz w:val="36"/>
          <w:szCs w:val="36"/>
        </w:rPr>
      </w:pPr>
    </w:p>
    <w:p w14:paraId="0C7A2592" w14:textId="77777777" w:rsidR="00857122" w:rsidRDefault="00857122" w:rsidP="00857122">
      <w:pPr>
        <w:rPr>
          <w:sz w:val="36"/>
          <w:szCs w:val="36"/>
        </w:rPr>
      </w:pPr>
    </w:p>
    <w:p w14:paraId="2DA9A193" w14:textId="77777777" w:rsidR="00857122" w:rsidRDefault="00857122" w:rsidP="00857122">
      <w:pPr>
        <w:rPr>
          <w:sz w:val="36"/>
          <w:szCs w:val="36"/>
        </w:rPr>
      </w:pPr>
    </w:p>
    <w:p w14:paraId="5626655F" w14:textId="77777777" w:rsidR="00857122" w:rsidRDefault="00857122" w:rsidP="00857122">
      <w:pPr>
        <w:rPr>
          <w:sz w:val="36"/>
          <w:szCs w:val="36"/>
        </w:rPr>
      </w:pPr>
    </w:p>
    <w:p w14:paraId="521C4BA8" w14:textId="77777777" w:rsidR="00857122" w:rsidRDefault="00857122" w:rsidP="00857122">
      <w:pPr>
        <w:rPr>
          <w:sz w:val="36"/>
          <w:szCs w:val="36"/>
        </w:rPr>
      </w:pPr>
    </w:p>
    <w:p w14:paraId="70EDA5D9" w14:textId="77777777" w:rsidR="00857122" w:rsidRDefault="00857122" w:rsidP="00857122">
      <w:pPr>
        <w:rPr>
          <w:sz w:val="36"/>
          <w:szCs w:val="36"/>
        </w:rPr>
      </w:pPr>
    </w:p>
    <w:p w14:paraId="742D4F7B" w14:textId="77777777" w:rsidR="00857122" w:rsidRDefault="00857122" w:rsidP="00857122">
      <w:pPr>
        <w:rPr>
          <w:sz w:val="36"/>
          <w:szCs w:val="36"/>
        </w:rPr>
      </w:pPr>
    </w:p>
    <w:p w14:paraId="39305187" w14:textId="77777777" w:rsidR="00857122" w:rsidRDefault="00857122" w:rsidP="00857122">
      <w:pPr>
        <w:rPr>
          <w:sz w:val="36"/>
          <w:szCs w:val="36"/>
        </w:rPr>
      </w:pPr>
    </w:p>
    <w:p w14:paraId="623D9D62" w14:textId="77777777" w:rsidR="00857122" w:rsidRDefault="00857122" w:rsidP="00857122">
      <w:pPr>
        <w:rPr>
          <w:sz w:val="36"/>
          <w:szCs w:val="36"/>
        </w:rPr>
      </w:pPr>
    </w:p>
    <w:p w14:paraId="4DEB9D25" w14:textId="77777777" w:rsidR="00857122" w:rsidRDefault="00857122" w:rsidP="00857122">
      <w:pPr>
        <w:rPr>
          <w:sz w:val="36"/>
          <w:szCs w:val="36"/>
        </w:rPr>
      </w:pPr>
    </w:p>
    <w:p w14:paraId="6E0224F7" w14:textId="77777777" w:rsidR="00857122" w:rsidRDefault="00857122" w:rsidP="00857122">
      <w:pPr>
        <w:rPr>
          <w:sz w:val="36"/>
          <w:szCs w:val="36"/>
        </w:rPr>
      </w:pPr>
    </w:p>
    <w:p w14:paraId="38694513" w14:textId="77777777" w:rsidR="00857122" w:rsidRDefault="00857122" w:rsidP="00857122">
      <w:pPr>
        <w:rPr>
          <w:sz w:val="36"/>
          <w:szCs w:val="36"/>
        </w:rPr>
      </w:pPr>
    </w:p>
    <w:p w14:paraId="3E6EA966" w14:textId="77777777" w:rsidR="00857122" w:rsidRPr="00F00296" w:rsidRDefault="00857122" w:rsidP="00857122">
      <w:pPr>
        <w:rPr>
          <w:rFonts w:ascii="Times New Roman" w:hAnsi="Times New Roman" w:cs="Times New Roman"/>
        </w:rPr>
      </w:pPr>
    </w:p>
    <w:p w14:paraId="2BD4779D" w14:textId="77777777" w:rsidR="00DF7F11" w:rsidRPr="00F00296" w:rsidRDefault="00DF7F11" w:rsidP="006E6C7D">
      <w:pPr>
        <w:spacing w:line="360" w:lineRule="auto"/>
        <w:jc w:val="both"/>
        <w:rPr>
          <w:rFonts w:ascii="Times New Roman" w:hAnsi="Times New Roman" w:cs="Times New Roman"/>
        </w:rPr>
      </w:pPr>
    </w:p>
    <w:p w14:paraId="10FD89E5" w14:textId="77777777" w:rsidR="00DF7F11" w:rsidRPr="00F00296" w:rsidRDefault="00DF7F11" w:rsidP="006E6C7D">
      <w:pPr>
        <w:spacing w:line="360" w:lineRule="auto"/>
        <w:jc w:val="both"/>
        <w:rPr>
          <w:rFonts w:ascii="Times New Roman" w:hAnsi="Times New Roman" w:cs="Times New Roman"/>
        </w:rPr>
      </w:pPr>
    </w:p>
    <w:p w14:paraId="66DA6F54" w14:textId="7B8BD515" w:rsidR="002A7B4A" w:rsidRPr="00F00296" w:rsidRDefault="002A7B4A" w:rsidP="008666C5">
      <w:pPr>
        <w:spacing w:line="360" w:lineRule="auto"/>
        <w:jc w:val="center"/>
        <w:rPr>
          <w:rFonts w:ascii="Times New Roman" w:hAnsi="Times New Roman" w:cs="Times New Roman"/>
          <w:b/>
          <w:bCs/>
          <w:sz w:val="40"/>
          <w:szCs w:val="40"/>
        </w:rPr>
      </w:pPr>
      <w:r w:rsidRPr="00F00296">
        <w:rPr>
          <w:rFonts w:ascii="Times New Roman" w:hAnsi="Times New Roman" w:cs="Times New Roman"/>
          <w:b/>
          <w:bCs/>
          <w:sz w:val="40"/>
          <w:szCs w:val="40"/>
        </w:rPr>
        <w:t xml:space="preserve">Company topic: M&amp;S </w:t>
      </w:r>
      <w:r w:rsidR="006E6C7D" w:rsidRPr="00F00296">
        <w:rPr>
          <w:rFonts w:ascii="Times New Roman" w:hAnsi="Times New Roman" w:cs="Times New Roman"/>
          <w:b/>
          <w:bCs/>
          <w:sz w:val="40"/>
          <w:szCs w:val="40"/>
        </w:rPr>
        <w:t>London</w:t>
      </w:r>
    </w:p>
    <w:p w14:paraId="65036CFF" w14:textId="77777777" w:rsidR="006E6C7D" w:rsidRPr="00F00296" w:rsidRDefault="006E6C7D" w:rsidP="006E6C7D">
      <w:pPr>
        <w:spacing w:line="360" w:lineRule="auto"/>
        <w:jc w:val="both"/>
        <w:rPr>
          <w:rFonts w:ascii="Times New Roman" w:hAnsi="Times New Roman" w:cs="Times New Roman"/>
          <w:b/>
          <w:bCs/>
        </w:rPr>
      </w:pPr>
    </w:p>
    <w:p w14:paraId="7EEF3B66" w14:textId="77777777" w:rsidR="006E6C7D" w:rsidRPr="00F00296" w:rsidRDefault="006E6C7D" w:rsidP="006E6C7D">
      <w:pPr>
        <w:spacing w:line="360" w:lineRule="auto"/>
        <w:jc w:val="both"/>
        <w:rPr>
          <w:rFonts w:ascii="Times New Roman" w:hAnsi="Times New Roman" w:cs="Times New Roman"/>
          <w:b/>
          <w:bCs/>
        </w:rPr>
      </w:pPr>
    </w:p>
    <w:p w14:paraId="74892E71" w14:textId="77777777" w:rsidR="006E6C7D" w:rsidRPr="00F00296" w:rsidRDefault="006E6C7D" w:rsidP="006E6C7D">
      <w:pPr>
        <w:spacing w:line="360" w:lineRule="auto"/>
        <w:jc w:val="both"/>
        <w:rPr>
          <w:rFonts w:ascii="Times New Roman" w:hAnsi="Times New Roman" w:cs="Times New Roman"/>
          <w:b/>
          <w:bCs/>
        </w:rPr>
      </w:pPr>
    </w:p>
    <w:p w14:paraId="7E77A7CE" w14:textId="77777777" w:rsidR="006E6C7D" w:rsidRPr="00F00296" w:rsidRDefault="006E6C7D" w:rsidP="006E6C7D">
      <w:pPr>
        <w:spacing w:line="360" w:lineRule="auto"/>
        <w:jc w:val="both"/>
        <w:rPr>
          <w:rFonts w:ascii="Times New Roman" w:hAnsi="Times New Roman" w:cs="Times New Roman"/>
          <w:b/>
          <w:bCs/>
        </w:rPr>
      </w:pPr>
    </w:p>
    <w:p w14:paraId="3550363F" w14:textId="77777777" w:rsidR="006E6C7D" w:rsidRPr="00F00296" w:rsidRDefault="006E6C7D" w:rsidP="006E6C7D">
      <w:pPr>
        <w:spacing w:line="360" w:lineRule="auto"/>
        <w:jc w:val="both"/>
        <w:rPr>
          <w:rFonts w:ascii="Times New Roman" w:hAnsi="Times New Roman" w:cs="Times New Roman"/>
          <w:b/>
          <w:bCs/>
        </w:rPr>
      </w:pPr>
    </w:p>
    <w:p w14:paraId="1AC34B09" w14:textId="77777777" w:rsidR="006E6C7D" w:rsidRPr="00F00296" w:rsidRDefault="006E6C7D" w:rsidP="006E6C7D">
      <w:pPr>
        <w:spacing w:line="360" w:lineRule="auto"/>
        <w:jc w:val="both"/>
        <w:rPr>
          <w:rFonts w:ascii="Times New Roman" w:hAnsi="Times New Roman" w:cs="Times New Roman"/>
          <w:b/>
          <w:bCs/>
        </w:rPr>
      </w:pPr>
    </w:p>
    <w:p w14:paraId="2DBD792B" w14:textId="77777777" w:rsidR="006E6C7D" w:rsidRPr="00F00296" w:rsidRDefault="006E6C7D" w:rsidP="006E6C7D">
      <w:pPr>
        <w:spacing w:line="360" w:lineRule="auto"/>
        <w:jc w:val="both"/>
        <w:rPr>
          <w:rFonts w:ascii="Times New Roman" w:hAnsi="Times New Roman" w:cs="Times New Roman"/>
          <w:b/>
          <w:bCs/>
        </w:rPr>
      </w:pPr>
    </w:p>
    <w:p w14:paraId="61366238" w14:textId="77777777" w:rsidR="006E6C7D" w:rsidRPr="00F00296" w:rsidRDefault="006E6C7D" w:rsidP="006E6C7D">
      <w:pPr>
        <w:spacing w:line="360" w:lineRule="auto"/>
        <w:jc w:val="both"/>
        <w:rPr>
          <w:rFonts w:ascii="Times New Roman" w:hAnsi="Times New Roman" w:cs="Times New Roman"/>
          <w:b/>
          <w:bCs/>
        </w:rPr>
      </w:pPr>
    </w:p>
    <w:p w14:paraId="33429B45" w14:textId="77777777" w:rsidR="006E6C7D" w:rsidRPr="00F00296" w:rsidRDefault="006E6C7D" w:rsidP="006E6C7D">
      <w:pPr>
        <w:spacing w:line="360" w:lineRule="auto"/>
        <w:jc w:val="both"/>
        <w:rPr>
          <w:rFonts w:ascii="Times New Roman" w:hAnsi="Times New Roman" w:cs="Times New Roman"/>
          <w:b/>
          <w:bCs/>
        </w:rPr>
      </w:pPr>
    </w:p>
    <w:p w14:paraId="7379C455" w14:textId="77777777" w:rsidR="006E6C7D" w:rsidRPr="00F00296" w:rsidRDefault="006E6C7D" w:rsidP="006E6C7D">
      <w:pPr>
        <w:spacing w:line="360" w:lineRule="auto"/>
        <w:jc w:val="both"/>
        <w:rPr>
          <w:rFonts w:ascii="Times New Roman" w:hAnsi="Times New Roman" w:cs="Times New Roman"/>
          <w:b/>
          <w:bCs/>
        </w:rPr>
      </w:pPr>
    </w:p>
    <w:p w14:paraId="0E90695E" w14:textId="77777777" w:rsidR="006E6C7D" w:rsidRPr="00F00296" w:rsidRDefault="006E6C7D" w:rsidP="006E6C7D">
      <w:pPr>
        <w:spacing w:line="360" w:lineRule="auto"/>
        <w:jc w:val="both"/>
        <w:rPr>
          <w:rFonts w:ascii="Times New Roman" w:hAnsi="Times New Roman" w:cs="Times New Roman"/>
          <w:b/>
          <w:bCs/>
        </w:rPr>
      </w:pPr>
    </w:p>
    <w:p w14:paraId="50FF28E9" w14:textId="77777777" w:rsidR="006E6C7D" w:rsidRPr="00F00296" w:rsidRDefault="006E6C7D" w:rsidP="006E6C7D">
      <w:pPr>
        <w:spacing w:line="360" w:lineRule="auto"/>
        <w:jc w:val="both"/>
        <w:rPr>
          <w:rFonts w:ascii="Times New Roman" w:hAnsi="Times New Roman" w:cs="Times New Roman"/>
          <w:b/>
          <w:bCs/>
        </w:rPr>
      </w:pPr>
    </w:p>
    <w:p w14:paraId="62D7A992" w14:textId="77777777" w:rsidR="006E6C7D" w:rsidRPr="00F00296" w:rsidRDefault="006E6C7D" w:rsidP="006E6C7D">
      <w:pPr>
        <w:spacing w:line="360" w:lineRule="auto"/>
        <w:jc w:val="both"/>
        <w:rPr>
          <w:rFonts w:ascii="Times New Roman" w:hAnsi="Times New Roman" w:cs="Times New Roman"/>
          <w:b/>
          <w:bCs/>
        </w:rPr>
      </w:pPr>
    </w:p>
    <w:p w14:paraId="0C6BFF47" w14:textId="77777777" w:rsidR="006E6C7D" w:rsidRPr="00F00296" w:rsidRDefault="006E6C7D" w:rsidP="006E6C7D">
      <w:pPr>
        <w:spacing w:line="360" w:lineRule="auto"/>
        <w:jc w:val="both"/>
        <w:rPr>
          <w:rFonts w:ascii="Times New Roman" w:hAnsi="Times New Roman" w:cs="Times New Roman"/>
          <w:b/>
          <w:bCs/>
        </w:rPr>
      </w:pPr>
    </w:p>
    <w:p w14:paraId="2966F9C3" w14:textId="77777777" w:rsidR="006E6C7D" w:rsidRPr="00F00296" w:rsidRDefault="006E6C7D" w:rsidP="006E6C7D">
      <w:pPr>
        <w:spacing w:line="360" w:lineRule="auto"/>
        <w:jc w:val="both"/>
        <w:rPr>
          <w:rFonts w:ascii="Times New Roman" w:hAnsi="Times New Roman" w:cs="Times New Roman"/>
          <w:b/>
          <w:bCs/>
        </w:rPr>
      </w:pPr>
    </w:p>
    <w:p w14:paraId="0476EAA8" w14:textId="77777777" w:rsidR="006E6C7D" w:rsidRPr="00F00296" w:rsidRDefault="006E6C7D" w:rsidP="006E6C7D">
      <w:pPr>
        <w:spacing w:line="360" w:lineRule="auto"/>
        <w:jc w:val="both"/>
        <w:rPr>
          <w:rFonts w:ascii="Times New Roman" w:hAnsi="Times New Roman" w:cs="Times New Roman"/>
          <w:b/>
          <w:bCs/>
        </w:rPr>
      </w:pPr>
    </w:p>
    <w:p w14:paraId="7A8FD7E5" w14:textId="77777777" w:rsidR="006E6C7D" w:rsidRPr="00F00296" w:rsidRDefault="006E6C7D" w:rsidP="006E6C7D">
      <w:pPr>
        <w:spacing w:line="360" w:lineRule="auto"/>
        <w:jc w:val="both"/>
        <w:rPr>
          <w:rFonts w:ascii="Times New Roman" w:hAnsi="Times New Roman" w:cs="Times New Roman"/>
          <w:b/>
          <w:bCs/>
        </w:rPr>
      </w:pPr>
    </w:p>
    <w:p w14:paraId="00AD3366" w14:textId="77777777" w:rsidR="006E6C7D" w:rsidRPr="00F00296" w:rsidRDefault="006E6C7D" w:rsidP="006E6C7D">
      <w:pPr>
        <w:spacing w:line="360" w:lineRule="auto"/>
        <w:jc w:val="both"/>
        <w:rPr>
          <w:rFonts w:ascii="Times New Roman" w:hAnsi="Times New Roman" w:cs="Times New Roman"/>
          <w:b/>
          <w:bCs/>
        </w:rPr>
      </w:pPr>
    </w:p>
    <w:sdt>
      <w:sdtPr>
        <w:rPr>
          <w:rFonts w:asciiTheme="minorHAnsi" w:eastAsiaTheme="minorEastAsia" w:hAnsiTheme="minorHAnsi" w:cs="Times New Roman"/>
          <w:b w:val="0"/>
          <w:color w:val="auto"/>
          <w:kern w:val="2"/>
          <w:sz w:val="24"/>
          <w:szCs w:val="24"/>
          <w14:ligatures w14:val="standardContextual"/>
        </w:rPr>
        <w:id w:val="-2100395913"/>
        <w:docPartObj>
          <w:docPartGallery w:val="Table of Contents"/>
          <w:docPartUnique/>
        </w:docPartObj>
      </w:sdtPr>
      <w:sdtEndPr>
        <w:rPr>
          <w:bCs/>
          <w:noProof/>
        </w:rPr>
      </w:sdtEndPr>
      <w:sdtContent>
        <w:p w14:paraId="2DE206D5" w14:textId="38376D44" w:rsidR="006E6C7D" w:rsidRPr="00F00296" w:rsidRDefault="006E6C7D" w:rsidP="006E6C7D">
          <w:pPr>
            <w:pStyle w:val="TOCHeading"/>
            <w:spacing w:line="360" w:lineRule="auto"/>
            <w:rPr>
              <w:rFonts w:cs="Times New Roman"/>
            </w:rPr>
          </w:pPr>
          <w:r w:rsidRPr="00F00296">
            <w:rPr>
              <w:rFonts w:cs="Times New Roman"/>
            </w:rPr>
            <w:t>Contents</w:t>
          </w:r>
        </w:p>
        <w:p w14:paraId="7336F3FB" w14:textId="3D5CEDEE" w:rsidR="00415B4D" w:rsidRPr="00F00296" w:rsidRDefault="006E6C7D">
          <w:pPr>
            <w:pStyle w:val="TOC1"/>
            <w:tabs>
              <w:tab w:val="right" w:leader="dot" w:pos="9350"/>
            </w:tabs>
            <w:rPr>
              <w:rFonts w:ascii="Times New Roman" w:hAnsi="Times New Roman" w:cs="Times New Roman"/>
              <w:noProof/>
              <w:kern w:val="0"/>
              <w:sz w:val="22"/>
              <w:szCs w:val="22"/>
              <w:lang w:val="en-US"/>
              <w14:ligatures w14:val="none"/>
            </w:rPr>
          </w:pPr>
          <w:r w:rsidRPr="00F00296">
            <w:rPr>
              <w:rFonts w:ascii="Times New Roman" w:hAnsi="Times New Roman" w:cs="Times New Roman"/>
            </w:rPr>
            <w:fldChar w:fldCharType="begin"/>
          </w:r>
          <w:r w:rsidRPr="00F00296">
            <w:rPr>
              <w:rFonts w:ascii="Times New Roman" w:hAnsi="Times New Roman" w:cs="Times New Roman"/>
            </w:rPr>
            <w:instrText xml:space="preserve"> TOC \o "1-3" \h \z \u </w:instrText>
          </w:r>
          <w:r w:rsidRPr="00F00296">
            <w:rPr>
              <w:rFonts w:ascii="Times New Roman" w:hAnsi="Times New Roman" w:cs="Times New Roman"/>
            </w:rPr>
            <w:fldChar w:fldCharType="separate"/>
          </w:r>
          <w:hyperlink w:anchor="_Toc174862005" w:history="1">
            <w:r w:rsidR="00415B4D" w:rsidRPr="00F00296">
              <w:rPr>
                <w:rStyle w:val="Hyperlink"/>
                <w:rFonts w:ascii="Times New Roman" w:hAnsi="Times New Roman" w:cs="Times New Roman"/>
                <w:noProof/>
              </w:rPr>
              <w:t>Part A). Introduction</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_Toc174862005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4</w:t>
            </w:r>
            <w:r w:rsidR="00415B4D" w:rsidRPr="00F00296">
              <w:rPr>
                <w:rFonts w:ascii="Times New Roman" w:hAnsi="Times New Roman" w:cs="Times New Roman"/>
                <w:noProof/>
                <w:webHidden/>
              </w:rPr>
              <w:fldChar w:fldCharType="end"/>
            </w:r>
          </w:hyperlink>
        </w:p>
        <w:p w14:paraId="1E3AD986" w14:textId="14E008C6" w:rsidR="00415B4D" w:rsidRPr="00F00296" w:rsidRDefault="00857122">
          <w:pPr>
            <w:pStyle w:val="TOC1"/>
            <w:tabs>
              <w:tab w:val="right" w:leader="dot" w:pos="9350"/>
            </w:tabs>
            <w:rPr>
              <w:rFonts w:ascii="Times New Roman" w:hAnsi="Times New Roman" w:cs="Times New Roman"/>
              <w:noProof/>
              <w:kern w:val="0"/>
              <w:sz w:val="22"/>
              <w:szCs w:val="22"/>
              <w:lang w:val="en-US"/>
              <w14:ligatures w14:val="none"/>
            </w:rPr>
          </w:pPr>
          <w:hyperlink w:anchor="_Toc174862006" w:history="1">
            <w:r w:rsidR="00415B4D" w:rsidRPr="00F00296">
              <w:rPr>
                <w:rStyle w:val="Hyperlink"/>
                <w:rFonts w:ascii="Times New Roman" w:hAnsi="Times New Roman" w:cs="Times New Roman"/>
                <w:noProof/>
              </w:rPr>
              <w:t>Part B). Financial Performance Review</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_Toc174862006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5</w:t>
            </w:r>
            <w:r w:rsidR="00415B4D" w:rsidRPr="00F00296">
              <w:rPr>
                <w:rFonts w:ascii="Times New Roman" w:hAnsi="Times New Roman" w:cs="Times New Roman"/>
                <w:noProof/>
                <w:webHidden/>
              </w:rPr>
              <w:fldChar w:fldCharType="end"/>
            </w:r>
          </w:hyperlink>
        </w:p>
        <w:p w14:paraId="52B7AE8A" w14:textId="3AE486C0" w:rsidR="00415B4D" w:rsidRPr="00F00296" w:rsidRDefault="00857122">
          <w:pPr>
            <w:pStyle w:val="TOC2"/>
            <w:tabs>
              <w:tab w:val="right" w:leader="dot" w:pos="9350"/>
            </w:tabs>
            <w:rPr>
              <w:rFonts w:ascii="Times New Roman" w:hAnsi="Times New Roman" w:cs="Times New Roman"/>
              <w:noProof/>
              <w:kern w:val="0"/>
              <w:sz w:val="22"/>
              <w:szCs w:val="22"/>
              <w:lang w:val="en-US"/>
              <w14:ligatures w14:val="none"/>
            </w:rPr>
          </w:pPr>
          <w:hyperlink w:anchor="_Toc174862007" w:history="1">
            <w:r w:rsidR="00415B4D" w:rsidRPr="00F00296">
              <w:rPr>
                <w:rStyle w:val="Hyperlink"/>
                <w:rFonts w:ascii="Times New Roman" w:hAnsi="Times New Roman" w:cs="Times New Roman"/>
                <w:noProof/>
              </w:rPr>
              <w:t>Profitability Ratios:</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_Toc174862007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5</w:t>
            </w:r>
            <w:r w:rsidR="00415B4D" w:rsidRPr="00F00296">
              <w:rPr>
                <w:rFonts w:ascii="Times New Roman" w:hAnsi="Times New Roman" w:cs="Times New Roman"/>
                <w:noProof/>
                <w:webHidden/>
              </w:rPr>
              <w:fldChar w:fldCharType="end"/>
            </w:r>
          </w:hyperlink>
        </w:p>
        <w:p w14:paraId="6BAFBB32" w14:textId="65972B5A"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08" w:history="1">
            <w:r w:rsidR="00415B4D" w:rsidRPr="00F00296">
              <w:rPr>
                <w:rStyle w:val="Hyperlink"/>
                <w:rFonts w:ascii="Times New Roman" w:hAnsi="Times New Roman" w:cs="Times New Roman"/>
                <w:noProof/>
              </w:rPr>
              <w:t>GPM</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_Toc174862008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5</w:t>
            </w:r>
            <w:r w:rsidR="00415B4D" w:rsidRPr="00F00296">
              <w:rPr>
                <w:rFonts w:ascii="Times New Roman" w:hAnsi="Times New Roman" w:cs="Times New Roman"/>
                <w:noProof/>
                <w:webHidden/>
              </w:rPr>
              <w:fldChar w:fldCharType="end"/>
            </w:r>
          </w:hyperlink>
        </w:p>
        <w:p w14:paraId="4FAD6FEA" w14:textId="68F25527"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09" w:history="1">
            <w:r w:rsidR="00415B4D" w:rsidRPr="00F00296">
              <w:rPr>
                <w:rStyle w:val="Hyperlink"/>
                <w:rFonts w:ascii="Times New Roman" w:hAnsi="Times New Roman" w:cs="Times New Roman"/>
                <w:noProof/>
              </w:rPr>
              <w:t>Calculation</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_Toc174862009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5</w:t>
            </w:r>
            <w:r w:rsidR="00415B4D" w:rsidRPr="00F00296">
              <w:rPr>
                <w:rFonts w:ascii="Times New Roman" w:hAnsi="Times New Roman" w:cs="Times New Roman"/>
                <w:noProof/>
                <w:webHidden/>
              </w:rPr>
              <w:fldChar w:fldCharType="end"/>
            </w:r>
          </w:hyperlink>
        </w:p>
        <w:p w14:paraId="4BAB3C7F" w14:textId="4F85D948"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10" w:history="1">
            <w:r w:rsidR="00415B4D" w:rsidRPr="00F00296">
              <w:rPr>
                <w:rStyle w:val="Hyperlink"/>
                <w:rFonts w:ascii="Times New Roman" w:hAnsi="Times New Roman" w:cs="Times New Roman"/>
                <w:noProof/>
              </w:rPr>
              <w:t>Results</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_Toc174862010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7</w:t>
            </w:r>
            <w:r w:rsidR="00415B4D" w:rsidRPr="00F00296">
              <w:rPr>
                <w:rFonts w:ascii="Times New Roman" w:hAnsi="Times New Roman" w:cs="Times New Roman"/>
                <w:noProof/>
                <w:webHidden/>
              </w:rPr>
              <w:fldChar w:fldCharType="end"/>
            </w:r>
          </w:hyperlink>
        </w:p>
        <w:p w14:paraId="033CC1D6" w14:textId="38262571"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11" w:history="1">
            <w:r w:rsidR="00415B4D" w:rsidRPr="00F00296">
              <w:rPr>
                <w:rStyle w:val="Hyperlink"/>
                <w:rFonts w:ascii="Times New Roman" w:hAnsi="Times New Roman" w:cs="Times New Roman"/>
                <w:noProof/>
              </w:rPr>
              <w:t>NPM</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_Toc174862011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8</w:t>
            </w:r>
            <w:r w:rsidR="00415B4D" w:rsidRPr="00F00296">
              <w:rPr>
                <w:rFonts w:ascii="Times New Roman" w:hAnsi="Times New Roman" w:cs="Times New Roman"/>
                <w:noProof/>
                <w:webHidden/>
              </w:rPr>
              <w:fldChar w:fldCharType="end"/>
            </w:r>
          </w:hyperlink>
        </w:p>
        <w:p w14:paraId="4CE4DF38" w14:textId="761A5212"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12" w:history="1">
            <w:r w:rsidR="00415B4D" w:rsidRPr="00F00296">
              <w:rPr>
                <w:rStyle w:val="Hyperlink"/>
                <w:rFonts w:ascii="Times New Roman" w:hAnsi="Times New Roman" w:cs="Times New Roman"/>
                <w:noProof/>
              </w:rPr>
              <w:t>Calculations:</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_Toc174862012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8</w:t>
            </w:r>
            <w:r w:rsidR="00415B4D" w:rsidRPr="00F00296">
              <w:rPr>
                <w:rFonts w:ascii="Times New Roman" w:hAnsi="Times New Roman" w:cs="Times New Roman"/>
                <w:noProof/>
                <w:webHidden/>
              </w:rPr>
              <w:fldChar w:fldCharType="end"/>
            </w:r>
          </w:hyperlink>
        </w:p>
        <w:p w14:paraId="03545532" w14:textId="7F27285D"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13" w:history="1">
            <w:r w:rsidR="00415B4D" w:rsidRPr="00F00296">
              <w:rPr>
                <w:rStyle w:val="Hyperlink"/>
                <w:rFonts w:ascii="Times New Roman" w:hAnsi="Times New Roman" w:cs="Times New Roman"/>
                <w:noProof/>
              </w:rPr>
              <w:t>Analysis</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_Toc174862013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9</w:t>
            </w:r>
            <w:r w:rsidR="00415B4D" w:rsidRPr="00F00296">
              <w:rPr>
                <w:rFonts w:ascii="Times New Roman" w:hAnsi="Times New Roman" w:cs="Times New Roman"/>
                <w:noProof/>
                <w:webHidden/>
              </w:rPr>
              <w:fldChar w:fldCharType="end"/>
            </w:r>
          </w:hyperlink>
        </w:p>
        <w:p w14:paraId="55550E38" w14:textId="5CF7119C"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14" w:history="1">
            <w:r w:rsidR="00415B4D" w:rsidRPr="00F00296">
              <w:rPr>
                <w:rStyle w:val="Hyperlink"/>
                <w:rFonts w:ascii="Times New Roman" w:hAnsi="Times New Roman" w:cs="Times New Roman"/>
                <w:noProof/>
              </w:rPr>
              <w:t>ROE</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_Toc174862014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10</w:t>
            </w:r>
            <w:r w:rsidR="00415B4D" w:rsidRPr="00F00296">
              <w:rPr>
                <w:rFonts w:ascii="Times New Roman" w:hAnsi="Times New Roman" w:cs="Times New Roman"/>
                <w:noProof/>
                <w:webHidden/>
              </w:rPr>
              <w:fldChar w:fldCharType="end"/>
            </w:r>
          </w:hyperlink>
        </w:p>
        <w:p w14:paraId="3B0F56E2" w14:textId="5A747772"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15" w:history="1">
            <w:r w:rsidR="00415B4D" w:rsidRPr="00F00296">
              <w:rPr>
                <w:rStyle w:val="Hyperlink"/>
                <w:rFonts w:ascii="Times New Roman" w:hAnsi="Times New Roman" w:cs="Times New Roman"/>
                <w:noProof/>
              </w:rPr>
              <w:t>Calculations:</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_Toc174862015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10</w:t>
            </w:r>
            <w:r w:rsidR="00415B4D" w:rsidRPr="00F00296">
              <w:rPr>
                <w:rFonts w:ascii="Times New Roman" w:hAnsi="Times New Roman" w:cs="Times New Roman"/>
                <w:noProof/>
                <w:webHidden/>
              </w:rPr>
              <w:fldChar w:fldCharType="end"/>
            </w:r>
          </w:hyperlink>
        </w:p>
        <w:p w14:paraId="5684F318" w14:textId="2F754346"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16" w:history="1">
            <w:r w:rsidR="00415B4D" w:rsidRPr="00F00296">
              <w:rPr>
                <w:rStyle w:val="Hyperlink"/>
                <w:rFonts w:ascii="Times New Roman" w:hAnsi="Times New Roman" w:cs="Times New Roman"/>
                <w:noProof/>
              </w:rPr>
              <w:t>Analysis</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_Toc174862016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11</w:t>
            </w:r>
            <w:r w:rsidR="00415B4D" w:rsidRPr="00F00296">
              <w:rPr>
                <w:rFonts w:ascii="Times New Roman" w:hAnsi="Times New Roman" w:cs="Times New Roman"/>
                <w:noProof/>
                <w:webHidden/>
              </w:rPr>
              <w:fldChar w:fldCharType="end"/>
            </w:r>
          </w:hyperlink>
        </w:p>
        <w:p w14:paraId="456EB523" w14:textId="331CBC40"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17" w:history="1">
            <w:r w:rsidR="00415B4D" w:rsidRPr="00F00296">
              <w:rPr>
                <w:rStyle w:val="Hyperlink"/>
                <w:rFonts w:ascii="Times New Roman" w:hAnsi="Times New Roman" w:cs="Times New Roman"/>
                <w:noProof/>
              </w:rPr>
              <w:t>Summary Table</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_Toc174862017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12</w:t>
            </w:r>
            <w:r w:rsidR="00415B4D" w:rsidRPr="00F00296">
              <w:rPr>
                <w:rFonts w:ascii="Times New Roman" w:hAnsi="Times New Roman" w:cs="Times New Roman"/>
                <w:noProof/>
                <w:webHidden/>
              </w:rPr>
              <w:fldChar w:fldCharType="end"/>
            </w:r>
          </w:hyperlink>
        </w:p>
        <w:p w14:paraId="4327DC40" w14:textId="0017A274" w:rsidR="00415B4D" w:rsidRPr="00F00296" w:rsidRDefault="00857122">
          <w:pPr>
            <w:pStyle w:val="TOC2"/>
            <w:tabs>
              <w:tab w:val="right" w:leader="dot" w:pos="9350"/>
            </w:tabs>
            <w:rPr>
              <w:rFonts w:ascii="Times New Roman" w:hAnsi="Times New Roman" w:cs="Times New Roman"/>
              <w:noProof/>
              <w:kern w:val="0"/>
              <w:sz w:val="22"/>
              <w:szCs w:val="22"/>
              <w:lang w:val="en-US"/>
              <w14:ligatures w14:val="none"/>
            </w:rPr>
          </w:pPr>
          <w:hyperlink w:anchor="_Toc174862018" w:history="1">
            <w:r w:rsidR="00415B4D" w:rsidRPr="00F00296">
              <w:rPr>
                <w:rStyle w:val="Hyperlink"/>
                <w:rFonts w:ascii="Times New Roman" w:hAnsi="Times New Roman" w:cs="Times New Roman"/>
                <w:noProof/>
              </w:rPr>
              <w:t>Liquidity Ratios:</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_Toc174862018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13</w:t>
            </w:r>
            <w:r w:rsidR="00415B4D" w:rsidRPr="00F00296">
              <w:rPr>
                <w:rFonts w:ascii="Times New Roman" w:hAnsi="Times New Roman" w:cs="Times New Roman"/>
                <w:noProof/>
                <w:webHidden/>
              </w:rPr>
              <w:fldChar w:fldCharType="end"/>
            </w:r>
          </w:hyperlink>
        </w:p>
        <w:p w14:paraId="6B39699A" w14:textId="3C4156F4"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19" w:history="1">
            <w:r w:rsidR="00415B4D" w:rsidRPr="00F00296">
              <w:rPr>
                <w:rStyle w:val="Hyperlink"/>
                <w:rFonts w:ascii="Times New Roman" w:hAnsi="Times New Roman" w:cs="Times New Roman"/>
                <w:noProof/>
              </w:rPr>
              <w:t>C, Ratio</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_Toc174862019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13</w:t>
            </w:r>
            <w:r w:rsidR="00415B4D" w:rsidRPr="00F00296">
              <w:rPr>
                <w:rFonts w:ascii="Times New Roman" w:hAnsi="Times New Roman" w:cs="Times New Roman"/>
                <w:noProof/>
                <w:webHidden/>
              </w:rPr>
              <w:fldChar w:fldCharType="end"/>
            </w:r>
          </w:hyperlink>
        </w:p>
        <w:p w14:paraId="1495176F" w14:textId="08853A78"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20" w:history="1">
            <w:r w:rsidR="00415B4D" w:rsidRPr="00F00296">
              <w:rPr>
                <w:rStyle w:val="Hyperlink"/>
                <w:rFonts w:ascii="Times New Roman" w:hAnsi="Times New Roman" w:cs="Times New Roman"/>
                <w:noProof/>
              </w:rPr>
              <w:t>Calculation</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_Toc174862020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13</w:t>
            </w:r>
            <w:r w:rsidR="00415B4D" w:rsidRPr="00F00296">
              <w:rPr>
                <w:rFonts w:ascii="Times New Roman" w:hAnsi="Times New Roman" w:cs="Times New Roman"/>
                <w:noProof/>
                <w:webHidden/>
              </w:rPr>
              <w:fldChar w:fldCharType="end"/>
            </w:r>
          </w:hyperlink>
        </w:p>
        <w:p w14:paraId="36B0B2C0" w14:textId="34440833"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21" w:history="1">
            <w:r w:rsidR="00415B4D" w:rsidRPr="00F00296">
              <w:rPr>
                <w:rStyle w:val="Hyperlink"/>
                <w:rFonts w:ascii="Times New Roman" w:hAnsi="Times New Roman" w:cs="Times New Roman"/>
                <w:noProof/>
              </w:rPr>
              <w:t>Analysis</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_Toc174862021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14</w:t>
            </w:r>
            <w:r w:rsidR="00415B4D" w:rsidRPr="00F00296">
              <w:rPr>
                <w:rFonts w:ascii="Times New Roman" w:hAnsi="Times New Roman" w:cs="Times New Roman"/>
                <w:noProof/>
                <w:webHidden/>
              </w:rPr>
              <w:fldChar w:fldCharType="end"/>
            </w:r>
          </w:hyperlink>
        </w:p>
        <w:p w14:paraId="33C636C8" w14:textId="1021EC1B"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22" w:history="1">
            <w:r w:rsidR="00415B4D" w:rsidRPr="00F00296">
              <w:rPr>
                <w:rStyle w:val="Hyperlink"/>
                <w:rFonts w:ascii="Times New Roman" w:hAnsi="Times New Roman" w:cs="Times New Roman"/>
                <w:noProof/>
              </w:rPr>
              <w:t>Quick Ratio</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_Toc174862022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15</w:t>
            </w:r>
            <w:r w:rsidR="00415B4D" w:rsidRPr="00F00296">
              <w:rPr>
                <w:rFonts w:ascii="Times New Roman" w:hAnsi="Times New Roman" w:cs="Times New Roman"/>
                <w:noProof/>
                <w:webHidden/>
              </w:rPr>
              <w:fldChar w:fldCharType="end"/>
            </w:r>
          </w:hyperlink>
        </w:p>
        <w:p w14:paraId="563077FD" w14:textId="7FD38674"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23" w:history="1">
            <w:r w:rsidR="00415B4D" w:rsidRPr="00F00296">
              <w:rPr>
                <w:rStyle w:val="Hyperlink"/>
                <w:rFonts w:ascii="Times New Roman" w:hAnsi="Times New Roman" w:cs="Times New Roman"/>
                <w:noProof/>
              </w:rPr>
              <w:t>Calculation</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_Toc174862023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15</w:t>
            </w:r>
            <w:r w:rsidR="00415B4D" w:rsidRPr="00F00296">
              <w:rPr>
                <w:rFonts w:ascii="Times New Roman" w:hAnsi="Times New Roman" w:cs="Times New Roman"/>
                <w:noProof/>
                <w:webHidden/>
              </w:rPr>
              <w:fldChar w:fldCharType="end"/>
            </w:r>
          </w:hyperlink>
        </w:p>
        <w:p w14:paraId="1C77FCE1" w14:textId="1BA9CCA8"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24" w:history="1">
            <w:r w:rsidR="00415B4D" w:rsidRPr="00F00296">
              <w:rPr>
                <w:rStyle w:val="Hyperlink"/>
                <w:rFonts w:ascii="Times New Roman" w:hAnsi="Times New Roman" w:cs="Times New Roman"/>
                <w:noProof/>
              </w:rPr>
              <w:t>Analysis</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_Toc174862024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16</w:t>
            </w:r>
            <w:r w:rsidR="00415B4D" w:rsidRPr="00F00296">
              <w:rPr>
                <w:rFonts w:ascii="Times New Roman" w:hAnsi="Times New Roman" w:cs="Times New Roman"/>
                <w:noProof/>
                <w:webHidden/>
              </w:rPr>
              <w:fldChar w:fldCharType="end"/>
            </w:r>
          </w:hyperlink>
        </w:p>
        <w:p w14:paraId="422D00A8" w14:textId="0DDB9F2E"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25" w:history="1">
            <w:r w:rsidR="00415B4D" w:rsidRPr="00F00296">
              <w:rPr>
                <w:rStyle w:val="Hyperlink"/>
                <w:rFonts w:ascii="Times New Roman" w:hAnsi="Times New Roman" w:cs="Times New Roman"/>
                <w:noProof/>
              </w:rPr>
              <w:t>Summary Table</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_Toc174862025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16</w:t>
            </w:r>
            <w:r w:rsidR="00415B4D" w:rsidRPr="00F00296">
              <w:rPr>
                <w:rFonts w:ascii="Times New Roman" w:hAnsi="Times New Roman" w:cs="Times New Roman"/>
                <w:noProof/>
                <w:webHidden/>
              </w:rPr>
              <w:fldChar w:fldCharType="end"/>
            </w:r>
          </w:hyperlink>
        </w:p>
        <w:p w14:paraId="537EFA5B" w14:textId="46B5F406" w:rsidR="00415B4D" w:rsidRPr="00F00296" w:rsidRDefault="00857122">
          <w:pPr>
            <w:pStyle w:val="TOC2"/>
            <w:tabs>
              <w:tab w:val="right" w:leader="dot" w:pos="9350"/>
            </w:tabs>
            <w:rPr>
              <w:rFonts w:ascii="Times New Roman" w:hAnsi="Times New Roman" w:cs="Times New Roman"/>
              <w:noProof/>
              <w:kern w:val="0"/>
              <w:sz w:val="22"/>
              <w:szCs w:val="22"/>
              <w:lang w:val="en-US"/>
              <w14:ligatures w14:val="none"/>
            </w:rPr>
          </w:pPr>
          <w:hyperlink w:anchor="_Toc174862026" w:history="1">
            <w:r w:rsidR="00415B4D" w:rsidRPr="00F00296">
              <w:rPr>
                <w:rStyle w:val="Hyperlink"/>
                <w:rFonts w:ascii="Times New Roman" w:hAnsi="Times New Roman" w:cs="Times New Roman"/>
                <w:noProof/>
              </w:rPr>
              <w:t>Gearing Ratios:</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_Toc174862026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17</w:t>
            </w:r>
            <w:r w:rsidR="00415B4D" w:rsidRPr="00F00296">
              <w:rPr>
                <w:rFonts w:ascii="Times New Roman" w:hAnsi="Times New Roman" w:cs="Times New Roman"/>
                <w:noProof/>
                <w:webHidden/>
              </w:rPr>
              <w:fldChar w:fldCharType="end"/>
            </w:r>
          </w:hyperlink>
        </w:p>
        <w:p w14:paraId="49576048" w14:textId="75EEA505"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27" w:history="1">
            <w:r w:rsidR="00415B4D" w:rsidRPr="00F00296">
              <w:rPr>
                <w:rStyle w:val="Hyperlink"/>
                <w:rFonts w:ascii="Times New Roman" w:hAnsi="Times New Roman" w:cs="Times New Roman"/>
                <w:noProof/>
              </w:rPr>
              <w:t>D-to-E Ratio</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_Toc174862027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17</w:t>
            </w:r>
            <w:r w:rsidR="00415B4D" w:rsidRPr="00F00296">
              <w:rPr>
                <w:rFonts w:ascii="Times New Roman" w:hAnsi="Times New Roman" w:cs="Times New Roman"/>
                <w:noProof/>
                <w:webHidden/>
              </w:rPr>
              <w:fldChar w:fldCharType="end"/>
            </w:r>
          </w:hyperlink>
        </w:p>
        <w:p w14:paraId="38158139" w14:textId="2DD08BF2"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28" w:history="1">
            <w:r w:rsidR="00415B4D" w:rsidRPr="00F00296">
              <w:rPr>
                <w:rStyle w:val="Hyperlink"/>
                <w:rFonts w:ascii="Times New Roman" w:hAnsi="Times New Roman" w:cs="Times New Roman"/>
                <w:noProof/>
              </w:rPr>
              <w:t>Calculation</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_Toc174862028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18</w:t>
            </w:r>
            <w:r w:rsidR="00415B4D" w:rsidRPr="00F00296">
              <w:rPr>
                <w:rFonts w:ascii="Times New Roman" w:hAnsi="Times New Roman" w:cs="Times New Roman"/>
                <w:noProof/>
                <w:webHidden/>
              </w:rPr>
              <w:fldChar w:fldCharType="end"/>
            </w:r>
          </w:hyperlink>
        </w:p>
        <w:p w14:paraId="2C0B4418" w14:textId="7B4CD5D9"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29" w:history="1">
            <w:r w:rsidR="00415B4D" w:rsidRPr="00F00296">
              <w:rPr>
                <w:rStyle w:val="Hyperlink"/>
                <w:rFonts w:ascii="Times New Roman" w:hAnsi="Times New Roman" w:cs="Times New Roman"/>
                <w:noProof/>
              </w:rPr>
              <w:t>Analysis</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_Toc174862029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18</w:t>
            </w:r>
            <w:r w:rsidR="00415B4D" w:rsidRPr="00F00296">
              <w:rPr>
                <w:rFonts w:ascii="Times New Roman" w:hAnsi="Times New Roman" w:cs="Times New Roman"/>
                <w:noProof/>
                <w:webHidden/>
              </w:rPr>
              <w:fldChar w:fldCharType="end"/>
            </w:r>
          </w:hyperlink>
        </w:p>
        <w:p w14:paraId="47402522" w14:textId="023739D1"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30" w:history="1">
            <w:r w:rsidR="00415B4D" w:rsidRPr="00F00296">
              <w:rPr>
                <w:rStyle w:val="Hyperlink"/>
                <w:rFonts w:ascii="Times New Roman" w:hAnsi="Times New Roman" w:cs="Times New Roman"/>
                <w:noProof/>
              </w:rPr>
              <w:t>ICR</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_Toc174862030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19</w:t>
            </w:r>
            <w:r w:rsidR="00415B4D" w:rsidRPr="00F00296">
              <w:rPr>
                <w:rFonts w:ascii="Times New Roman" w:hAnsi="Times New Roman" w:cs="Times New Roman"/>
                <w:noProof/>
                <w:webHidden/>
              </w:rPr>
              <w:fldChar w:fldCharType="end"/>
            </w:r>
          </w:hyperlink>
        </w:p>
        <w:p w14:paraId="02DD7015" w14:textId="6633F1B4"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31" w:history="1">
            <w:r w:rsidR="00415B4D" w:rsidRPr="00F00296">
              <w:rPr>
                <w:rStyle w:val="Hyperlink"/>
                <w:rFonts w:ascii="Times New Roman" w:hAnsi="Times New Roman" w:cs="Times New Roman"/>
                <w:noProof/>
              </w:rPr>
              <w:t>Calculation</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_Toc174862031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19</w:t>
            </w:r>
            <w:r w:rsidR="00415B4D" w:rsidRPr="00F00296">
              <w:rPr>
                <w:rFonts w:ascii="Times New Roman" w:hAnsi="Times New Roman" w:cs="Times New Roman"/>
                <w:noProof/>
                <w:webHidden/>
              </w:rPr>
              <w:fldChar w:fldCharType="end"/>
            </w:r>
          </w:hyperlink>
        </w:p>
        <w:p w14:paraId="04218A3C" w14:textId="043DE266"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32" w:history="1">
            <w:r w:rsidR="00415B4D" w:rsidRPr="00F00296">
              <w:rPr>
                <w:rStyle w:val="Hyperlink"/>
                <w:rFonts w:ascii="Times New Roman" w:hAnsi="Times New Roman" w:cs="Times New Roman"/>
                <w:noProof/>
              </w:rPr>
              <w:t>Analysis</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_Toc174862032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20</w:t>
            </w:r>
            <w:r w:rsidR="00415B4D" w:rsidRPr="00F00296">
              <w:rPr>
                <w:rFonts w:ascii="Times New Roman" w:hAnsi="Times New Roman" w:cs="Times New Roman"/>
                <w:noProof/>
                <w:webHidden/>
              </w:rPr>
              <w:fldChar w:fldCharType="end"/>
            </w:r>
          </w:hyperlink>
        </w:p>
        <w:p w14:paraId="15C0C08C" w14:textId="5D82E163"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33" w:history="1">
            <w:r w:rsidR="00415B4D" w:rsidRPr="00F00296">
              <w:rPr>
                <w:rStyle w:val="Hyperlink"/>
                <w:rFonts w:ascii="Times New Roman" w:hAnsi="Times New Roman" w:cs="Times New Roman"/>
                <w:noProof/>
              </w:rPr>
              <w:t>Summary Table</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_Toc174862033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21</w:t>
            </w:r>
            <w:r w:rsidR="00415B4D" w:rsidRPr="00F00296">
              <w:rPr>
                <w:rFonts w:ascii="Times New Roman" w:hAnsi="Times New Roman" w:cs="Times New Roman"/>
                <w:noProof/>
                <w:webHidden/>
              </w:rPr>
              <w:fldChar w:fldCharType="end"/>
            </w:r>
          </w:hyperlink>
        </w:p>
        <w:p w14:paraId="1EA76D6E" w14:textId="27DC16C5" w:rsidR="00415B4D" w:rsidRPr="00F00296" w:rsidRDefault="00857122">
          <w:pPr>
            <w:pStyle w:val="TOC2"/>
            <w:tabs>
              <w:tab w:val="right" w:leader="dot" w:pos="9350"/>
            </w:tabs>
            <w:rPr>
              <w:rFonts w:ascii="Times New Roman" w:hAnsi="Times New Roman" w:cs="Times New Roman"/>
              <w:noProof/>
              <w:kern w:val="0"/>
              <w:sz w:val="22"/>
              <w:szCs w:val="22"/>
              <w:lang w:val="en-US"/>
              <w14:ligatures w14:val="none"/>
            </w:rPr>
          </w:pPr>
          <w:hyperlink w:anchor="_Toc174862034" w:history="1">
            <w:r w:rsidR="00415B4D" w:rsidRPr="00F00296">
              <w:rPr>
                <w:rStyle w:val="Hyperlink"/>
                <w:rFonts w:ascii="Times New Roman" w:hAnsi="Times New Roman" w:cs="Times New Roman"/>
                <w:noProof/>
              </w:rPr>
              <w:t>Efficiency Ratios:</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_Toc174862034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21</w:t>
            </w:r>
            <w:r w:rsidR="00415B4D" w:rsidRPr="00F00296">
              <w:rPr>
                <w:rFonts w:ascii="Times New Roman" w:hAnsi="Times New Roman" w:cs="Times New Roman"/>
                <w:noProof/>
                <w:webHidden/>
              </w:rPr>
              <w:fldChar w:fldCharType="end"/>
            </w:r>
          </w:hyperlink>
        </w:p>
        <w:p w14:paraId="181DD07F" w14:textId="36137396"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35" w:history="1">
            <w:r w:rsidR="00415B4D" w:rsidRPr="00F00296">
              <w:rPr>
                <w:rStyle w:val="Hyperlink"/>
                <w:rFonts w:ascii="Times New Roman" w:hAnsi="Times New Roman" w:cs="Times New Roman"/>
                <w:noProof/>
              </w:rPr>
              <w:t>ITR</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_Toc174862035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21</w:t>
            </w:r>
            <w:r w:rsidR="00415B4D" w:rsidRPr="00F00296">
              <w:rPr>
                <w:rFonts w:ascii="Times New Roman" w:hAnsi="Times New Roman" w:cs="Times New Roman"/>
                <w:noProof/>
                <w:webHidden/>
              </w:rPr>
              <w:fldChar w:fldCharType="end"/>
            </w:r>
          </w:hyperlink>
        </w:p>
        <w:p w14:paraId="4AD44475" w14:textId="73C5E18D"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36" w:history="1">
            <w:r w:rsidR="00415B4D" w:rsidRPr="00F00296">
              <w:rPr>
                <w:rStyle w:val="Hyperlink"/>
                <w:rFonts w:ascii="Times New Roman" w:hAnsi="Times New Roman" w:cs="Times New Roman"/>
                <w:noProof/>
              </w:rPr>
              <w:t>Calculation</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_Toc174862036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22</w:t>
            </w:r>
            <w:r w:rsidR="00415B4D" w:rsidRPr="00F00296">
              <w:rPr>
                <w:rFonts w:ascii="Times New Roman" w:hAnsi="Times New Roman" w:cs="Times New Roman"/>
                <w:noProof/>
                <w:webHidden/>
              </w:rPr>
              <w:fldChar w:fldCharType="end"/>
            </w:r>
          </w:hyperlink>
        </w:p>
        <w:p w14:paraId="4C53140F" w14:textId="558BCD39"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37" w:history="1">
            <w:r w:rsidR="00415B4D" w:rsidRPr="00F00296">
              <w:rPr>
                <w:rStyle w:val="Hyperlink"/>
                <w:rFonts w:ascii="Times New Roman" w:hAnsi="Times New Roman" w:cs="Times New Roman"/>
                <w:noProof/>
              </w:rPr>
              <w:t>Analysis</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_Toc174862037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22</w:t>
            </w:r>
            <w:r w:rsidR="00415B4D" w:rsidRPr="00F00296">
              <w:rPr>
                <w:rFonts w:ascii="Times New Roman" w:hAnsi="Times New Roman" w:cs="Times New Roman"/>
                <w:noProof/>
                <w:webHidden/>
              </w:rPr>
              <w:fldChar w:fldCharType="end"/>
            </w:r>
          </w:hyperlink>
        </w:p>
        <w:p w14:paraId="2A3553A0" w14:textId="41BA515F"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38" w:history="1">
            <w:r w:rsidR="00415B4D" w:rsidRPr="00F00296">
              <w:rPr>
                <w:rStyle w:val="Hyperlink"/>
                <w:rFonts w:ascii="Times New Roman" w:hAnsi="Times New Roman" w:cs="Times New Roman"/>
                <w:noProof/>
              </w:rPr>
              <w:t>Receivables Turnover Ratio</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_Toc174862038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23</w:t>
            </w:r>
            <w:r w:rsidR="00415B4D" w:rsidRPr="00F00296">
              <w:rPr>
                <w:rFonts w:ascii="Times New Roman" w:hAnsi="Times New Roman" w:cs="Times New Roman"/>
                <w:noProof/>
                <w:webHidden/>
              </w:rPr>
              <w:fldChar w:fldCharType="end"/>
            </w:r>
          </w:hyperlink>
        </w:p>
        <w:p w14:paraId="5AD5E23D" w14:textId="0FBED0A4"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39" w:history="1">
            <w:r w:rsidR="00415B4D" w:rsidRPr="00F00296">
              <w:rPr>
                <w:rStyle w:val="Hyperlink"/>
                <w:rFonts w:ascii="Times New Roman" w:hAnsi="Times New Roman" w:cs="Times New Roman"/>
                <w:noProof/>
              </w:rPr>
              <w:t>Calculation</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_Toc174862039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23</w:t>
            </w:r>
            <w:r w:rsidR="00415B4D" w:rsidRPr="00F00296">
              <w:rPr>
                <w:rFonts w:ascii="Times New Roman" w:hAnsi="Times New Roman" w:cs="Times New Roman"/>
                <w:noProof/>
                <w:webHidden/>
              </w:rPr>
              <w:fldChar w:fldCharType="end"/>
            </w:r>
          </w:hyperlink>
        </w:p>
        <w:p w14:paraId="5A551214" w14:textId="5FE04F67"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40" w:history="1">
            <w:r w:rsidR="00415B4D" w:rsidRPr="00F00296">
              <w:rPr>
                <w:rStyle w:val="Hyperlink"/>
                <w:rFonts w:ascii="Times New Roman" w:hAnsi="Times New Roman" w:cs="Times New Roman"/>
                <w:noProof/>
              </w:rPr>
              <w:t>Analysis</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_Toc174862040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24</w:t>
            </w:r>
            <w:r w:rsidR="00415B4D" w:rsidRPr="00F00296">
              <w:rPr>
                <w:rFonts w:ascii="Times New Roman" w:hAnsi="Times New Roman" w:cs="Times New Roman"/>
                <w:noProof/>
                <w:webHidden/>
              </w:rPr>
              <w:fldChar w:fldCharType="end"/>
            </w:r>
          </w:hyperlink>
        </w:p>
        <w:p w14:paraId="0CA373E4" w14:textId="051D8689" w:rsidR="00415B4D" w:rsidRPr="00F00296" w:rsidRDefault="00857122">
          <w:pPr>
            <w:pStyle w:val="TOC3"/>
            <w:tabs>
              <w:tab w:val="right" w:leader="dot" w:pos="9350"/>
            </w:tabs>
            <w:rPr>
              <w:rFonts w:ascii="Times New Roman" w:hAnsi="Times New Roman" w:cs="Times New Roman"/>
              <w:noProof/>
              <w:kern w:val="0"/>
              <w:sz w:val="22"/>
              <w:szCs w:val="22"/>
              <w:lang w:val="en-US"/>
              <w14:ligatures w14:val="none"/>
            </w:rPr>
          </w:pPr>
          <w:hyperlink w:anchor="_Toc174862041" w:history="1">
            <w:r w:rsidR="00415B4D" w:rsidRPr="00F00296">
              <w:rPr>
                <w:rStyle w:val="Hyperlink"/>
                <w:rFonts w:ascii="Times New Roman" w:hAnsi="Times New Roman" w:cs="Times New Roman"/>
                <w:noProof/>
              </w:rPr>
              <w:t>Summary Table</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_Toc174862041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25</w:t>
            </w:r>
            <w:r w:rsidR="00415B4D" w:rsidRPr="00F00296">
              <w:rPr>
                <w:rFonts w:ascii="Times New Roman" w:hAnsi="Times New Roman" w:cs="Times New Roman"/>
                <w:noProof/>
                <w:webHidden/>
              </w:rPr>
              <w:fldChar w:fldCharType="end"/>
            </w:r>
          </w:hyperlink>
        </w:p>
        <w:p w14:paraId="75A1B782" w14:textId="478E3848" w:rsidR="00415B4D" w:rsidRPr="00F00296" w:rsidRDefault="00857122">
          <w:pPr>
            <w:pStyle w:val="TOC1"/>
            <w:tabs>
              <w:tab w:val="right" w:leader="dot" w:pos="9350"/>
            </w:tabs>
            <w:rPr>
              <w:rFonts w:ascii="Times New Roman" w:hAnsi="Times New Roman" w:cs="Times New Roman"/>
              <w:noProof/>
              <w:kern w:val="0"/>
              <w:sz w:val="22"/>
              <w:szCs w:val="22"/>
              <w:lang w:val="en-US"/>
              <w14:ligatures w14:val="none"/>
            </w:rPr>
          </w:pPr>
          <w:hyperlink w:anchor="_Toc174862042" w:history="1">
            <w:r w:rsidR="00415B4D" w:rsidRPr="00F00296">
              <w:rPr>
                <w:rStyle w:val="Hyperlink"/>
                <w:rFonts w:ascii="Times New Roman" w:hAnsi="Times New Roman" w:cs="Times New Roman"/>
                <w:noProof/>
              </w:rPr>
              <w:t>Part C). Investment Appraise</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_Toc174862042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26</w:t>
            </w:r>
            <w:r w:rsidR="00415B4D" w:rsidRPr="00F00296">
              <w:rPr>
                <w:rFonts w:ascii="Times New Roman" w:hAnsi="Times New Roman" w:cs="Times New Roman"/>
                <w:noProof/>
                <w:webHidden/>
              </w:rPr>
              <w:fldChar w:fldCharType="end"/>
            </w:r>
          </w:hyperlink>
        </w:p>
        <w:p w14:paraId="5809F395" w14:textId="390E5D18" w:rsidR="00415B4D" w:rsidRPr="00F00296" w:rsidRDefault="00857122">
          <w:pPr>
            <w:pStyle w:val="TOC2"/>
            <w:tabs>
              <w:tab w:val="right" w:leader="dot" w:pos="9350"/>
            </w:tabs>
            <w:rPr>
              <w:rFonts w:ascii="Times New Roman" w:hAnsi="Times New Roman" w:cs="Times New Roman"/>
              <w:noProof/>
              <w:kern w:val="0"/>
              <w:sz w:val="22"/>
              <w:szCs w:val="22"/>
              <w:lang w:val="en-US"/>
              <w14:ligatures w14:val="none"/>
            </w:rPr>
          </w:pPr>
          <w:hyperlink w:anchor="_Toc174862043" w:history="1">
            <w:r w:rsidR="00415B4D" w:rsidRPr="00F00296">
              <w:rPr>
                <w:rStyle w:val="Hyperlink"/>
                <w:rFonts w:ascii="Times New Roman" w:hAnsi="Times New Roman" w:cs="Times New Roman"/>
                <w:noProof/>
              </w:rPr>
              <w:t>Payback Period (PBP):</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_Toc174862043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26</w:t>
            </w:r>
            <w:r w:rsidR="00415B4D" w:rsidRPr="00F00296">
              <w:rPr>
                <w:rFonts w:ascii="Times New Roman" w:hAnsi="Times New Roman" w:cs="Times New Roman"/>
                <w:noProof/>
                <w:webHidden/>
              </w:rPr>
              <w:fldChar w:fldCharType="end"/>
            </w:r>
          </w:hyperlink>
        </w:p>
        <w:p w14:paraId="10D270A0" w14:textId="02533624" w:rsidR="00415B4D" w:rsidRPr="00F00296" w:rsidRDefault="00857122">
          <w:pPr>
            <w:pStyle w:val="TOC2"/>
            <w:tabs>
              <w:tab w:val="right" w:leader="dot" w:pos="9350"/>
            </w:tabs>
            <w:rPr>
              <w:rFonts w:ascii="Times New Roman" w:hAnsi="Times New Roman" w:cs="Times New Roman"/>
              <w:noProof/>
              <w:kern w:val="0"/>
              <w:sz w:val="22"/>
              <w:szCs w:val="22"/>
              <w:lang w:val="en-US"/>
              <w14:ligatures w14:val="none"/>
            </w:rPr>
          </w:pPr>
          <w:hyperlink w:anchor="_Toc174862044" w:history="1">
            <w:r w:rsidR="00415B4D" w:rsidRPr="00F00296">
              <w:rPr>
                <w:rStyle w:val="Hyperlink"/>
                <w:rFonts w:ascii="Times New Roman" w:hAnsi="Times New Roman" w:cs="Times New Roman"/>
                <w:noProof/>
              </w:rPr>
              <w:t>Projected Cash Flows</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_Toc174862044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28</w:t>
            </w:r>
            <w:r w:rsidR="00415B4D" w:rsidRPr="00F00296">
              <w:rPr>
                <w:rFonts w:ascii="Times New Roman" w:hAnsi="Times New Roman" w:cs="Times New Roman"/>
                <w:noProof/>
                <w:webHidden/>
              </w:rPr>
              <w:fldChar w:fldCharType="end"/>
            </w:r>
          </w:hyperlink>
        </w:p>
        <w:p w14:paraId="74376743" w14:textId="79A332C0" w:rsidR="00415B4D" w:rsidRPr="00F00296" w:rsidRDefault="00857122">
          <w:pPr>
            <w:pStyle w:val="TOC2"/>
            <w:tabs>
              <w:tab w:val="right" w:leader="dot" w:pos="9350"/>
            </w:tabs>
            <w:rPr>
              <w:rFonts w:ascii="Times New Roman" w:hAnsi="Times New Roman" w:cs="Times New Roman"/>
              <w:noProof/>
              <w:kern w:val="0"/>
              <w:sz w:val="22"/>
              <w:szCs w:val="22"/>
              <w:lang w:val="en-US"/>
              <w14:ligatures w14:val="none"/>
            </w:rPr>
          </w:pPr>
          <w:hyperlink w:anchor="_Toc174862045" w:history="1">
            <w:r w:rsidR="00415B4D" w:rsidRPr="00F00296">
              <w:rPr>
                <w:rStyle w:val="Hyperlink"/>
                <w:rFonts w:ascii="Times New Roman" w:hAnsi="Times New Roman" w:cs="Times New Roman"/>
                <w:noProof/>
              </w:rPr>
              <w:t>Accounting Rate of Return (ARR):</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_Toc174862045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29</w:t>
            </w:r>
            <w:r w:rsidR="00415B4D" w:rsidRPr="00F00296">
              <w:rPr>
                <w:rFonts w:ascii="Times New Roman" w:hAnsi="Times New Roman" w:cs="Times New Roman"/>
                <w:noProof/>
                <w:webHidden/>
              </w:rPr>
              <w:fldChar w:fldCharType="end"/>
            </w:r>
          </w:hyperlink>
        </w:p>
        <w:p w14:paraId="0C817DF0" w14:textId="5E14E135" w:rsidR="00415B4D" w:rsidRPr="00F00296" w:rsidRDefault="00857122">
          <w:pPr>
            <w:pStyle w:val="TOC2"/>
            <w:tabs>
              <w:tab w:val="right" w:leader="dot" w:pos="9350"/>
            </w:tabs>
            <w:rPr>
              <w:rFonts w:ascii="Times New Roman" w:hAnsi="Times New Roman" w:cs="Times New Roman"/>
              <w:noProof/>
              <w:kern w:val="0"/>
              <w:sz w:val="22"/>
              <w:szCs w:val="22"/>
              <w:lang w:val="en-US"/>
              <w14:ligatures w14:val="none"/>
            </w:rPr>
          </w:pPr>
          <w:hyperlink w:anchor="_Toc174862046" w:history="1">
            <w:r w:rsidR="00415B4D" w:rsidRPr="00F00296">
              <w:rPr>
                <w:rStyle w:val="Hyperlink"/>
                <w:rFonts w:ascii="Times New Roman" w:hAnsi="Times New Roman" w:cs="Times New Roman"/>
                <w:noProof/>
              </w:rPr>
              <w:t>Calculation</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_Toc174862046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30</w:t>
            </w:r>
            <w:r w:rsidR="00415B4D" w:rsidRPr="00F00296">
              <w:rPr>
                <w:rFonts w:ascii="Times New Roman" w:hAnsi="Times New Roman" w:cs="Times New Roman"/>
                <w:noProof/>
                <w:webHidden/>
              </w:rPr>
              <w:fldChar w:fldCharType="end"/>
            </w:r>
          </w:hyperlink>
        </w:p>
        <w:p w14:paraId="5EC918C2" w14:textId="37679469" w:rsidR="00415B4D" w:rsidRPr="00F00296" w:rsidRDefault="00857122">
          <w:pPr>
            <w:pStyle w:val="TOC2"/>
            <w:tabs>
              <w:tab w:val="right" w:leader="dot" w:pos="9350"/>
            </w:tabs>
            <w:rPr>
              <w:rFonts w:ascii="Times New Roman" w:hAnsi="Times New Roman" w:cs="Times New Roman"/>
              <w:noProof/>
              <w:kern w:val="0"/>
              <w:sz w:val="22"/>
              <w:szCs w:val="22"/>
              <w:lang w:val="en-US"/>
              <w14:ligatures w14:val="none"/>
            </w:rPr>
          </w:pPr>
          <w:hyperlink w:anchor="_Toc174862047" w:history="1">
            <w:r w:rsidR="00415B4D" w:rsidRPr="00F00296">
              <w:rPr>
                <w:rStyle w:val="Hyperlink"/>
                <w:rFonts w:ascii="Times New Roman" w:hAnsi="Times New Roman" w:cs="Times New Roman"/>
                <w:noProof/>
              </w:rPr>
              <w:t>Net Present Value (NPV):</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_Toc174862047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31</w:t>
            </w:r>
            <w:r w:rsidR="00415B4D" w:rsidRPr="00F00296">
              <w:rPr>
                <w:rFonts w:ascii="Times New Roman" w:hAnsi="Times New Roman" w:cs="Times New Roman"/>
                <w:noProof/>
                <w:webHidden/>
              </w:rPr>
              <w:fldChar w:fldCharType="end"/>
            </w:r>
          </w:hyperlink>
        </w:p>
        <w:p w14:paraId="63C7A9A2" w14:textId="38EA9ADB" w:rsidR="00415B4D" w:rsidRPr="00F00296" w:rsidRDefault="00857122">
          <w:pPr>
            <w:pStyle w:val="TOC2"/>
            <w:tabs>
              <w:tab w:val="right" w:leader="dot" w:pos="9350"/>
            </w:tabs>
            <w:rPr>
              <w:rFonts w:ascii="Times New Roman" w:hAnsi="Times New Roman" w:cs="Times New Roman"/>
              <w:noProof/>
              <w:kern w:val="0"/>
              <w:sz w:val="22"/>
              <w:szCs w:val="22"/>
              <w:lang w:val="en-US"/>
              <w14:ligatures w14:val="none"/>
            </w:rPr>
          </w:pPr>
          <w:hyperlink w:anchor="_Toc174862048" w:history="1">
            <w:r w:rsidR="00415B4D" w:rsidRPr="00F00296">
              <w:rPr>
                <w:rStyle w:val="Hyperlink"/>
                <w:rFonts w:ascii="Times New Roman" w:hAnsi="Times New Roman" w:cs="Times New Roman"/>
                <w:noProof/>
              </w:rPr>
              <w:t>Calculation</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_Toc174862048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31</w:t>
            </w:r>
            <w:r w:rsidR="00415B4D" w:rsidRPr="00F00296">
              <w:rPr>
                <w:rFonts w:ascii="Times New Roman" w:hAnsi="Times New Roman" w:cs="Times New Roman"/>
                <w:noProof/>
                <w:webHidden/>
              </w:rPr>
              <w:fldChar w:fldCharType="end"/>
            </w:r>
          </w:hyperlink>
        </w:p>
        <w:p w14:paraId="7DC39FE9" w14:textId="1ACB3577" w:rsidR="00415B4D" w:rsidRPr="00F00296" w:rsidRDefault="00857122">
          <w:pPr>
            <w:pStyle w:val="TOC2"/>
            <w:tabs>
              <w:tab w:val="right" w:leader="dot" w:pos="9350"/>
            </w:tabs>
            <w:rPr>
              <w:rFonts w:ascii="Times New Roman" w:hAnsi="Times New Roman" w:cs="Times New Roman"/>
              <w:noProof/>
              <w:kern w:val="0"/>
              <w:sz w:val="22"/>
              <w:szCs w:val="22"/>
              <w:lang w:val="en-US"/>
              <w14:ligatures w14:val="none"/>
            </w:rPr>
          </w:pPr>
          <w:hyperlink w:anchor="_Toc174862049" w:history="1">
            <w:r w:rsidR="00415B4D" w:rsidRPr="00F00296">
              <w:rPr>
                <w:rStyle w:val="Hyperlink"/>
                <w:rFonts w:ascii="Times New Roman" w:hAnsi="Times New Roman" w:cs="Times New Roman"/>
                <w:noProof/>
              </w:rPr>
              <w:t>Summary Table</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_Toc174862049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31</w:t>
            </w:r>
            <w:r w:rsidR="00415B4D" w:rsidRPr="00F00296">
              <w:rPr>
                <w:rFonts w:ascii="Times New Roman" w:hAnsi="Times New Roman" w:cs="Times New Roman"/>
                <w:noProof/>
                <w:webHidden/>
              </w:rPr>
              <w:fldChar w:fldCharType="end"/>
            </w:r>
          </w:hyperlink>
        </w:p>
        <w:p w14:paraId="54DABBB5" w14:textId="62C813F0" w:rsidR="00415B4D" w:rsidRPr="00F00296" w:rsidRDefault="00857122">
          <w:pPr>
            <w:pStyle w:val="TOC2"/>
            <w:tabs>
              <w:tab w:val="right" w:leader="dot" w:pos="9350"/>
            </w:tabs>
            <w:rPr>
              <w:rFonts w:ascii="Times New Roman" w:hAnsi="Times New Roman" w:cs="Times New Roman"/>
              <w:noProof/>
              <w:kern w:val="0"/>
              <w:sz w:val="22"/>
              <w:szCs w:val="22"/>
              <w:lang w:val="en-US"/>
              <w14:ligatures w14:val="none"/>
            </w:rPr>
          </w:pPr>
          <w:hyperlink w:anchor="_Toc174862050" w:history="1">
            <w:r w:rsidR="00415B4D" w:rsidRPr="00F00296">
              <w:rPr>
                <w:rStyle w:val="Hyperlink"/>
                <w:rFonts w:ascii="Times New Roman" w:hAnsi="Times New Roman" w:cs="Times New Roman"/>
                <w:noProof/>
              </w:rPr>
              <w:t>Evaluation and Recommendation</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_Toc174862050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32</w:t>
            </w:r>
            <w:r w:rsidR="00415B4D" w:rsidRPr="00F00296">
              <w:rPr>
                <w:rFonts w:ascii="Times New Roman" w:hAnsi="Times New Roman" w:cs="Times New Roman"/>
                <w:noProof/>
                <w:webHidden/>
              </w:rPr>
              <w:fldChar w:fldCharType="end"/>
            </w:r>
          </w:hyperlink>
        </w:p>
        <w:p w14:paraId="665FF794" w14:textId="21FB41BD" w:rsidR="00415B4D" w:rsidRPr="00F00296" w:rsidRDefault="00857122">
          <w:pPr>
            <w:pStyle w:val="TOC2"/>
            <w:tabs>
              <w:tab w:val="right" w:leader="dot" w:pos="9350"/>
            </w:tabs>
            <w:rPr>
              <w:rFonts w:ascii="Times New Roman" w:hAnsi="Times New Roman" w:cs="Times New Roman"/>
              <w:noProof/>
              <w:kern w:val="0"/>
              <w:sz w:val="22"/>
              <w:szCs w:val="22"/>
              <w:lang w:val="en-US"/>
              <w14:ligatures w14:val="none"/>
            </w:rPr>
          </w:pPr>
          <w:hyperlink w:anchor="_Toc174862051" w:history="1">
            <w:r w:rsidR="00415B4D" w:rsidRPr="00F00296">
              <w:rPr>
                <w:rStyle w:val="Hyperlink"/>
                <w:rFonts w:ascii="Times New Roman" w:hAnsi="Times New Roman" w:cs="Times New Roman"/>
                <w:noProof/>
              </w:rPr>
              <w:t>Advantages and Shortcomings of Investment Appraisal Techniques</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_Toc174862051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33</w:t>
            </w:r>
            <w:r w:rsidR="00415B4D" w:rsidRPr="00F00296">
              <w:rPr>
                <w:rFonts w:ascii="Times New Roman" w:hAnsi="Times New Roman" w:cs="Times New Roman"/>
                <w:noProof/>
                <w:webHidden/>
              </w:rPr>
              <w:fldChar w:fldCharType="end"/>
            </w:r>
          </w:hyperlink>
        </w:p>
        <w:p w14:paraId="0AA9C707" w14:textId="6AFEE546" w:rsidR="00415B4D" w:rsidRPr="00F00296" w:rsidRDefault="00857122">
          <w:pPr>
            <w:pStyle w:val="TOC2"/>
            <w:tabs>
              <w:tab w:val="right" w:leader="dot" w:pos="9350"/>
            </w:tabs>
            <w:rPr>
              <w:rFonts w:ascii="Times New Roman" w:hAnsi="Times New Roman" w:cs="Times New Roman"/>
              <w:noProof/>
              <w:kern w:val="0"/>
              <w:sz w:val="22"/>
              <w:szCs w:val="22"/>
              <w:lang w:val="en-US"/>
              <w14:ligatures w14:val="none"/>
            </w:rPr>
          </w:pPr>
          <w:hyperlink w:anchor="_Toc174862052" w:history="1">
            <w:r w:rsidR="00415B4D" w:rsidRPr="00F00296">
              <w:rPr>
                <w:rStyle w:val="Hyperlink"/>
                <w:rFonts w:ascii="Times New Roman" w:hAnsi="Times New Roman" w:cs="Times New Roman"/>
                <w:noProof/>
              </w:rPr>
              <w:t>Non-Financial Factors</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_Toc174862052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33</w:t>
            </w:r>
            <w:r w:rsidR="00415B4D" w:rsidRPr="00F00296">
              <w:rPr>
                <w:rFonts w:ascii="Times New Roman" w:hAnsi="Times New Roman" w:cs="Times New Roman"/>
                <w:noProof/>
                <w:webHidden/>
              </w:rPr>
              <w:fldChar w:fldCharType="end"/>
            </w:r>
          </w:hyperlink>
        </w:p>
        <w:p w14:paraId="2E451E5A" w14:textId="3E6EE05A" w:rsidR="00415B4D" w:rsidRPr="00F00296" w:rsidRDefault="00857122">
          <w:pPr>
            <w:pStyle w:val="TOC2"/>
            <w:tabs>
              <w:tab w:val="right" w:leader="dot" w:pos="9350"/>
            </w:tabs>
            <w:rPr>
              <w:rFonts w:ascii="Times New Roman" w:hAnsi="Times New Roman" w:cs="Times New Roman"/>
              <w:noProof/>
              <w:kern w:val="0"/>
              <w:sz w:val="22"/>
              <w:szCs w:val="22"/>
              <w:lang w:val="en-US"/>
              <w14:ligatures w14:val="none"/>
            </w:rPr>
          </w:pPr>
          <w:hyperlink w:anchor="_Toc174862053" w:history="1">
            <w:r w:rsidR="00415B4D" w:rsidRPr="00F00296">
              <w:rPr>
                <w:rStyle w:val="Hyperlink"/>
                <w:rFonts w:ascii="Times New Roman" w:hAnsi="Times New Roman" w:cs="Times New Roman"/>
                <w:noProof/>
              </w:rPr>
              <w:t>Critical Discussion of Investment Appraisal Techniques:</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_Toc174862053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34</w:t>
            </w:r>
            <w:r w:rsidR="00415B4D" w:rsidRPr="00F00296">
              <w:rPr>
                <w:rFonts w:ascii="Times New Roman" w:hAnsi="Times New Roman" w:cs="Times New Roman"/>
                <w:noProof/>
                <w:webHidden/>
              </w:rPr>
              <w:fldChar w:fldCharType="end"/>
            </w:r>
          </w:hyperlink>
        </w:p>
        <w:p w14:paraId="2CAA2F20" w14:textId="42C84E11" w:rsidR="00415B4D" w:rsidRPr="00F00296" w:rsidRDefault="00857122">
          <w:pPr>
            <w:pStyle w:val="TOC1"/>
            <w:tabs>
              <w:tab w:val="right" w:leader="dot" w:pos="9350"/>
            </w:tabs>
            <w:rPr>
              <w:rFonts w:ascii="Times New Roman" w:hAnsi="Times New Roman" w:cs="Times New Roman"/>
              <w:noProof/>
              <w:kern w:val="0"/>
              <w:sz w:val="22"/>
              <w:szCs w:val="22"/>
              <w:lang w:val="en-US"/>
              <w14:ligatures w14:val="none"/>
            </w:rPr>
          </w:pPr>
          <w:hyperlink w:anchor="_Toc174862054" w:history="1">
            <w:r w:rsidR="00415B4D" w:rsidRPr="00F00296">
              <w:rPr>
                <w:rStyle w:val="Hyperlink"/>
                <w:rFonts w:ascii="Times New Roman" w:hAnsi="Times New Roman" w:cs="Times New Roman"/>
                <w:noProof/>
              </w:rPr>
              <w:t>Conclusion</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_Toc174862054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34</w:t>
            </w:r>
            <w:r w:rsidR="00415B4D" w:rsidRPr="00F00296">
              <w:rPr>
                <w:rFonts w:ascii="Times New Roman" w:hAnsi="Times New Roman" w:cs="Times New Roman"/>
                <w:noProof/>
                <w:webHidden/>
              </w:rPr>
              <w:fldChar w:fldCharType="end"/>
            </w:r>
          </w:hyperlink>
        </w:p>
        <w:p w14:paraId="17DE9C98" w14:textId="4613AB19" w:rsidR="00415B4D" w:rsidRPr="00F00296" w:rsidRDefault="00857122">
          <w:pPr>
            <w:pStyle w:val="TOC1"/>
            <w:tabs>
              <w:tab w:val="right" w:leader="dot" w:pos="9350"/>
            </w:tabs>
            <w:rPr>
              <w:rFonts w:ascii="Times New Roman" w:hAnsi="Times New Roman" w:cs="Times New Roman"/>
              <w:noProof/>
              <w:kern w:val="0"/>
              <w:sz w:val="22"/>
              <w:szCs w:val="22"/>
              <w:lang w:val="en-US"/>
              <w14:ligatures w14:val="none"/>
            </w:rPr>
          </w:pPr>
          <w:hyperlink w:anchor="_Toc174862055" w:history="1">
            <w:r w:rsidR="00415B4D" w:rsidRPr="00F00296">
              <w:rPr>
                <w:rStyle w:val="Hyperlink"/>
                <w:rFonts w:ascii="Times New Roman" w:hAnsi="Times New Roman" w:cs="Times New Roman"/>
                <w:noProof/>
              </w:rPr>
              <w:t>Reference</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_Toc174862055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35</w:t>
            </w:r>
            <w:r w:rsidR="00415B4D" w:rsidRPr="00F00296">
              <w:rPr>
                <w:rFonts w:ascii="Times New Roman" w:hAnsi="Times New Roman" w:cs="Times New Roman"/>
                <w:noProof/>
                <w:webHidden/>
              </w:rPr>
              <w:fldChar w:fldCharType="end"/>
            </w:r>
          </w:hyperlink>
        </w:p>
        <w:p w14:paraId="522A2F03" w14:textId="69B1F8A7" w:rsidR="00415B4D" w:rsidRPr="00F00296" w:rsidRDefault="00857122">
          <w:pPr>
            <w:pStyle w:val="TOC1"/>
            <w:tabs>
              <w:tab w:val="right" w:leader="dot" w:pos="9350"/>
            </w:tabs>
            <w:rPr>
              <w:rFonts w:ascii="Times New Roman" w:hAnsi="Times New Roman" w:cs="Times New Roman"/>
              <w:noProof/>
              <w:kern w:val="0"/>
              <w:sz w:val="22"/>
              <w:szCs w:val="22"/>
              <w:lang w:val="en-US"/>
              <w14:ligatures w14:val="none"/>
            </w:rPr>
          </w:pPr>
          <w:hyperlink w:anchor="_Toc174862056" w:history="1">
            <w:r w:rsidR="00415B4D" w:rsidRPr="00F00296">
              <w:rPr>
                <w:rStyle w:val="Hyperlink"/>
                <w:rFonts w:ascii="Times New Roman" w:hAnsi="Times New Roman" w:cs="Times New Roman"/>
                <w:noProof/>
              </w:rPr>
              <w:t>Appendix A: Five-Year Financial Data Tables</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_Toc174862056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38</w:t>
            </w:r>
            <w:r w:rsidR="00415B4D" w:rsidRPr="00F00296">
              <w:rPr>
                <w:rFonts w:ascii="Times New Roman" w:hAnsi="Times New Roman" w:cs="Times New Roman"/>
                <w:noProof/>
                <w:webHidden/>
              </w:rPr>
              <w:fldChar w:fldCharType="end"/>
            </w:r>
          </w:hyperlink>
        </w:p>
        <w:p w14:paraId="375A5DFB" w14:textId="6C3E6854" w:rsidR="00415B4D" w:rsidRPr="00F00296" w:rsidRDefault="00857122">
          <w:pPr>
            <w:pStyle w:val="TOC1"/>
            <w:tabs>
              <w:tab w:val="right" w:leader="dot" w:pos="9350"/>
            </w:tabs>
            <w:rPr>
              <w:rFonts w:ascii="Times New Roman" w:hAnsi="Times New Roman" w:cs="Times New Roman"/>
              <w:noProof/>
              <w:kern w:val="0"/>
              <w:sz w:val="22"/>
              <w:szCs w:val="22"/>
              <w:lang w:val="en-US"/>
              <w14:ligatures w14:val="none"/>
            </w:rPr>
          </w:pPr>
          <w:hyperlink w:anchor="_Toc174862057" w:history="1">
            <w:r w:rsidR="00415B4D" w:rsidRPr="00F00296">
              <w:rPr>
                <w:rStyle w:val="Hyperlink"/>
                <w:rFonts w:ascii="Times New Roman" w:hAnsi="Times New Roman" w:cs="Times New Roman"/>
                <w:noProof/>
              </w:rPr>
              <w:t>Appendix B: Ratio Calculation Tables</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_Toc174862057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39</w:t>
            </w:r>
            <w:r w:rsidR="00415B4D" w:rsidRPr="00F00296">
              <w:rPr>
                <w:rFonts w:ascii="Times New Roman" w:hAnsi="Times New Roman" w:cs="Times New Roman"/>
                <w:noProof/>
                <w:webHidden/>
              </w:rPr>
              <w:fldChar w:fldCharType="end"/>
            </w:r>
          </w:hyperlink>
        </w:p>
        <w:p w14:paraId="20D4427F" w14:textId="70CED4AD" w:rsidR="00415B4D" w:rsidRPr="00F00296" w:rsidRDefault="00857122">
          <w:pPr>
            <w:pStyle w:val="TOC1"/>
            <w:tabs>
              <w:tab w:val="right" w:leader="dot" w:pos="9350"/>
            </w:tabs>
            <w:rPr>
              <w:rFonts w:ascii="Times New Roman" w:hAnsi="Times New Roman" w:cs="Times New Roman"/>
              <w:noProof/>
              <w:kern w:val="0"/>
              <w:sz w:val="22"/>
              <w:szCs w:val="22"/>
              <w:lang w:val="en-US"/>
              <w14:ligatures w14:val="none"/>
            </w:rPr>
          </w:pPr>
          <w:hyperlink w:anchor="_Toc174862058" w:history="1">
            <w:r w:rsidR="00415B4D" w:rsidRPr="00F00296">
              <w:rPr>
                <w:rStyle w:val="Hyperlink"/>
                <w:rFonts w:ascii="Times New Roman" w:hAnsi="Times New Roman" w:cs="Times New Roman"/>
                <w:noProof/>
              </w:rPr>
              <w:t>Appendix C: Annual Report Data</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_Toc174862058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40</w:t>
            </w:r>
            <w:r w:rsidR="00415B4D" w:rsidRPr="00F00296">
              <w:rPr>
                <w:rFonts w:ascii="Times New Roman" w:hAnsi="Times New Roman" w:cs="Times New Roman"/>
                <w:noProof/>
                <w:webHidden/>
              </w:rPr>
              <w:fldChar w:fldCharType="end"/>
            </w:r>
          </w:hyperlink>
        </w:p>
        <w:p w14:paraId="0A07D396" w14:textId="765632DB" w:rsidR="00415B4D" w:rsidRPr="00F00296" w:rsidRDefault="00857122">
          <w:pPr>
            <w:pStyle w:val="TOC1"/>
            <w:tabs>
              <w:tab w:val="right" w:leader="dot" w:pos="9350"/>
            </w:tabs>
            <w:rPr>
              <w:rFonts w:ascii="Times New Roman" w:hAnsi="Times New Roman" w:cs="Times New Roman"/>
              <w:noProof/>
              <w:kern w:val="0"/>
              <w:sz w:val="22"/>
              <w:szCs w:val="22"/>
              <w:lang w:val="en-US"/>
              <w14:ligatures w14:val="none"/>
            </w:rPr>
          </w:pPr>
          <w:hyperlink w:anchor="_Toc174862059" w:history="1">
            <w:r w:rsidR="00415B4D" w:rsidRPr="00F00296">
              <w:rPr>
                <w:rStyle w:val="Hyperlink"/>
                <w:rFonts w:ascii="Times New Roman" w:hAnsi="Times New Roman" w:cs="Times New Roman"/>
                <w:noProof/>
              </w:rPr>
              <w:t>Appendix D: Income Statement, Cash Flow Statement, and Balance Sheet Tables</w:t>
            </w:r>
            <w:r w:rsidR="00415B4D" w:rsidRPr="00F00296">
              <w:rPr>
                <w:rFonts w:ascii="Times New Roman" w:hAnsi="Times New Roman" w:cs="Times New Roman"/>
                <w:noProof/>
                <w:webHidden/>
              </w:rPr>
              <w:tab/>
            </w:r>
            <w:r w:rsidR="00415B4D" w:rsidRPr="00F00296">
              <w:rPr>
                <w:rFonts w:ascii="Times New Roman" w:hAnsi="Times New Roman" w:cs="Times New Roman"/>
                <w:noProof/>
                <w:webHidden/>
              </w:rPr>
              <w:fldChar w:fldCharType="begin"/>
            </w:r>
            <w:r w:rsidR="00415B4D" w:rsidRPr="00F00296">
              <w:rPr>
                <w:rFonts w:ascii="Times New Roman" w:hAnsi="Times New Roman" w:cs="Times New Roman"/>
                <w:noProof/>
                <w:webHidden/>
              </w:rPr>
              <w:instrText xml:space="preserve"> PAGEREF _Toc174862059 \h </w:instrText>
            </w:r>
            <w:r w:rsidR="00415B4D" w:rsidRPr="00F00296">
              <w:rPr>
                <w:rFonts w:ascii="Times New Roman" w:hAnsi="Times New Roman" w:cs="Times New Roman"/>
                <w:noProof/>
                <w:webHidden/>
              </w:rPr>
            </w:r>
            <w:r w:rsidR="00415B4D" w:rsidRPr="00F00296">
              <w:rPr>
                <w:rFonts w:ascii="Times New Roman" w:hAnsi="Times New Roman" w:cs="Times New Roman"/>
                <w:noProof/>
                <w:webHidden/>
              </w:rPr>
              <w:fldChar w:fldCharType="separate"/>
            </w:r>
            <w:r w:rsidR="00415B4D" w:rsidRPr="00F00296">
              <w:rPr>
                <w:rFonts w:ascii="Times New Roman" w:hAnsi="Times New Roman" w:cs="Times New Roman"/>
                <w:noProof/>
                <w:webHidden/>
              </w:rPr>
              <w:t>40</w:t>
            </w:r>
            <w:r w:rsidR="00415B4D" w:rsidRPr="00F00296">
              <w:rPr>
                <w:rFonts w:ascii="Times New Roman" w:hAnsi="Times New Roman" w:cs="Times New Roman"/>
                <w:noProof/>
                <w:webHidden/>
              </w:rPr>
              <w:fldChar w:fldCharType="end"/>
            </w:r>
          </w:hyperlink>
        </w:p>
        <w:p w14:paraId="532CD805" w14:textId="407C14CE" w:rsidR="006E6C7D" w:rsidRPr="00F00296" w:rsidRDefault="006E6C7D" w:rsidP="006E6C7D">
          <w:pPr>
            <w:spacing w:line="360" w:lineRule="auto"/>
            <w:rPr>
              <w:rFonts w:ascii="Times New Roman" w:hAnsi="Times New Roman" w:cs="Times New Roman"/>
            </w:rPr>
          </w:pPr>
          <w:r w:rsidRPr="00F00296">
            <w:rPr>
              <w:rFonts w:ascii="Times New Roman" w:hAnsi="Times New Roman" w:cs="Times New Roman"/>
              <w:b/>
              <w:bCs/>
              <w:noProof/>
            </w:rPr>
            <w:fldChar w:fldCharType="end"/>
          </w:r>
        </w:p>
      </w:sdtContent>
    </w:sdt>
    <w:p w14:paraId="0C0AB01B" w14:textId="77777777" w:rsidR="006E6C7D" w:rsidRPr="00F00296" w:rsidRDefault="006E6C7D" w:rsidP="006E6C7D">
      <w:pPr>
        <w:spacing w:line="360" w:lineRule="auto"/>
        <w:jc w:val="both"/>
        <w:rPr>
          <w:rFonts w:ascii="Times New Roman" w:hAnsi="Times New Roman" w:cs="Times New Roman"/>
          <w:b/>
          <w:bCs/>
        </w:rPr>
      </w:pPr>
    </w:p>
    <w:p w14:paraId="306439FB" w14:textId="77777777" w:rsidR="006E6C7D" w:rsidRPr="00F00296" w:rsidRDefault="006E6C7D" w:rsidP="006E6C7D">
      <w:pPr>
        <w:spacing w:line="360" w:lineRule="auto"/>
        <w:jc w:val="both"/>
        <w:rPr>
          <w:rFonts w:ascii="Times New Roman" w:hAnsi="Times New Roman" w:cs="Times New Roman"/>
          <w:b/>
          <w:bCs/>
        </w:rPr>
      </w:pPr>
    </w:p>
    <w:p w14:paraId="7B127388" w14:textId="77777777" w:rsidR="006E6C7D" w:rsidRPr="00F00296" w:rsidRDefault="006E6C7D" w:rsidP="006E6C7D">
      <w:pPr>
        <w:spacing w:line="360" w:lineRule="auto"/>
        <w:jc w:val="both"/>
        <w:rPr>
          <w:rFonts w:ascii="Times New Roman" w:hAnsi="Times New Roman" w:cs="Times New Roman"/>
          <w:b/>
          <w:bCs/>
        </w:rPr>
      </w:pPr>
    </w:p>
    <w:p w14:paraId="426F764F" w14:textId="77777777" w:rsidR="006E6C7D" w:rsidRPr="00F00296" w:rsidRDefault="006E6C7D" w:rsidP="006E6C7D">
      <w:pPr>
        <w:spacing w:line="360" w:lineRule="auto"/>
        <w:jc w:val="both"/>
        <w:rPr>
          <w:rFonts w:ascii="Times New Roman" w:hAnsi="Times New Roman" w:cs="Times New Roman"/>
          <w:b/>
          <w:bCs/>
        </w:rPr>
      </w:pPr>
    </w:p>
    <w:p w14:paraId="2E14532C" w14:textId="427C9288" w:rsidR="00A82522" w:rsidRPr="00F00296" w:rsidRDefault="00DF7F11" w:rsidP="006E6C7D">
      <w:pPr>
        <w:pStyle w:val="Heading1"/>
        <w:spacing w:line="360" w:lineRule="auto"/>
        <w:rPr>
          <w:rFonts w:cs="Times New Roman"/>
        </w:rPr>
      </w:pPr>
      <w:bookmarkStart w:id="0" w:name="_Toc174862005"/>
      <w:r w:rsidRPr="00F00296">
        <w:rPr>
          <w:rFonts w:cs="Times New Roman"/>
        </w:rPr>
        <w:lastRenderedPageBreak/>
        <w:t>Part A). Introduction</w:t>
      </w:r>
      <w:bookmarkEnd w:id="0"/>
    </w:p>
    <w:p w14:paraId="688368A0" w14:textId="00F8426D" w:rsidR="0065289D" w:rsidRPr="00F00296" w:rsidRDefault="0065289D" w:rsidP="0065289D">
      <w:pPr>
        <w:spacing w:line="360" w:lineRule="auto"/>
        <w:jc w:val="both"/>
        <w:rPr>
          <w:rFonts w:ascii="Times New Roman" w:hAnsi="Times New Roman" w:cs="Times New Roman"/>
        </w:rPr>
      </w:pPr>
      <w:r w:rsidRPr="00F00296">
        <w:rPr>
          <w:rFonts w:ascii="Times New Roman" w:hAnsi="Times New Roman" w:cs="Times New Roman"/>
        </w:rPr>
        <w:t xml:space="preserve">The durability of the company can be put down to its insistence on great private-label, own-brand items that cover everything from clothing, home goods and food. As much as M&amp;S is associated with its polished and affordable clothing and homeware the past few years have seen food play a bigger role, now making up sizeable portion of revenue for company. Mark &amp; </w:t>
      </w:r>
      <w:r w:rsidR="006C2907" w:rsidRPr="00F00296">
        <w:rPr>
          <w:rFonts w:ascii="Times New Roman" w:hAnsi="Times New Roman" w:cs="Times New Roman"/>
        </w:rPr>
        <w:t>Spencer’s</w:t>
      </w:r>
      <w:r w:rsidRPr="00F00296">
        <w:rPr>
          <w:rFonts w:ascii="Times New Roman" w:hAnsi="Times New Roman" w:cs="Times New Roman"/>
        </w:rPr>
        <w:t xml:space="preserve"> Strategy </w:t>
      </w:r>
      <w:proofErr w:type="gramStart"/>
      <w:r w:rsidRPr="00F00296">
        <w:rPr>
          <w:rFonts w:ascii="Times New Roman" w:hAnsi="Times New Roman" w:cs="Times New Roman"/>
        </w:rPr>
        <w:t>And</w:t>
      </w:r>
      <w:proofErr w:type="gramEnd"/>
      <w:r w:rsidRPr="00F00296">
        <w:rPr>
          <w:rFonts w:ascii="Times New Roman" w:hAnsi="Times New Roman" w:cs="Times New Roman"/>
        </w:rPr>
        <w:t xml:space="preserve"> Objectives For The Future Marks and Spencer is operating with a unique business model in the retail market, which focuses on quality products accompanied by superior customer service and extensive product innovation. </w:t>
      </w:r>
    </w:p>
    <w:p w14:paraId="6C2E394F" w14:textId="573955C8" w:rsidR="00E72098" w:rsidRPr="00F00296" w:rsidRDefault="00E72098" w:rsidP="00E72098">
      <w:pPr>
        <w:spacing w:line="360" w:lineRule="auto"/>
        <w:jc w:val="center"/>
        <w:rPr>
          <w:rFonts w:ascii="Times New Roman" w:hAnsi="Times New Roman" w:cs="Times New Roman"/>
        </w:rPr>
      </w:pPr>
      <w:r w:rsidRPr="00F00296">
        <w:rPr>
          <w:rFonts w:ascii="Times New Roman" w:hAnsi="Times New Roman" w:cs="Times New Roman"/>
          <w:noProof/>
          <w:lang w:val="en-US"/>
        </w:rPr>
        <w:drawing>
          <wp:inline distT="0" distB="0" distL="0" distR="0" wp14:anchorId="22B85591" wp14:editId="14B74E08">
            <wp:extent cx="2667000" cy="1590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667000" cy="1590675"/>
                    </a:xfrm>
                    <a:prstGeom prst="rect">
                      <a:avLst/>
                    </a:prstGeom>
                  </pic:spPr>
                </pic:pic>
              </a:graphicData>
            </a:graphic>
          </wp:inline>
        </w:drawing>
      </w:r>
    </w:p>
    <w:p w14:paraId="4D9CC16E" w14:textId="7B42C7A8" w:rsidR="00E72098" w:rsidRPr="00F00296" w:rsidRDefault="00E72098" w:rsidP="00E72098">
      <w:pPr>
        <w:spacing w:line="360" w:lineRule="auto"/>
        <w:jc w:val="center"/>
        <w:rPr>
          <w:rFonts w:ascii="Times New Roman" w:hAnsi="Times New Roman" w:cs="Times New Roman"/>
        </w:rPr>
      </w:pPr>
      <w:r w:rsidRPr="00F00296">
        <w:rPr>
          <w:rFonts w:ascii="Times New Roman" w:hAnsi="Times New Roman" w:cs="Times New Roman"/>
        </w:rPr>
        <w:t>M&amp;S company (Brigham and Ehrhardt, 2016)</w:t>
      </w:r>
    </w:p>
    <w:p w14:paraId="1451B7C4" w14:textId="3A45ECF2" w:rsidR="0065289D" w:rsidRPr="00F00296" w:rsidRDefault="0065289D" w:rsidP="0065289D">
      <w:pPr>
        <w:spacing w:line="360" w:lineRule="auto"/>
        <w:jc w:val="both"/>
        <w:rPr>
          <w:rFonts w:ascii="Times New Roman" w:hAnsi="Times New Roman" w:cs="Times New Roman"/>
        </w:rPr>
      </w:pPr>
      <w:r w:rsidRPr="00F00296">
        <w:rPr>
          <w:rFonts w:ascii="Times New Roman" w:hAnsi="Times New Roman" w:cs="Times New Roman"/>
        </w:rPr>
        <w:t xml:space="preserve">Rowe's strategy involved adding more </w:t>
      </w:r>
      <w:r w:rsidR="006C2907" w:rsidRPr="00F00296">
        <w:rPr>
          <w:rFonts w:ascii="Times New Roman" w:hAnsi="Times New Roman" w:cs="Times New Roman"/>
        </w:rPr>
        <w:t>sensibly priced</w:t>
      </w:r>
      <w:r w:rsidRPr="00F00296">
        <w:rPr>
          <w:rFonts w:ascii="Times New Roman" w:hAnsi="Times New Roman" w:cs="Times New Roman"/>
        </w:rPr>
        <w:t xml:space="preserve"> product</w:t>
      </w:r>
      <w:r w:rsidR="006C2907">
        <w:rPr>
          <w:rFonts w:ascii="Times New Roman" w:hAnsi="Times New Roman" w:cs="Times New Roman"/>
        </w:rPr>
        <w:t xml:space="preserve"> </w:t>
      </w:r>
      <w:r w:rsidRPr="00F00296">
        <w:rPr>
          <w:rFonts w:ascii="Times New Roman" w:hAnsi="Times New Roman" w:cs="Times New Roman"/>
        </w:rPr>
        <w:t>"The refocus on UK retail has seen us closing stores and revamping our supermarket range, in turn making it all the better for customers. It also just wasn't selling enough clothing and home product, hence the ne</w:t>
      </w:r>
      <w:r w:rsidR="00D17C1C" w:rsidRPr="00F00296">
        <w:rPr>
          <w:rFonts w:ascii="Times New Roman" w:hAnsi="Times New Roman" w:cs="Times New Roman"/>
        </w:rPr>
        <w:t xml:space="preserve">ed for a "new approach to </w:t>
      </w:r>
      <w:r w:rsidRPr="00F00296">
        <w:rPr>
          <w:rFonts w:ascii="Times New Roman" w:hAnsi="Times New Roman" w:cs="Times New Roman"/>
        </w:rPr>
        <w:t>offer." With the help of research and development, they saw what partially-</w:t>
      </w:r>
      <w:proofErr w:type="spellStart"/>
      <w:r w:rsidRPr="00F00296">
        <w:rPr>
          <w:rFonts w:ascii="Times New Roman" w:hAnsi="Times New Roman" w:cs="Times New Roman"/>
        </w:rPr>
        <w:t>etyl</w:t>
      </w:r>
      <w:proofErr w:type="spellEnd"/>
      <w:r w:rsidRPr="00F00296">
        <w:rPr>
          <w:rFonts w:ascii="Times New Roman" w:hAnsi="Times New Roman" w:cs="Times New Roman"/>
        </w:rPr>
        <w:t xml:space="preserve"> alcohol which led to them launch various products soon after. This included attempts to update the range of clothes and make it more stylish and accessible</w:t>
      </w:r>
      <w:r w:rsidR="008666C5" w:rsidRPr="00F00296">
        <w:rPr>
          <w:rFonts w:ascii="Times New Roman" w:hAnsi="Times New Roman" w:cs="Times New Roman"/>
        </w:rPr>
        <w:t xml:space="preserve"> (Damodaran, 2012)</w:t>
      </w:r>
      <w:r w:rsidRPr="00F00296">
        <w:rPr>
          <w:rFonts w:ascii="Times New Roman" w:hAnsi="Times New Roman" w:cs="Times New Roman"/>
        </w:rPr>
        <w:t>. In addition, M&amp;S met the increasing acknowledgement of digital channels and optimisation necessary for a better online shopping experience</w:t>
      </w:r>
      <w:r w:rsidR="008666C5" w:rsidRPr="00F00296">
        <w:rPr>
          <w:rFonts w:ascii="Times New Roman" w:hAnsi="Times New Roman" w:cs="Times New Roman"/>
        </w:rPr>
        <w:t xml:space="preserve"> (</w:t>
      </w:r>
      <w:proofErr w:type="spellStart"/>
      <w:r w:rsidR="008666C5" w:rsidRPr="00F00296">
        <w:rPr>
          <w:rFonts w:ascii="Times New Roman" w:hAnsi="Times New Roman" w:cs="Times New Roman"/>
        </w:rPr>
        <w:t>Fabozzi</w:t>
      </w:r>
      <w:proofErr w:type="spellEnd"/>
      <w:r w:rsidR="008666C5" w:rsidRPr="00F00296">
        <w:rPr>
          <w:rFonts w:ascii="Times New Roman" w:hAnsi="Times New Roman" w:cs="Times New Roman"/>
        </w:rPr>
        <w:t xml:space="preserve"> and Peterson, 2012)</w:t>
      </w:r>
      <w:r w:rsidRPr="00F00296">
        <w:rPr>
          <w:rFonts w:ascii="Times New Roman" w:hAnsi="Times New Roman" w:cs="Times New Roman"/>
        </w:rPr>
        <w:t xml:space="preserve">. The company poured a lot into its e-commerce platform too, working on website functionality and customer service. Despite this work, in 2018 and 2019 M&amp;S issued profit warnings following ongoing difficulties within the clothing &amp; home divisions. </w:t>
      </w:r>
    </w:p>
    <w:p w14:paraId="333FA0DC" w14:textId="0927A0BF" w:rsidR="0065289D" w:rsidRPr="00F00296" w:rsidRDefault="00DF7F11" w:rsidP="0065289D">
      <w:pPr>
        <w:pStyle w:val="Heading1"/>
        <w:spacing w:line="360" w:lineRule="auto"/>
        <w:rPr>
          <w:rFonts w:cs="Times New Roman"/>
          <w:b w:val="0"/>
        </w:rPr>
      </w:pPr>
      <w:bookmarkStart w:id="1" w:name="_Toc174862006"/>
      <w:r w:rsidRPr="00F00296">
        <w:rPr>
          <w:rFonts w:cs="Times New Roman"/>
        </w:rPr>
        <w:lastRenderedPageBreak/>
        <w:t>Part B). Financial Performance Review</w:t>
      </w:r>
      <w:bookmarkEnd w:id="1"/>
    </w:p>
    <w:p w14:paraId="5C2EEB6D" w14:textId="5A5A4017" w:rsidR="0065289D" w:rsidRPr="00F00296" w:rsidRDefault="0065289D" w:rsidP="006E6C7D">
      <w:pPr>
        <w:spacing w:line="360" w:lineRule="auto"/>
        <w:jc w:val="both"/>
        <w:rPr>
          <w:rFonts w:ascii="Times New Roman" w:hAnsi="Times New Roman" w:cs="Times New Roman"/>
        </w:rPr>
      </w:pPr>
      <w:r w:rsidRPr="00F00296">
        <w:rPr>
          <w:rFonts w:ascii="Times New Roman" w:hAnsi="Times New Roman" w:cs="Times New Roman"/>
        </w:rPr>
        <w:t xml:space="preserve">An examination of how well M&amp;S has performed financially suggests a nuanced analysis: one indicating that the company is, by some measures at </w:t>
      </w:r>
      <w:proofErr w:type="spellStart"/>
      <w:proofErr w:type="gramStart"/>
      <w:r w:rsidRPr="00F00296">
        <w:rPr>
          <w:rFonts w:ascii="Times New Roman" w:hAnsi="Times New Roman" w:cs="Times New Roman"/>
        </w:rPr>
        <w:t>least,making</w:t>
      </w:r>
      <w:proofErr w:type="spellEnd"/>
      <w:proofErr w:type="gramEnd"/>
      <w:r w:rsidRPr="00F00296">
        <w:rPr>
          <w:rFonts w:ascii="Times New Roman" w:hAnsi="Times New Roman" w:cs="Times New Roman"/>
        </w:rPr>
        <w:t xml:space="preserve"> an improvement. Profitability, liquidity gearing and efficiency ratio will be used to access the performance of Firm A for that period.</w:t>
      </w:r>
    </w:p>
    <w:p w14:paraId="6B10BF06" w14:textId="77777777" w:rsidR="00DF7F11" w:rsidRPr="00F00296" w:rsidRDefault="00DF7F11" w:rsidP="006E6C7D">
      <w:pPr>
        <w:pStyle w:val="Heading2"/>
        <w:spacing w:line="360" w:lineRule="auto"/>
        <w:rPr>
          <w:rFonts w:cs="Times New Roman"/>
          <w:b w:val="0"/>
        </w:rPr>
      </w:pPr>
      <w:bookmarkStart w:id="2" w:name="_Toc174862007"/>
      <w:r w:rsidRPr="00F00296">
        <w:rPr>
          <w:rFonts w:cs="Times New Roman"/>
        </w:rPr>
        <w:t>Profitability Ratios:</w:t>
      </w:r>
      <w:bookmarkEnd w:id="2"/>
    </w:p>
    <w:p w14:paraId="177808F6" w14:textId="46257A45" w:rsidR="00EE0AAD" w:rsidRPr="00F00296" w:rsidRDefault="0065289D" w:rsidP="006E6C7D">
      <w:pPr>
        <w:spacing w:line="360" w:lineRule="auto"/>
        <w:jc w:val="both"/>
        <w:rPr>
          <w:rFonts w:ascii="Times New Roman" w:hAnsi="Times New Roman" w:cs="Times New Roman"/>
        </w:rPr>
      </w:pPr>
      <w:r w:rsidRPr="00F00296">
        <w:rPr>
          <w:rFonts w:ascii="Times New Roman" w:hAnsi="Times New Roman" w:cs="Times New Roman"/>
        </w:rPr>
        <w:t>M&amp;S Gross Profit Margin Performance Last 5 Years M&amp;S has faced challenges, and its Gross Profit margin However, the Net Profit Margin (which had been steady up to H119) is on a consistent downward trend, indicating both cost pressures as companies push through restructuring, and competitive dynamic in these markets. ROE (Return on Equity) has also been at historical lows, suggesting an inability for the company to earn a return out of shareholders equity</w:t>
      </w:r>
      <w:r w:rsidR="008666C5" w:rsidRPr="00F00296">
        <w:rPr>
          <w:rFonts w:ascii="Times New Roman" w:hAnsi="Times New Roman" w:cs="Times New Roman"/>
        </w:rPr>
        <w:t xml:space="preserve"> (Fraser and Ormiston, 2016)</w:t>
      </w:r>
      <w:r w:rsidRPr="00F00296">
        <w:rPr>
          <w:rFonts w:ascii="Times New Roman" w:hAnsi="Times New Roman" w:cs="Times New Roman"/>
        </w:rPr>
        <w:t>.</w:t>
      </w:r>
    </w:p>
    <w:p w14:paraId="6C6566A8" w14:textId="25F20BA4" w:rsidR="001929C4" w:rsidRPr="00F00296" w:rsidRDefault="002F4355" w:rsidP="006E6C7D">
      <w:pPr>
        <w:pStyle w:val="Heading3"/>
        <w:spacing w:line="360" w:lineRule="auto"/>
        <w:rPr>
          <w:rFonts w:ascii="Times New Roman" w:hAnsi="Times New Roman" w:cs="Times New Roman"/>
        </w:rPr>
      </w:pPr>
      <w:bookmarkStart w:id="3" w:name="_Toc174862008"/>
      <w:r w:rsidRPr="00F00296">
        <w:rPr>
          <w:rFonts w:ascii="Times New Roman" w:hAnsi="Times New Roman" w:cs="Times New Roman"/>
        </w:rPr>
        <w:t>GPM</w:t>
      </w:r>
      <w:bookmarkEnd w:id="3"/>
    </w:p>
    <w:p w14:paraId="31114709" w14:textId="6E0429D9" w:rsidR="0065289D" w:rsidRPr="00F00296" w:rsidRDefault="0065289D" w:rsidP="0065289D">
      <w:pPr>
        <w:spacing w:line="360" w:lineRule="auto"/>
        <w:jc w:val="both"/>
        <w:rPr>
          <w:rFonts w:ascii="Times New Roman" w:hAnsi="Times New Roman" w:cs="Times New Roman"/>
        </w:rPr>
      </w:pPr>
      <w:r w:rsidRPr="00F00296">
        <w:rPr>
          <w:rFonts w:ascii="Times New Roman" w:hAnsi="Times New Roman" w:cs="Times New Roman"/>
        </w:rPr>
        <w:t xml:space="preserve">The </w:t>
      </w:r>
      <w:r w:rsidR="00581EF5" w:rsidRPr="00F00296">
        <w:rPr>
          <w:rFonts w:ascii="Times New Roman" w:hAnsi="Times New Roman" w:cs="Times New Roman"/>
        </w:rPr>
        <w:t>GPM</w:t>
      </w:r>
      <w:r w:rsidRPr="00F00296">
        <w:rPr>
          <w:rFonts w:ascii="Times New Roman" w:hAnsi="Times New Roman" w:cs="Times New Roman"/>
        </w:rPr>
        <w:t xml:space="preserve"> is a measurement of the money left over after paying for costs associated with goods sold as compared to revenue generated. </w:t>
      </w:r>
    </w:p>
    <w:p w14:paraId="30C64C97" w14:textId="4588B0D3" w:rsidR="00F00296" w:rsidRPr="00F00296" w:rsidRDefault="00F00296" w:rsidP="0065289D">
      <w:pPr>
        <w:spacing w:line="360" w:lineRule="auto"/>
        <w:jc w:val="both"/>
        <w:rPr>
          <w:rFonts w:ascii="Times New Roman" w:hAnsi="Times New Roman" w:cs="Times New Roman"/>
          <w:b/>
          <w:bCs/>
        </w:rPr>
      </w:pPr>
      <w:r w:rsidRPr="00F00296">
        <w:rPr>
          <w:rFonts w:ascii="Times New Roman" w:hAnsi="Times New Roman" w:cs="Times New Roman"/>
          <w:b/>
          <w:bCs/>
        </w:rPr>
        <w:t>Formula</w:t>
      </w:r>
    </w:p>
    <w:p w14:paraId="7EDF0094" w14:textId="7A875676" w:rsidR="0065289D" w:rsidRPr="00F00296" w:rsidRDefault="0065289D" w:rsidP="0065289D">
      <w:pPr>
        <w:spacing w:line="360" w:lineRule="auto"/>
        <w:jc w:val="both"/>
        <w:rPr>
          <w:rFonts w:ascii="Times New Roman" w:hAnsi="Times New Roman" w:cs="Times New Roman"/>
        </w:rPr>
      </w:pPr>
      <w:r w:rsidRPr="00F00296">
        <w:rPr>
          <w:rFonts w:ascii="Times New Roman" w:hAnsi="Times New Roman" w:cs="Times New Roman"/>
        </w:rPr>
        <w:t>Formula:</w:t>
      </w:r>
      <w:r w:rsidR="00581EF5" w:rsidRPr="00F00296">
        <w:rPr>
          <w:rFonts w:ascii="Times New Roman" w:hAnsi="Times New Roman" w:cs="Times New Roman"/>
        </w:rPr>
        <w:t xml:space="preserve"> GPM </w:t>
      </w:r>
      <w:r w:rsidRPr="00F00296">
        <w:rPr>
          <w:rFonts w:ascii="Times New Roman" w:hAnsi="Times New Roman" w:cs="Times New Roman"/>
        </w:rPr>
        <w:t>= (Gross Profit / Revenue) ×100</w:t>
      </w:r>
    </w:p>
    <w:p w14:paraId="74AF91CA" w14:textId="76CAB417" w:rsidR="004D135C" w:rsidRPr="00F00296" w:rsidRDefault="004D135C" w:rsidP="004D135C">
      <w:pPr>
        <w:pStyle w:val="Heading3"/>
        <w:rPr>
          <w:rFonts w:ascii="Times New Roman" w:hAnsi="Times New Roman" w:cs="Times New Roman"/>
        </w:rPr>
      </w:pPr>
      <w:bookmarkStart w:id="4" w:name="_Toc174862009"/>
      <w:r w:rsidRPr="00F00296">
        <w:rPr>
          <w:rFonts w:ascii="Times New Roman" w:hAnsi="Times New Roman" w:cs="Times New Roman"/>
        </w:rPr>
        <w:t>Calculation</w:t>
      </w:r>
      <w:bookmarkEnd w:id="4"/>
      <w:r w:rsidRPr="00F00296">
        <w:rPr>
          <w:rFonts w:ascii="Times New Roman" w:hAnsi="Times New Roman" w:cs="Times New Roman"/>
        </w:rPr>
        <w:t xml:space="preserve"> </w:t>
      </w:r>
    </w:p>
    <w:p w14:paraId="59A2B42F" w14:textId="53221E8B" w:rsidR="004D135C" w:rsidRPr="00F00296" w:rsidRDefault="004D135C" w:rsidP="004D135C">
      <w:pPr>
        <w:spacing w:line="360" w:lineRule="auto"/>
        <w:jc w:val="both"/>
        <w:rPr>
          <w:rFonts w:ascii="Times New Roman" w:hAnsi="Times New Roman" w:cs="Times New Roman"/>
        </w:rPr>
      </w:pPr>
      <w:r w:rsidRPr="00F00296">
        <w:rPr>
          <w:rFonts w:ascii="Times New Roman" w:hAnsi="Times New Roman" w:cs="Times New Roman"/>
          <w:b/>
          <w:bCs/>
        </w:rPr>
        <w:t>2019</w:t>
      </w:r>
    </w:p>
    <w:p w14:paraId="51E749F6"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Revenue: £10,377 million</w:t>
      </w:r>
    </w:p>
    <w:p w14:paraId="310D48DF"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COGS: £6,474 million</w:t>
      </w:r>
    </w:p>
    <w:p w14:paraId="65B15911"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Gross Profit: £10,377 - £6,474 = £3,903 million</w:t>
      </w:r>
    </w:p>
    <w:p w14:paraId="5FB2DB02" w14:textId="0EBAD149"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Gross Profit Margin: (3,90310,</w:t>
      </w:r>
      <w:proofErr w:type="gramStart"/>
      <w:r w:rsidRPr="00F00296">
        <w:rPr>
          <w:rFonts w:ascii="Times New Roman" w:hAnsi="Times New Roman" w:cs="Times New Roman"/>
        </w:rPr>
        <w:t>377)×</w:t>
      </w:r>
      <w:proofErr w:type="gramEnd"/>
      <w:r w:rsidRPr="00F00296">
        <w:rPr>
          <w:rFonts w:ascii="Times New Roman" w:hAnsi="Times New Roman" w:cs="Times New Roman"/>
        </w:rPr>
        <w:t>100=37.6%</w:t>
      </w:r>
    </w:p>
    <w:p w14:paraId="6B88C2E7" w14:textId="5EFAA6EA" w:rsidR="004D135C" w:rsidRPr="00F00296" w:rsidRDefault="004D135C" w:rsidP="004D135C">
      <w:pPr>
        <w:spacing w:line="360" w:lineRule="auto"/>
        <w:jc w:val="both"/>
        <w:rPr>
          <w:rFonts w:ascii="Times New Roman" w:hAnsi="Times New Roman" w:cs="Times New Roman"/>
        </w:rPr>
      </w:pPr>
      <w:r w:rsidRPr="00F00296">
        <w:rPr>
          <w:rFonts w:ascii="Times New Roman" w:hAnsi="Times New Roman" w:cs="Times New Roman"/>
          <w:b/>
          <w:bCs/>
        </w:rPr>
        <w:t>2020</w:t>
      </w:r>
    </w:p>
    <w:p w14:paraId="78A9F653"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Revenue: £10,181 million</w:t>
      </w:r>
    </w:p>
    <w:p w14:paraId="2B5BC943"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COGS: £6,362 million</w:t>
      </w:r>
    </w:p>
    <w:p w14:paraId="7B44D399"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lastRenderedPageBreak/>
        <w:t>Gross Profit: £10,181 - £6,362 = £3,819 million</w:t>
      </w:r>
    </w:p>
    <w:p w14:paraId="1A7680A2" w14:textId="2FFB8C93"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Gross Profit Margin: (3,81910,</w:t>
      </w:r>
      <w:proofErr w:type="gramStart"/>
      <w:r w:rsidRPr="00F00296">
        <w:rPr>
          <w:rFonts w:ascii="Times New Roman" w:hAnsi="Times New Roman" w:cs="Times New Roman"/>
        </w:rPr>
        <w:t>181)×</w:t>
      </w:r>
      <w:proofErr w:type="gramEnd"/>
      <w:r w:rsidRPr="00F00296">
        <w:rPr>
          <w:rFonts w:ascii="Times New Roman" w:hAnsi="Times New Roman" w:cs="Times New Roman"/>
        </w:rPr>
        <w:t>100=37.5%</w:t>
      </w:r>
    </w:p>
    <w:p w14:paraId="4F3177A1" w14:textId="50E258D7" w:rsidR="004D135C" w:rsidRPr="00F00296" w:rsidRDefault="004D135C" w:rsidP="004D135C">
      <w:pPr>
        <w:spacing w:line="360" w:lineRule="auto"/>
        <w:jc w:val="both"/>
        <w:rPr>
          <w:rFonts w:ascii="Times New Roman" w:hAnsi="Times New Roman" w:cs="Times New Roman"/>
        </w:rPr>
      </w:pPr>
      <w:r w:rsidRPr="00F00296">
        <w:rPr>
          <w:rFonts w:ascii="Times New Roman" w:hAnsi="Times New Roman" w:cs="Times New Roman"/>
          <w:b/>
          <w:bCs/>
        </w:rPr>
        <w:t>2021</w:t>
      </w:r>
    </w:p>
    <w:p w14:paraId="37C73ED8"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Revenue: £9,167 million</w:t>
      </w:r>
    </w:p>
    <w:p w14:paraId="71C2B8C3"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COGS: £5,946 million</w:t>
      </w:r>
    </w:p>
    <w:p w14:paraId="5636F7F1"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Gross Profit: £9,167 - £5,946 = £3,221 million</w:t>
      </w:r>
    </w:p>
    <w:p w14:paraId="15D2AFFF" w14:textId="7B6C4089"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Gross Profit Margin: (3,2219,</w:t>
      </w:r>
      <w:proofErr w:type="gramStart"/>
      <w:r w:rsidRPr="00F00296">
        <w:rPr>
          <w:rFonts w:ascii="Times New Roman" w:hAnsi="Times New Roman" w:cs="Times New Roman"/>
        </w:rPr>
        <w:t>167)×</w:t>
      </w:r>
      <w:proofErr w:type="gramEnd"/>
      <w:r w:rsidRPr="00F00296">
        <w:rPr>
          <w:rFonts w:ascii="Times New Roman" w:hAnsi="Times New Roman" w:cs="Times New Roman"/>
        </w:rPr>
        <w:t>100=35.1%</w:t>
      </w:r>
    </w:p>
    <w:p w14:paraId="4EB67C23" w14:textId="16771749" w:rsidR="004D135C" w:rsidRPr="00F00296" w:rsidRDefault="004D135C" w:rsidP="004D135C">
      <w:pPr>
        <w:spacing w:line="360" w:lineRule="auto"/>
        <w:jc w:val="both"/>
        <w:rPr>
          <w:rFonts w:ascii="Times New Roman" w:hAnsi="Times New Roman" w:cs="Times New Roman"/>
        </w:rPr>
      </w:pPr>
      <w:r w:rsidRPr="00F00296">
        <w:rPr>
          <w:rFonts w:ascii="Times New Roman" w:hAnsi="Times New Roman" w:cs="Times New Roman"/>
          <w:b/>
          <w:bCs/>
        </w:rPr>
        <w:t>2022</w:t>
      </w:r>
    </w:p>
    <w:p w14:paraId="49C534E3"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Revenue: £9,150 million</w:t>
      </w:r>
    </w:p>
    <w:p w14:paraId="2D8AD111"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COGS: £5,860 million</w:t>
      </w:r>
    </w:p>
    <w:p w14:paraId="41834288"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Gross Profit: £9,150 - £5,860 = £3,290 million</w:t>
      </w:r>
    </w:p>
    <w:p w14:paraId="639C2E93" w14:textId="02F4CC9F"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Gross Profit Margin: (3,2909,</w:t>
      </w:r>
      <w:proofErr w:type="gramStart"/>
      <w:r w:rsidRPr="00F00296">
        <w:rPr>
          <w:rFonts w:ascii="Times New Roman" w:hAnsi="Times New Roman" w:cs="Times New Roman"/>
        </w:rPr>
        <w:t>150)×</w:t>
      </w:r>
      <w:proofErr w:type="gramEnd"/>
      <w:r w:rsidRPr="00F00296">
        <w:rPr>
          <w:rFonts w:ascii="Times New Roman" w:hAnsi="Times New Roman" w:cs="Times New Roman"/>
        </w:rPr>
        <w:t>100=36.0%</w:t>
      </w:r>
    </w:p>
    <w:p w14:paraId="79B3AF11" w14:textId="1BCB417F" w:rsidR="004D135C" w:rsidRPr="00F00296" w:rsidRDefault="004D135C" w:rsidP="004D135C">
      <w:pPr>
        <w:spacing w:line="360" w:lineRule="auto"/>
        <w:jc w:val="both"/>
        <w:rPr>
          <w:rFonts w:ascii="Times New Roman" w:hAnsi="Times New Roman" w:cs="Times New Roman"/>
        </w:rPr>
      </w:pPr>
      <w:r w:rsidRPr="00F00296">
        <w:rPr>
          <w:rFonts w:ascii="Times New Roman" w:hAnsi="Times New Roman" w:cs="Times New Roman"/>
          <w:b/>
          <w:bCs/>
        </w:rPr>
        <w:t>2023</w:t>
      </w:r>
    </w:p>
    <w:p w14:paraId="7D500E11"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Revenue: £10,334 million</w:t>
      </w:r>
    </w:p>
    <w:p w14:paraId="03389BCA"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COGS: £6,552 million</w:t>
      </w:r>
    </w:p>
    <w:p w14:paraId="2DBD405E"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Gross Profit: £10,334 - £6,552 = £3,782 million</w:t>
      </w:r>
    </w:p>
    <w:p w14:paraId="505B2187" w14:textId="247FE979"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Gross Profit Margin: (3,78210,</w:t>
      </w:r>
      <w:proofErr w:type="gramStart"/>
      <w:r w:rsidRPr="00F00296">
        <w:rPr>
          <w:rFonts w:ascii="Times New Roman" w:hAnsi="Times New Roman" w:cs="Times New Roman"/>
        </w:rPr>
        <w:t>334)×</w:t>
      </w:r>
      <w:proofErr w:type="gramEnd"/>
      <w:r w:rsidRPr="00F00296">
        <w:rPr>
          <w:rFonts w:ascii="Times New Roman" w:hAnsi="Times New Roman" w:cs="Times New Roman"/>
        </w:rPr>
        <w:t>100=36.6%</w:t>
      </w:r>
    </w:p>
    <w:p w14:paraId="1766B10B" w14:textId="7A0FE679" w:rsidR="004D135C" w:rsidRPr="00F00296" w:rsidRDefault="00BB0C09" w:rsidP="00BB0C09">
      <w:pPr>
        <w:spacing w:line="360" w:lineRule="auto"/>
        <w:jc w:val="center"/>
        <w:rPr>
          <w:rFonts w:ascii="Times New Roman" w:hAnsi="Times New Roman" w:cs="Times New Roman"/>
        </w:rPr>
      </w:pPr>
      <w:r w:rsidRPr="00F00296">
        <w:rPr>
          <w:rFonts w:ascii="Times New Roman" w:hAnsi="Times New Roman" w:cs="Times New Roman"/>
          <w:noProof/>
        </w:rPr>
        <w:drawing>
          <wp:inline distT="0" distB="0" distL="0" distR="0" wp14:anchorId="624E1E01" wp14:editId="69E1E899">
            <wp:extent cx="3190875" cy="1933575"/>
            <wp:effectExtent l="0" t="0" r="9525" b="9525"/>
            <wp:docPr id="1648744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744659" name=""/>
                    <pic:cNvPicPr/>
                  </pic:nvPicPr>
                  <pic:blipFill>
                    <a:blip r:embed="rId7"/>
                    <a:stretch>
                      <a:fillRect/>
                    </a:stretch>
                  </pic:blipFill>
                  <pic:spPr>
                    <a:xfrm>
                      <a:off x="0" y="0"/>
                      <a:ext cx="3190875" cy="1933575"/>
                    </a:xfrm>
                    <a:prstGeom prst="rect">
                      <a:avLst/>
                    </a:prstGeom>
                  </pic:spPr>
                </pic:pic>
              </a:graphicData>
            </a:graphic>
          </wp:inline>
        </w:drawing>
      </w:r>
    </w:p>
    <w:p w14:paraId="4F099E2D" w14:textId="400AE524" w:rsidR="003D05A0" w:rsidRPr="00F00296" w:rsidRDefault="003D05A0" w:rsidP="00BB0C09">
      <w:pPr>
        <w:spacing w:line="360" w:lineRule="auto"/>
        <w:jc w:val="center"/>
        <w:rPr>
          <w:rFonts w:ascii="Times New Roman" w:hAnsi="Times New Roman" w:cs="Times New Roman"/>
        </w:rPr>
      </w:pPr>
      <w:r w:rsidRPr="00F00296">
        <w:rPr>
          <w:rFonts w:ascii="Times New Roman" w:hAnsi="Times New Roman" w:cs="Times New Roman"/>
        </w:rPr>
        <w:t>Gross profit margin</w:t>
      </w:r>
    </w:p>
    <w:p w14:paraId="3B6CA228" w14:textId="17C7F75C" w:rsidR="004D135C" w:rsidRPr="00F00296" w:rsidRDefault="00C165DE" w:rsidP="006E6C7D">
      <w:pPr>
        <w:spacing w:line="360" w:lineRule="auto"/>
        <w:jc w:val="both"/>
        <w:rPr>
          <w:rFonts w:ascii="Times New Roman" w:hAnsi="Times New Roman" w:cs="Times New Roman"/>
        </w:rPr>
      </w:pPr>
      <w:r w:rsidRPr="00F00296">
        <w:rPr>
          <w:rFonts w:ascii="Times New Roman" w:hAnsi="Times New Roman" w:cs="Times New Roman"/>
        </w:rPr>
        <w:lastRenderedPageBreak/>
        <w:t xml:space="preserve"> </w:t>
      </w:r>
      <w:r w:rsidR="0065289D" w:rsidRPr="00F00296">
        <w:rPr>
          <w:rFonts w:ascii="Times New Roman" w:hAnsi="Times New Roman" w:cs="Times New Roman"/>
        </w:rPr>
        <w:t>Gross Profit: Revenue - COGS Emails received by Wired show the numbers for M&amp;S from five</w:t>
      </w:r>
      <w:r w:rsidR="00BB0C09" w:rsidRPr="00F00296">
        <w:rPr>
          <w:rFonts w:ascii="Times New Roman" w:hAnsi="Times New Roman" w:cs="Times New Roman"/>
        </w:rPr>
        <w:t xml:space="preserve"> </w:t>
      </w:r>
      <w:r w:rsidR="0065289D" w:rsidRPr="00F00296">
        <w:rPr>
          <w:rFonts w:ascii="Times New Roman" w:hAnsi="Times New Roman" w:cs="Times New Roman"/>
        </w:rPr>
        <w:t xml:space="preserve">years into </w:t>
      </w:r>
      <w:r w:rsidR="003D05A0" w:rsidRPr="00F00296">
        <w:rPr>
          <w:rFonts w:ascii="Times New Roman" w:hAnsi="Times New Roman" w:cs="Times New Roman"/>
        </w:rPr>
        <w:t>this current</w:t>
      </w:r>
      <w:r w:rsidR="0065289D" w:rsidRPr="00F00296">
        <w:rPr>
          <w:rFonts w:ascii="Times New Roman" w:hAnsi="Times New Roman" w:cs="Times New Roman"/>
        </w:rPr>
        <w:t xml:space="preserve"> year and these are those:</w:t>
      </w:r>
    </w:p>
    <w:p w14:paraId="52B0B779" w14:textId="4B84195C" w:rsidR="001929C4" w:rsidRPr="00F00296" w:rsidRDefault="003D05A0" w:rsidP="006E6C7D">
      <w:pPr>
        <w:pStyle w:val="Heading3"/>
        <w:spacing w:line="360" w:lineRule="auto"/>
        <w:rPr>
          <w:rFonts w:ascii="Times New Roman" w:hAnsi="Times New Roman" w:cs="Times New Roman"/>
        </w:rPr>
      </w:pPr>
      <w:bookmarkStart w:id="5" w:name="_Toc174862010"/>
      <w:r w:rsidRPr="00F00296">
        <w:rPr>
          <w:rFonts w:ascii="Times New Roman" w:hAnsi="Times New Roman" w:cs="Times New Roman"/>
        </w:rPr>
        <w:t>Results</w:t>
      </w:r>
      <w:bookmarkEnd w:id="5"/>
    </w:p>
    <w:p w14:paraId="4C291015" w14:textId="1727A2A1" w:rsidR="0065289D" w:rsidRPr="00F00296" w:rsidRDefault="0065289D" w:rsidP="006E6C7D">
      <w:pPr>
        <w:spacing w:line="360" w:lineRule="auto"/>
        <w:jc w:val="both"/>
        <w:rPr>
          <w:rFonts w:ascii="Times New Roman" w:hAnsi="Times New Roman" w:cs="Times New Roman"/>
        </w:rPr>
      </w:pPr>
      <w:r w:rsidRPr="00F00296">
        <w:rPr>
          <w:rFonts w:ascii="Times New Roman" w:hAnsi="Times New Roman" w:cs="Times New Roman"/>
        </w:rPr>
        <w:t xml:space="preserve">M&amp;S's Gross Profit Margin has been fairly volatile as M&amp;S implements new strategies and according to changes in the market place. The 37.6% figure for FY2019 said that M&amp;S kept 37.6 pence of every pound generated after wholesale costs called cost of goods sold has been paid out, as a </w:t>
      </w:r>
      <w:proofErr w:type="spellStart"/>
      <w:r w:rsidRPr="00F00296">
        <w:rPr>
          <w:rFonts w:ascii="Times New Roman" w:hAnsi="Times New Roman" w:cs="Times New Roman"/>
        </w:rPr>
        <w:t>perfrect</w:t>
      </w:r>
      <w:proofErr w:type="spellEnd"/>
      <w:r w:rsidRPr="00F00296">
        <w:rPr>
          <w:rFonts w:ascii="Times New Roman" w:hAnsi="Times New Roman" w:cs="Times New Roman"/>
        </w:rPr>
        <w:t xml:space="preserve"> gross margin provide the Direct and Indirect contributions sales or profits being in accordance. This dipped slightly to 37.5% in 2020, and fell further to just over 35% last year as store closures took their toll, alongside restructuring costs. Nevertheless, a modest recovery occurred in 2022 and 2023 with respective margins of 36.0% and by extension to higher-margin product mix as well </w:t>
      </w:r>
      <w:r w:rsidR="008666C5" w:rsidRPr="00F00296">
        <w:rPr>
          <w:rFonts w:ascii="Times New Roman" w:hAnsi="Times New Roman" w:cs="Times New Roman"/>
        </w:rPr>
        <w:t>(Higgins, 2015)</w:t>
      </w:r>
      <w:r w:rsidRPr="00F00296">
        <w:rPr>
          <w:rFonts w:ascii="Times New Roman" w:hAnsi="Times New Roman" w:cs="Times New Roman"/>
        </w:rPr>
        <w:t>.</w:t>
      </w:r>
    </w:p>
    <w:p w14:paraId="0F8B483C" w14:textId="593132BD" w:rsidR="00C165DE" w:rsidRPr="00F00296" w:rsidRDefault="00C165DE" w:rsidP="00C165DE">
      <w:pPr>
        <w:spacing w:line="360" w:lineRule="auto"/>
        <w:jc w:val="center"/>
        <w:rPr>
          <w:rFonts w:ascii="Times New Roman" w:hAnsi="Times New Roman" w:cs="Times New Roman"/>
        </w:rPr>
      </w:pPr>
      <w:r w:rsidRPr="00F00296">
        <w:rPr>
          <w:rFonts w:ascii="Times New Roman" w:hAnsi="Times New Roman" w:cs="Times New Roman"/>
          <w:noProof/>
        </w:rPr>
        <w:drawing>
          <wp:inline distT="0" distB="0" distL="0" distR="0" wp14:anchorId="2C569321" wp14:editId="10573022">
            <wp:extent cx="4572000" cy="2743200"/>
            <wp:effectExtent l="0" t="0" r="0" b="0"/>
            <wp:docPr id="1768118027" name="Chart 1">
              <a:extLst xmlns:a="http://schemas.openxmlformats.org/drawingml/2006/main">
                <a:ext uri="{FF2B5EF4-FFF2-40B4-BE49-F238E27FC236}">
                  <a16:creationId xmlns:a16="http://schemas.microsoft.com/office/drawing/2014/main" id="{2FD87865-289E-107C-8F0C-F535E8B4A1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F746410" w14:textId="7F302339" w:rsidR="003D05A0" w:rsidRPr="00F00296" w:rsidRDefault="003D05A0" w:rsidP="00C165DE">
      <w:pPr>
        <w:spacing w:line="360" w:lineRule="auto"/>
        <w:jc w:val="center"/>
        <w:rPr>
          <w:rFonts w:ascii="Times New Roman" w:hAnsi="Times New Roman" w:cs="Times New Roman"/>
          <w:b/>
        </w:rPr>
      </w:pPr>
      <w:r w:rsidRPr="00F00296">
        <w:rPr>
          <w:rFonts w:ascii="Times New Roman" w:hAnsi="Times New Roman" w:cs="Times New Roman"/>
          <w:b/>
        </w:rPr>
        <w:t>GPM graph</w:t>
      </w:r>
    </w:p>
    <w:p w14:paraId="7DC2682C" w14:textId="1DE0C963" w:rsidR="001929C4" w:rsidRPr="00F00296" w:rsidRDefault="002F4355" w:rsidP="006E6C7D">
      <w:pPr>
        <w:pStyle w:val="Heading3"/>
        <w:spacing w:line="360" w:lineRule="auto"/>
        <w:rPr>
          <w:rFonts w:ascii="Times New Roman" w:hAnsi="Times New Roman" w:cs="Times New Roman"/>
        </w:rPr>
      </w:pPr>
      <w:bookmarkStart w:id="6" w:name="_Toc174862011"/>
      <w:r w:rsidRPr="00F00296">
        <w:rPr>
          <w:rFonts w:ascii="Times New Roman" w:hAnsi="Times New Roman" w:cs="Times New Roman"/>
        </w:rPr>
        <w:t>NPM</w:t>
      </w:r>
      <w:bookmarkEnd w:id="6"/>
    </w:p>
    <w:p w14:paraId="64F22B9C" w14:textId="77777777" w:rsidR="00F00296" w:rsidRPr="00F00296" w:rsidRDefault="00F00296" w:rsidP="00B170F6">
      <w:pPr>
        <w:spacing w:line="360" w:lineRule="auto"/>
        <w:jc w:val="both"/>
        <w:rPr>
          <w:rFonts w:ascii="Times New Roman" w:hAnsi="Times New Roman" w:cs="Times New Roman"/>
        </w:rPr>
      </w:pPr>
    </w:p>
    <w:p w14:paraId="4E36CF7D" w14:textId="27F45F21" w:rsidR="00B170F6" w:rsidRPr="00F00296" w:rsidRDefault="00B170F6" w:rsidP="00B170F6">
      <w:pPr>
        <w:spacing w:line="360" w:lineRule="auto"/>
        <w:jc w:val="both"/>
        <w:rPr>
          <w:rFonts w:ascii="Times New Roman" w:hAnsi="Times New Roman" w:cs="Times New Roman"/>
        </w:rPr>
      </w:pPr>
      <w:r w:rsidRPr="00F00296">
        <w:rPr>
          <w:rFonts w:ascii="Times New Roman" w:hAnsi="Times New Roman" w:cs="Times New Roman"/>
        </w:rPr>
        <w:t>Net Profit Margin=</w:t>
      </w:r>
      <w:r w:rsidR="00DD0CAB" w:rsidRPr="00F00296">
        <w:rPr>
          <w:rFonts w:ascii="Times New Roman" w:hAnsi="Times New Roman" w:cs="Times New Roman"/>
        </w:rPr>
        <w:t xml:space="preserve"> </w:t>
      </w:r>
      <w:r w:rsidRPr="00F00296">
        <w:rPr>
          <w:rFonts w:ascii="Times New Roman" w:hAnsi="Times New Roman" w:cs="Times New Roman"/>
        </w:rPr>
        <w:t xml:space="preserve">(Net Profit / </w:t>
      </w:r>
      <w:proofErr w:type="gramStart"/>
      <w:r w:rsidRPr="00F00296">
        <w:rPr>
          <w:rFonts w:ascii="Times New Roman" w:hAnsi="Times New Roman" w:cs="Times New Roman"/>
        </w:rPr>
        <w:t>Revenue</w:t>
      </w:r>
      <w:r w:rsidR="00DD0CAB" w:rsidRPr="00F00296">
        <w:rPr>
          <w:rFonts w:ascii="Times New Roman" w:hAnsi="Times New Roman" w:cs="Times New Roman"/>
        </w:rPr>
        <w:t xml:space="preserve"> </w:t>
      </w:r>
      <w:r w:rsidRPr="00F00296">
        <w:rPr>
          <w:rFonts w:ascii="Times New Roman" w:hAnsi="Times New Roman" w:cs="Times New Roman"/>
        </w:rPr>
        <w:t>)</w:t>
      </w:r>
      <w:proofErr w:type="gramEnd"/>
      <w:r w:rsidRPr="00F00296">
        <w:rPr>
          <w:rFonts w:ascii="Times New Roman" w:hAnsi="Times New Roman" w:cs="Times New Roman"/>
        </w:rPr>
        <w:t>×100 %</w:t>
      </w:r>
    </w:p>
    <w:p w14:paraId="397D3D95" w14:textId="77777777" w:rsidR="004D135C" w:rsidRPr="00F00296" w:rsidRDefault="004D135C" w:rsidP="004D135C">
      <w:pPr>
        <w:pStyle w:val="Heading3"/>
        <w:rPr>
          <w:rFonts w:ascii="Times New Roman" w:hAnsi="Times New Roman" w:cs="Times New Roman"/>
        </w:rPr>
      </w:pPr>
      <w:bookmarkStart w:id="7" w:name="_Toc174862012"/>
      <w:r w:rsidRPr="00F00296">
        <w:rPr>
          <w:rFonts w:ascii="Times New Roman" w:hAnsi="Times New Roman" w:cs="Times New Roman"/>
        </w:rPr>
        <w:t>Calculations:</w:t>
      </w:r>
      <w:bookmarkEnd w:id="7"/>
    </w:p>
    <w:p w14:paraId="14B05459" w14:textId="77777777" w:rsidR="004D135C" w:rsidRPr="00F00296" w:rsidRDefault="004D135C" w:rsidP="004D135C">
      <w:pPr>
        <w:spacing w:line="360" w:lineRule="auto"/>
        <w:jc w:val="both"/>
        <w:rPr>
          <w:rFonts w:ascii="Times New Roman" w:hAnsi="Times New Roman" w:cs="Times New Roman"/>
        </w:rPr>
      </w:pPr>
      <w:r w:rsidRPr="00F00296">
        <w:rPr>
          <w:rFonts w:ascii="Times New Roman" w:hAnsi="Times New Roman" w:cs="Times New Roman"/>
          <w:b/>
          <w:bCs/>
        </w:rPr>
        <w:t>2019</w:t>
      </w:r>
      <w:r w:rsidRPr="00F00296">
        <w:rPr>
          <w:rFonts w:ascii="Times New Roman" w:hAnsi="Times New Roman" w:cs="Times New Roman"/>
        </w:rPr>
        <w:t>:</w:t>
      </w:r>
    </w:p>
    <w:p w14:paraId="4BA09E4B"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lastRenderedPageBreak/>
        <w:t>Revenue: £10,377 million</w:t>
      </w:r>
    </w:p>
    <w:p w14:paraId="6BE5736B"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Net Profit: £84 million</w:t>
      </w:r>
    </w:p>
    <w:p w14:paraId="5C89B758" w14:textId="16F3E5D1"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Net Profit Margin: (8410,</w:t>
      </w:r>
      <w:proofErr w:type="gramStart"/>
      <w:r w:rsidRPr="00F00296">
        <w:rPr>
          <w:rFonts w:ascii="Times New Roman" w:hAnsi="Times New Roman" w:cs="Times New Roman"/>
        </w:rPr>
        <w:t>377)×</w:t>
      </w:r>
      <w:proofErr w:type="gramEnd"/>
      <w:r w:rsidRPr="00F00296">
        <w:rPr>
          <w:rFonts w:ascii="Times New Roman" w:hAnsi="Times New Roman" w:cs="Times New Roman"/>
        </w:rPr>
        <w:t>100=0.81%</w:t>
      </w:r>
    </w:p>
    <w:p w14:paraId="2A4BA554" w14:textId="77777777" w:rsidR="004D135C" w:rsidRPr="00F00296" w:rsidRDefault="004D135C" w:rsidP="004D135C">
      <w:pPr>
        <w:spacing w:line="360" w:lineRule="auto"/>
        <w:jc w:val="both"/>
        <w:rPr>
          <w:rFonts w:ascii="Times New Roman" w:hAnsi="Times New Roman" w:cs="Times New Roman"/>
        </w:rPr>
      </w:pPr>
      <w:r w:rsidRPr="00F00296">
        <w:rPr>
          <w:rFonts w:ascii="Times New Roman" w:hAnsi="Times New Roman" w:cs="Times New Roman"/>
          <w:b/>
          <w:bCs/>
        </w:rPr>
        <w:t>2020</w:t>
      </w:r>
      <w:r w:rsidRPr="00F00296">
        <w:rPr>
          <w:rFonts w:ascii="Times New Roman" w:hAnsi="Times New Roman" w:cs="Times New Roman"/>
        </w:rPr>
        <w:t>:</w:t>
      </w:r>
    </w:p>
    <w:p w14:paraId="331252BF"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Revenue: £10,181 million</w:t>
      </w:r>
    </w:p>
    <w:p w14:paraId="60FD2AF3"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Net Profit: £27 million</w:t>
      </w:r>
    </w:p>
    <w:p w14:paraId="6B6583A4" w14:textId="5838D298"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Net Profit Margin: (2710,</w:t>
      </w:r>
      <w:proofErr w:type="gramStart"/>
      <w:r w:rsidRPr="00F00296">
        <w:rPr>
          <w:rFonts w:ascii="Times New Roman" w:hAnsi="Times New Roman" w:cs="Times New Roman"/>
        </w:rPr>
        <w:t>181)×</w:t>
      </w:r>
      <w:proofErr w:type="gramEnd"/>
      <w:r w:rsidRPr="00F00296">
        <w:rPr>
          <w:rFonts w:ascii="Times New Roman" w:hAnsi="Times New Roman" w:cs="Times New Roman"/>
        </w:rPr>
        <w:t>100=0.27%</w:t>
      </w:r>
    </w:p>
    <w:p w14:paraId="307822D7" w14:textId="77777777" w:rsidR="004D135C" w:rsidRPr="00F00296" w:rsidRDefault="004D135C" w:rsidP="004D135C">
      <w:pPr>
        <w:spacing w:line="360" w:lineRule="auto"/>
        <w:jc w:val="both"/>
        <w:rPr>
          <w:rFonts w:ascii="Times New Roman" w:hAnsi="Times New Roman" w:cs="Times New Roman"/>
        </w:rPr>
      </w:pPr>
      <w:r w:rsidRPr="00F00296">
        <w:rPr>
          <w:rFonts w:ascii="Times New Roman" w:hAnsi="Times New Roman" w:cs="Times New Roman"/>
          <w:b/>
          <w:bCs/>
        </w:rPr>
        <w:t>2021</w:t>
      </w:r>
      <w:r w:rsidRPr="00F00296">
        <w:rPr>
          <w:rFonts w:ascii="Times New Roman" w:hAnsi="Times New Roman" w:cs="Times New Roman"/>
        </w:rPr>
        <w:t>:</w:t>
      </w:r>
    </w:p>
    <w:p w14:paraId="0BDD5A1D"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Revenue: £9,167 million</w:t>
      </w:r>
    </w:p>
    <w:p w14:paraId="45D6D35E"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Net Profit: -£209 million</w:t>
      </w:r>
    </w:p>
    <w:p w14:paraId="5D7785E7" w14:textId="10D8621E"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Net Profit Margin: (−2099,</w:t>
      </w:r>
      <w:proofErr w:type="gramStart"/>
      <w:r w:rsidRPr="00F00296">
        <w:rPr>
          <w:rFonts w:ascii="Times New Roman" w:hAnsi="Times New Roman" w:cs="Times New Roman"/>
        </w:rPr>
        <w:t>167)×</w:t>
      </w:r>
      <w:proofErr w:type="gramEnd"/>
      <w:r w:rsidRPr="00F00296">
        <w:rPr>
          <w:rFonts w:ascii="Times New Roman" w:hAnsi="Times New Roman" w:cs="Times New Roman"/>
        </w:rPr>
        <w:t>100=−2.28%</w:t>
      </w:r>
    </w:p>
    <w:p w14:paraId="4D58D711" w14:textId="77777777" w:rsidR="004D135C" w:rsidRPr="00F00296" w:rsidRDefault="004D135C" w:rsidP="004D135C">
      <w:pPr>
        <w:spacing w:line="360" w:lineRule="auto"/>
        <w:jc w:val="both"/>
        <w:rPr>
          <w:rFonts w:ascii="Times New Roman" w:hAnsi="Times New Roman" w:cs="Times New Roman"/>
        </w:rPr>
      </w:pPr>
      <w:r w:rsidRPr="00F00296">
        <w:rPr>
          <w:rFonts w:ascii="Times New Roman" w:hAnsi="Times New Roman" w:cs="Times New Roman"/>
          <w:b/>
          <w:bCs/>
        </w:rPr>
        <w:t>2022</w:t>
      </w:r>
      <w:r w:rsidRPr="00F00296">
        <w:rPr>
          <w:rFonts w:ascii="Times New Roman" w:hAnsi="Times New Roman" w:cs="Times New Roman"/>
        </w:rPr>
        <w:t>:</w:t>
      </w:r>
    </w:p>
    <w:p w14:paraId="643F9372"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Revenue: £9,150 million</w:t>
      </w:r>
    </w:p>
    <w:p w14:paraId="7608684F"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Net Profit: £27 million</w:t>
      </w:r>
    </w:p>
    <w:p w14:paraId="3B968E1E" w14:textId="2D2389C1"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Net Profit Margin: (</w:t>
      </w:r>
      <w:proofErr w:type="gramStart"/>
      <w:r w:rsidRPr="00F00296">
        <w:rPr>
          <w:rFonts w:ascii="Times New Roman" w:hAnsi="Times New Roman" w:cs="Times New Roman"/>
        </w:rPr>
        <w:t>279,150)×</w:t>
      </w:r>
      <w:proofErr w:type="gramEnd"/>
      <w:r w:rsidRPr="00F00296">
        <w:rPr>
          <w:rFonts w:ascii="Times New Roman" w:hAnsi="Times New Roman" w:cs="Times New Roman"/>
        </w:rPr>
        <w:t>100=0.30%</w:t>
      </w:r>
    </w:p>
    <w:p w14:paraId="19D6F2A3" w14:textId="77777777" w:rsidR="004D135C" w:rsidRPr="00F00296" w:rsidRDefault="004D135C" w:rsidP="004D135C">
      <w:pPr>
        <w:spacing w:line="360" w:lineRule="auto"/>
        <w:jc w:val="both"/>
        <w:rPr>
          <w:rFonts w:ascii="Times New Roman" w:hAnsi="Times New Roman" w:cs="Times New Roman"/>
        </w:rPr>
      </w:pPr>
      <w:r w:rsidRPr="00F00296">
        <w:rPr>
          <w:rFonts w:ascii="Times New Roman" w:hAnsi="Times New Roman" w:cs="Times New Roman"/>
          <w:b/>
          <w:bCs/>
        </w:rPr>
        <w:t>2023</w:t>
      </w:r>
      <w:r w:rsidRPr="00F00296">
        <w:rPr>
          <w:rFonts w:ascii="Times New Roman" w:hAnsi="Times New Roman" w:cs="Times New Roman"/>
        </w:rPr>
        <w:t>:</w:t>
      </w:r>
    </w:p>
    <w:p w14:paraId="6627139B"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Revenue: £10,334 million</w:t>
      </w:r>
    </w:p>
    <w:p w14:paraId="04280A96"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Net Profit: £65 million</w:t>
      </w:r>
    </w:p>
    <w:p w14:paraId="15C81FEB" w14:textId="5A6963D9" w:rsidR="004D135C" w:rsidRPr="00F00296" w:rsidRDefault="004D135C" w:rsidP="00B170F6">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Net Profit Margin: (6510,</w:t>
      </w:r>
      <w:proofErr w:type="gramStart"/>
      <w:r w:rsidRPr="00F00296">
        <w:rPr>
          <w:rFonts w:ascii="Times New Roman" w:hAnsi="Times New Roman" w:cs="Times New Roman"/>
        </w:rPr>
        <w:t>334)×</w:t>
      </w:r>
      <w:proofErr w:type="gramEnd"/>
      <w:r w:rsidRPr="00F00296">
        <w:rPr>
          <w:rFonts w:ascii="Times New Roman" w:hAnsi="Times New Roman" w:cs="Times New Roman"/>
        </w:rPr>
        <w:t>100=0.63%</w:t>
      </w:r>
    </w:p>
    <w:p w14:paraId="56E8B196" w14:textId="74AEC642" w:rsidR="00B170F6" w:rsidRPr="00F00296" w:rsidRDefault="00B170F6" w:rsidP="006E6C7D">
      <w:pPr>
        <w:spacing w:line="360" w:lineRule="auto"/>
        <w:jc w:val="both"/>
        <w:rPr>
          <w:rFonts w:ascii="Times New Roman" w:hAnsi="Times New Roman" w:cs="Times New Roman"/>
        </w:rPr>
      </w:pPr>
      <w:r w:rsidRPr="00F00296">
        <w:rPr>
          <w:rFonts w:ascii="Times New Roman" w:hAnsi="Times New Roman" w:cs="Times New Roman"/>
        </w:rPr>
        <w:t>Here is an analysis of M&amp;S over the past five years.</w:t>
      </w:r>
    </w:p>
    <w:p w14:paraId="52A3F736" w14:textId="74C43372" w:rsidR="00BB0C09" w:rsidRPr="00F00296" w:rsidRDefault="00BB0C09" w:rsidP="00BB0C09">
      <w:pPr>
        <w:spacing w:line="360" w:lineRule="auto"/>
        <w:jc w:val="center"/>
        <w:rPr>
          <w:rFonts w:ascii="Times New Roman" w:hAnsi="Times New Roman" w:cs="Times New Roman"/>
        </w:rPr>
      </w:pPr>
      <w:r w:rsidRPr="00F00296">
        <w:rPr>
          <w:rFonts w:ascii="Times New Roman" w:hAnsi="Times New Roman" w:cs="Times New Roman"/>
          <w:noProof/>
        </w:rPr>
        <w:lastRenderedPageBreak/>
        <w:drawing>
          <wp:inline distT="0" distB="0" distL="0" distR="0" wp14:anchorId="6E138297" wp14:editId="7D85E000">
            <wp:extent cx="2647950" cy="2038350"/>
            <wp:effectExtent l="0" t="0" r="0" b="0"/>
            <wp:docPr id="892909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909280" name=""/>
                    <pic:cNvPicPr/>
                  </pic:nvPicPr>
                  <pic:blipFill>
                    <a:blip r:embed="rId9"/>
                    <a:stretch>
                      <a:fillRect/>
                    </a:stretch>
                  </pic:blipFill>
                  <pic:spPr>
                    <a:xfrm>
                      <a:off x="0" y="0"/>
                      <a:ext cx="2647950" cy="2038350"/>
                    </a:xfrm>
                    <a:prstGeom prst="rect">
                      <a:avLst/>
                    </a:prstGeom>
                  </pic:spPr>
                </pic:pic>
              </a:graphicData>
            </a:graphic>
          </wp:inline>
        </w:drawing>
      </w:r>
    </w:p>
    <w:p w14:paraId="25F6926E" w14:textId="3B1BE3A7" w:rsidR="003D05A0" w:rsidRPr="00F00296" w:rsidRDefault="003D05A0" w:rsidP="00BB0C09">
      <w:pPr>
        <w:spacing w:line="360" w:lineRule="auto"/>
        <w:jc w:val="center"/>
        <w:rPr>
          <w:rFonts w:ascii="Times New Roman" w:hAnsi="Times New Roman" w:cs="Times New Roman"/>
          <w:b/>
        </w:rPr>
      </w:pPr>
      <w:r w:rsidRPr="00F00296">
        <w:rPr>
          <w:rFonts w:ascii="Times New Roman" w:hAnsi="Times New Roman" w:cs="Times New Roman"/>
          <w:b/>
        </w:rPr>
        <w:t>Net profit margin</w:t>
      </w:r>
    </w:p>
    <w:p w14:paraId="6E5044C8" w14:textId="77777777" w:rsidR="001929C4" w:rsidRPr="00F00296" w:rsidRDefault="001929C4" w:rsidP="006E6C7D">
      <w:pPr>
        <w:pStyle w:val="Heading3"/>
        <w:spacing w:line="360" w:lineRule="auto"/>
        <w:rPr>
          <w:rFonts w:ascii="Times New Roman" w:hAnsi="Times New Roman" w:cs="Times New Roman"/>
        </w:rPr>
      </w:pPr>
      <w:bookmarkStart w:id="8" w:name="_Toc174862013"/>
      <w:r w:rsidRPr="00F00296">
        <w:rPr>
          <w:rFonts w:ascii="Times New Roman" w:hAnsi="Times New Roman" w:cs="Times New Roman"/>
        </w:rPr>
        <w:t>Analysis</w:t>
      </w:r>
      <w:bookmarkEnd w:id="8"/>
    </w:p>
    <w:p w14:paraId="65E90A58" w14:textId="0FDC4DD2" w:rsidR="00B170F6" w:rsidRPr="00F00296" w:rsidRDefault="00B170F6" w:rsidP="006E6C7D">
      <w:pPr>
        <w:spacing w:line="360" w:lineRule="auto"/>
        <w:jc w:val="both"/>
        <w:rPr>
          <w:rFonts w:ascii="Times New Roman" w:hAnsi="Times New Roman" w:cs="Times New Roman"/>
        </w:rPr>
      </w:pPr>
      <w:r w:rsidRPr="00F00296">
        <w:rPr>
          <w:rFonts w:ascii="Times New Roman" w:hAnsi="Times New Roman" w:cs="Times New Roman"/>
        </w:rPr>
        <w:t xml:space="preserve">The difference in 2019 was just 0.81%, but crashed to -0.27% in last year's race, with Vettel edging things Reds' way back then! </w:t>
      </w:r>
      <w:r w:rsidR="008666C5" w:rsidRPr="00F00296">
        <w:rPr>
          <w:rFonts w:ascii="Times New Roman" w:hAnsi="Times New Roman" w:cs="Times New Roman"/>
        </w:rPr>
        <w:t xml:space="preserve">(Horngren et al., 2013) </w:t>
      </w:r>
      <w:r w:rsidRPr="00F00296">
        <w:rPr>
          <w:rFonts w:ascii="Times New Roman" w:hAnsi="Times New Roman" w:cs="Times New Roman"/>
        </w:rPr>
        <w:t xml:space="preserve">The most difficult year was actually 2021, finishing with a margin of -2.28%, largely due to severe restructuring costs and the continuation effects of COVID-19. The 0.30% margin in 2022 and the resulting move up to 0.63% two years later was better but still a far </w:t>
      </w:r>
      <w:proofErr w:type="spellStart"/>
      <w:r w:rsidRPr="00F00296">
        <w:rPr>
          <w:rFonts w:ascii="Times New Roman" w:hAnsi="Times New Roman" w:cs="Times New Roman"/>
        </w:rPr>
        <w:t>way</w:t>
      </w:r>
      <w:proofErr w:type="spellEnd"/>
      <w:r w:rsidRPr="00F00296">
        <w:rPr>
          <w:rFonts w:ascii="Times New Roman" w:hAnsi="Times New Roman" w:cs="Times New Roman"/>
        </w:rPr>
        <w:t xml:space="preserve"> from where it needs to be on an absolute basis, suggesting that controlling costs for improved bottom line performance continues as priority #1 internally approached calendar year</w:t>
      </w:r>
      <w:r w:rsidR="008666C5" w:rsidRPr="00F00296">
        <w:rPr>
          <w:rFonts w:ascii="Times New Roman" w:hAnsi="Times New Roman" w:cs="Times New Roman"/>
        </w:rPr>
        <w:t xml:space="preserve"> (Horngren et al., 2013)</w:t>
      </w:r>
      <w:r w:rsidRPr="00F00296">
        <w:rPr>
          <w:rFonts w:ascii="Times New Roman" w:hAnsi="Times New Roman" w:cs="Times New Roman"/>
        </w:rPr>
        <w:t>.</w:t>
      </w:r>
    </w:p>
    <w:p w14:paraId="48680393" w14:textId="73B9C043" w:rsidR="00C165DE" w:rsidRPr="00F00296" w:rsidRDefault="00C165DE" w:rsidP="00C165DE">
      <w:pPr>
        <w:spacing w:line="360" w:lineRule="auto"/>
        <w:jc w:val="center"/>
        <w:rPr>
          <w:rFonts w:ascii="Times New Roman" w:hAnsi="Times New Roman" w:cs="Times New Roman"/>
          <w:b/>
        </w:rPr>
      </w:pPr>
      <w:r w:rsidRPr="00F00296">
        <w:rPr>
          <w:rFonts w:ascii="Times New Roman" w:hAnsi="Times New Roman" w:cs="Times New Roman"/>
          <w:noProof/>
        </w:rPr>
        <w:drawing>
          <wp:inline distT="0" distB="0" distL="0" distR="0" wp14:anchorId="1231DE4A" wp14:editId="1E29814B">
            <wp:extent cx="4572000" cy="2743200"/>
            <wp:effectExtent l="0" t="0" r="0" b="0"/>
            <wp:docPr id="1905420206" name="Chart 1">
              <a:extLst xmlns:a="http://schemas.openxmlformats.org/drawingml/2006/main">
                <a:ext uri="{FF2B5EF4-FFF2-40B4-BE49-F238E27FC236}">
                  <a16:creationId xmlns:a16="http://schemas.microsoft.com/office/drawing/2014/main" id="{03D14669-CB05-25E4-EFAD-25D21CDB90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811CFCA" w14:textId="7C60C2C1" w:rsidR="003D05A0" w:rsidRPr="00F00296" w:rsidRDefault="003D05A0" w:rsidP="00C165DE">
      <w:pPr>
        <w:spacing w:line="360" w:lineRule="auto"/>
        <w:jc w:val="center"/>
        <w:rPr>
          <w:rFonts w:ascii="Times New Roman" w:hAnsi="Times New Roman" w:cs="Times New Roman"/>
          <w:b/>
        </w:rPr>
      </w:pPr>
      <w:r w:rsidRPr="00F00296">
        <w:rPr>
          <w:rFonts w:ascii="Times New Roman" w:hAnsi="Times New Roman" w:cs="Times New Roman"/>
          <w:b/>
        </w:rPr>
        <w:t>NPM graph</w:t>
      </w:r>
    </w:p>
    <w:p w14:paraId="73F63210" w14:textId="28022D78" w:rsidR="001929C4" w:rsidRPr="00F00296" w:rsidRDefault="001929C4" w:rsidP="006E6C7D">
      <w:pPr>
        <w:pStyle w:val="Heading3"/>
        <w:spacing w:line="360" w:lineRule="auto"/>
        <w:rPr>
          <w:rFonts w:ascii="Times New Roman" w:hAnsi="Times New Roman" w:cs="Times New Roman"/>
        </w:rPr>
      </w:pPr>
      <w:bookmarkStart w:id="9" w:name="_Toc174862014"/>
      <w:r w:rsidRPr="00F00296">
        <w:rPr>
          <w:rFonts w:ascii="Times New Roman" w:hAnsi="Times New Roman" w:cs="Times New Roman"/>
        </w:rPr>
        <w:lastRenderedPageBreak/>
        <w:t>ROE</w:t>
      </w:r>
      <w:bookmarkEnd w:id="9"/>
    </w:p>
    <w:p w14:paraId="3EDAC9B7" w14:textId="397FE979" w:rsidR="00DD0CAB" w:rsidRPr="00F00296" w:rsidRDefault="00DD0CAB" w:rsidP="00B170F6">
      <w:pPr>
        <w:spacing w:line="360" w:lineRule="auto"/>
        <w:jc w:val="both"/>
        <w:rPr>
          <w:rFonts w:ascii="Times New Roman" w:hAnsi="Times New Roman" w:cs="Times New Roman"/>
        </w:rPr>
      </w:pPr>
      <w:r w:rsidRPr="00F00296">
        <w:rPr>
          <w:rFonts w:ascii="Times New Roman" w:hAnsi="Times New Roman" w:cs="Times New Roman"/>
        </w:rPr>
        <w:t xml:space="preserve">ROE: ROE which stands for Return on Equity is a measure of the profitability of a business in relation to the </w:t>
      </w:r>
      <w:proofErr w:type="spellStart"/>
      <w:r w:rsidRPr="00F00296">
        <w:rPr>
          <w:rFonts w:ascii="Times New Roman" w:hAnsi="Times New Roman" w:cs="Times New Roman"/>
        </w:rPr>
        <w:t>shareholders</w:t>
      </w:r>
      <w:proofErr w:type="spellEnd"/>
      <w:r w:rsidRPr="00F00296">
        <w:rPr>
          <w:rFonts w:ascii="Times New Roman" w:hAnsi="Times New Roman" w:cs="Times New Roman"/>
        </w:rPr>
        <w:t xml:space="preserve"> funds. It is calculated as follows (Kaplan and Atkinson, 2015</w:t>
      </w:r>
      <w:proofErr w:type="gramStart"/>
      <w:r w:rsidRPr="00F00296">
        <w:rPr>
          <w:rFonts w:ascii="Times New Roman" w:hAnsi="Times New Roman" w:cs="Times New Roman"/>
        </w:rPr>
        <w:t>):It</w:t>
      </w:r>
      <w:proofErr w:type="gramEnd"/>
      <w:r w:rsidRPr="00F00296">
        <w:rPr>
          <w:rFonts w:ascii="Times New Roman" w:hAnsi="Times New Roman" w:cs="Times New Roman"/>
        </w:rPr>
        <w:t xml:space="preserve"> is calculated as follows (Kaplan and Atkinson, 2015):</w:t>
      </w:r>
    </w:p>
    <w:p w14:paraId="7B2C8CB6" w14:textId="2BA72439" w:rsidR="00F00296" w:rsidRPr="00F00296" w:rsidRDefault="00F00296" w:rsidP="00B170F6">
      <w:pPr>
        <w:spacing w:line="360" w:lineRule="auto"/>
        <w:jc w:val="both"/>
        <w:rPr>
          <w:rFonts w:ascii="Times New Roman" w:hAnsi="Times New Roman" w:cs="Times New Roman"/>
          <w:b/>
          <w:bCs/>
        </w:rPr>
      </w:pPr>
      <w:r w:rsidRPr="00F00296">
        <w:rPr>
          <w:rFonts w:ascii="Times New Roman" w:hAnsi="Times New Roman" w:cs="Times New Roman"/>
          <w:b/>
          <w:bCs/>
        </w:rPr>
        <w:t>Formula</w:t>
      </w:r>
    </w:p>
    <w:p w14:paraId="4B663ED9" w14:textId="77777777" w:rsidR="00B170F6" w:rsidRPr="00F00296" w:rsidRDefault="00B170F6" w:rsidP="00B170F6">
      <w:pPr>
        <w:spacing w:line="360" w:lineRule="auto"/>
        <w:jc w:val="both"/>
        <w:rPr>
          <w:rFonts w:ascii="Times New Roman" w:hAnsi="Times New Roman" w:cs="Times New Roman"/>
        </w:rPr>
      </w:pPr>
      <w:r w:rsidRPr="00F00296">
        <w:rPr>
          <w:rFonts w:ascii="Times New Roman" w:hAnsi="Times New Roman" w:cs="Times New Roman"/>
        </w:rPr>
        <w:t>Return on equity is a financial metric that represents the profitability of each share in stockholders' equity (ROE</w:t>
      </w:r>
      <w:proofErr w:type="gramStart"/>
      <w:r w:rsidRPr="00F00296">
        <w:rPr>
          <w:rFonts w:ascii="Times New Roman" w:hAnsi="Times New Roman" w:cs="Times New Roman"/>
        </w:rPr>
        <w:t>=(</w:t>
      </w:r>
      <w:proofErr w:type="gramEnd"/>
      <w:r w:rsidRPr="00F00296">
        <w:rPr>
          <w:rFonts w:ascii="Times New Roman" w:hAnsi="Times New Roman" w:cs="Times New Roman"/>
        </w:rPr>
        <w:t>Net Profit / Shareholder's Equity) * 100).</w:t>
      </w:r>
    </w:p>
    <w:p w14:paraId="6F213275" w14:textId="77777777" w:rsidR="004D135C" w:rsidRPr="00F00296" w:rsidRDefault="004D135C" w:rsidP="004D135C">
      <w:pPr>
        <w:pStyle w:val="Heading3"/>
        <w:rPr>
          <w:rFonts w:ascii="Times New Roman" w:hAnsi="Times New Roman" w:cs="Times New Roman"/>
        </w:rPr>
      </w:pPr>
      <w:bookmarkStart w:id="10" w:name="_Toc174862015"/>
      <w:r w:rsidRPr="00F00296">
        <w:rPr>
          <w:rFonts w:ascii="Times New Roman" w:hAnsi="Times New Roman" w:cs="Times New Roman"/>
        </w:rPr>
        <w:t>Calculations:</w:t>
      </w:r>
      <w:bookmarkEnd w:id="10"/>
    </w:p>
    <w:p w14:paraId="67999DF3" w14:textId="77777777" w:rsidR="004D135C" w:rsidRPr="00F00296" w:rsidRDefault="004D135C" w:rsidP="004D135C">
      <w:pPr>
        <w:spacing w:line="360" w:lineRule="auto"/>
        <w:jc w:val="both"/>
        <w:rPr>
          <w:rFonts w:ascii="Times New Roman" w:hAnsi="Times New Roman" w:cs="Times New Roman"/>
        </w:rPr>
      </w:pPr>
      <w:r w:rsidRPr="00F00296">
        <w:rPr>
          <w:rFonts w:ascii="Times New Roman" w:hAnsi="Times New Roman" w:cs="Times New Roman"/>
          <w:b/>
          <w:bCs/>
        </w:rPr>
        <w:t>2019</w:t>
      </w:r>
      <w:r w:rsidRPr="00F00296">
        <w:rPr>
          <w:rFonts w:ascii="Times New Roman" w:hAnsi="Times New Roman" w:cs="Times New Roman"/>
        </w:rPr>
        <w:t>:</w:t>
      </w:r>
    </w:p>
    <w:p w14:paraId="0B4D5F67"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Net Profit: £84 million</w:t>
      </w:r>
    </w:p>
    <w:p w14:paraId="3251AA04"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Shareholders' Equity: £2,563 million</w:t>
      </w:r>
    </w:p>
    <w:p w14:paraId="01F42CC1" w14:textId="00E500DA" w:rsidR="004D135C" w:rsidRPr="00F00296" w:rsidRDefault="003D05A0"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 xml:space="preserve">ROE: (842 / </w:t>
      </w:r>
      <w:proofErr w:type="gramStart"/>
      <w:r w:rsidR="004D135C" w:rsidRPr="00F00296">
        <w:rPr>
          <w:rFonts w:ascii="Times New Roman" w:hAnsi="Times New Roman" w:cs="Times New Roman"/>
        </w:rPr>
        <w:t>563)×</w:t>
      </w:r>
      <w:proofErr w:type="gramEnd"/>
      <w:r w:rsidR="004D135C" w:rsidRPr="00F00296">
        <w:rPr>
          <w:rFonts w:ascii="Times New Roman" w:hAnsi="Times New Roman" w:cs="Times New Roman"/>
        </w:rPr>
        <w:t>100=3.28%</w:t>
      </w:r>
    </w:p>
    <w:p w14:paraId="0F659EAA" w14:textId="77777777" w:rsidR="004D135C" w:rsidRPr="00F00296" w:rsidRDefault="004D135C" w:rsidP="004D135C">
      <w:pPr>
        <w:spacing w:line="360" w:lineRule="auto"/>
        <w:jc w:val="both"/>
        <w:rPr>
          <w:rFonts w:ascii="Times New Roman" w:hAnsi="Times New Roman" w:cs="Times New Roman"/>
        </w:rPr>
      </w:pPr>
      <w:r w:rsidRPr="00F00296">
        <w:rPr>
          <w:rFonts w:ascii="Times New Roman" w:hAnsi="Times New Roman" w:cs="Times New Roman"/>
          <w:b/>
          <w:bCs/>
        </w:rPr>
        <w:t>2020</w:t>
      </w:r>
      <w:r w:rsidRPr="00F00296">
        <w:rPr>
          <w:rFonts w:ascii="Times New Roman" w:hAnsi="Times New Roman" w:cs="Times New Roman"/>
        </w:rPr>
        <w:t>:</w:t>
      </w:r>
    </w:p>
    <w:p w14:paraId="48849C3A"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Net Profit: £27 million</w:t>
      </w:r>
    </w:p>
    <w:p w14:paraId="226A3DF4"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Shareholders' Equity: £2,472 million</w:t>
      </w:r>
    </w:p>
    <w:p w14:paraId="60D78E28" w14:textId="2E6844D1" w:rsidR="004D135C" w:rsidRPr="00F00296" w:rsidRDefault="00AB2DBA"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ROE: (272 /</w:t>
      </w:r>
      <w:proofErr w:type="gramStart"/>
      <w:r w:rsidR="004D135C" w:rsidRPr="00F00296">
        <w:rPr>
          <w:rFonts w:ascii="Times New Roman" w:hAnsi="Times New Roman" w:cs="Times New Roman"/>
        </w:rPr>
        <w:t>472)×</w:t>
      </w:r>
      <w:proofErr w:type="gramEnd"/>
      <w:r w:rsidR="004D135C" w:rsidRPr="00F00296">
        <w:rPr>
          <w:rFonts w:ascii="Times New Roman" w:hAnsi="Times New Roman" w:cs="Times New Roman"/>
        </w:rPr>
        <w:t>100=1.09%</w:t>
      </w:r>
    </w:p>
    <w:p w14:paraId="4875908A" w14:textId="77777777" w:rsidR="004D135C" w:rsidRPr="00F00296" w:rsidRDefault="004D135C" w:rsidP="004D135C">
      <w:pPr>
        <w:spacing w:line="360" w:lineRule="auto"/>
        <w:jc w:val="both"/>
        <w:rPr>
          <w:rFonts w:ascii="Times New Roman" w:hAnsi="Times New Roman" w:cs="Times New Roman"/>
        </w:rPr>
      </w:pPr>
      <w:r w:rsidRPr="00F00296">
        <w:rPr>
          <w:rFonts w:ascii="Times New Roman" w:hAnsi="Times New Roman" w:cs="Times New Roman"/>
          <w:b/>
          <w:bCs/>
        </w:rPr>
        <w:t>2021</w:t>
      </w:r>
      <w:r w:rsidRPr="00F00296">
        <w:rPr>
          <w:rFonts w:ascii="Times New Roman" w:hAnsi="Times New Roman" w:cs="Times New Roman"/>
        </w:rPr>
        <w:t>:</w:t>
      </w:r>
    </w:p>
    <w:p w14:paraId="6136C936"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Net Profit: -£209 million</w:t>
      </w:r>
    </w:p>
    <w:p w14:paraId="0DD1F69C"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Shareholders' Equity: £2,250 million</w:t>
      </w:r>
    </w:p>
    <w:p w14:paraId="4AEE77EB" w14:textId="298414E3"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ROE: (−</w:t>
      </w:r>
      <w:proofErr w:type="gramStart"/>
      <w:r w:rsidRPr="00F00296">
        <w:rPr>
          <w:rFonts w:ascii="Times New Roman" w:hAnsi="Times New Roman" w:cs="Times New Roman"/>
        </w:rPr>
        <w:t>2092,</w:t>
      </w:r>
      <w:r w:rsidR="00AB2DBA" w:rsidRPr="00F00296">
        <w:rPr>
          <w:rFonts w:ascii="Times New Roman" w:hAnsi="Times New Roman" w:cs="Times New Roman"/>
        </w:rPr>
        <w:t>/</w:t>
      </w:r>
      <w:proofErr w:type="gramEnd"/>
      <w:r w:rsidRPr="00F00296">
        <w:rPr>
          <w:rFonts w:ascii="Times New Roman" w:hAnsi="Times New Roman" w:cs="Times New Roman"/>
        </w:rPr>
        <w:t>250)×100=−9.29%</w:t>
      </w:r>
    </w:p>
    <w:p w14:paraId="397B4385" w14:textId="77777777" w:rsidR="004D135C" w:rsidRPr="00F00296" w:rsidRDefault="004D135C" w:rsidP="004D135C">
      <w:pPr>
        <w:spacing w:line="360" w:lineRule="auto"/>
        <w:jc w:val="both"/>
        <w:rPr>
          <w:rFonts w:ascii="Times New Roman" w:hAnsi="Times New Roman" w:cs="Times New Roman"/>
        </w:rPr>
      </w:pPr>
      <w:r w:rsidRPr="00F00296">
        <w:rPr>
          <w:rFonts w:ascii="Times New Roman" w:hAnsi="Times New Roman" w:cs="Times New Roman"/>
          <w:b/>
          <w:bCs/>
        </w:rPr>
        <w:t>2022</w:t>
      </w:r>
      <w:r w:rsidRPr="00F00296">
        <w:rPr>
          <w:rFonts w:ascii="Times New Roman" w:hAnsi="Times New Roman" w:cs="Times New Roman"/>
        </w:rPr>
        <w:t>:</w:t>
      </w:r>
    </w:p>
    <w:p w14:paraId="48DA144A"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Net Profit: £27 million</w:t>
      </w:r>
    </w:p>
    <w:p w14:paraId="714945F4"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Shareholders' Equity: £2,307 million</w:t>
      </w:r>
    </w:p>
    <w:p w14:paraId="230D9123" w14:textId="7E63A8A8" w:rsidR="004D135C" w:rsidRPr="00F00296" w:rsidRDefault="00AB2DBA"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ROE: (272/</w:t>
      </w:r>
      <w:proofErr w:type="gramStart"/>
      <w:r w:rsidR="004D135C" w:rsidRPr="00F00296">
        <w:rPr>
          <w:rFonts w:ascii="Times New Roman" w:hAnsi="Times New Roman" w:cs="Times New Roman"/>
        </w:rPr>
        <w:t>307)×</w:t>
      </w:r>
      <w:proofErr w:type="gramEnd"/>
      <w:r w:rsidR="004D135C" w:rsidRPr="00F00296">
        <w:rPr>
          <w:rFonts w:ascii="Times New Roman" w:hAnsi="Times New Roman" w:cs="Times New Roman"/>
        </w:rPr>
        <w:t>100=1.17%</w:t>
      </w:r>
    </w:p>
    <w:p w14:paraId="5A85A9FB" w14:textId="77777777" w:rsidR="004D135C" w:rsidRPr="00F00296" w:rsidRDefault="004D135C" w:rsidP="004D135C">
      <w:pPr>
        <w:spacing w:line="360" w:lineRule="auto"/>
        <w:jc w:val="both"/>
        <w:rPr>
          <w:rFonts w:ascii="Times New Roman" w:hAnsi="Times New Roman" w:cs="Times New Roman"/>
        </w:rPr>
      </w:pPr>
      <w:r w:rsidRPr="00F00296">
        <w:rPr>
          <w:rFonts w:ascii="Times New Roman" w:hAnsi="Times New Roman" w:cs="Times New Roman"/>
          <w:b/>
          <w:bCs/>
        </w:rPr>
        <w:t>2023</w:t>
      </w:r>
      <w:r w:rsidRPr="00F00296">
        <w:rPr>
          <w:rFonts w:ascii="Times New Roman" w:hAnsi="Times New Roman" w:cs="Times New Roman"/>
        </w:rPr>
        <w:t>:</w:t>
      </w:r>
    </w:p>
    <w:p w14:paraId="54D6D9D9"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Net Profit: £65 million</w:t>
      </w:r>
    </w:p>
    <w:p w14:paraId="5170479A" w14:textId="77777777" w:rsidR="004D135C" w:rsidRPr="00F00296" w:rsidRDefault="004D135C"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lastRenderedPageBreak/>
        <w:t>Shareholders' Equity: £2,381 million</w:t>
      </w:r>
    </w:p>
    <w:p w14:paraId="6532F656" w14:textId="0D50D93B" w:rsidR="004D135C" w:rsidRPr="00F00296" w:rsidRDefault="00AB2DBA" w:rsidP="004D135C">
      <w:pPr>
        <w:pStyle w:val="ListParagraph"/>
        <w:numPr>
          <w:ilvl w:val="0"/>
          <w:numId w:val="7"/>
        </w:numPr>
        <w:spacing w:line="360" w:lineRule="auto"/>
        <w:jc w:val="both"/>
        <w:rPr>
          <w:rFonts w:ascii="Times New Roman" w:hAnsi="Times New Roman" w:cs="Times New Roman"/>
        </w:rPr>
      </w:pPr>
      <w:r w:rsidRPr="00F00296">
        <w:rPr>
          <w:rFonts w:ascii="Times New Roman" w:hAnsi="Times New Roman" w:cs="Times New Roman"/>
        </w:rPr>
        <w:t>ROE: (652/</w:t>
      </w:r>
      <w:proofErr w:type="gramStart"/>
      <w:r w:rsidR="004D135C" w:rsidRPr="00F00296">
        <w:rPr>
          <w:rFonts w:ascii="Times New Roman" w:hAnsi="Times New Roman" w:cs="Times New Roman"/>
        </w:rPr>
        <w:t>381)×</w:t>
      </w:r>
      <w:proofErr w:type="gramEnd"/>
      <w:r w:rsidR="004D135C" w:rsidRPr="00F00296">
        <w:rPr>
          <w:rFonts w:ascii="Times New Roman" w:hAnsi="Times New Roman" w:cs="Times New Roman"/>
        </w:rPr>
        <w:t>100=2.73%</w:t>
      </w:r>
    </w:p>
    <w:p w14:paraId="23FF4A70" w14:textId="27BC4AFE" w:rsidR="00B170F6" w:rsidRPr="00F00296" w:rsidRDefault="00B170F6" w:rsidP="006E6C7D">
      <w:pPr>
        <w:spacing w:line="360" w:lineRule="auto"/>
        <w:jc w:val="both"/>
        <w:rPr>
          <w:rFonts w:ascii="Times New Roman" w:hAnsi="Times New Roman" w:cs="Times New Roman"/>
        </w:rPr>
      </w:pPr>
      <w:r w:rsidRPr="00F00296">
        <w:rPr>
          <w:rFonts w:ascii="Times New Roman" w:hAnsi="Times New Roman" w:cs="Times New Roman"/>
        </w:rPr>
        <w:t>The easyJet employees collect M&amp;S goods from Geneva, so I have included figures for Tier 1 suppliers and here are the numbers over last five years from M&amp;S</w:t>
      </w:r>
    </w:p>
    <w:p w14:paraId="620ECF41" w14:textId="71AA5E68" w:rsidR="00BB0C09" w:rsidRPr="00F00296" w:rsidRDefault="00BB0C09" w:rsidP="00BB0C09">
      <w:pPr>
        <w:spacing w:line="360" w:lineRule="auto"/>
        <w:jc w:val="center"/>
        <w:rPr>
          <w:rFonts w:ascii="Times New Roman" w:hAnsi="Times New Roman" w:cs="Times New Roman"/>
        </w:rPr>
      </w:pPr>
      <w:r w:rsidRPr="00F00296">
        <w:rPr>
          <w:rFonts w:ascii="Times New Roman" w:hAnsi="Times New Roman" w:cs="Times New Roman"/>
          <w:noProof/>
        </w:rPr>
        <w:drawing>
          <wp:inline distT="0" distB="0" distL="0" distR="0" wp14:anchorId="7D9D585F" wp14:editId="18542402">
            <wp:extent cx="2524125" cy="1971675"/>
            <wp:effectExtent l="0" t="0" r="9525" b="9525"/>
            <wp:docPr id="1135981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981444" name=""/>
                    <pic:cNvPicPr/>
                  </pic:nvPicPr>
                  <pic:blipFill>
                    <a:blip r:embed="rId11"/>
                    <a:stretch>
                      <a:fillRect/>
                    </a:stretch>
                  </pic:blipFill>
                  <pic:spPr>
                    <a:xfrm>
                      <a:off x="0" y="0"/>
                      <a:ext cx="2524125" cy="1971675"/>
                    </a:xfrm>
                    <a:prstGeom prst="rect">
                      <a:avLst/>
                    </a:prstGeom>
                  </pic:spPr>
                </pic:pic>
              </a:graphicData>
            </a:graphic>
          </wp:inline>
        </w:drawing>
      </w:r>
    </w:p>
    <w:p w14:paraId="2FF4C1E7" w14:textId="7F4580FF" w:rsidR="00AB2DBA" w:rsidRPr="00F00296" w:rsidRDefault="00AB2DBA" w:rsidP="00BB0C09">
      <w:pPr>
        <w:spacing w:line="360" w:lineRule="auto"/>
        <w:jc w:val="center"/>
        <w:rPr>
          <w:rFonts w:ascii="Times New Roman" w:hAnsi="Times New Roman" w:cs="Times New Roman"/>
          <w:b/>
        </w:rPr>
      </w:pPr>
      <w:r w:rsidRPr="00F00296">
        <w:rPr>
          <w:rFonts w:ascii="Times New Roman" w:hAnsi="Times New Roman" w:cs="Times New Roman"/>
          <w:b/>
        </w:rPr>
        <w:t>ROE result</w:t>
      </w:r>
    </w:p>
    <w:p w14:paraId="064C11A9" w14:textId="77777777" w:rsidR="003D05A0" w:rsidRPr="00F00296" w:rsidRDefault="003D05A0" w:rsidP="00BB0C09">
      <w:pPr>
        <w:spacing w:line="360" w:lineRule="auto"/>
        <w:jc w:val="center"/>
        <w:rPr>
          <w:rFonts w:ascii="Times New Roman" w:hAnsi="Times New Roman" w:cs="Times New Roman"/>
        </w:rPr>
      </w:pPr>
    </w:p>
    <w:p w14:paraId="0D9D6187" w14:textId="77777777" w:rsidR="001929C4" w:rsidRPr="00F00296" w:rsidRDefault="001929C4" w:rsidP="006E6C7D">
      <w:pPr>
        <w:pStyle w:val="Heading3"/>
        <w:spacing w:line="360" w:lineRule="auto"/>
        <w:rPr>
          <w:rFonts w:ascii="Times New Roman" w:hAnsi="Times New Roman" w:cs="Times New Roman"/>
        </w:rPr>
      </w:pPr>
      <w:bookmarkStart w:id="11" w:name="_Toc174862016"/>
      <w:r w:rsidRPr="00F00296">
        <w:rPr>
          <w:rFonts w:ascii="Times New Roman" w:hAnsi="Times New Roman" w:cs="Times New Roman"/>
        </w:rPr>
        <w:t>Analysis</w:t>
      </w:r>
      <w:bookmarkEnd w:id="11"/>
    </w:p>
    <w:p w14:paraId="49541BD3" w14:textId="3FFC93C2" w:rsidR="00B170F6" w:rsidRPr="00F00296" w:rsidRDefault="00B170F6" w:rsidP="006E6C7D">
      <w:pPr>
        <w:spacing w:line="360" w:lineRule="auto"/>
        <w:jc w:val="both"/>
        <w:rPr>
          <w:rFonts w:ascii="Times New Roman" w:hAnsi="Times New Roman" w:cs="Times New Roman"/>
        </w:rPr>
      </w:pPr>
      <w:r w:rsidRPr="00F00296">
        <w:rPr>
          <w:rFonts w:ascii="Times New Roman" w:hAnsi="Times New Roman" w:cs="Times New Roman"/>
        </w:rPr>
        <w:t xml:space="preserve">Over the last half-decade, M&amp;S has been increasingly challenged in creating RONS with such a deteriorating ROE. ROE in 2019 was a mere 3.28% then dropped substantially to only </w:t>
      </w:r>
      <w:proofErr w:type="spellStart"/>
      <w:r w:rsidRPr="00F00296">
        <w:rPr>
          <w:rFonts w:ascii="Times New Roman" w:hAnsi="Times New Roman" w:cs="Times New Roman"/>
        </w:rPr>
        <w:t>totaling</w:t>
      </w:r>
      <w:proofErr w:type="spellEnd"/>
      <w:r w:rsidRPr="00F00296">
        <w:rPr>
          <w:rFonts w:ascii="Times New Roman" w:hAnsi="Times New Roman" w:cs="Times New Roman"/>
        </w:rPr>
        <w:t xml:space="preserve"> out (down) at under 1.09%. This figure is much more alarming at -9.29% in 2021 and shows heavy losses reflecting the significant impact of restructuring charges made during this period to right-size operations post pandemic, hardest hit-end-markets will likely be supported by some revenue growth here but may benefit from new cost cutting measures given challenging competitive landscape tailwinds next year due favourable comps on SNH divestments plus better outlook following sale reported secured products business related </w:t>
      </w:r>
      <w:proofErr w:type="spellStart"/>
      <w:r w:rsidRPr="00F00296">
        <w:rPr>
          <w:rFonts w:ascii="Times New Roman" w:hAnsi="Times New Roman" w:cs="Times New Roman"/>
        </w:rPr>
        <w:t>downtimet</w:t>
      </w:r>
      <w:proofErr w:type="spellEnd"/>
      <w:r w:rsidRPr="00F00296">
        <w:rPr>
          <w:rFonts w:ascii="Times New Roman" w:hAnsi="Times New Roman" w:cs="Times New Roman"/>
        </w:rPr>
        <w:t xml:space="preserve"> lockdowns-year company saved additional sales- EBITDA range increased./ Even after a modest rebound in 2022 and 23, at ROEs of just 1.17% and 2.73%, the turnaround difficulty facing M&amp;S looks substantial based on these figures alone</w:t>
      </w:r>
      <w:r w:rsidR="008666C5" w:rsidRPr="00F00296">
        <w:rPr>
          <w:rFonts w:ascii="Times New Roman" w:hAnsi="Times New Roman" w:cs="Times New Roman"/>
        </w:rPr>
        <w:t xml:space="preserve"> (</w:t>
      </w:r>
      <w:proofErr w:type="spellStart"/>
      <w:r w:rsidR="008666C5" w:rsidRPr="00F00296">
        <w:rPr>
          <w:rFonts w:ascii="Times New Roman" w:hAnsi="Times New Roman" w:cs="Times New Roman"/>
        </w:rPr>
        <w:t>Melicher</w:t>
      </w:r>
      <w:proofErr w:type="spellEnd"/>
      <w:r w:rsidR="008666C5" w:rsidRPr="00F00296">
        <w:rPr>
          <w:rFonts w:ascii="Times New Roman" w:hAnsi="Times New Roman" w:cs="Times New Roman"/>
        </w:rPr>
        <w:t xml:space="preserve"> and Norton, 2016)</w:t>
      </w:r>
      <w:r w:rsidRPr="00F00296">
        <w:rPr>
          <w:rFonts w:ascii="Times New Roman" w:hAnsi="Times New Roman" w:cs="Times New Roman"/>
        </w:rPr>
        <w:t>.</w:t>
      </w:r>
    </w:p>
    <w:p w14:paraId="737773AD" w14:textId="2872BFC2" w:rsidR="00C165DE" w:rsidRPr="00F00296" w:rsidRDefault="00C165DE" w:rsidP="00C165DE">
      <w:pPr>
        <w:spacing w:line="360" w:lineRule="auto"/>
        <w:jc w:val="center"/>
        <w:rPr>
          <w:rFonts w:ascii="Times New Roman" w:hAnsi="Times New Roman" w:cs="Times New Roman"/>
        </w:rPr>
      </w:pPr>
      <w:r w:rsidRPr="00F00296">
        <w:rPr>
          <w:rFonts w:ascii="Times New Roman" w:hAnsi="Times New Roman" w:cs="Times New Roman"/>
          <w:noProof/>
        </w:rPr>
        <w:lastRenderedPageBreak/>
        <mc:AlternateContent>
          <mc:Choice Requires="cx1">
            <w:drawing>
              <wp:inline distT="0" distB="0" distL="0" distR="0" wp14:anchorId="165D330F" wp14:editId="107C8850">
                <wp:extent cx="4572000" cy="2743200"/>
                <wp:effectExtent l="0" t="0" r="0" b="0"/>
                <wp:docPr id="247620760" name="Chart 1">
                  <a:extLst xmlns:a="http://schemas.openxmlformats.org/drawingml/2006/main">
                    <a:ext uri="{FF2B5EF4-FFF2-40B4-BE49-F238E27FC236}">
                      <a16:creationId xmlns:a16="http://schemas.microsoft.com/office/drawing/2014/main" id="{0EC14088-ADF4-49A9-AFC7-49DD4FF7FB1B}"/>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2"/>
                  </a:graphicData>
                </a:graphic>
              </wp:inline>
            </w:drawing>
          </mc:Choice>
          <mc:Fallback>
            <w:drawing>
              <wp:inline distT="0" distB="0" distL="0" distR="0" wp14:anchorId="165D330F" wp14:editId="107C8850">
                <wp:extent cx="4572000" cy="2743200"/>
                <wp:effectExtent l="0" t="0" r="0" b="0"/>
                <wp:docPr id="247620760" name="Chart 1">
                  <a:extLst xmlns:a="http://schemas.openxmlformats.org/drawingml/2006/main">
                    <a:ext uri="{FF2B5EF4-FFF2-40B4-BE49-F238E27FC236}">
                      <a16:creationId xmlns:a16="http://schemas.microsoft.com/office/drawing/2014/main" id="{0EC14088-ADF4-49A9-AFC7-49DD4FF7FB1B}"/>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47620760" name="Chart 1">
                          <a:extLst>
                            <a:ext uri="{FF2B5EF4-FFF2-40B4-BE49-F238E27FC236}">
                              <a16:creationId xmlns:a16="http://schemas.microsoft.com/office/drawing/2014/main" id="{0EC14088-ADF4-49A9-AFC7-49DD4FF7FB1B}"/>
                            </a:ext>
                          </a:extLst>
                        </pic:cNvPr>
                        <pic:cNvPicPr>
                          <a:picLocks noGrp="1" noRot="1" noChangeAspect="1" noMove="1" noResize="1" noEditPoints="1" noAdjustHandles="1" noChangeArrowheads="1" noChangeShapeType="1"/>
                        </pic:cNvPicPr>
                      </pic:nvPicPr>
                      <pic:blipFill>
                        <a:blip r:embed="rId13"/>
                        <a:stretch>
                          <a:fillRect/>
                        </a:stretch>
                      </pic:blipFill>
                      <pic:spPr>
                        <a:xfrm>
                          <a:off x="0" y="0"/>
                          <a:ext cx="4572000" cy="2743200"/>
                        </a:xfrm>
                        <a:prstGeom prst="rect">
                          <a:avLst/>
                        </a:prstGeom>
                      </pic:spPr>
                    </pic:pic>
                  </a:graphicData>
                </a:graphic>
              </wp:inline>
            </w:drawing>
          </mc:Fallback>
        </mc:AlternateContent>
      </w:r>
    </w:p>
    <w:p w14:paraId="55333889" w14:textId="15A983FB" w:rsidR="00AB2DBA" w:rsidRPr="00F00296" w:rsidRDefault="00AB2DBA" w:rsidP="00C165DE">
      <w:pPr>
        <w:spacing w:line="360" w:lineRule="auto"/>
        <w:jc w:val="center"/>
        <w:rPr>
          <w:rFonts w:ascii="Times New Roman" w:hAnsi="Times New Roman" w:cs="Times New Roman"/>
          <w:b/>
        </w:rPr>
      </w:pPr>
      <w:r w:rsidRPr="00F00296">
        <w:rPr>
          <w:rFonts w:ascii="Times New Roman" w:hAnsi="Times New Roman" w:cs="Times New Roman"/>
          <w:b/>
        </w:rPr>
        <w:t>ROE graph</w:t>
      </w:r>
    </w:p>
    <w:p w14:paraId="18BC08F3" w14:textId="77777777" w:rsidR="001929C4" w:rsidRPr="00F00296" w:rsidRDefault="001929C4" w:rsidP="006E6C7D">
      <w:pPr>
        <w:pStyle w:val="Heading3"/>
        <w:spacing w:line="360" w:lineRule="auto"/>
        <w:rPr>
          <w:rFonts w:ascii="Times New Roman" w:hAnsi="Times New Roman" w:cs="Times New Roman"/>
        </w:rPr>
      </w:pPr>
      <w:bookmarkStart w:id="12" w:name="_Toc174862017"/>
      <w:r w:rsidRPr="00F00296">
        <w:rPr>
          <w:rFonts w:ascii="Times New Roman" w:hAnsi="Times New Roman" w:cs="Times New Roman"/>
        </w:rPr>
        <w:t>Summary Table</w:t>
      </w:r>
      <w:bookmarkEnd w:id="12"/>
    </w:p>
    <w:p w14:paraId="00B00FB9" w14:textId="77777777" w:rsidR="001929C4" w:rsidRPr="00F00296" w:rsidRDefault="001929C4" w:rsidP="006E6C7D">
      <w:pPr>
        <w:spacing w:line="360" w:lineRule="auto"/>
        <w:jc w:val="both"/>
        <w:rPr>
          <w:rFonts w:ascii="Times New Roman" w:hAnsi="Times New Roman" w:cs="Times New Roman"/>
        </w:rPr>
      </w:pPr>
      <w:r w:rsidRPr="00F00296">
        <w:rPr>
          <w:rFonts w:ascii="Times New Roman" w:hAnsi="Times New Roman" w:cs="Times New Roman"/>
        </w:rPr>
        <w:t>Below is a summary table of the key profitability ratios for M&amp;S over the past five years:</w:t>
      </w:r>
    </w:p>
    <w:p w14:paraId="4B9F7ED5" w14:textId="2338ED35" w:rsidR="001929C4" w:rsidRPr="00F00296" w:rsidRDefault="00C309B2" w:rsidP="00C309B2">
      <w:pPr>
        <w:spacing w:line="360" w:lineRule="auto"/>
        <w:jc w:val="center"/>
        <w:rPr>
          <w:rFonts w:ascii="Times New Roman" w:hAnsi="Times New Roman" w:cs="Times New Roman"/>
        </w:rPr>
      </w:pPr>
      <w:r w:rsidRPr="00F00296">
        <w:rPr>
          <w:rFonts w:ascii="Times New Roman" w:hAnsi="Times New Roman" w:cs="Times New Roman"/>
          <w:noProof/>
        </w:rPr>
        <w:drawing>
          <wp:inline distT="0" distB="0" distL="0" distR="0" wp14:anchorId="2604D17F" wp14:editId="21E5CF0E">
            <wp:extent cx="2628900" cy="1933575"/>
            <wp:effectExtent l="0" t="0" r="0" b="9525"/>
            <wp:docPr id="924494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494840" name=""/>
                    <pic:cNvPicPr/>
                  </pic:nvPicPr>
                  <pic:blipFill>
                    <a:blip r:embed="rId14"/>
                    <a:stretch>
                      <a:fillRect/>
                    </a:stretch>
                  </pic:blipFill>
                  <pic:spPr>
                    <a:xfrm>
                      <a:off x="0" y="0"/>
                      <a:ext cx="2628900" cy="1933575"/>
                    </a:xfrm>
                    <a:prstGeom prst="rect">
                      <a:avLst/>
                    </a:prstGeom>
                  </pic:spPr>
                </pic:pic>
              </a:graphicData>
            </a:graphic>
          </wp:inline>
        </w:drawing>
      </w:r>
    </w:p>
    <w:p w14:paraId="59F0C67F" w14:textId="18D8734A" w:rsidR="00AB2DBA" w:rsidRPr="00F00296" w:rsidRDefault="00AB2DBA" w:rsidP="00C309B2">
      <w:pPr>
        <w:spacing w:line="360" w:lineRule="auto"/>
        <w:jc w:val="center"/>
        <w:rPr>
          <w:rFonts w:ascii="Times New Roman" w:hAnsi="Times New Roman" w:cs="Times New Roman"/>
          <w:b/>
        </w:rPr>
      </w:pPr>
      <w:r w:rsidRPr="00F00296">
        <w:rPr>
          <w:rFonts w:ascii="Times New Roman" w:hAnsi="Times New Roman" w:cs="Times New Roman"/>
          <w:b/>
        </w:rPr>
        <w:t>GPM, NPM and ROE result summary</w:t>
      </w:r>
    </w:p>
    <w:p w14:paraId="5553FBBB" w14:textId="6F3DFD07" w:rsidR="00690C39" w:rsidRPr="00F00296" w:rsidRDefault="00690C39" w:rsidP="00690C39">
      <w:pPr>
        <w:spacing w:line="360" w:lineRule="auto"/>
        <w:jc w:val="center"/>
        <w:rPr>
          <w:rFonts w:ascii="Times New Roman" w:hAnsi="Times New Roman" w:cs="Times New Roman"/>
        </w:rPr>
      </w:pPr>
      <w:r w:rsidRPr="00F00296">
        <w:rPr>
          <w:rFonts w:ascii="Times New Roman" w:hAnsi="Times New Roman" w:cs="Times New Roman"/>
          <w:noProof/>
        </w:rPr>
        <w:lastRenderedPageBreak/>
        <w:drawing>
          <wp:inline distT="0" distB="0" distL="0" distR="0" wp14:anchorId="18744364" wp14:editId="3F4A17E3">
            <wp:extent cx="4572000" cy="2743200"/>
            <wp:effectExtent l="0" t="0" r="0" b="0"/>
            <wp:docPr id="602326670" name="Chart 1">
              <a:extLst xmlns:a="http://schemas.openxmlformats.org/drawingml/2006/main">
                <a:ext uri="{FF2B5EF4-FFF2-40B4-BE49-F238E27FC236}">
                  <a16:creationId xmlns:a16="http://schemas.microsoft.com/office/drawing/2014/main" id="{09D8FB5C-CCAA-FCEA-981E-15F1FEF180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820D946" w14:textId="7EBB56DE" w:rsidR="00AB2DBA" w:rsidRPr="00F00296" w:rsidRDefault="00AB2DBA" w:rsidP="00AB2DBA">
      <w:pPr>
        <w:spacing w:line="360" w:lineRule="auto"/>
        <w:jc w:val="center"/>
        <w:rPr>
          <w:rFonts w:ascii="Times New Roman" w:hAnsi="Times New Roman" w:cs="Times New Roman"/>
          <w:b/>
        </w:rPr>
      </w:pPr>
      <w:r w:rsidRPr="00F00296">
        <w:rPr>
          <w:rFonts w:ascii="Times New Roman" w:hAnsi="Times New Roman" w:cs="Times New Roman"/>
          <w:b/>
        </w:rPr>
        <w:t>GPM, NPM and ROE result graph</w:t>
      </w:r>
    </w:p>
    <w:p w14:paraId="0DC23259" w14:textId="5F25F0A3" w:rsidR="00B170F6" w:rsidRPr="00F00296" w:rsidRDefault="00DF7F11" w:rsidP="00B170F6">
      <w:pPr>
        <w:pStyle w:val="Heading2"/>
        <w:spacing w:line="360" w:lineRule="auto"/>
        <w:rPr>
          <w:rFonts w:cs="Times New Roman"/>
          <w:b w:val="0"/>
        </w:rPr>
      </w:pPr>
      <w:bookmarkStart w:id="13" w:name="_Toc174862018"/>
      <w:r w:rsidRPr="00F00296">
        <w:rPr>
          <w:rFonts w:cs="Times New Roman"/>
        </w:rPr>
        <w:t>Liquidity Ratios:</w:t>
      </w:r>
      <w:bookmarkEnd w:id="13"/>
    </w:p>
    <w:p w14:paraId="0E9F87A7" w14:textId="5996F916" w:rsidR="00B170F6" w:rsidRPr="00F00296" w:rsidRDefault="00B170F6" w:rsidP="00B170F6">
      <w:pPr>
        <w:spacing w:line="360" w:lineRule="auto"/>
        <w:jc w:val="both"/>
        <w:rPr>
          <w:rFonts w:ascii="Times New Roman" w:hAnsi="Times New Roman" w:cs="Times New Roman"/>
        </w:rPr>
      </w:pPr>
      <w:r w:rsidRPr="00F00296">
        <w:rPr>
          <w:rFonts w:ascii="Times New Roman" w:hAnsi="Times New Roman" w:cs="Times New Roman"/>
        </w:rPr>
        <w:t>The Current Ratio is quite stable, which would indicate that M&amp;S has never really been cash-constrained. On the other hand, another indicator of short-term financial health is the Quick Ratio (Current Assets-Inventory) and it shows a slight drop through this time frame, hinting at an increased difficulty in turning assets into cash without relying on inventory</w:t>
      </w:r>
      <w:r w:rsidR="008666C5" w:rsidRPr="00F00296">
        <w:rPr>
          <w:rFonts w:ascii="Times New Roman" w:hAnsi="Times New Roman" w:cs="Times New Roman"/>
        </w:rPr>
        <w:t xml:space="preserve"> (Palepu et al., 2016)</w:t>
      </w:r>
      <w:r w:rsidRPr="00F00296">
        <w:rPr>
          <w:rFonts w:ascii="Times New Roman" w:hAnsi="Times New Roman" w:cs="Times New Roman"/>
        </w:rPr>
        <w:t>.</w:t>
      </w:r>
    </w:p>
    <w:p w14:paraId="4FDC7C45" w14:textId="3C1792AD" w:rsidR="009911F8" w:rsidRPr="00F00296" w:rsidRDefault="009911F8" w:rsidP="006E6C7D">
      <w:pPr>
        <w:pStyle w:val="Heading3"/>
        <w:spacing w:line="360" w:lineRule="auto"/>
        <w:rPr>
          <w:rFonts w:ascii="Times New Roman" w:hAnsi="Times New Roman" w:cs="Times New Roman"/>
        </w:rPr>
      </w:pPr>
      <w:bookmarkStart w:id="14" w:name="_Toc174862019"/>
      <w:bookmarkStart w:id="15" w:name="_Hlk173818013"/>
      <w:r w:rsidRPr="00F00296">
        <w:rPr>
          <w:rFonts w:ascii="Times New Roman" w:hAnsi="Times New Roman" w:cs="Times New Roman"/>
        </w:rPr>
        <w:t>C</w:t>
      </w:r>
      <w:r w:rsidR="002F4355" w:rsidRPr="00F00296">
        <w:rPr>
          <w:rFonts w:ascii="Times New Roman" w:hAnsi="Times New Roman" w:cs="Times New Roman"/>
        </w:rPr>
        <w:t xml:space="preserve">, </w:t>
      </w:r>
      <w:r w:rsidRPr="00F00296">
        <w:rPr>
          <w:rFonts w:ascii="Times New Roman" w:hAnsi="Times New Roman" w:cs="Times New Roman"/>
        </w:rPr>
        <w:t>Ratio</w:t>
      </w:r>
      <w:bookmarkEnd w:id="14"/>
    </w:p>
    <w:p w14:paraId="28071248" w14:textId="09AB5AB2" w:rsidR="00F00296" w:rsidRPr="00F00296" w:rsidRDefault="00F00296" w:rsidP="006E6C7D">
      <w:pPr>
        <w:spacing w:line="360" w:lineRule="auto"/>
        <w:jc w:val="both"/>
        <w:rPr>
          <w:rFonts w:ascii="Times New Roman" w:hAnsi="Times New Roman" w:cs="Times New Roman"/>
        </w:rPr>
      </w:pPr>
      <w:r w:rsidRPr="00F00296">
        <w:rPr>
          <w:rFonts w:ascii="Times New Roman" w:hAnsi="Times New Roman" w:cs="Times New Roman"/>
        </w:rPr>
        <w:t>The Current Ratio for M&amp;S has remained relatively stable, around 1.30 over the past five years. This stability suggests that M&amp;S has been able to maintain adequate liquidity to meet its short-term obligations. The ratio peaked at 1.37 in 2019 and slightly declined to 1.35 in 2020, reaching its lowest point at 1.29 in 2021. It then stabilized at 1.30 in 2022 and 2023, indicating consistent management of current liabilities.</w:t>
      </w:r>
    </w:p>
    <w:p w14:paraId="0DC32121" w14:textId="27C8DEFB" w:rsidR="00F00296" w:rsidRPr="00F00296" w:rsidRDefault="00F00296" w:rsidP="006E6C7D">
      <w:pPr>
        <w:spacing w:line="360" w:lineRule="auto"/>
        <w:jc w:val="both"/>
        <w:rPr>
          <w:rFonts w:ascii="Times New Roman" w:hAnsi="Times New Roman" w:cs="Times New Roman"/>
          <w:b/>
          <w:bCs/>
        </w:rPr>
      </w:pPr>
      <w:r w:rsidRPr="00F00296">
        <w:rPr>
          <w:rFonts w:ascii="Times New Roman" w:hAnsi="Times New Roman" w:cs="Times New Roman"/>
          <w:b/>
          <w:bCs/>
        </w:rPr>
        <w:t>Formula</w:t>
      </w:r>
    </w:p>
    <w:p w14:paraId="709F8D36" w14:textId="26D0818F" w:rsidR="0076745A" w:rsidRPr="00F00296" w:rsidRDefault="0076745A" w:rsidP="006E6C7D">
      <w:pPr>
        <w:spacing w:line="360" w:lineRule="auto"/>
        <w:jc w:val="both"/>
        <w:rPr>
          <w:rFonts w:ascii="Times New Roman" w:hAnsi="Times New Roman" w:cs="Times New Roman"/>
        </w:rPr>
      </w:pPr>
      <w:r w:rsidRPr="00F00296">
        <w:rPr>
          <w:rFonts w:ascii="Times New Roman" w:hAnsi="Times New Roman" w:cs="Times New Roman"/>
        </w:rPr>
        <w:t xml:space="preserve">Most often used liquidity ratio; calculated as: Current Ratio = Current Assets / Current Liabilities </w:t>
      </w:r>
    </w:p>
    <w:p w14:paraId="25C44F79" w14:textId="60139070" w:rsidR="00BB0C09" w:rsidRPr="00F00296" w:rsidRDefault="00BB0C09" w:rsidP="00BB0C09">
      <w:pPr>
        <w:pStyle w:val="Heading3"/>
        <w:rPr>
          <w:rFonts w:ascii="Times New Roman" w:hAnsi="Times New Roman" w:cs="Times New Roman"/>
        </w:rPr>
      </w:pPr>
      <w:bookmarkStart w:id="16" w:name="_Toc174862020"/>
      <w:r w:rsidRPr="00F00296">
        <w:rPr>
          <w:rFonts w:ascii="Times New Roman" w:hAnsi="Times New Roman" w:cs="Times New Roman"/>
        </w:rPr>
        <w:t>Calculation</w:t>
      </w:r>
      <w:bookmarkEnd w:id="16"/>
    </w:p>
    <w:p w14:paraId="26E53179" w14:textId="1DB5D413" w:rsidR="00BB0C09" w:rsidRPr="00F00296" w:rsidRDefault="00BB0C09" w:rsidP="00BB0C09">
      <w:pPr>
        <w:spacing w:line="360" w:lineRule="auto"/>
        <w:jc w:val="both"/>
        <w:rPr>
          <w:rFonts w:ascii="Times New Roman" w:hAnsi="Times New Roman" w:cs="Times New Roman"/>
        </w:rPr>
      </w:pPr>
      <w:r w:rsidRPr="00F00296">
        <w:rPr>
          <w:rFonts w:ascii="Times New Roman" w:hAnsi="Times New Roman" w:cs="Times New Roman"/>
          <w:b/>
          <w:bCs/>
        </w:rPr>
        <w:t>2019:</w:t>
      </w:r>
      <w:r w:rsidRPr="00F00296">
        <w:rPr>
          <w:rFonts w:ascii="Times New Roman" w:hAnsi="Times New Roman" w:cs="Times New Roman"/>
        </w:rPr>
        <w:t xml:space="preserve"> Current Ratio=3,142</w:t>
      </w:r>
      <w:r w:rsidR="00D9746F" w:rsidRPr="00F00296">
        <w:rPr>
          <w:rFonts w:ascii="Times New Roman" w:hAnsi="Times New Roman" w:cs="Times New Roman"/>
        </w:rPr>
        <w:t>/</w:t>
      </w:r>
      <w:r w:rsidRPr="00F00296">
        <w:rPr>
          <w:rFonts w:ascii="Times New Roman" w:hAnsi="Times New Roman" w:cs="Times New Roman"/>
        </w:rPr>
        <w:t>2,300≈1.37</w:t>
      </w:r>
    </w:p>
    <w:p w14:paraId="41A7ABE0" w14:textId="6395AF8C" w:rsidR="00BB0C09" w:rsidRPr="00F00296" w:rsidRDefault="00BB0C09" w:rsidP="00BB0C09">
      <w:pPr>
        <w:spacing w:line="360" w:lineRule="auto"/>
        <w:jc w:val="both"/>
        <w:rPr>
          <w:rFonts w:ascii="Times New Roman" w:hAnsi="Times New Roman" w:cs="Times New Roman"/>
        </w:rPr>
      </w:pPr>
      <w:r w:rsidRPr="00F00296">
        <w:rPr>
          <w:rFonts w:ascii="Times New Roman" w:hAnsi="Times New Roman" w:cs="Times New Roman"/>
          <w:b/>
          <w:bCs/>
        </w:rPr>
        <w:t>2020:</w:t>
      </w:r>
      <w:r w:rsidRPr="00F00296">
        <w:rPr>
          <w:rFonts w:ascii="Times New Roman" w:hAnsi="Times New Roman" w:cs="Times New Roman"/>
        </w:rPr>
        <w:t xml:space="preserve"> Current Ratio=3,076</w:t>
      </w:r>
      <w:r w:rsidR="00D9746F" w:rsidRPr="00F00296">
        <w:rPr>
          <w:rFonts w:ascii="Times New Roman" w:hAnsi="Times New Roman" w:cs="Times New Roman"/>
        </w:rPr>
        <w:t>/</w:t>
      </w:r>
      <w:r w:rsidRPr="00F00296">
        <w:rPr>
          <w:rFonts w:ascii="Times New Roman" w:hAnsi="Times New Roman" w:cs="Times New Roman"/>
        </w:rPr>
        <w:t>2,285≈1.35</w:t>
      </w:r>
    </w:p>
    <w:p w14:paraId="58797DB3" w14:textId="08DA29DA" w:rsidR="00BB0C09" w:rsidRPr="00F00296" w:rsidRDefault="00BB0C09" w:rsidP="00BB0C09">
      <w:pPr>
        <w:spacing w:line="360" w:lineRule="auto"/>
        <w:jc w:val="both"/>
        <w:rPr>
          <w:rFonts w:ascii="Times New Roman" w:hAnsi="Times New Roman" w:cs="Times New Roman"/>
        </w:rPr>
      </w:pPr>
      <w:r w:rsidRPr="00F00296">
        <w:rPr>
          <w:rFonts w:ascii="Times New Roman" w:hAnsi="Times New Roman" w:cs="Times New Roman"/>
          <w:b/>
          <w:bCs/>
        </w:rPr>
        <w:lastRenderedPageBreak/>
        <w:t>2021:</w:t>
      </w:r>
      <w:r w:rsidRPr="00F00296">
        <w:rPr>
          <w:rFonts w:ascii="Times New Roman" w:hAnsi="Times New Roman" w:cs="Times New Roman"/>
        </w:rPr>
        <w:t xml:space="preserve"> Current Ratio=2,835</w:t>
      </w:r>
      <w:r w:rsidR="00D9746F" w:rsidRPr="00F00296">
        <w:rPr>
          <w:rFonts w:ascii="Times New Roman" w:hAnsi="Times New Roman" w:cs="Times New Roman"/>
        </w:rPr>
        <w:t>/</w:t>
      </w:r>
      <w:r w:rsidRPr="00F00296">
        <w:rPr>
          <w:rFonts w:ascii="Times New Roman" w:hAnsi="Times New Roman" w:cs="Times New Roman"/>
        </w:rPr>
        <w:t>2,200≈1.29</w:t>
      </w:r>
    </w:p>
    <w:p w14:paraId="073D7F51" w14:textId="348439DB" w:rsidR="00BB0C09" w:rsidRPr="00F00296" w:rsidRDefault="00BB0C09" w:rsidP="00BB0C09">
      <w:pPr>
        <w:spacing w:line="360" w:lineRule="auto"/>
        <w:jc w:val="both"/>
        <w:rPr>
          <w:rFonts w:ascii="Times New Roman" w:hAnsi="Times New Roman" w:cs="Times New Roman"/>
        </w:rPr>
      </w:pPr>
      <w:r w:rsidRPr="00F00296">
        <w:rPr>
          <w:rFonts w:ascii="Times New Roman" w:hAnsi="Times New Roman" w:cs="Times New Roman"/>
          <w:b/>
          <w:bCs/>
        </w:rPr>
        <w:t>2022:</w:t>
      </w:r>
      <w:r w:rsidRPr="00F00296">
        <w:rPr>
          <w:rFonts w:ascii="Times New Roman" w:hAnsi="Times New Roman" w:cs="Times New Roman"/>
        </w:rPr>
        <w:t xml:space="preserve"> Current Ratio=2,920</w:t>
      </w:r>
      <w:r w:rsidR="00D9746F" w:rsidRPr="00F00296">
        <w:rPr>
          <w:rFonts w:ascii="Times New Roman" w:hAnsi="Times New Roman" w:cs="Times New Roman"/>
        </w:rPr>
        <w:t>/</w:t>
      </w:r>
      <w:r w:rsidRPr="00F00296">
        <w:rPr>
          <w:rFonts w:ascii="Times New Roman" w:hAnsi="Times New Roman" w:cs="Times New Roman"/>
        </w:rPr>
        <w:t>2,250≈1.30</w:t>
      </w:r>
    </w:p>
    <w:p w14:paraId="382242DC" w14:textId="4FAC6019" w:rsidR="00BB0C09" w:rsidRPr="00F00296" w:rsidRDefault="00BB0C09" w:rsidP="006E6C7D">
      <w:pPr>
        <w:spacing w:line="360" w:lineRule="auto"/>
        <w:jc w:val="both"/>
        <w:rPr>
          <w:rFonts w:ascii="Times New Roman" w:hAnsi="Times New Roman" w:cs="Times New Roman"/>
        </w:rPr>
      </w:pPr>
      <w:r w:rsidRPr="00F00296">
        <w:rPr>
          <w:rFonts w:ascii="Times New Roman" w:hAnsi="Times New Roman" w:cs="Times New Roman"/>
          <w:b/>
          <w:bCs/>
        </w:rPr>
        <w:t>2023:</w:t>
      </w:r>
      <w:r w:rsidRPr="00F00296">
        <w:rPr>
          <w:rFonts w:ascii="Times New Roman" w:hAnsi="Times New Roman" w:cs="Times New Roman"/>
        </w:rPr>
        <w:t xml:space="preserve"> Current Ratio=3,050</w:t>
      </w:r>
      <w:r w:rsidR="00D9746F" w:rsidRPr="00F00296">
        <w:rPr>
          <w:rFonts w:ascii="Times New Roman" w:hAnsi="Times New Roman" w:cs="Times New Roman"/>
        </w:rPr>
        <w:t>/</w:t>
      </w:r>
      <w:r w:rsidRPr="00F00296">
        <w:rPr>
          <w:rFonts w:ascii="Times New Roman" w:hAnsi="Times New Roman" w:cs="Times New Roman"/>
        </w:rPr>
        <w:t>2,350≈1.30</w:t>
      </w:r>
    </w:p>
    <w:p w14:paraId="2073842B" w14:textId="22EF7B3F" w:rsidR="00C309B2" w:rsidRPr="00F00296" w:rsidRDefault="00C309B2" w:rsidP="00C309B2">
      <w:pPr>
        <w:spacing w:line="360" w:lineRule="auto"/>
        <w:jc w:val="center"/>
        <w:rPr>
          <w:rFonts w:ascii="Times New Roman" w:hAnsi="Times New Roman" w:cs="Times New Roman"/>
        </w:rPr>
      </w:pPr>
      <w:r w:rsidRPr="00F00296">
        <w:rPr>
          <w:rFonts w:ascii="Times New Roman" w:hAnsi="Times New Roman" w:cs="Times New Roman"/>
          <w:noProof/>
        </w:rPr>
        <w:drawing>
          <wp:inline distT="0" distB="0" distL="0" distR="0" wp14:anchorId="72616CEE" wp14:editId="1E9CCACB">
            <wp:extent cx="2505075" cy="1752600"/>
            <wp:effectExtent l="0" t="0" r="9525" b="0"/>
            <wp:docPr id="1001396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396637" name=""/>
                    <pic:cNvPicPr/>
                  </pic:nvPicPr>
                  <pic:blipFill>
                    <a:blip r:embed="rId16"/>
                    <a:stretch>
                      <a:fillRect/>
                    </a:stretch>
                  </pic:blipFill>
                  <pic:spPr>
                    <a:xfrm>
                      <a:off x="0" y="0"/>
                      <a:ext cx="2505075" cy="1752600"/>
                    </a:xfrm>
                    <a:prstGeom prst="rect">
                      <a:avLst/>
                    </a:prstGeom>
                  </pic:spPr>
                </pic:pic>
              </a:graphicData>
            </a:graphic>
          </wp:inline>
        </w:drawing>
      </w:r>
    </w:p>
    <w:p w14:paraId="5857E365" w14:textId="6CF52F65" w:rsidR="00D9746F" w:rsidRPr="00F00296" w:rsidRDefault="00D9746F" w:rsidP="00C309B2">
      <w:pPr>
        <w:spacing w:line="360" w:lineRule="auto"/>
        <w:jc w:val="center"/>
        <w:rPr>
          <w:rFonts w:ascii="Times New Roman" w:hAnsi="Times New Roman" w:cs="Times New Roman"/>
          <w:b/>
        </w:rPr>
      </w:pPr>
      <w:r w:rsidRPr="00F00296">
        <w:rPr>
          <w:rFonts w:ascii="Times New Roman" w:hAnsi="Times New Roman" w:cs="Times New Roman"/>
          <w:b/>
        </w:rPr>
        <w:t>Current Ratio</w:t>
      </w:r>
    </w:p>
    <w:p w14:paraId="26F6DAF4" w14:textId="158B8715" w:rsidR="0076745A" w:rsidRPr="00F00296" w:rsidRDefault="009911F8" w:rsidP="0076745A">
      <w:pPr>
        <w:pStyle w:val="Heading3"/>
        <w:spacing w:line="360" w:lineRule="auto"/>
        <w:rPr>
          <w:rFonts w:ascii="Times New Roman" w:hAnsi="Times New Roman" w:cs="Times New Roman"/>
        </w:rPr>
      </w:pPr>
      <w:bookmarkStart w:id="17" w:name="_Toc174862021"/>
      <w:r w:rsidRPr="00F00296">
        <w:rPr>
          <w:rFonts w:ascii="Times New Roman" w:hAnsi="Times New Roman" w:cs="Times New Roman"/>
        </w:rPr>
        <w:t>Analysis</w:t>
      </w:r>
      <w:bookmarkEnd w:id="17"/>
    </w:p>
    <w:p w14:paraId="158013F4" w14:textId="219D42E6" w:rsidR="0076745A" w:rsidRPr="00F00296" w:rsidRDefault="0076745A" w:rsidP="0076745A">
      <w:pPr>
        <w:spacing w:line="360" w:lineRule="auto"/>
        <w:jc w:val="both"/>
        <w:rPr>
          <w:rFonts w:ascii="Times New Roman" w:hAnsi="Times New Roman" w:cs="Times New Roman"/>
        </w:rPr>
      </w:pPr>
      <w:r w:rsidRPr="00F00296">
        <w:rPr>
          <w:rFonts w:ascii="Times New Roman" w:hAnsi="Times New Roman" w:cs="Times New Roman"/>
        </w:rPr>
        <w:t xml:space="preserve"> Current Ratio has been slightly fluctuating in M&amp;S within the range of 1 as it recorded in the past five years. 30. The given ratio of the population covered with health insurance was 1 in 2019. 37, slightly deteriorated to 1. 35 in the year 2020 and occupies its lowest value of 1. 29 in 2021. In the same regard, the ratio has been observed to fluctuating but is presently constant at 1. 30 in 2022 and 2023 to higher income classes The following table also captured an aspect of income difference based on levels of education and specialization of professional employees. </w:t>
      </w:r>
    </w:p>
    <w:p w14:paraId="7CCB17F1" w14:textId="15283333" w:rsidR="00690C39" w:rsidRPr="00F00296" w:rsidRDefault="00690C39" w:rsidP="00690C39">
      <w:pPr>
        <w:spacing w:line="360" w:lineRule="auto"/>
        <w:jc w:val="center"/>
        <w:rPr>
          <w:rFonts w:ascii="Times New Roman" w:hAnsi="Times New Roman" w:cs="Times New Roman"/>
        </w:rPr>
      </w:pPr>
      <w:r w:rsidRPr="00F00296">
        <w:rPr>
          <w:rFonts w:ascii="Times New Roman" w:hAnsi="Times New Roman" w:cs="Times New Roman"/>
          <w:noProof/>
        </w:rPr>
        <w:drawing>
          <wp:inline distT="0" distB="0" distL="0" distR="0" wp14:anchorId="4256459F" wp14:editId="02B9B6E3">
            <wp:extent cx="4572000" cy="2743200"/>
            <wp:effectExtent l="0" t="0" r="0" b="0"/>
            <wp:docPr id="1477062340" name="Chart 1">
              <a:extLst xmlns:a="http://schemas.openxmlformats.org/drawingml/2006/main">
                <a:ext uri="{FF2B5EF4-FFF2-40B4-BE49-F238E27FC236}">
                  <a16:creationId xmlns:a16="http://schemas.microsoft.com/office/drawing/2014/main" id="{2BC8F433-B819-980B-2E13-CE3058DAA0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240E898" w14:textId="49557363" w:rsidR="00D9746F" w:rsidRPr="00F00296" w:rsidRDefault="00D9746F" w:rsidP="00690C39">
      <w:pPr>
        <w:spacing w:line="360" w:lineRule="auto"/>
        <w:jc w:val="center"/>
        <w:rPr>
          <w:rFonts w:ascii="Times New Roman" w:hAnsi="Times New Roman" w:cs="Times New Roman"/>
          <w:b/>
        </w:rPr>
      </w:pPr>
      <w:r w:rsidRPr="00F00296">
        <w:rPr>
          <w:rFonts w:ascii="Times New Roman" w:hAnsi="Times New Roman" w:cs="Times New Roman"/>
          <w:b/>
        </w:rPr>
        <w:lastRenderedPageBreak/>
        <w:t>Current ration graph</w:t>
      </w:r>
    </w:p>
    <w:p w14:paraId="03DD4FD7" w14:textId="543C6B07" w:rsidR="00DD0CAB" w:rsidRPr="00F00296" w:rsidRDefault="009911F8" w:rsidP="00DD0CAB">
      <w:pPr>
        <w:pStyle w:val="Heading3"/>
        <w:spacing w:line="360" w:lineRule="auto"/>
        <w:rPr>
          <w:rFonts w:ascii="Times New Roman" w:hAnsi="Times New Roman" w:cs="Times New Roman"/>
        </w:rPr>
      </w:pPr>
      <w:bookmarkStart w:id="18" w:name="_Toc174862022"/>
      <w:r w:rsidRPr="00F00296">
        <w:rPr>
          <w:rFonts w:ascii="Times New Roman" w:hAnsi="Times New Roman" w:cs="Times New Roman"/>
        </w:rPr>
        <w:t>Quick Ratio</w:t>
      </w:r>
      <w:bookmarkEnd w:id="18"/>
    </w:p>
    <w:p w14:paraId="574E7EED" w14:textId="601F14A1" w:rsidR="00DD0CAB" w:rsidRPr="00F00296" w:rsidRDefault="00DD0CAB" w:rsidP="00DD0CAB">
      <w:pPr>
        <w:spacing w:line="360" w:lineRule="auto"/>
        <w:jc w:val="both"/>
        <w:rPr>
          <w:rFonts w:ascii="Times New Roman" w:hAnsi="Times New Roman" w:cs="Times New Roman"/>
        </w:rPr>
      </w:pPr>
      <w:r w:rsidRPr="00F00296">
        <w:rPr>
          <w:rFonts w:ascii="Times New Roman" w:hAnsi="Times New Roman" w:cs="Times New Roman"/>
        </w:rPr>
        <w:t xml:space="preserve">The Quick Ratio is another measure of liquidity, but looks even tighter than the one described above. Other currents assets they do not include inventory because inventory is most probably not as liquid or easily convertible to cash. Quick assets less inventory divided by current liabilities Quick ratio = Assets which are quick Less Inventory Divided by Current </w:t>
      </w:r>
      <w:r w:rsidR="00D9746F" w:rsidRPr="00F00296">
        <w:rPr>
          <w:rFonts w:ascii="Times New Roman" w:hAnsi="Times New Roman" w:cs="Times New Roman"/>
        </w:rPr>
        <w:t>Liabilities</w:t>
      </w:r>
      <w:r w:rsidRPr="00F00296">
        <w:rPr>
          <w:rFonts w:ascii="Times New Roman" w:hAnsi="Times New Roman" w:cs="Times New Roman"/>
        </w:rPr>
        <w:t xml:space="preserve"> Examples of Quick ratio It goes like this Quick ratio = (less inventory) /Total current liabilities Actual Quick ratios It is as follows quick ratio = Current assets – Inventory / Current liabilities </w:t>
      </w:r>
    </w:p>
    <w:p w14:paraId="23674F57" w14:textId="27175FA0" w:rsidR="00F00296" w:rsidRPr="00F00296" w:rsidRDefault="00F00296" w:rsidP="00DD0CAB">
      <w:pPr>
        <w:spacing w:line="360" w:lineRule="auto"/>
        <w:jc w:val="both"/>
        <w:rPr>
          <w:rFonts w:ascii="Times New Roman" w:hAnsi="Times New Roman" w:cs="Times New Roman"/>
        </w:rPr>
      </w:pPr>
      <w:r w:rsidRPr="00F00296">
        <w:rPr>
          <w:rFonts w:ascii="Times New Roman" w:hAnsi="Times New Roman" w:cs="Times New Roman"/>
        </w:rPr>
        <w:t>Formula</w:t>
      </w:r>
    </w:p>
    <w:p w14:paraId="79681C97" w14:textId="77777777" w:rsidR="00DD0CAB" w:rsidRPr="00F00296" w:rsidRDefault="00DD0CAB" w:rsidP="00DD0CAB">
      <w:pPr>
        <w:spacing w:line="360" w:lineRule="auto"/>
        <w:jc w:val="both"/>
        <w:rPr>
          <w:rFonts w:ascii="Times New Roman" w:hAnsi="Times New Roman" w:cs="Times New Roman"/>
        </w:rPr>
      </w:pPr>
      <w:r w:rsidRPr="00F00296">
        <w:rPr>
          <w:rFonts w:ascii="Times New Roman" w:hAnsi="Times New Roman" w:cs="Times New Roman"/>
        </w:rPr>
        <w:t xml:space="preserve"> Quick Ratio = (Current Assets – Stock) / Current Liabilities </w:t>
      </w:r>
    </w:p>
    <w:p w14:paraId="037D9F85" w14:textId="097AA41E" w:rsidR="00DD0CAB" w:rsidRPr="00F00296" w:rsidRDefault="00DD0CAB" w:rsidP="00DD0CAB">
      <w:pPr>
        <w:spacing w:line="360" w:lineRule="auto"/>
        <w:jc w:val="both"/>
        <w:rPr>
          <w:rFonts w:ascii="Times New Roman" w:hAnsi="Times New Roman" w:cs="Times New Roman"/>
        </w:rPr>
      </w:pPr>
      <w:r w:rsidRPr="00F00296">
        <w:rPr>
          <w:rFonts w:ascii="Times New Roman" w:hAnsi="Times New Roman" w:cs="Times New Roman"/>
        </w:rPr>
        <w:t xml:space="preserve"> Here are the figures for M&amp;S over the past five </w:t>
      </w:r>
      <w:r w:rsidR="00D9746F" w:rsidRPr="00F00296">
        <w:rPr>
          <w:rFonts w:ascii="Times New Roman" w:hAnsi="Times New Roman" w:cs="Times New Roman"/>
        </w:rPr>
        <w:t>years: Below</w:t>
      </w:r>
      <w:r w:rsidRPr="00F00296">
        <w:rPr>
          <w:rFonts w:ascii="Times New Roman" w:hAnsi="Times New Roman" w:cs="Times New Roman"/>
        </w:rPr>
        <w:t xml:space="preserve"> follows the summarized data of M&amp;S for the past five years:</w:t>
      </w:r>
    </w:p>
    <w:p w14:paraId="6612F467" w14:textId="5D5256E0" w:rsidR="00BB0C09" w:rsidRPr="00F00296" w:rsidRDefault="00BB0C09" w:rsidP="00BB0C09">
      <w:pPr>
        <w:pStyle w:val="Heading3"/>
        <w:rPr>
          <w:rFonts w:ascii="Times New Roman" w:hAnsi="Times New Roman" w:cs="Times New Roman"/>
        </w:rPr>
      </w:pPr>
      <w:bookmarkStart w:id="19" w:name="_Toc174862023"/>
      <w:r w:rsidRPr="00F00296">
        <w:rPr>
          <w:rFonts w:ascii="Times New Roman" w:hAnsi="Times New Roman" w:cs="Times New Roman"/>
        </w:rPr>
        <w:t>Calculation</w:t>
      </w:r>
      <w:bookmarkEnd w:id="19"/>
    </w:p>
    <w:p w14:paraId="7CC79390" w14:textId="6E386B1D" w:rsidR="00BB0C09" w:rsidRPr="00F00296" w:rsidRDefault="00BB0C09" w:rsidP="00BB0C09">
      <w:pPr>
        <w:spacing w:line="360" w:lineRule="auto"/>
        <w:jc w:val="both"/>
        <w:rPr>
          <w:rFonts w:ascii="Times New Roman" w:hAnsi="Times New Roman" w:cs="Times New Roman"/>
        </w:rPr>
      </w:pPr>
      <w:r w:rsidRPr="00F00296">
        <w:rPr>
          <w:rFonts w:ascii="Times New Roman" w:hAnsi="Times New Roman" w:cs="Times New Roman"/>
          <w:b/>
          <w:bCs/>
        </w:rPr>
        <w:t>2019:</w:t>
      </w:r>
      <w:r w:rsidRPr="00F00296">
        <w:rPr>
          <w:rFonts w:ascii="Times New Roman" w:hAnsi="Times New Roman" w:cs="Times New Roman"/>
        </w:rPr>
        <w:t xml:space="preserve"> Quick Ratio=3,142−858</w:t>
      </w:r>
      <w:r w:rsidR="00D9746F" w:rsidRPr="00F00296">
        <w:rPr>
          <w:rFonts w:ascii="Times New Roman" w:hAnsi="Times New Roman" w:cs="Times New Roman"/>
        </w:rPr>
        <w:t>/</w:t>
      </w:r>
      <w:r w:rsidRPr="00F00296">
        <w:rPr>
          <w:rFonts w:ascii="Times New Roman" w:hAnsi="Times New Roman" w:cs="Times New Roman"/>
        </w:rPr>
        <w:t>2,300≈0.99</w:t>
      </w:r>
    </w:p>
    <w:p w14:paraId="17B4048F" w14:textId="057222B0" w:rsidR="00BB0C09" w:rsidRPr="00F00296" w:rsidRDefault="00BB0C09" w:rsidP="00BB0C09">
      <w:pPr>
        <w:spacing w:line="360" w:lineRule="auto"/>
        <w:jc w:val="both"/>
        <w:rPr>
          <w:rFonts w:ascii="Times New Roman" w:hAnsi="Times New Roman" w:cs="Times New Roman"/>
        </w:rPr>
      </w:pPr>
      <w:r w:rsidRPr="00F00296">
        <w:rPr>
          <w:rFonts w:ascii="Times New Roman" w:hAnsi="Times New Roman" w:cs="Times New Roman"/>
          <w:b/>
          <w:bCs/>
        </w:rPr>
        <w:t>2020:</w:t>
      </w:r>
      <w:r w:rsidRPr="00F00296">
        <w:rPr>
          <w:rFonts w:ascii="Times New Roman" w:hAnsi="Times New Roman" w:cs="Times New Roman"/>
        </w:rPr>
        <w:t xml:space="preserve"> Quick Ratio=3,076−845</w:t>
      </w:r>
      <w:r w:rsidR="00D9746F" w:rsidRPr="00F00296">
        <w:rPr>
          <w:rFonts w:ascii="Times New Roman" w:hAnsi="Times New Roman" w:cs="Times New Roman"/>
        </w:rPr>
        <w:t>/</w:t>
      </w:r>
      <w:r w:rsidRPr="00F00296">
        <w:rPr>
          <w:rFonts w:ascii="Times New Roman" w:hAnsi="Times New Roman" w:cs="Times New Roman"/>
        </w:rPr>
        <w:t>2,285≈0.97</w:t>
      </w:r>
    </w:p>
    <w:p w14:paraId="4384A9EC" w14:textId="06A963D4" w:rsidR="00BB0C09" w:rsidRPr="00F00296" w:rsidRDefault="00BB0C09" w:rsidP="00BB0C09">
      <w:pPr>
        <w:spacing w:line="360" w:lineRule="auto"/>
        <w:jc w:val="both"/>
        <w:rPr>
          <w:rFonts w:ascii="Times New Roman" w:hAnsi="Times New Roman" w:cs="Times New Roman"/>
        </w:rPr>
      </w:pPr>
      <w:r w:rsidRPr="00F00296">
        <w:rPr>
          <w:rFonts w:ascii="Times New Roman" w:hAnsi="Times New Roman" w:cs="Times New Roman"/>
          <w:b/>
          <w:bCs/>
        </w:rPr>
        <w:t>2021:</w:t>
      </w:r>
      <w:r w:rsidRPr="00F00296">
        <w:rPr>
          <w:rFonts w:ascii="Times New Roman" w:hAnsi="Times New Roman" w:cs="Times New Roman"/>
        </w:rPr>
        <w:t xml:space="preserve"> Quick Ratio=2,835−830</w:t>
      </w:r>
      <w:r w:rsidR="00D9746F" w:rsidRPr="00F00296">
        <w:rPr>
          <w:rFonts w:ascii="Times New Roman" w:hAnsi="Times New Roman" w:cs="Times New Roman"/>
        </w:rPr>
        <w:t>/</w:t>
      </w:r>
      <w:r w:rsidRPr="00F00296">
        <w:rPr>
          <w:rFonts w:ascii="Times New Roman" w:hAnsi="Times New Roman" w:cs="Times New Roman"/>
        </w:rPr>
        <w:t>2,200≈0.91</w:t>
      </w:r>
    </w:p>
    <w:p w14:paraId="570E21A8" w14:textId="2B675DBC" w:rsidR="00BB0C09" w:rsidRPr="00F00296" w:rsidRDefault="00BB0C09" w:rsidP="00BB0C09">
      <w:pPr>
        <w:spacing w:line="360" w:lineRule="auto"/>
        <w:jc w:val="both"/>
        <w:rPr>
          <w:rFonts w:ascii="Times New Roman" w:hAnsi="Times New Roman" w:cs="Times New Roman"/>
        </w:rPr>
      </w:pPr>
      <w:r w:rsidRPr="00F00296">
        <w:rPr>
          <w:rFonts w:ascii="Times New Roman" w:hAnsi="Times New Roman" w:cs="Times New Roman"/>
          <w:b/>
          <w:bCs/>
        </w:rPr>
        <w:t>2022:</w:t>
      </w:r>
      <w:r w:rsidRPr="00F00296">
        <w:rPr>
          <w:rFonts w:ascii="Times New Roman" w:hAnsi="Times New Roman" w:cs="Times New Roman"/>
        </w:rPr>
        <w:t xml:space="preserve"> Quick Ratio=2,920−820</w:t>
      </w:r>
      <w:r w:rsidR="00D9746F" w:rsidRPr="00F00296">
        <w:rPr>
          <w:rFonts w:ascii="Times New Roman" w:hAnsi="Times New Roman" w:cs="Times New Roman"/>
        </w:rPr>
        <w:t>/</w:t>
      </w:r>
      <w:r w:rsidRPr="00F00296">
        <w:rPr>
          <w:rFonts w:ascii="Times New Roman" w:hAnsi="Times New Roman" w:cs="Times New Roman"/>
        </w:rPr>
        <w:t>2,250≈0.93</w:t>
      </w:r>
    </w:p>
    <w:p w14:paraId="14105610" w14:textId="3783C519" w:rsidR="0076745A" w:rsidRPr="00F00296" w:rsidRDefault="00BB0C09" w:rsidP="006E6C7D">
      <w:pPr>
        <w:spacing w:line="360" w:lineRule="auto"/>
        <w:jc w:val="both"/>
        <w:rPr>
          <w:rFonts w:ascii="Times New Roman" w:hAnsi="Times New Roman" w:cs="Times New Roman"/>
        </w:rPr>
      </w:pPr>
      <w:r w:rsidRPr="00F00296">
        <w:rPr>
          <w:rFonts w:ascii="Times New Roman" w:hAnsi="Times New Roman" w:cs="Times New Roman"/>
          <w:b/>
          <w:bCs/>
        </w:rPr>
        <w:t>2023:</w:t>
      </w:r>
      <w:r w:rsidRPr="00F00296">
        <w:rPr>
          <w:rFonts w:ascii="Times New Roman" w:hAnsi="Times New Roman" w:cs="Times New Roman"/>
        </w:rPr>
        <w:t xml:space="preserve"> Quick Ratio=3,050−810</w:t>
      </w:r>
      <w:r w:rsidR="00D9746F" w:rsidRPr="00F00296">
        <w:rPr>
          <w:rFonts w:ascii="Times New Roman" w:hAnsi="Times New Roman" w:cs="Times New Roman"/>
        </w:rPr>
        <w:t>/</w:t>
      </w:r>
      <w:r w:rsidRPr="00F00296">
        <w:rPr>
          <w:rFonts w:ascii="Times New Roman" w:hAnsi="Times New Roman" w:cs="Times New Roman"/>
        </w:rPr>
        <w:t>2,350≈0.95</w:t>
      </w:r>
    </w:p>
    <w:p w14:paraId="1ADCFBE7" w14:textId="44511DF7" w:rsidR="00C309B2" w:rsidRPr="00F00296" w:rsidRDefault="00C309B2" w:rsidP="00C309B2">
      <w:pPr>
        <w:spacing w:line="360" w:lineRule="auto"/>
        <w:jc w:val="center"/>
        <w:rPr>
          <w:rFonts w:ascii="Times New Roman" w:hAnsi="Times New Roman" w:cs="Times New Roman"/>
        </w:rPr>
      </w:pPr>
      <w:r w:rsidRPr="00F00296">
        <w:rPr>
          <w:rFonts w:ascii="Times New Roman" w:hAnsi="Times New Roman" w:cs="Times New Roman"/>
          <w:noProof/>
        </w:rPr>
        <w:drawing>
          <wp:inline distT="0" distB="0" distL="0" distR="0" wp14:anchorId="20018A2B" wp14:editId="761E6956">
            <wp:extent cx="3171825" cy="1714500"/>
            <wp:effectExtent l="0" t="0" r="9525" b="0"/>
            <wp:docPr id="1655066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066861" name=""/>
                    <pic:cNvPicPr/>
                  </pic:nvPicPr>
                  <pic:blipFill>
                    <a:blip r:embed="rId18"/>
                    <a:stretch>
                      <a:fillRect/>
                    </a:stretch>
                  </pic:blipFill>
                  <pic:spPr>
                    <a:xfrm>
                      <a:off x="0" y="0"/>
                      <a:ext cx="3171825" cy="1714500"/>
                    </a:xfrm>
                    <a:prstGeom prst="rect">
                      <a:avLst/>
                    </a:prstGeom>
                  </pic:spPr>
                </pic:pic>
              </a:graphicData>
            </a:graphic>
          </wp:inline>
        </w:drawing>
      </w:r>
    </w:p>
    <w:p w14:paraId="76F77494" w14:textId="0EA94F56" w:rsidR="00D9746F" w:rsidRPr="00F00296" w:rsidRDefault="00D9746F" w:rsidP="00C309B2">
      <w:pPr>
        <w:spacing w:line="360" w:lineRule="auto"/>
        <w:jc w:val="center"/>
        <w:rPr>
          <w:rFonts w:ascii="Times New Roman" w:hAnsi="Times New Roman" w:cs="Times New Roman"/>
          <w:b/>
        </w:rPr>
      </w:pPr>
      <w:r w:rsidRPr="00F00296">
        <w:rPr>
          <w:rFonts w:ascii="Times New Roman" w:hAnsi="Times New Roman" w:cs="Times New Roman"/>
          <w:b/>
        </w:rPr>
        <w:t>Quick Ratio</w:t>
      </w:r>
    </w:p>
    <w:p w14:paraId="4433B6A3" w14:textId="523700F8" w:rsidR="0076745A" w:rsidRPr="00F00296" w:rsidRDefault="009911F8" w:rsidP="0076745A">
      <w:pPr>
        <w:pStyle w:val="Heading3"/>
        <w:spacing w:line="360" w:lineRule="auto"/>
        <w:rPr>
          <w:rFonts w:ascii="Times New Roman" w:hAnsi="Times New Roman" w:cs="Times New Roman"/>
        </w:rPr>
      </w:pPr>
      <w:bookmarkStart w:id="20" w:name="_Toc174862024"/>
      <w:r w:rsidRPr="00F00296">
        <w:rPr>
          <w:rFonts w:ascii="Times New Roman" w:hAnsi="Times New Roman" w:cs="Times New Roman"/>
        </w:rPr>
        <w:lastRenderedPageBreak/>
        <w:t>Analysis</w:t>
      </w:r>
      <w:bookmarkEnd w:id="20"/>
    </w:p>
    <w:p w14:paraId="0889D3C7" w14:textId="291C47B9" w:rsidR="0076745A" w:rsidRPr="00F00296" w:rsidRDefault="0076745A" w:rsidP="0076745A">
      <w:pPr>
        <w:spacing w:line="360" w:lineRule="auto"/>
        <w:jc w:val="both"/>
        <w:rPr>
          <w:rFonts w:ascii="Times New Roman" w:hAnsi="Times New Roman" w:cs="Times New Roman"/>
        </w:rPr>
      </w:pPr>
      <w:r w:rsidRPr="00F00296">
        <w:rPr>
          <w:rFonts w:ascii="Times New Roman" w:hAnsi="Times New Roman" w:cs="Times New Roman"/>
        </w:rPr>
        <w:t xml:space="preserve"> Concerning working capital, the Quick Ratio has depicted a relatively poor performance by M&amp;S over the five years under analysis, which exhibits a tendency for a company that may face difficulties in the conversion of its relatively higher current assets into cash, other than through the sales of inventories. The value of this statistic is 0 for the year 2019 in terms of the ratio of the total number of patents to the employed people. 99, which slightly decreased down to 0. 97 in 2020</w:t>
      </w:r>
      <w:proofErr w:type="gramStart"/>
      <w:r w:rsidRPr="00F00296">
        <w:rPr>
          <w:rFonts w:ascii="Times New Roman" w:hAnsi="Times New Roman" w:cs="Times New Roman"/>
        </w:rPr>
        <w:t>. ,</w:t>
      </w:r>
      <w:proofErr w:type="gramEnd"/>
      <w:r w:rsidRPr="00F00296">
        <w:rPr>
          <w:rFonts w:ascii="Times New Roman" w:hAnsi="Times New Roman" w:cs="Times New Roman"/>
        </w:rPr>
        <w:t xml:space="preserve"> the change was rather significant and the ratio has bottomed out in 2021, reaching 0. 91 which this may be due to the challenges experienced during the surge of COVID-19 cases. But, there has been a small improvement beginning in 2022 and further improvement in 2023 the ratio of 0. 93 and 0. 95, respectively. </w:t>
      </w:r>
    </w:p>
    <w:p w14:paraId="7E3FF24A" w14:textId="1055472C" w:rsidR="00EE0AAD" w:rsidRPr="00F00296" w:rsidRDefault="00EE0AAD" w:rsidP="00EE0AAD">
      <w:pPr>
        <w:spacing w:line="360" w:lineRule="auto"/>
        <w:jc w:val="center"/>
        <w:rPr>
          <w:rFonts w:ascii="Times New Roman" w:hAnsi="Times New Roman" w:cs="Times New Roman"/>
        </w:rPr>
      </w:pPr>
      <w:r w:rsidRPr="00F00296">
        <w:rPr>
          <w:rFonts w:ascii="Times New Roman" w:hAnsi="Times New Roman" w:cs="Times New Roman"/>
          <w:noProof/>
        </w:rPr>
        <w:drawing>
          <wp:inline distT="0" distB="0" distL="0" distR="0" wp14:anchorId="2DEA78F2" wp14:editId="172EA605">
            <wp:extent cx="4572000" cy="2743200"/>
            <wp:effectExtent l="0" t="0" r="0" b="0"/>
            <wp:docPr id="1797989971" name="Chart 1">
              <a:extLst xmlns:a="http://schemas.openxmlformats.org/drawingml/2006/main">
                <a:ext uri="{FF2B5EF4-FFF2-40B4-BE49-F238E27FC236}">
                  <a16:creationId xmlns:a16="http://schemas.microsoft.com/office/drawing/2014/main" id="{39281A25-7DF9-72EA-EB13-8AC4CB00E5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2982DEA" w14:textId="4E98A594" w:rsidR="00D9746F" w:rsidRPr="00F00296" w:rsidRDefault="00D9746F" w:rsidP="00EE0AAD">
      <w:pPr>
        <w:spacing w:line="360" w:lineRule="auto"/>
        <w:jc w:val="center"/>
        <w:rPr>
          <w:rFonts w:ascii="Times New Roman" w:hAnsi="Times New Roman" w:cs="Times New Roman"/>
          <w:b/>
        </w:rPr>
      </w:pPr>
      <w:r w:rsidRPr="00F00296">
        <w:rPr>
          <w:rFonts w:ascii="Times New Roman" w:hAnsi="Times New Roman" w:cs="Times New Roman"/>
          <w:b/>
        </w:rPr>
        <w:t>Quick Ratio</w:t>
      </w:r>
    </w:p>
    <w:p w14:paraId="22908E7E" w14:textId="77777777" w:rsidR="009911F8" w:rsidRPr="00F00296" w:rsidRDefault="009911F8" w:rsidP="006E6C7D">
      <w:pPr>
        <w:pStyle w:val="Heading3"/>
        <w:spacing w:line="360" w:lineRule="auto"/>
        <w:rPr>
          <w:rFonts w:ascii="Times New Roman" w:hAnsi="Times New Roman" w:cs="Times New Roman"/>
        </w:rPr>
      </w:pPr>
      <w:bookmarkStart w:id="21" w:name="_Toc174862025"/>
      <w:r w:rsidRPr="00F00296">
        <w:rPr>
          <w:rFonts w:ascii="Times New Roman" w:hAnsi="Times New Roman" w:cs="Times New Roman"/>
        </w:rPr>
        <w:t>Summary Table</w:t>
      </w:r>
      <w:bookmarkEnd w:id="21"/>
    </w:p>
    <w:p w14:paraId="1EB74D45" w14:textId="77777777" w:rsidR="009911F8" w:rsidRPr="00F00296" w:rsidRDefault="009911F8" w:rsidP="006E6C7D">
      <w:pPr>
        <w:spacing w:line="360" w:lineRule="auto"/>
        <w:jc w:val="both"/>
        <w:rPr>
          <w:rFonts w:ascii="Times New Roman" w:hAnsi="Times New Roman" w:cs="Times New Roman"/>
        </w:rPr>
      </w:pPr>
      <w:r w:rsidRPr="00F00296">
        <w:rPr>
          <w:rFonts w:ascii="Times New Roman" w:hAnsi="Times New Roman" w:cs="Times New Roman"/>
        </w:rPr>
        <w:t>Below is a summary table of the key liquidity ratios for M&amp;S over the past five years:</w:t>
      </w:r>
    </w:p>
    <w:p w14:paraId="5E5E8C0A" w14:textId="0C457163" w:rsidR="00C309B2" w:rsidRPr="00F00296" w:rsidRDefault="00C309B2" w:rsidP="00C309B2">
      <w:pPr>
        <w:spacing w:line="360" w:lineRule="auto"/>
        <w:jc w:val="center"/>
        <w:rPr>
          <w:rFonts w:ascii="Times New Roman" w:hAnsi="Times New Roman" w:cs="Times New Roman"/>
        </w:rPr>
      </w:pPr>
      <w:r w:rsidRPr="00F00296">
        <w:rPr>
          <w:rFonts w:ascii="Times New Roman" w:hAnsi="Times New Roman" w:cs="Times New Roman"/>
          <w:noProof/>
        </w:rPr>
        <w:lastRenderedPageBreak/>
        <w:drawing>
          <wp:inline distT="0" distB="0" distL="0" distR="0" wp14:anchorId="6C0C663E" wp14:editId="32BB5AAD">
            <wp:extent cx="1895475" cy="1562100"/>
            <wp:effectExtent l="0" t="0" r="9525" b="0"/>
            <wp:docPr id="305711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711244" name=""/>
                    <pic:cNvPicPr/>
                  </pic:nvPicPr>
                  <pic:blipFill>
                    <a:blip r:embed="rId20"/>
                    <a:stretch>
                      <a:fillRect/>
                    </a:stretch>
                  </pic:blipFill>
                  <pic:spPr>
                    <a:xfrm>
                      <a:off x="0" y="0"/>
                      <a:ext cx="1895475" cy="1562100"/>
                    </a:xfrm>
                    <a:prstGeom prst="rect">
                      <a:avLst/>
                    </a:prstGeom>
                  </pic:spPr>
                </pic:pic>
              </a:graphicData>
            </a:graphic>
          </wp:inline>
        </w:drawing>
      </w:r>
    </w:p>
    <w:p w14:paraId="5F1BAABF" w14:textId="4B651608" w:rsidR="00E02A68" w:rsidRPr="00F00296" w:rsidRDefault="00E02A68" w:rsidP="00C309B2">
      <w:pPr>
        <w:spacing w:line="360" w:lineRule="auto"/>
        <w:jc w:val="center"/>
        <w:rPr>
          <w:rFonts w:ascii="Times New Roman" w:hAnsi="Times New Roman" w:cs="Times New Roman"/>
          <w:b/>
        </w:rPr>
      </w:pPr>
      <w:r w:rsidRPr="00F00296">
        <w:rPr>
          <w:rFonts w:ascii="Times New Roman" w:hAnsi="Times New Roman" w:cs="Times New Roman"/>
          <w:b/>
        </w:rPr>
        <w:t>Current and quick ratio</w:t>
      </w:r>
    </w:p>
    <w:p w14:paraId="779C613E" w14:textId="77777777" w:rsidR="009911F8" w:rsidRPr="00F00296" w:rsidRDefault="009911F8" w:rsidP="006E6C7D">
      <w:pPr>
        <w:spacing w:line="360" w:lineRule="auto"/>
        <w:jc w:val="both"/>
        <w:rPr>
          <w:rFonts w:ascii="Times New Roman" w:hAnsi="Times New Roman" w:cs="Times New Roman"/>
        </w:rPr>
      </w:pPr>
    </w:p>
    <w:p w14:paraId="145410B5" w14:textId="7A18CDAE" w:rsidR="00EE0AAD" w:rsidRPr="00F00296" w:rsidRDefault="00EE0AAD" w:rsidP="00EE0AAD">
      <w:pPr>
        <w:spacing w:line="360" w:lineRule="auto"/>
        <w:jc w:val="center"/>
        <w:rPr>
          <w:rFonts w:ascii="Times New Roman" w:hAnsi="Times New Roman" w:cs="Times New Roman"/>
        </w:rPr>
      </w:pPr>
      <w:r w:rsidRPr="00F00296">
        <w:rPr>
          <w:rFonts w:ascii="Times New Roman" w:hAnsi="Times New Roman" w:cs="Times New Roman"/>
          <w:noProof/>
        </w:rPr>
        <w:drawing>
          <wp:inline distT="0" distB="0" distL="0" distR="0" wp14:anchorId="24979242" wp14:editId="65D2C62A">
            <wp:extent cx="4572000" cy="2743200"/>
            <wp:effectExtent l="0" t="0" r="0" b="0"/>
            <wp:docPr id="2143751894" name="Chart 1">
              <a:extLst xmlns:a="http://schemas.openxmlformats.org/drawingml/2006/main">
                <a:ext uri="{FF2B5EF4-FFF2-40B4-BE49-F238E27FC236}">
                  <a16:creationId xmlns:a16="http://schemas.microsoft.com/office/drawing/2014/main" id="{68AF5815-66BF-9B37-9124-A27950088A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1ABC704" w14:textId="77777777" w:rsidR="00DF7F11" w:rsidRPr="00F00296" w:rsidRDefault="00DF7F11" w:rsidP="006E6C7D">
      <w:pPr>
        <w:pStyle w:val="Heading2"/>
        <w:spacing w:line="360" w:lineRule="auto"/>
        <w:rPr>
          <w:rFonts w:cs="Times New Roman"/>
          <w:b w:val="0"/>
        </w:rPr>
      </w:pPr>
      <w:bookmarkStart w:id="22" w:name="_Toc174862026"/>
      <w:r w:rsidRPr="00F00296">
        <w:rPr>
          <w:rFonts w:cs="Times New Roman"/>
        </w:rPr>
        <w:t>Gearing Ratios:</w:t>
      </w:r>
      <w:bookmarkEnd w:id="22"/>
    </w:p>
    <w:p w14:paraId="71EFFB8B" w14:textId="178E18C0" w:rsidR="00DD0CAB" w:rsidRPr="00F00296" w:rsidRDefault="00DD0CAB" w:rsidP="0076745A">
      <w:pPr>
        <w:spacing w:line="360" w:lineRule="auto"/>
        <w:jc w:val="both"/>
        <w:rPr>
          <w:rFonts w:ascii="Times New Roman" w:hAnsi="Times New Roman" w:cs="Times New Roman"/>
        </w:rPr>
      </w:pPr>
      <w:r w:rsidRPr="00F00296">
        <w:rPr>
          <w:rFonts w:ascii="Times New Roman" w:hAnsi="Times New Roman" w:cs="Times New Roman"/>
        </w:rPr>
        <w:t>The result of the Debt-to-Equity Ratio aim to indicate the financial leverage of M&amp;S while the Interest Coverage Ratio will allow understanding the company’s ability to meet the interest charges of the issued bonds. The Interest Coverage Ratio, on the other hand, has reduced implying that the challenges of the firm in covering its interest barrel from operating profits are even higher.</w:t>
      </w:r>
    </w:p>
    <w:p w14:paraId="6796E7B4" w14:textId="2AD79FF6" w:rsidR="00DD0CAB" w:rsidRPr="00F00296" w:rsidRDefault="00AE67E2" w:rsidP="00DD0CAB">
      <w:pPr>
        <w:pStyle w:val="Heading3"/>
        <w:spacing w:line="360" w:lineRule="auto"/>
        <w:rPr>
          <w:rFonts w:ascii="Times New Roman" w:hAnsi="Times New Roman" w:cs="Times New Roman"/>
        </w:rPr>
      </w:pPr>
      <w:bookmarkStart w:id="23" w:name="_Toc174862027"/>
      <w:r w:rsidRPr="00F00296">
        <w:rPr>
          <w:rFonts w:ascii="Times New Roman" w:hAnsi="Times New Roman" w:cs="Times New Roman"/>
        </w:rPr>
        <w:t>D-to-</w:t>
      </w:r>
      <w:r w:rsidR="002F4355" w:rsidRPr="00F00296">
        <w:rPr>
          <w:rFonts w:ascii="Times New Roman" w:hAnsi="Times New Roman" w:cs="Times New Roman"/>
        </w:rPr>
        <w:t>E</w:t>
      </w:r>
      <w:r w:rsidRPr="00F00296">
        <w:rPr>
          <w:rFonts w:ascii="Times New Roman" w:hAnsi="Times New Roman" w:cs="Times New Roman"/>
        </w:rPr>
        <w:t xml:space="preserve"> Ratio</w:t>
      </w:r>
      <w:bookmarkEnd w:id="23"/>
    </w:p>
    <w:p w14:paraId="6E012E7B" w14:textId="77777777" w:rsidR="00E02A68" w:rsidRPr="00F00296" w:rsidRDefault="00DD0CAB" w:rsidP="006E6C7D">
      <w:pPr>
        <w:spacing w:line="360" w:lineRule="auto"/>
        <w:jc w:val="both"/>
        <w:rPr>
          <w:rFonts w:ascii="Times New Roman" w:hAnsi="Times New Roman" w:cs="Times New Roman"/>
        </w:rPr>
      </w:pPr>
      <w:r w:rsidRPr="00F00296">
        <w:rPr>
          <w:rFonts w:ascii="Times New Roman" w:hAnsi="Times New Roman" w:cs="Times New Roman"/>
        </w:rPr>
        <w:t xml:space="preserve">The Debt-to-Equity Ratio is calculated by dividing total liabilities by shareholders' </w:t>
      </w:r>
      <w:proofErr w:type="spellStart"/>
      <w:proofErr w:type="gramStart"/>
      <w:r w:rsidRPr="00F00296">
        <w:rPr>
          <w:rFonts w:ascii="Times New Roman" w:hAnsi="Times New Roman" w:cs="Times New Roman"/>
        </w:rPr>
        <w:t>equity:Debt</w:t>
      </w:r>
      <w:proofErr w:type="spellEnd"/>
      <w:proofErr w:type="gramEnd"/>
      <w:r w:rsidRPr="00F00296">
        <w:rPr>
          <w:rFonts w:ascii="Times New Roman" w:hAnsi="Times New Roman" w:cs="Times New Roman"/>
        </w:rPr>
        <w:t xml:space="preserve"> to equity ratio can be computed from the formula total liabilities divided by shareholders’ equity. </w:t>
      </w:r>
    </w:p>
    <w:p w14:paraId="75EA9756" w14:textId="7F68AEA7" w:rsidR="00E02A68" w:rsidRPr="00F00296" w:rsidRDefault="00DD0CAB" w:rsidP="006E6C7D">
      <w:pPr>
        <w:spacing w:line="360" w:lineRule="auto"/>
        <w:jc w:val="both"/>
        <w:rPr>
          <w:rFonts w:ascii="Times New Roman" w:hAnsi="Times New Roman" w:cs="Times New Roman"/>
        </w:rPr>
      </w:pPr>
      <w:r w:rsidRPr="00F00296">
        <w:rPr>
          <w:rFonts w:ascii="Times New Roman" w:hAnsi="Times New Roman" w:cs="Times New Roman"/>
        </w:rPr>
        <w:lastRenderedPageBreak/>
        <w:t xml:space="preserve">Debt-to-Equity Ratio: total amount of borrowed money in the proportion of shareholders’ funds, or </w:t>
      </w:r>
      <w:r w:rsidR="00E02A68" w:rsidRPr="00F00296">
        <w:rPr>
          <w:rFonts w:ascii="Times New Roman" w:hAnsi="Times New Roman" w:cs="Times New Roman"/>
        </w:rPr>
        <w:t xml:space="preserve">adjusted total debt to equity. </w:t>
      </w:r>
    </w:p>
    <w:p w14:paraId="71B5D4D5" w14:textId="32552B00" w:rsidR="0076745A" w:rsidRPr="00F00296" w:rsidRDefault="00DD0CAB" w:rsidP="006E6C7D">
      <w:pPr>
        <w:spacing w:line="360" w:lineRule="auto"/>
        <w:jc w:val="both"/>
        <w:rPr>
          <w:rFonts w:ascii="Times New Roman" w:hAnsi="Times New Roman" w:cs="Times New Roman"/>
        </w:rPr>
      </w:pPr>
      <w:r w:rsidRPr="00F00296">
        <w:rPr>
          <w:rFonts w:ascii="Times New Roman" w:hAnsi="Times New Roman" w:cs="Times New Roman"/>
        </w:rPr>
        <w:t xml:space="preserve">The above exhibits depicts that the net value of this variable is directly proportional to the net financial leverage which measures the extent a firm finances its activity with debentures. Here are the figures for M&amp;S over the past five </w:t>
      </w:r>
      <w:r w:rsidR="00E02A68" w:rsidRPr="00F00296">
        <w:rPr>
          <w:rFonts w:ascii="Times New Roman" w:hAnsi="Times New Roman" w:cs="Times New Roman"/>
        </w:rPr>
        <w:t>years: Below</w:t>
      </w:r>
      <w:r w:rsidRPr="00F00296">
        <w:rPr>
          <w:rFonts w:ascii="Times New Roman" w:hAnsi="Times New Roman" w:cs="Times New Roman"/>
        </w:rPr>
        <w:t xml:space="preserve"> are the M&amp;S’ performance in Terms of KPIs for the past five years:</w:t>
      </w:r>
    </w:p>
    <w:p w14:paraId="085F667C" w14:textId="549E4D2E" w:rsidR="00F00296" w:rsidRPr="00F00296" w:rsidRDefault="00F00296" w:rsidP="006E6C7D">
      <w:pPr>
        <w:spacing w:line="360" w:lineRule="auto"/>
        <w:jc w:val="both"/>
        <w:rPr>
          <w:rFonts w:ascii="Times New Roman" w:hAnsi="Times New Roman" w:cs="Times New Roman"/>
        </w:rPr>
      </w:pPr>
      <w:r w:rsidRPr="00F00296">
        <w:rPr>
          <w:rFonts w:ascii="Times New Roman" w:hAnsi="Times New Roman" w:cs="Times New Roman"/>
        </w:rPr>
        <w:t>The Debt-to-Equity Ratio for M&amp;S has shown a clear increasing trend over the past five years. In 2019, the ratio was 2.75, which increased to 3.13 in 2020. This upward trend continued with the ratio reaching 3.33 in 2021, 3.72 in 2022, and 3.90 in 2023. The increasing ratio indicates that M&amp;S has been relying more on borrowing to finance its operations and strategic initiatives. This higher financial leverage suggests greater risk, as the company has a higher obligation to service its debt, especially in challenging economic conditions.</w:t>
      </w:r>
    </w:p>
    <w:p w14:paraId="5803C197" w14:textId="0EE5752A" w:rsidR="00F00296" w:rsidRPr="00F00296" w:rsidRDefault="00F00296" w:rsidP="006E6C7D">
      <w:pPr>
        <w:spacing w:line="360" w:lineRule="auto"/>
        <w:jc w:val="both"/>
        <w:rPr>
          <w:rFonts w:ascii="Times New Roman" w:hAnsi="Times New Roman" w:cs="Times New Roman"/>
        </w:rPr>
      </w:pPr>
      <w:r w:rsidRPr="00F00296">
        <w:rPr>
          <w:rFonts w:ascii="Times New Roman" w:hAnsi="Times New Roman" w:cs="Times New Roman"/>
        </w:rPr>
        <w:t>Formula</w:t>
      </w:r>
    </w:p>
    <w:p w14:paraId="13CC73F9" w14:textId="1717354B" w:rsidR="00F00296" w:rsidRPr="00F00296" w:rsidRDefault="00F00296" w:rsidP="006E6C7D">
      <w:pPr>
        <w:spacing w:line="360" w:lineRule="auto"/>
        <w:jc w:val="both"/>
        <w:rPr>
          <w:rFonts w:ascii="Times New Roman" w:hAnsi="Times New Roman" w:cs="Times New Roman"/>
        </w:rPr>
      </w:pPr>
      <w:r w:rsidRPr="00F00296">
        <w:rPr>
          <w:rStyle w:val="mord"/>
          <w:rFonts w:ascii="Times New Roman" w:hAnsi="Times New Roman" w:cs="Times New Roman"/>
        </w:rPr>
        <w:t>Debt-to-Equity Ratio</w:t>
      </w:r>
      <w:r w:rsidRPr="00F00296">
        <w:rPr>
          <w:rStyle w:val="mrel"/>
          <w:rFonts w:ascii="Times New Roman" w:hAnsi="Times New Roman" w:cs="Times New Roman"/>
        </w:rPr>
        <w:t>=</w:t>
      </w:r>
      <w:r w:rsidRPr="00F00296">
        <w:rPr>
          <w:rStyle w:val="mord"/>
          <w:rFonts w:ascii="Times New Roman" w:hAnsi="Times New Roman" w:cs="Times New Roman"/>
        </w:rPr>
        <w:t>Shareholders’ Equity/Total Liabilities</w:t>
      </w:r>
      <w:r w:rsidRPr="00F00296">
        <w:rPr>
          <w:rStyle w:val="vlist-s"/>
          <w:rFonts w:ascii="Times New Roman" w:hAnsi="Times New Roman" w:cs="Times New Roman"/>
        </w:rPr>
        <w:t>​</w:t>
      </w:r>
    </w:p>
    <w:p w14:paraId="1F654FE2" w14:textId="3AC2045C" w:rsidR="00BB0C09" w:rsidRPr="00F00296" w:rsidRDefault="00BB0C09" w:rsidP="00BB0C09">
      <w:pPr>
        <w:pStyle w:val="Heading3"/>
        <w:rPr>
          <w:rFonts w:ascii="Times New Roman" w:hAnsi="Times New Roman" w:cs="Times New Roman"/>
        </w:rPr>
      </w:pPr>
      <w:bookmarkStart w:id="24" w:name="_Toc174862028"/>
      <w:r w:rsidRPr="00F00296">
        <w:rPr>
          <w:rFonts w:ascii="Times New Roman" w:hAnsi="Times New Roman" w:cs="Times New Roman"/>
        </w:rPr>
        <w:t>Calculation</w:t>
      </w:r>
      <w:bookmarkEnd w:id="24"/>
    </w:p>
    <w:p w14:paraId="0CB665D9" w14:textId="000B1FF4" w:rsidR="00BB0C09" w:rsidRPr="00F00296" w:rsidRDefault="00BB0C09" w:rsidP="00BB0C09">
      <w:pPr>
        <w:spacing w:line="360" w:lineRule="auto"/>
        <w:jc w:val="both"/>
        <w:rPr>
          <w:rFonts w:ascii="Times New Roman" w:hAnsi="Times New Roman" w:cs="Times New Roman"/>
        </w:rPr>
      </w:pPr>
      <w:r w:rsidRPr="00F00296">
        <w:rPr>
          <w:rFonts w:ascii="Times New Roman" w:hAnsi="Times New Roman" w:cs="Times New Roman"/>
          <w:b/>
          <w:bCs/>
        </w:rPr>
        <w:t>2019:</w:t>
      </w:r>
      <w:r w:rsidRPr="00F00296">
        <w:rPr>
          <w:rFonts w:ascii="Times New Roman" w:hAnsi="Times New Roman" w:cs="Times New Roman"/>
        </w:rPr>
        <w:t xml:space="preserve"> Debt-to-Equity Ratio=7,542</w:t>
      </w:r>
      <w:r w:rsidR="00E02A68" w:rsidRPr="00F00296">
        <w:rPr>
          <w:rFonts w:ascii="Times New Roman" w:hAnsi="Times New Roman" w:cs="Times New Roman"/>
        </w:rPr>
        <w:t>/</w:t>
      </w:r>
      <w:r w:rsidRPr="00F00296">
        <w:rPr>
          <w:rFonts w:ascii="Times New Roman" w:hAnsi="Times New Roman" w:cs="Times New Roman"/>
        </w:rPr>
        <w:t>2,740≈2.75</w:t>
      </w:r>
    </w:p>
    <w:p w14:paraId="4C6DFA04" w14:textId="45D58E76" w:rsidR="00BB0C09" w:rsidRPr="00F00296" w:rsidRDefault="00BB0C09" w:rsidP="00BB0C09">
      <w:pPr>
        <w:spacing w:line="360" w:lineRule="auto"/>
        <w:jc w:val="both"/>
        <w:rPr>
          <w:rFonts w:ascii="Times New Roman" w:hAnsi="Times New Roman" w:cs="Times New Roman"/>
        </w:rPr>
      </w:pPr>
      <w:r w:rsidRPr="00F00296">
        <w:rPr>
          <w:rFonts w:ascii="Times New Roman" w:hAnsi="Times New Roman" w:cs="Times New Roman"/>
          <w:b/>
          <w:bCs/>
        </w:rPr>
        <w:t>2020:</w:t>
      </w:r>
      <w:r w:rsidRPr="00F00296">
        <w:rPr>
          <w:rFonts w:ascii="Times New Roman" w:hAnsi="Times New Roman" w:cs="Times New Roman"/>
        </w:rPr>
        <w:t xml:space="preserve"> Debt-to-Equity Ratio=7,834</w:t>
      </w:r>
      <w:r w:rsidR="00E02A68" w:rsidRPr="00F00296">
        <w:rPr>
          <w:rFonts w:ascii="Times New Roman" w:hAnsi="Times New Roman" w:cs="Times New Roman"/>
        </w:rPr>
        <w:t>/</w:t>
      </w:r>
      <w:r w:rsidRPr="00F00296">
        <w:rPr>
          <w:rFonts w:ascii="Times New Roman" w:hAnsi="Times New Roman" w:cs="Times New Roman"/>
        </w:rPr>
        <w:t>2,500≈3.13</w:t>
      </w:r>
    </w:p>
    <w:p w14:paraId="321D5088" w14:textId="2CC70EE6" w:rsidR="00BB0C09" w:rsidRPr="00F00296" w:rsidRDefault="00BB0C09" w:rsidP="00BB0C09">
      <w:pPr>
        <w:spacing w:line="360" w:lineRule="auto"/>
        <w:jc w:val="both"/>
        <w:rPr>
          <w:rFonts w:ascii="Times New Roman" w:hAnsi="Times New Roman" w:cs="Times New Roman"/>
        </w:rPr>
      </w:pPr>
      <w:r w:rsidRPr="00F00296">
        <w:rPr>
          <w:rFonts w:ascii="Times New Roman" w:hAnsi="Times New Roman" w:cs="Times New Roman"/>
          <w:b/>
          <w:bCs/>
        </w:rPr>
        <w:t>2021:</w:t>
      </w:r>
      <w:r w:rsidRPr="00F00296">
        <w:rPr>
          <w:rFonts w:ascii="Times New Roman" w:hAnsi="Times New Roman" w:cs="Times New Roman"/>
        </w:rPr>
        <w:t xml:space="preserve"> Debt-to-Equity Ratio=7,650</w:t>
      </w:r>
      <w:r w:rsidR="00E02A68" w:rsidRPr="00F00296">
        <w:rPr>
          <w:rFonts w:ascii="Times New Roman" w:hAnsi="Times New Roman" w:cs="Times New Roman"/>
        </w:rPr>
        <w:t>/</w:t>
      </w:r>
      <w:r w:rsidRPr="00F00296">
        <w:rPr>
          <w:rFonts w:ascii="Times New Roman" w:hAnsi="Times New Roman" w:cs="Times New Roman"/>
        </w:rPr>
        <w:t>2,300≈3.33</w:t>
      </w:r>
    </w:p>
    <w:p w14:paraId="29A74C85" w14:textId="6B936059" w:rsidR="00BB0C09" w:rsidRPr="00F00296" w:rsidRDefault="00BB0C09" w:rsidP="00BB0C09">
      <w:pPr>
        <w:spacing w:line="360" w:lineRule="auto"/>
        <w:jc w:val="both"/>
        <w:rPr>
          <w:rFonts w:ascii="Times New Roman" w:hAnsi="Times New Roman" w:cs="Times New Roman"/>
        </w:rPr>
      </w:pPr>
      <w:r w:rsidRPr="00F00296">
        <w:rPr>
          <w:rFonts w:ascii="Times New Roman" w:hAnsi="Times New Roman" w:cs="Times New Roman"/>
          <w:b/>
          <w:bCs/>
        </w:rPr>
        <w:t>2022:</w:t>
      </w:r>
      <w:r w:rsidRPr="00F00296">
        <w:rPr>
          <w:rFonts w:ascii="Times New Roman" w:hAnsi="Times New Roman" w:cs="Times New Roman"/>
        </w:rPr>
        <w:t xml:space="preserve"> Debt-to-Equity Ratio=8,000</w:t>
      </w:r>
      <w:r w:rsidR="00E02A68" w:rsidRPr="00F00296">
        <w:rPr>
          <w:rFonts w:ascii="Times New Roman" w:hAnsi="Times New Roman" w:cs="Times New Roman"/>
        </w:rPr>
        <w:t>/</w:t>
      </w:r>
      <w:r w:rsidRPr="00F00296">
        <w:rPr>
          <w:rFonts w:ascii="Times New Roman" w:hAnsi="Times New Roman" w:cs="Times New Roman"/>
        </w:rPr>
        <w:t>2,150≈3.72</w:t>
      </w:r>
    </w:p>
    <w:p w14:paraId="76281F8C" w14:textId="0FE42B86" w:rsidR="00BB0C09" w:rsidRPr="00F00296" w:rsidRDefault="00BB0C09" w:rsidP="006E6C7D">
      <w:pPr>
        <w:spacing w:line="360" w:lineRule="auto"/>
        <w:jc w:val="both"/>
        <w:rPr>
          <w:rFonts w:ascii="Times New Roman" w:hAnsi="Times New Roman" w:cs="Times New Roman"/>
        </w:rPr>
      </w:pPr>
      <w:r w:rsidRPr="00F00296">
        <w:rPr>
          <w:rFonts w:ascii="Times New Roman" w:hAnsi="Times New Roman" w:cs="Times New Roman"/>
          <w:b/>
          <w:bCs/>
        </w:rPr>
        <w:t>2023:</w:t>
      </w:r>
      <w:r w:rsidRPr="00F00296">
        <w:rPr>
          <w:rFonts w:ascii="Times New Roman" w:hAnsi="Times New Roman" w:cs="Times New Roman"/>
        </w:rPr>
        <w:t xml:space="preserve"> Debt-to-Equity Ratio=8,200</w:t>
      </w:r>
      <w:r w:rsidR="00E02A68" w:rsidRPr="00F00296">
        <w:rPr>
          <w:rFonts w:ascii="Times New Roman" w:hAnsi="Times New Roman" w:cs="Times New Roman"/>
        </w:rPr>
        <w:t>/</w:t>
      </w:r>
      <w:r w:rsidRPr="00F00296">
        <w:rPr>
          <w:rFonts w:ascii="Times New Roman" w:hAnsi="Times New Roman" w:cs="Times New Roman"/>
        </w:rPr>
        <w:t>2,100≈3.90</w:t>
      </w:r>
    </w:p>
    <w:p w14:paraId="545B7EB1" w14:textId="2BA64729" w:rsidR="00BB0C09" w:rsidRPr="00F00296" w:rsidRDefault="00C309B2" w:rsidP="00C309B2">
      <w:pPr>
        <w:spacing w:line="360" w:lineRule="auto"/>
        <w:jc w:val="center"/>
        <w:rPr>
          <w:rFonts w:ascii="Times New Roman" w:hAnsi="Times New Roman" w:cs="Times New Roman"/>
        </w:rPr>
      </w:pPr>
      <w:r w:rsidRPr="00F00296">
        <w:rPr>
          <w:rFonts w:ascii="Times New Roman" w:hAnsi="Times New Roman" w:cs="Times New Roman"/>
          <w:noProof/>
        </w:rPr>
        <w:lastRenderedPageBreak/>
        <w:drawing>
          <wp:inline distT="0" distB="0" distL="0" distR="0" wp14:anchorId="2504AC37" wp14:editId="3F4F75EC">
            <wp:extent cx="2543175" cy="2019300"/>
            <wp:effectExtent l="0" t="0" r="9525" b="0"/>
            <wp:docPr id="426966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966039" name=""/>
                    <pic:cNvPicPr/>
                  </pic:nvPicPr>
                  <pic:blipFill>
                    <a:blip r:embed="rId22"/>
                    <a:stretch>
                      <a:fillRect/>
                    </a:stretch>
                  </pic:blipFill>
                  <pic:spPr>
                    <a:xfrm>
                      <a:off x="0" y="0"/>
                      <a:ext cx="2543175" cy="2019300"/>
                    </a:xfrm>
                    <a:prstGeom prst="rect">
                      <a:avLst/>
                    </a:prstGeom>
                  </pic:spPr>
                </pic:pic>
              </a:graphicData>
            </a:graphic>
          </wp:inline>
        </w:drawing>
      </w:r>
    </w:p>
    <w:p w14:paraId="04A6881F" w14:textId="77777777" w:rsidR="00AE67E2" w:rsidRPr="00F00296" w:rsidRDefault="00AE67E2" w:rsidP="006E6C7D">
      <w:pPr>
        <w:pStyle w:val="Heading3"/>
        <w:spacing w:line="360" w:lineRule="auto"/>
        <w:rPr>
          <w:rFonts w:ascii="Times New Roman" w:hAnsi="Times New Roman" w:cs="Times New Roman"/>
        </w:rPr>
      </w:pPr>
      <w:bookmarkStart w:id="25" w:name="_Toc174862029"/>
      <w:r w:rsidRPr="00F00296">
        <w:rPr>
          <w:rFonts w:ascii="Times New Roman" w:hAnsi="Times New Roman" w:cs="Times New Roman"/>
        </w:rPr>
        <w:t>Analysis</w:t>
      </w:r>
      <w:bookmarkEnd w:id="25"/>
    </w:p>
    <w:p w14:paraId="3C1BB565" w14:textId="3CF859B3" w:rsidR="0076745A" w:rsidRPr="00F00296" w:rsidRDefault="0076745A" w:rsidP="0076745A">
      <w:pPr>
        <w:spacing w:line="360" w:lineRule="auto"/>
        <w:jc w:val="both"/>
        <w:rPr>
          <w:rFonts w:ascii="Times New Roman" w:hAnsi="Times New Roman" w:cs="Times New Roman"/>
        </w:rPr>
      </w:pPr>
      <w:r w:rsidRPr="00F00296">
        <w:rPr>
          <w:rFonts w:ascii="Times New Roman" w:hAnsi="Times New Roman" w:cs="Times New Roman"/>
        </w:rPr>
        <w:t xml:space="preserve">Regarding the Debt-to-Equity Ratio, the following is evident from the analysis of M&amp;S for the past five years; it has been on the rise. As for the ratio of credit to GNI, it reached 2 in 2019. 75, which raised up to 3. 13 in 2020. This carried on up to the ratio equals 3. 33 in 2021, 3. New </w:t>
      </w:r>
      <w:proofErr w:type="gramStart"/>
      <w:r w:rsidRPr="00F00296">
        <w:rPr>
          <w:rFonts w:ascii="Times New Roman" w:hAnsi="Times New Roman" w:cs="Times New Roman"/>
        </w:rPr>
        <w:t>hope’s</w:t>
      </w:r>
      <w:proofErr w:type="gramEnd"/>
      <w:r w:rsidRPr="00F00296">
        <w:rPr>
          <w:rFonts w:ascii="Times New Roman" w:hAnsi="Times New Roman" w:cs="Times New Roman"/>
        </w:rPr>
        <w:t xml:space="preserve"> has 72 employee’s in 2022 and has 3. 90 in 2023. Thus, the relative growth of the borrowing ratio implies that M&amp;S had been levering up for operating the business and executing the strategies. </w:t>
      </w:r>
    </w:p>
    <w:p w14:paraId="09032A44" w14:textId="18876EF0" w:rsidR="00EE0AAD" w:rsidRPr="00F00296" w:rsidRDefault="00EE0AAD" w:rsidP="00EE0AAD">
      <w:pPr>
        <w:spacing w:line="360" w:lineRule="auto"/>
        <w:jc w:val="center"/>
        <w:rPr>
          <w:rFonts w:ascii="Times New Roman" w:hAnsi="Times New Roman" w:cs="Times New Roman"/>
        </w:rPr>
      </w:pPr>
      <w:r w:rsidRPr="00F00296">
        <w:rPr>
          <w:rFonts w:ascii="Times New Roman" w:hAnsi="Times New Roman" w:cs="Times New Roman"/>
          <w:noProof/>
        </w:rPr>
        <w:drawing>
          <wp:inline distT="0" distB="0" distL="0" distR="0" wp14:anchorId="1EB7A503" wp14:editId="064223EF">
            <wp:extent cx="4572000" cy="2743200"/>
            <wp:effectExtent l="0" t="0" r="0" b="0"/>
            <wp:docPr id="64433860" name="Chart 1">
              <a:extLst xmlns:a="http://schemas.openxmlformats.org/drawingml/2006/main">
                <a:ext uri="{FF2B5EF4-FFF2-40B4-BE49-F238E27FC236}">
                  <a16:creationId xmlns:a16="http://schemas.microsoft.com/office/drawing/2014/main" id="{CA7371FC-84FE-4B8B-5788-6953D15606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21F81D2" w14:textId="070C5E8D" w:rsidR="00AE67E2" w:rsidRPr="00F00296" w:rsidRDefault="002F4355" w:rsidP="006E6C7D">
      <w:pPr>
        <w:pStyle w:val="Heading3"/>
        <w:spacing w:line="360" w:lineRule="auto"/>
        <w:rPr>
          <w:rFonts w:ascii="Times New Roman" w:hAnsi="Times New Roman" w:cs="Times New Roman"/>
        </w:rPr>
      </w:pPr>
      <w:bookmarkStart w:id="26" w:name="_Toc174862030"/>
      <w:r w:rsidRPr="00F00296">
        <w:rPr>
          <w:rFonts w:ascii="Times New Roman" w:hAnsi="Times New Roman" w:cs="Times New Roman"/>
        </w:rPr>
        <w:t>ICR</w:t>
      </w:r>
      <w:bookmarkEnd w:id="26"/>
    </w:p>
    <w:p w14:paraId="01A4013B" w14:textId="59020CFD" w:rsidR="00DD0CAB" w:rsidRPr="00F00296" w:rsidRDefault="00DD0CAB" w:rsidP="00DD0CAB">
      <w:pPr>
        <w:spacing w:line="360" w:lineRule="auto"/>
        <w:jc w:val="both"/>
        <w:rPr>
          <w:rFonts w:ascii="Times New Roman" w:hAnsi="Times New Roman" w:cs="Times New Roman"/>
        </w:rPr>
      </w:pPr>
      <w:r w:rsidRPr="00F00296">
        <w:rPr>
          <w:rFonts w:ascii="Times New Roman" w:hAnsi="Times New Roman" w:cs="Times New Roman"/>
        </w:rPr>
        <w:t>Interest Coverage Ratio is a measure of the business’s capacity to pay its interest bearing costs from the earnings of the business before taxes and interests.</w:t>
      </w:r>
    </w:p>
    <w:p w14:paraId="3EB926A5" w14:textId="099A512B" w:rsidR="009B5B25" w:rsidRPr="00F00296" w:rsidRDefault="009B5B25" w:rsidP="00DD0CAB">
      <w:pPr>
        <w:spacing w:line="360" w:lineRule="auto"/>
        <w:jc w:val="both"/>
        <w:rPr>
          <w:rFonts w:ascii="Times New Roman" w:hAnsi="Times New Roman" w:cs="Times New Roman"/>
        </w:rPr>
      </w:pPr>
      <w:r w:rsidRPr="00F00296">
        <w:rPr>
          <w:rFonts w:ascii="Times New Roman" w:hAnsi="Times New Roman" w:cs="Times New Roman"/>
        </w:rPr>
        <w:t xml:space="preserve">Formula </w:t>
      </w:r>
    </w:p>
    <w:p w14:paraId="00288D28" w14:textId="32FB2037" w:rsidR="009B5B25" w:rsidRPr="00F00296" w:rsidRDefault="009B5B25" w:rsidP="009B5B25">
      <w:pPr>
        <w:spacing w:line="360" w:lineRule="auto"/>
        <w:jc w:val="both"/>
        <w:rPr>
          <w:rFonts w:ascii="Times New Roman" w:hAnsi="Times New Roman" w:cs="Times New Roman"/>
        </w:rPr>
      </w:pPr>
      <w:r w:rsidRPr="00F00296">
        <w:rPr>
          <w:rFonts w:ascii="Times New Roman" w:hAnsi="Times New Roman" w:cs="Times New Roman"/>
        </w:rPr>
        <w:lastRenderedPageBreak/>
        <w:t>Interest Coverage Ratio = EBIT/interest Expenses</w:t>
      </w:r>
    </w:p>
    <w:p w14:paraId="4283C213" w14:textId="06BDCE4A" w:rsidR="00BB0C09" w:rsidRPr="00F00296" w:rsidRDefault="00BB0C09" w:rsidP="00BB0C09">
      <w:pPr>
        <w:pStyle w:val="Heading3"/>
        <w:rPr>
          <w:rFonts w:ascii="Times New Roman" w:hAnsi="Times New Roman" w:cs="Times New Roman"/>
        </w:rPr>
      </w:pPr>
      <w:bookmarkStart w:id="27" w:name="_Toc174862031"/>
      <w:r w:rsidRPr="00F00296">
        <w:rPr>
          <w:rFonts w:ascii="Times New Roman" w:hAnsi="Times New Roman" w:cs="Times New Roman"/>
        </w:rPr>
        <w:t>Calculation</w:t>
      </w:r>
      <w:bookmarkEnd w:id="27"/>
    </w:p>
    <w:p w14:paraId="53B932A9" w14:textId="5E1337E3" w:rsidR="00BB0C09" w:rsidRPr="00F00296" w:rsidRDefault="00BB0C09" w:rsidP="00BB0C09">
      <w:pPr>
        <w:spacing w:line="360" w:lineRule="auto"/>
        <w:jc w:val="both"/>
        <w:rPr>
          <w:rFonts w:ascii="Times New Roman" w:hAnsi="Times New Roman" w:cs="Times New Roman"/>
        </w:rPr>
      </w:pPr>
      <w:r w:rsidRPr="00F00296">
        <w:rPr>
          <w:rFonts w:ascii="Times New Roman" w:hAnsi="Times New Roman" w:cs="Times New Roman"/>
          <w:b/>
          <w:bCs/>
        </w:rPr>
        <w:t>2019:</w:t>
      </w:r>
      <w:r w:rsidRPr="00F00296">
        <w:rPr>
          <w:rFonts w:ascii="Times New Roman" w:hAnsi="Times New Roman" w:cs="Times New Roman"/>
        </w:rPr>
        <w:t xml:space="preserve"> Interest Coverage Ratio=677</w:t>
      </w:r>
      <w:r w:rsidR="00E757B1" w:rsidRPr="00F00296">
        <w:rPr>
          <w:rFonts w:ascii="Times New Roman" w:hAnsi="Times New Roman" w:cs="Times New Roman"/>
        </w:rPr>
        <w:t>/</w:t>
      </w:r>
      <w:r w:rsidRPr="00F00296">
        <w:rPr>
          <w:rFonts w:ascii="Times New Roman" w:hAnsi="Times New Roman" w:cs="Times New Roman"/>
        </w:rPr>
        <w:t>150≈4.51</w:t>
      </w:r>
    </w:p>
    <w:p w14:paraId="02D95C7C" w14:textId="2253F7F4" w:rsidR="00BB0C09" w:rsidRPr="00F00296" w:rsidRDefault="00BB0C09" w:rsidP="00BB0C09">
      <w:pPr>
        <w:spacing w:line="360" w:lineRule="auto"/>
        <w:jc w:val="both"/>
        <w:rPr>
          <w:rFonts w:ascii="Times New Roman" w:hAnsi="Times New Roman" w:cs="Times New Roman"/>
        </w:rPr>
      </w:pPr>
      <w:r w:rsidRPr="00F00296">
        <w:rPr>
          <w:rFonts w:ascii="Times New Roman" w:hAnsi="Times New Roman" w:cs="Times New Roman"/>
          <w:b/>
          <w:bCs/>
        </w:rPr>
        <w:t>2020:</w:t>
      </w:r>
      <w:r w:rsidRPr="00F00296">
        <w:rPr>
          <w:rFonts w:ascii="Times New Roman" w:hAnsi="Times New Roman" w:cs="Times New Roman"/>
        </w:rPr>
        <w:t xml:space="preserve"> Interest Coverage Ratio=625</w:t>
      </w:r>
      <w:r w:rsidR="00E757B1" w:rsidRPr="00F00296">
        <w:rPr>
          <w:rFonts w:ascii="Times New Roman" w:hAnsi="Times New Roman" w:cs="Times New Roman"/>
        </w:rPr>
        <w:t>/</w:t>
      </w:r>
      <w:r w:rsidRPr="00F00296">
        <w:rPr>
          <w:rFonts w:ascii="Times New Roman" w:hAnsi="Times New Roman" w:cs="Times New Roman"/>
        </w:rPr>
        <w:t>160≈3.91</w:t>
      </w:r>
    </w:p>
    <w:p w14:paraId="67BDA16A" w14:textId="0A5C021E" w:rsidR="00BB0C09" w:rsidRPr="00F00296" w:rsidRDefault="00BB0C09" w:rsidP="00BB0C09">
      <w:pPr>
        <w:spacing w:line="360" w:lineRule="auto"/>
        <w:jc w:val="both"/>
        <w:rPr>
          <w:rFonts w:ascii="Times New Roman" w:hAnsi="Times New Roman" w:cs="Times New Roman"/>
        </w:rPr>
      </w:pPr>
      <w:r w:rsidRPr="00F00296">
        <w:rPr>
          <w:rFonts w:ascii="Times New Roman" w:hAnsi="Times New Roman" w:cs="Times New Roman"/>
          <w:b/>
          <w:bCs/>
        </w:rPr>
        <w:t>2021:</w:t>
      </w:r>
      <w:r w:rsidRPr="00F00296">
        <w:rPr>
          <w:rFonts w:ascii="Times New Roman" w:hAnsi="Times New Roman" w:cs="Times New Roman"/>
        </w:rPr>
        <w:t xml:space="preserve"> Interest Coverage Ratio=590</w:t>
      </w:r>
      <w:r w:rsidR="00E757B1" w:rsidRPr="00F00296">
        <w:rPr>
          <w:rFonts w:ascii="Times New Roman" w:hAnsi="Times New Roman" w:cs="Times New Roman"/>
        </w:rPr>
        <w:t>/</w:t>
      </w:r>
      <w:r w:rsidRPr="00F00296">
        <w:rPr>
          <w:rFonts w:ascii="Times New Roman" w:hAnsi="Times New Roman" w:cs="Times New Roman"/>
        </w:rPr>
        <w:t>170≈3.47</w:t>
      </w:r>
    </w:p>
    <w:p w14:paraId="70E64B54" w14:textId="06C9EE67" w:rsidR="00BB0C09" w:rsidRPr="00F00296" w:rsidRDefault="00BB0C09" w:rsidP="00BB0C09">
      <w:pPr>
        <w:spacing w:line="360" w:lineRule="auto"/>
        <w:jc w:val="both"/>
        <w:rPr>
          <w:rFonts w:ascii="Times New Roman" w:hAnsi="Times New Roman" w:cs="Times New Roman"/>
        </w:rPr>
      </w:pPr>
      <w:r w:rsidRPr="00F00296">
        <w:rPr>
          <w:rFonts w:ascii="Times New Roman" w:hAnsi="Times New Roman" w:cs="Times New Roman"/>
          <w:b/>
          <w:bCs/>
        </w:rPr>
        <w:t>2022:</w:t>
      </w:r>
      <w:r w:rsidRPr="00F00296">
        <w:rPr>
          <w:rFonts w:ascii="Times New Roman" w:hAnsi="Times New Roman" w:cs="Times New Roman"/>
        </w:rPr>
        <w:t xml:space="preserve"> Interest Coverage Ratio=550</w:t>
      </w:r>
      <w:r w:rsidR="00E757B1" w:rsidRPr="00F00296">
        <w:rPr>
          <w:rFonts w:ascii="Times New Roman" w:hAnsi="Times New Roman" w:cs="Times New Roman"/>
        </w:rPr>
        <w:t>/</w:t>
      </w:r>
      <w:r w:rsidRPr="00F00296">
        <w:rPr>
          <w:rFonts w:ascii="Times New Roman" w:hAnsi="Times New Roman" w:cs="Times New Roman"/>
        </w:rPr>
        <w:t>180≈3.06</w:t>
      </w:r>
    </w:p>
    <w:p w14:paraId="1BBB1666" w14:textId="0BCB8D0F" w:rsidR="00BB0C09" w:rsidRPr="00F00296" w:rsidRDefault="00BB0C09" w:rsidP="00DD0CAB">
      <w:pPr>
        <w:spacing w:line="360" w:lineRule="auto"/>
        <w:jc w:val="both"/>
        <w:rPr>
          <w:rFonts w:ascii="Times New Roman" w:hAnsi="Times New Roman" w:cs="Times New Roman"/>
        </w:rPr>
      </w:pPr>
      <w:r w:rsidRPr="00F00296">
        <w:rPr>
          <w:rFonts w:ascii="Times New Roman" w:hAnsi="Times New Roman" w:cs="Times New Roman"/>
          <w:b/>
          <w:bCs/>
        </w:rPr>
        <w:t>2023:</w:t>
      </w:r>
      <w:r w:rsidRPr="00F00296">
        <w:rPr>
          <w:rFonts w:ascii="Times New Roman" w:hAnsi="Times New Roman" w:cs="Times New Roman"/>
        </w:rPr>
        <w:t xml:space="preserve"> Interest Coverage Ratio=510</w:t>
      </w:r>
      <w:r w:rsidR="00E757B1" w:rsidRPr="00F00296">
        <w:rPr>
          <w:rFonts w:ascii="Times New Roman" w:hAnsi="Times New Roman" w:cs="Times New Roman"/>
        </w:rPr>
        <w:t>/</w:t>
      </w:r>
      <w:r w:rsidRPr="00F00296">
        <w:rPr>
          <w:rFonts w:ascii="Times New Roman" w:hAnsi="Times New Roman" w:cs="Times New Roman"/>
        </w:rPr>
        <w:t>190≈2.68</w:t>
      </w:r>
    </w:p>
    <w:p w14:paraId="7241A44C" w14:textId="1AEF2F4D" w:rsidR="003B5ACC" w:rsidRPr="00F00296" w:rsidRDefault="00C309B2" w:rsidP="00C309B2">
      <w:pPr>
        <w:spacing w:line="360" w:lineRule="auto"/>
        <w:jc w:val="center"/>
        <w:rPr>
          <w:rFonts w:ascii="Times New Roman" w:hAnsi="Times New Roman" w:cs="Times New Roman"/>
        </w:rPr>
      </w:pPr>
      <w:r w:rsidRPr="00F00296">
        <w:rPr>
          <w:rFonts w:ascii="Times New Roman" w:hAnsi="Times New Roman" w:cs="Times New Roman"/>
          <w:noProof/>
        </w:rPr>
        <w:drawing>
          <wp:inline distT="0" distB="0" distL="0" distR="0" wp14:anchorId="1E376CEA" wp14:editId="4F5A18AF">
            <wp:extent cx="2533650" cy="1676400"/>
            <wp:effectExtent l="0" t="0" r="0" b="0"/>
            <wp:docPr id="1441821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821558" name=""/>
                    <pic:cNvPicPr/>
                  </pic:nvPicPr>
                  <pic:blipFill>
                    <a:blip r:embed="rId24"/>
                    <a:stretch>
                      <a:fillRect/>
                    </a:stretch>
                  </pic:blipFill>
                  <pic:spPr>
                    <a:xfrm>
                      <a:off x="0" y="0"/>
                      <a:ext cx="2533650" cy="1676400"/>
                    </a:xfrm>
                    <a:prstGeom prst="rect">
                      <a:avLst/>
                    </a:prstGeom>
                  </pic:spPr>
                </pic:pic>
              </a:graphicData>
            </a:graphic>
          </wp:inline>
        </w:drawing>
      </w:r>
    </w:p>
    <w:p w14:paraId="64F64EF3" w14:textId="6AA3A0FB" w:rsidR="00E757B1" w:rsidRPr="00F00296" w:rsidRDefault="00E757B1" w:rsidP="00C309B2">
      <w:pPr>
        <w:spacing w:line="360" w:lineRule="auto"/>
        <w:jc w:val="center"/>
        <w:rPr>
          <w:rFonts w:ascii="Times New Roman" w:hAnsi="Times New Roman" w:cs="Times New Roman"/>
        </w:rPr>
      </w:pPr>
      <w:r w:rsidRPr="00F00296">
        <w:rPr>
          <w:rFonts w:ascii="Times New Roman" w:hAnsi="Times New Roman" w:cs="Times New Roman"/>
        </w:rPr>
        <w:t>ICR summary</w:t>
      </w:r>
    </w:p>
    <w:p w14:paraId="20FB310B" w14:textId="4F783A1B" w:rsidR="003B5ACC" w:rsidRPr="00F00296" w:rsidRDefault="00AE67E2" w:rsidP="003B5ACC">
      <w:pPr>
        <w:pStyle w:val="Heading3"/>
        <w:spacing w:line="360" w:lineRule="auto"/>
        <w:rPr>
          <w:rFonts w:ascii="Times New Roman" w:hAnsi="Times New Roman" w:cs="Times New Roman"/>
        </w:rPr>
      </w:pPr>
      <w:bookmarkStart w:id="28" w:name="_Toc174862032"/>
      <w:r w:rsidRPr="00F00296">
        <w:rPr>
          <w:rFonts w:ascii="Times New Roman" w:hAnsi="Times New Roman" w:cs="Times New Roman"/>
        </w:rPr>
        <w:t>Analysis</w:t>
      </w:r>
      <w:bookmarkEnd w:id="28"/>
    </w:p>
    <w:p w14:paraId="336D2B24" w14:textId="40514C55" w:rsidR="003B5ACC" w:rsidRPr="00F00296" w:rsidRDefault="003B5ACC" w:rsidP="003B5ACC">
      <w:pPr>
        <w:spacing w:line="360" w:lineRule="auto"/>
        <w:jc w:val="both"/>
        <w:rPr>
          <w:rFonts w:ascii="Times New Roman" w:hAnsi="Times New Roman" w:cs="Times New Roman"/>
        </w:rPr>
      </w:pPr>
      <w:r w:rsidRPr="00F00296">
        <w:rPr>
          <w:rFonts w:ascii="Times New Roman" w:hAnsi="Times New Roman" w:cs="Times New Roman"/>
        </w:rPr>
        <w:t xml:space="preserve">Comparatively the ratio was 4 in the fiscal year 2019. 51 that later reduced to 3. 91 in 2020. This decline however persisted with ratio decreasing to 3. 47 in 2021, 3. 06 in 2022, and it go lower getting to 2. 68 in 2023. The fact that Interest Coverage Ratio has continue </w:t>
      </w:r>
      <w:proofErr w:type="spellStart"/>
      <w:r w:rsidRPr="00F00296">
        <w:rPr>
          <w:rFonts w:ascii="Times New Roman" w:hAnsi="Times New Roman" w:cs="Times New Roman"/>
        </w:rPr>
        <w:t>todecline</w:t>
      </w:r>
      <w:proofErr w:type="spellEnd"/>
      <w:r w:rsidRPr="00F00296">
        <w:rPr>
          <w:rFonts w:ascii="Times New Roman" w:hAnsi="Times New Roman" w:cs="Times New Roman"/>
        </w:rPr>
        <w:t xml:space="preserve"> suggest that the firm is feeling the pressure of covering its interest cost from its operating profits. These ratios show a declining trend which may have implications of financial risk for the company; particularly, there is a higher possibility of the company facing financial difficulties in the future if operating profits</w:t>
      </w:r>
      <w:r w:rsidRPr="00F00296">
        <w:rPr>
          <w:rFonts w:ascii="Times New Roman" w:eastAsia="MS Mincho" w:hAnsi="Times New Roman" w:cs="Times New Roman"/>
        </w:rPr>
        <w:t>跌</w:t>
      </w:r>
      <w:r w:rsidRPr="00F00296">
        <w:rPr>
          <w:rFonts w:ascii="Times New Roman" w:hAnsi="Times New Roman" w:cs="Times New Roman"/>
        </w:rPr>
        <w:t xml:space="preserve"> are not maintained or if interest expenses rise.</w:t>
      </w:r>
    </w:p>
    <w:p w14:paraId="12CB5BF9" w14:textId="433B9903" w:rsidR="00EE0AAD" w:rsidRPr="00F00296" w:rsidRDefault="00EE0AAD" w:rsidP="00EE0AAD">
      <w:pPr>
        <w:spacing w:line="360" w:lineRule="auto"/>
        <w:jc w:val="center"/>
        <w:rPr>
          <w:rFonts w:ascii="Times New Roman" w:hAnsi="Times New Roman" w:cs="Times New Roman"/>
        </w:rPr>
      </w:pPr>
      <w:r w:rsidRPr="00F00296">
        <w:rPr>
          <w:rFonts w:ascii="Times New Roman" w:hAnsi="Times New Roman" w:cs="Times New Roman"/>
          <w:noProof/>
        </w:rPr>
        <w:lastRenderedPageBreak/>
        <w:drawing>
          <wp:inline distT="0" distB="0" distL="0" distR="0" wp14:anchorId="06E2A69A" wp14:editId="401E0816">
            <wp:extent cx="4572000" cy="2743200"/>
            <wp:effectExtent l="0" t="0" r="0" b="0"/>
            <wp:docPr id="2043605606" name="Chart 1">
              <a:extLst xmlns:a="http://schemas.openxmlformats.org/drawingml/2006/main">
                <a:ext uri="{FF2B5EF4-FFF2-40B4-BE49-F238E27FC236}">
                  <a16:creationId xmlns:a16="http://schemas.microsoft.com/office/drawing/2014/main" id="{5C709F2F-D9F8-987D-8938-3A64F1FB70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069F303" w14:textId="35731248" w:rsidR="00E757B1" w:rsidRPr="00F00296" w:rsidRDefault="00E757B1" w:rsidP="00EE0AAD">
      <w:pPr>
        <w:spacing w:line="360" w:lineRule="auto"/>
        <w:jc w:val="center"/>
        <w:rPr>
          <w:rFonts w:ascii="Times New Roman" w:hAnsi="Times New Roman" w:cs="Times New Roman"/>
        </w:rPr>
      </w:pPr>
      <w:r w:rsidRPr="00F00296">
        <w:rPr>
          <w:rFonts w:ascii="Times New Roman" w:hAnsi="Times New Roman" w:cs="Times New Roman"/>
        </w:rPr>
        <w:t>ICR graph</w:t>
      </w:r>
    </w:p>
    <w:p w14:paraId="21E67D64" w14:textId="77777777" w:rsidR="00AE67E2" w:rsidRPr="00F00296" w:rsidRDefault="00AE67E2" w:rsidP="006E6C7D">
      <w:pPr>
        <w:pStyle w:val="Heading3"/>
        <w:spacing w:line="360" w:lineRule="auto"/>
        <w:rPr>
          <w:rFonts w:ascii="Times New Roman" w:hAnsi="Times New Roman" w:cs="Times New Roman"/>
        </w:rPr>
      </w:pPr>
      <w:bookmarkStart w:id="29" w:name="_Toc174862033"/>
      <w:r w:rsidRPr="00F00296">
        <w:rPr>
          <w:rFonts w:ascii="Times New Roman" w:hAnsi="Times New Roman" w:cs="Times New Roman"/>
        </w:rPr>
        <w:t>Summary Table</w:t>
      </w:r>
      <w:bookmarkEnd w:id="29"/>
    </w:p>
    <w:p w14:paraId="22652B8A" w14:textId="77777777" w:rsidR="00AE67E2" w:rsidRPr="00F00296" w:rsidRDefault="00AE67E2" w:rsidP="006E6C7D">
      <w:pPr>
        <w:spacing w:line="360" w:lineRule="auto"/>
        <w:jc w:val="both"/>
        <w:rPr>
          <w:rFonts w:ascii="Times New Roman" w:hAnsi="Times New Roman" w:cs="Times New Roman"/>
        </w:rPr>
      </w:pPr>
      <w:r w:rsidRPr="00F00296">
        <w:rPr>
          <w:rFonts w:ascii="Times New Roman" w:hAnsi="Times New Roman" w:cs="Times New Roman"/>
        </w:rPr>
        <w:t>Below is a summary table of the key gearing ratios for M&amp;S over the past five years:</w:t>
      </w:r>
    </w:p>
    <w:p w14:paraId="361D4344" w14:textId="6B1BB631" w:rsidR="00C309B2" w:rsidRPr="00F00296" w:rsidRDefault="00C309B2" w:rsidP="00C309B2">
      <w:pPr>
        <w:spacing w:line="360" w:lineRule="auto"/>
        <w:jc w:val="center"/>
        <w:rPr>
          <w:rFonts w:ascii="Times New Roman" w:hAnsi="Times New Roman" w:cs="Times New Roman"/>
        </w:rPr>
      </w:pPr>
      <w:r w:rsidRPr="00F00296">
        <w:rPr>
          <w:rFonts w:ascii="Times New Roman" w:hAnsi="Times New Roman" w:cs="Times New Roman"/>
          <w:noProof/>
        </w:rPr>
        <w:drawing>
          <wp:inline distT="0" distB="0" distL="0" distR="0" wp14:anchorId="21296166" wp14:editId="4B8A5999">
            <wp:extent cx="1943100" cy="1752600"/>
            <wp:effectExtent l="0" t="0" r="0" b="0"/>
            <wp:docPr id="1664193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193865" name=""/>
                    <pic:cNvPicPr/>
                  </pic:nvPicPr>
                  <pic:blipFill>
                    <a:blip r:embed="rId26"/>
                    <a:stretch>
                      <a:fillRect/>
                    </a:stretch>
                  </pic:blipFill>
                  <pic:spPr>
                    <a:xfrm>
                      <a:off x="0" y="0"/>
                      <a:ext cx="1943100" cy="1752600"/>
                    </a:xfrm>
                    <a:prstGeom prst="rect">
                      <a:avLst/>
                    </a:prstGeom>
                  </pic:spPr>
                </pic:pic>
              </a:graphicData>
            </a:graphic>
          </wp:inline>
        </w:drawing>
      </w:r>
    </w:p>
    <w:p w14:paraId="4C025CD1" w14:textId="415578A3" w:rsidR="00AE67E2" w:rsidRPr="00F00296" w:rsidRDefault="00EE0AAD" w:rsidP="00EE0AAD">
      <w:pPr>
        <w:spacing w:line="360" w:lineRule="auto"/>
        <w:jc w:val="center"/>
        <w:rPr>
          <w:rFonts w:ascii="Times New Roman" w:hAnsi="Times New Roman" w:cs="Times New Roman"/>
        </w:rPr>
      </w:pPr>
      <w:r w:rsidRPr="00F00296">
        <w:rPr>
          <w:rFonts w:ascii="Times New Roman" w:hAnsi="Times New Roman" w:cs="Times New Roman"/>
          <w:noProof/>
        </w:rPr>
        <w:lastRenderedPageBreak/>
        <w:drawing>
          <wp:inline distT="0" distB="0" distL="0" distR="0" wp14:anchorId="0701E3DA" wp14:editId="6E8EE57A">
            <wp:extent cx="4572000" cy="2743200"/>
            <wp:effectExtent l="0" t="0" r="0" b="0"/>
            <wp:docPr id="664179893" name="Chart 1">
              <a:extLst xmlns:a="http://schemas.openxmlformats.org/drawingml/2006/main">
                <a:ext uri="{FF2B5EF4-FFF2-40B4-BE49-F238E27FC236}">
                  <a16:creationId xmlns:a16="http://schemas.microsoft.com/office/drawing/2014/main" id="{DB5AFBDD-E777-F31F-932F-C9C43681A2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5E70DC59" w14:textId="5F3AD89A" w:rsidR="003B5ACC" w:rsidRPr="00F00296" w:rsidRDefault="00DF7F11" w:rsidP="003B5ACC">
      <w:pPr>
        <w:pStyle w:val="Heading2"/>
        <w:spacing w:line="360" w:lineRule="auto"/>
        <w:rPr>
          <w:rFonts w:cs="Times New Roman"/>
          <w:b w:val="0"/>
        </w:rPr>
      </w:pPr>
      <w:bookmarkStart w:id="30" w:name="_Toc174862034"/>
      <w:r w:rsidRPr="00F00296">
        <w:rPr>
          <w:rFonts w:cs="Times New Roman"/>
        </w:rPr>
        <w:t>Efficiency Ratios:</w:t>
      </w:r>
      <w:bookmarkEnd w:id="30"/>
    </w:p>
    <w:p w14:paraId="39A8A3B9" w14:textId="6FEC69A9" w:rsidR="003B5ACC" w:rsidRPr="00F00296" w:rsidRDefault="003B5ACC" w:rsidP="003B5ACC">
      <w:pPr>
        <w:spacing w:line="360" w:lineRule="auto"/>
        <w:jc w:val="both"/>
        <w:rPr>
          <w:rFonts w:ascii="Times New Roman" w:hAnsi="Times New Roman" w:cs="Times New Roman"/>
        </w:rPr>
      </w:pPr>
      <w:r w:rsidRPr="00F00296">
        <w:rPr>
          <w:rFonts w:ascii="Times New Roman" w:hAnsi="Times New Roman" w:cs="Times New Roman"/>
        </w:rPr>
        <w:t xml:space="preserve">The entrant Inventory Turnover Ratio shows that despite different market conditions, M&amp;S has not interfered a lot with its inventory ratio. Another result portrays that the company has improved its efficiency of collection from customers as indicated by the Receivables Turnover Ratio, which has increased. </w:t>
      </w:r>
    </w:p>
    <w:p w14:paraId="480FBB10" w14:textId="6C867D4F" w:rsidR="00DD0CAB" w:rsidRPr="00F00296" w:rsidRDefault="00AE67E2" w:rsidP="00DD0CAB">
      <w:pPr>
        <w:pStyle w:val="Heading3"/>
        <w:spacing w:line="360" w:lineRule="auto"/>
        <w:rPr>
          <w:rFonts w:ascii="Times New Roman" w:hAnsi="Times New Roman" w:cs="Times New Roman"/>
        </w:rPr>
      </w:pPr>
      <w:bookmarkStart w:id="31" w:name="_Toc174862035"/>
      <w:r w:rsidRPr="00F00296">
        <w:rPr>
          <w:rFonts w:ascii="Times New Roman" w:hAnsi="Times New Roman" w:cs="Times New Roman"/>
        </w:rPr>
        <w:t>I</w:t>
      </w:r>
      <w:r w:rsidR="002F4355" w:rsidRPr="00F00296">
        <w:rPr>
          <w:rFonts w:ascii="Times New Roman" w:hAnsi="Times New Roman" w:cs="Times New Roman"/>
        </w:rPr>
        <w:t>TR</w:t>
      </w:r>
      <w:bookmarkEnd w:id="31"/>
    </w:p>
    <w:p w14:paraId="3E508238" w14:textId="5266268D" w:rsidR="00F00296" w:rsidRPr="00F00296" w:rsidRDefault="00F00296" w:rsidP="00DD0CAB">
      <w:pPr>
        <w:spacing w:line="360" w:lineRule="auto"/>
        <w:jc w:val="both"/>
        <w:rPr>
          <w:rFonts w:ascii="Times New Roman" w:hAnsi="Times New Roman" w:cs="Times New Roman"/>
        </w:rPr>
      </w:pPr>
      <w:r w:rsidRPr="00F00296">
        <w:rPr>
          <w:rFonts w:ascii="Times New Roman" w:hAnsi="Times New Roman" w:cs="Times New Roman"/>
        </w:rPr>
        <w:t>The Inventory Turnover Ratio for M&amp;S has remained relatively stable over the past five years, with slight fluctuations. In 2019, the ratio was 5.89, which slightly increased to 5.98 in 2020. The ratio remained at 5.89 in 2021, then increased to 6.07 in 2022, and further to 6.22 in 2023. These figures suggest that M&amp;S has managed its inventory levels effectively, maintaining a consistent rate of inventory turnover despite market challenges. The stable and slightly improving ratio indicates that M&amp;S is efficiently managing its inventory, ensuring products are sold and replaced in a timely manner.</w:t>
      </w:r>
    </w:p>
    <w:p w14:paraId="33E1D1D4" w14:textId="3F39A2AA" w:rsidR="00F00296" w:rsidRPr="00F00296" w:rsidRDefault="00F00296" w:rsidP="00DD0CAB">
      <w:pPr>
        <w:spacing w:line="360" w:lineRule="auto"/>
        <w:jc w:val="both"/>
        <w:rPr>
          <w:rFonts w:ascii="Times New Roman" w:hAnsi="Times New Roman" w:cs="Times New Roman"/>
        </w:rPr>
      </w:pPr>
      <w:r w:rsidRPr="00F00296">
        <w:rPr>
          <w:rFonts w:ascii="Times New Roman" w:hAnsi="Times New Roman" w:cs="Times New Roman"/>
        </w:rPr>
        <w:t>Formula</w:t>
      </w:r>
    </w:p>
    <w:p w14:paraId="19669255" w14:textId="46BC3BD7" w:rsidR="00DD0CAB" w:rsidRPr="00F00296" w:rsidRDefault="00DD0CAB" w:rsidP="00DD0CAB">
      <w:pPr>
        <w:spacing w:line="360" w:lineRule="auto"/>
        <w:jc w:val="both"/>
        <w:rPr>
          <w:rFonts w:ascii="Times New Roman" w:hAnsi="Times New Roman" w:cs="Times New Roman"/>
        </w:rPr>
      </w:pPr>
      <w:r w:rsidRPr="00F00296">
        <w:rPr>
          <w:rFonts w:ascii="Times New Roman" w:hAnsi="Times New Roman" w:cs="Times New Roman"/>
        </w:rPr>
        <w:t xml:space="preserve">Turnover Ratio is as follows: COGS / Average Inventory. </w:t>
      </w:r>
    </w:p>
    <w:p w14:paraId="234C2DD8" w14:textId="6D121448" w:rsidR="00360346" w:rsidRPr="00F00296" w:rsidRDefault="00360346" w:rsidP="00360346">
      <w:pPr>
        <w:pStyle w:val="Heading3"/>
        <w:rPr>
          <w:rFonts w:ascii="Times New Roman" w:hAnsi="Times New Roman" w:cs="Times New Roman"/>
        </w:rPr>
      </w:pPr>
      <w:bookmarkStart w:id="32" w:name="_Toc174862036"/>
      <w:r w:rsidRPr="00F00296">
        <w:rPr>
          <w:rFonts w:ascii="Times New Roman" w:hAnsi="Times New Roman" w:cs="Times New Roman"/>
        </w:rPr>
        <w:t>Calculation</w:t>
      </w:r>
      <w:bookmarkEnd w:id="32"/>
    </w:p>
    <w:p w14:paraId="3C878C10" w14:textId="1A912502" w:rsidR="00360346" w:rsidRPr="00F00296" w:rsidRDefault="00360346" w:rsidP="00360346">
      <w:pPr>
        <w:spacing w:line="360" w:lineRule="auto"/>
        <w:jc w:val="both"/>
        <w:rPr>
          <w:rFonts w:ascii="Times New Roman" w:hAnsi="Times New Roman" w:cs="Times New Roman"/>
        </w:rPr>
      </w:pPr>
      <w:r w:rsidRPr="00F00296">
        <w:rPr>
          <w:rFonts w:ascii="Times New Roman" w:hAnsi="Times New Roman" w:cs="Times New Roman"/>
          <w:b/>
          <w:bCs/>
        </w:rPr>
        <w:t>2019:</w:t>
      </w:r>
      <w:r w:rsidRPr="00F00296">
        <w:rPr>
          <w:rFonts w:ascii="Times New Roman" w:hAnsi="Times New Roman" w:cs="Times New Roman"/>
        </w:rPr>
        <w:t xml:space="preserve"> Inventory Turnover Ratio=5,600</w:t>
      </w:r>
      <w:r w:rsidR="00E757B1" w:rsidRPr="00F00296">
        <w:rPr>
          <w:rFonts w:ascii="Times New Roman" w:hAnsi="Times New Roman" w:cs="Times New Roman"/>
        </w:rPr>
        <w:t>/</w:t>
      </w:r>
      <w:r w:rsidRPr="00F00296">
        <w:rPr>
          <w:rFonts w:ascii="Times New Roman" w:hAnsi="Times New Roman" w:cs="Times New Roman"/>
        </w:rPr>
        <w:t>950≈5.89</w:t>
      </w:r>
    </w:p>
    <w:p w14:paraId="37151E6D" w14:textId="4D4570D4" w:rsidR="00360346" w:rsidRPr="00F00296" w:rsidRDefault="00360346" w:rsidP="00360346">
      <w:pPr>
        <w:spacing w:line="360" w:lineRule="auto"/>
        <w:jc w:val="both"/>
        <w:rPr>
          <w:rFonts w:ascii="Times New Roman" w:hAnsi="Times New Roman" w:cs="Times New Roman"/>
        </w:rPr>
      </w:pPr>
      <w:r w:rsidRPr="00F00296">
        <w:rPr>
          <w:rFonts w:ascii="Times New Roman" w:hAnsi="Times New Roman" w:cs="Times New Roman"/>
          <w:b/>
          <w:bCs/>
        </w:rPr>
        <w:lastRenderedPageBreak/>
        <w:t>2020:</w:t>
      </w:r>
      <w:r w:rsidRPr="00F00296">
        <w:rPr>
          <w:rFonts w:ascii="Times New Roman" w:hAnsi="Times New Roman" w:cs="Times New Roman"/>
        </w:rPr>
        <w:t xml:space="preserve"> Inventory Turnover Ratio=5,500</w:t>
      </w:r>
      <w:r w:rsidR="00E757B1" w:rsidRPr="00F00296">
        <w:rPr>
          <w:rFonts w:ascii="Times New Roman" w:hAnsi="Times New Roman" w:cs="Times New Roman"/>
        </w:rPr>
        <w:t>/</w:t>
      </w:r>
      <w:r w:rsidRPr="00F00296">
        <w:rPr>
          <w:rFonts w:ascii="Times New Roman" w:hAnsi="Times New Roman" w:cs="Times New Roman"/>
        </w:rPr>
        <w:t>920≈5.98</w:t>
      </w:r>
    </w:p>
    <w:p w14:paraId="403D028E" w14:textId="7C064A35" w:rsidR="00360346" w:rsidRPr="00F00296" w:rsidRDefault="00360346" w:rsidP="00360346">
      <w:pPr>
        <w:spacing w:line="360" w:lineRule="auto"/>
        <w:jc w:val="both"/>
        <w:rPr>
          <w:rFonts w:ascii="Times New Roman" w:hAnsi="Times New Roman" w:cs="Times New Roman"/>
        </w:rPr>
      </w:pPr>
      <w:r w:rsidRPr="00F00296">
        <w:rPr>
          <w:rFonts w:ascii="Times New Roman" w:hAnsi="Times New Roman" w:cs="Times New Roman"/>
          <w:b/>
          <w:bCs/>
        </w:rPr>
        <w:t>2021:</w:t>
      </w:r>
      <w:r w:rsidRPr="00F00296">
        <w:rPr>
          <w:rFonts w:ascii="Times New Roman" w:hAnsi="Times New Roman" w:cs="Times New Roman"/>
        </w:rPr>
        <w:t xml:space="preserve"> Inventory Turnover Ratio=5,300</w:t>
      </w:r>
      <w:r w:rsidR="00E757B1" w:rsidRPr="00F00296">
        <w:rPr>
          <w:rFonts w:ascii="Times New Roman" w:hAnsi="Times New Roman" w:cs="Times New Roman"/>
        </w:rPr>
        <w:t>/</w:t>
      </w:r>
      <w:r w:rsidRPr="00F00296">
        <w:rPr>
          <w:rFonts w:ascii="Times New Roman" w:hAnsi="Times New Roman" w:cs="Times New Roman"/>
        </w:rPr>
        <w:t>900≈5.89</w:t>
      </w:r>
    </w:p>
    <w:p w14:paraId="7F97DBF2" w14:textId="1859C140" w:rsidR="00360346" w:rsidRPr="00F00296" w:rsidRDefault="00360346" w:rsidP="00360346">
      <w:pPr>
        <w:spacing w:line="360" w:lineRule="auto"/>
        <w:jc w:val="both"/>
        <w:rPr>
          <w:rFonts w:ascii="Times New Roman" w:hAnsi="Times New Roman" w:cs="Times New Roman"/>
        </w:rPr>
      </w:pPr>
      <w:r w:rsidRPr="00F00296">
        <w:rPr>
          <w:rFonts w:ascii="Times New Roman" w:hAnsi="Times New Roman" w:cs="Times New Roman"/>
          <w:b/>
          <w:bCs/>
        </w:rPr>
        <w:t>2022:</w:t>
      </w:r>
      <w:r w:rsidRPr="00F00296">
        <w:rPr>
          <w:rFonts w:ascii="Times New Roman" w:hAnsi="Times New Roman" w:cs="Times New Roman"/>
        </w:rPr>
        <w:t xml:space="preserve"> Inventory Turnover Ratio=5,400</w:t>
      </w:r>
      <w:r w:rsidR="00E757B1" w:rsidRPr="00F00296">
        <w:rPr>
          <w:rFonts w:ascii="Times New Roman" w:hAnsi="Times New Roman" w:cs="Times New Roman"/>
        </w:rPr>
        <w:t>/</w:t>
      </w:r>
      <w:r w:rsidRPr="00F00296">
        <w:rPr>
          <w:rFonts w:ascii="Times New Roman" w:hAnsi="Times New Roman" w:cs="Times New Roman"/>
        </w:rPr>
        <w:t>890≈6.07</w:t>
      </w:r>
    </w:p>
    <w:p w14:paraId="4AE01EE2" w14:textId="4657809A" w:rsidR="00360346" w:rsidRPr="00F00296" w:rsidRDefault="00360346" w:rsidP="00DD0CAB">
      <w:pPr>
        <w:spacing w:line="360" w:lineRule="auto"/>
        <w:jc w:val="both"/>
        <w:rPr>
          <w:rFonts w:ascii="Times New Roman" w:hAnsi="Times New Roman" w:cs="Times New Roman"/>
        </w:rPr>
      </w:pPr>
      <w:r w:rsidRPr="00F00296">
        <w:rPr>
          <w:rFonts w:ascii="Times New Roman" w:hAnsi="Times New Roman" w:cs="Times New Roman"/>
          <w:b/>
          <w:bCs/>
        </w:rPr>
        <w:t>2023:</w:t>
      </w:r>
      <w:r w:rsidRPr="00F00296">
        <w:rPr>
          <w:rFonts w:ascii="Times New Roman" w:hAnsi="Times New Roman" w:cs="Times New Roman"/>
        </w:rPr>
        <w:t xml:space="preserve"> Inventory Turnover Ratio=5,600</w:t>
      </w:r>
      <w:r w:rsidR="00E757B1" w:rsidRPr="00F00296">
        <w:rPr>
          <w:rFonts w:ascii="Times New Roman" w:hAnsi="Times New Roman" w:cs="Times New Roman"/>
        </w:rPr>
        <w:t>/</w:t>
      </w:r>
      <w:r w:rsidRPr="00F00296">
        <w:rPr>
          <w:rFonts w:ascii="Times New Roman" w:hAnsi="Times New Roman" w:cs="Times New Roman"/>
        </w:rPr>
        <w:t>900≈6.22</w:t>
      </w:r>
    </w:p>
    <w:p w14:paraId="697B2DF3" w14:textId="18547778" w:rsidR="00DD0CAB" w:rsidRPr="00F00296" w:rsidRDefault="00360346" w:rsidP="00DD0CAB">
      <w:pPr>
        <w:spacing w:line="360" w:lineRule="auto"/>
        <w:jc w:val="both"/>
        <w:rPr>
          <w:rFonts w:ascii="Times New Roman" w:hAnsi="Times New Roman" w:cs="Times New Roman"/>
        </w:rPr>
      </w:pPr>
      <w:r w:rsidRPr="00F00296">
        <w:rPr>
          <w:rFonts w:ascii="Times New Roman" w:hAnsi="Times New Roman" w:cs="Times New Roman"/>
        </w:rPr>
        <w:t>Therefore,</w:t>
      </w:r>
      <w:r w:rsidR="00DD0CAB" w:rsidRPr="00F00296">
        <w:rPr>
          <w:rFonts w:ascii="Times New Roman" w:hAnsi="Times New Roman" w:cs="Times New Roman"/>
        </w:rPr>
        <w:t xml:space="preserve"> the formula for Inventory Turnover Ratio is as follows; Inventory Turnover Ratio= (Total Cost of sales + Beginning Inventory) / Total Sale -COGS /Average Inventory</w:t>
      </w:r>
    </w:p>
    <w:p w14:paraId="220DBC62" w14:textId="470B6570" w:rsidR="00C309B2" w:rsidRPr="00F00296" w:rsidRDefault="00C309B2" w:rsidP="00C309B2">
      <w:pPr>
        <w:spacing w:line="360" w:lineRule="auto"/>
        <w:jc w:val="center"/>
        <w:rPr>
          <w:rFonts w:ascii="Times New Roman" w:hAnsi="Times New Roman" w:cs="Times New Roman"/>
        </w:rPr>
      </w:pPr>
      <w:r w:rsidRPr="00F00296">
        <w:rPr>
          <w:rFonts w:ascii="Times New Roman" w:hAnsi="Times New Roman" w:cs="Times New Roman"/>
          <w:noProof/>
        </w:rPr>
        <w:drawing>
          <wp:inline distT="0" distB="0" distL="0" distR="0" wp14:anchorId="1B3F4FB5" wp14:editId="66E19A4F">
            <wp:extent cx="2638425" cy="2219325"/>
            <wp:effectExtent l="0" t="0" r="9525" b="9525"/>
            <wp:docPr id="1204997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997983" name=""/>
                    <pic:cNvPicPr/>
                  </pic:nvPicPr>
                  <pic:blipFill>
                    <a:blip r:embed="rId28"/>
                    <a:stretch>
                      <a:fillRect/>
                    </a:stretch>
                  </pic:blipFill>
                  <pic:spPr>
                    <a:xfrm>
                      <a:off x="0" y="0"/>
                      <a:ext cx="2638425" cy="2219325"/>
                    </a:xfrm>
                    <a:prstGeom prst="rect">
                      <a:avLst/>
                    </a:prstGeom>
                  </pic:spPr>
                </pic:pic>
              </a:graphicData>
            </a:graphic>
          </wp:inline>
        </w:drawing>
      </w:r>
    </w:p>
    <w:p w14:paraId="23A4824F" w14:textId="77777777" w:rsidR="00AE67E2" w:rsidRPr="00F00296" w:rsidRDefault="00AE67E2" w:rsidP="006E6C7D">
      <w:pPr>
        <w:pStyle w:val="Heading3"/>
        <w:spacing w:line="360" w:lineRule="auto"/>
        <w:rPr>
          <w:rFonts w:ascii="Times New Roman" w:hAnsi="Times New Roman" w:cs="Times New Roman"/>
        </w:rPr>
      </w:pPr>
      <w:bookmarkStart w:id="33" w:name="_Toc174862037"/>
      <w:r w:rsidRPr="00F00296">
        <w:rPr>
          <w:rFonts w:ascii="Times New Roman" w:hAnsi="Times New Roman" w:cs="Times New Roman"/>
        </w:rPr>
        <w:t>Analysis</w:t>
      </w:r>
      <w:bookmarkEnd w:id="33"/>
    </w:p>
    <w:p w14:paraId="1D1BA0C0" w14:textId="59D501CF" w:rsidR="00C109F3" w:rsidRPr="00F00296" w:rsidRDefault="00C109F3" w:rsidP="00C109F3">
      <w:pPr>
        <w:spacing w:line="360" w:lineRule="auto"/>
        <w:jc w:val="both"/>
        <w:rPr>
          <w:rFonts w:ascii="Times New Roman" w:hAnsi="Times New Roman" w:cs="Times New Roman"/>
        </w:rPr>
      </w:pPr>
      <w:r w:rsidRPr="00F00296">
        <w:rPr>
          <w:rFonts w:ascii="Times New Roman" w:hAnsi="Times New Roman" w:cs="Times New Roman"/>
        </w:rPr>
        <w:t>The trend of this ration in M&amp;S is as follows: The average Inventory Turnover Ratio is 4, therefore M&amp;S has maintained this ration more or less constant for the last five years with a slight movement up or down. The sex ratio which was 4 in 2018 slightly improved in 2019 to become 5. Seven and 89, which rose slightly to 5. 98 in 2020. For this ratio, this stayed at 5: According to the study, the foreign share stayed at five in this regard. All ethnic groups changed their rates to 89 in 2021, then raised it to 6. 07 in 2022, and further reduced to 6. The United Methodists delayed the ordination of women until 1956 and women’s appointment as elders until 1968. 22 in 2023. These two ratios imply that over the years, M&amp;S has been well able to perform the operational activity with regard to inventory in a very efficient way and is able to turn over the inventory at a reasonable rate regardless of the fluctuations of the market. This reveals that there is efficiency in the management of the inventory for M&amp;S, as they sell the products and restock them when necessary with the ration slightly improving.</w:t>
      </w:r>
    </w:p>
    <w:p w14:paraId="0B9C58BD" w14:textId="707C343F" w:rsidR="00EE0AAD" w:rsidRPr="00F00296" w:rsidRDefault="00EE0AAD" w:rsidP="00EE0AAD">
      <w:pPr>
        <w:spacing w:line="360" w:lineRule="auto"/>
        <w:jc w:val="center"/>
        <w:rPr>
          <w:rFonts w:ascii="Times New Roman" w:hAnsi="Times New Roman" w:cs="Times New Roman"/>
        </w:rPr>
      </w:pPr>
      <w:r w:rsidRPr="00F00296">
        <w:rPr>
          <w:rFonts w:ascii="Times New Roman" w:hAnsi="Times New Roman" w:cs="Times New Roman"/>
          <w:noProof/>
        </w:rPr>
        <w:lastRenderedPageBreak/>
        <w:drawing>
          <wp:inline distT="0" distB="0" distL="0" distR="0" wp14:anchorId="67ED5490" wp14:editId="16D205EF">
            <wp:extent cx="4572000" cy="2743200"/>
            <wp:effectExtent l="0" t="0" r="0" b="0"/>
            <wp:docPr id="109530753" name="Chart 1">
              <a:extLst xmlns:a="http://schemas.openxmlformats.org/drawingml/2006/main">
                <a:ext uri="{FF2B5EF4-FFF2-40B4-BE49-F238E27FC236}">
                  <a16:creationId xmlns:a16="http://schemas.microsoft.com/office/drawing/2014/main" id="{BAC66945-869B-A1B1-31D9-CAE5D21B4B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A446336" w14:textId="01C0F847" w:rsidR="00C109F3" w:rsidRPr="00F00296" w:rsidRDefault="00AE67E2" w:rsidP="00C109F3">
      <w:pPr>
        <w:pStyle w:val="Heading3"/>
        <w:spacing w:line="360" w:lineRule="auto"/>
        <w:rPr>
          <w:rFonts w:ascii="Times New Roman" w:hAnsi="Times New Roman" w:cs="Times New Roman"/>
        </w:rPr>
      </w:pPr>
      <w:bookmarkStart w:id="34" w:name="_Toc174862038"/>
      <w:r w:rsidRPr="00F00296">
        <w:rPr>
          <w:rFonts w:ascii="Times New Roman" w:hAnsi="Times New Roman" w:cs="Times New Roman"/>
        </w:rPr>
        <w:t>Receivables Turnover Ratio</w:t>
      </w:r>
      <w:bookmarkEnd w:id="34"/>
    </w:p>
    <w:p w14:paraId="126C3A71" w14:textId="49315C8F" w:rsidR="00DD0CAB" w:rsidRPr="00F00296" w:rsidRDefault="00DD0CAB" w:rsidP="006E6C7D">
      <w:pPr>
        <w:spacing w:line="360" w:lineRule="auto"/>
        <w:jc w:val="both"/>
        <w:rPr>
          <w:rFonts w:ascii="Times New Roman" w:hAnsi="Times New Roman" w:cs="Times New Roman"/>
        </w:rPr>
      </w:pPr>
      <w:r w:rsidRPr="00F00296">
        <w:rPr>
          <w:rFonts w:ascii="Times New Roman" w:hAnsi="Times New Roman" w:cs="Times New Roman"/>
        </w:rPr>
        <w:t>The formula used to calculate Receivables Turnover Ratio is: Net credit sales divided by the average accounts receivable.</w:t>
      </w:r>
    </w:p>
    <w:p w14:paraId="05B8C207" w14:textId="682E07D3" w:rsidR="00E757B1" w:rsidRPr="00F00296" w:rsidRDefault="00E757B1" w:rsidP="006E6C7D">
      <w:pPr>
        <w:spacing w:line="360" w:lineRule="auto"/>
        <w:jc w:val="both"/>
        <w:rPr>
          <w:rFonts w:ascii="Times New Roman" w:hAnsi="Times New Roman" w:cs="Times New Roman"/>
        </w:rPr>
      </w:pPr>
      <w:r w:rsidRPr="00F00296">
        <w:rPr>
          <w:rFonts w:ascii="Times New Roman" w:hAnsi="Times New Roman" w:cs="Times New Roman"/>
        </w:rPr>
        <w:t xml:space="preserve">Formula </w:t>
      </w:r>
    </w:p>
    <w:p w14:paraId="48EF1E9D" w14:textId="14F7862C" w:rsidR="00E757B1" w:rsidRPr="00F00296" w:rsidRDefault="00E757B1" w:rsidP="006E6C7D">
      <w:pPr>
        <w:spacing w:line="360" w:lineRule="auto"/>
        <w:jc w:val="both"/>
        <w:rPr>
          <w:rFonts w:ascii="Times New Roman" w:hAnsi="Times New Roman" w:cs="Times New Roman"/>
        </w:rPr>
      </w:pPr>
      <w:r w:rsidRPr="00F00296">
        <w:rPr>
          <w:rFonts w:ascii="Times New Roman" w:hAnsi="Times New Roman" w:cs="Times New Roman"/>
        </w:rPr>
        <w:t>RTR=Net credit sales/Average Accounts Receivable</w:t>
      </w:r>
    </w:p>
    <w:p w14:paraId="4390627D" w14:textId="151411EA" w:rsidR="00360346" w:rsidRPr="00F00296" w:rsidRDefault="00360346" w:rsidP="00360346">
      <w:pPr>
        <w:pStyle w:val="Heading3"/>
        <w:rPr>
          <w:rFonts w:ascii="Times New Roman" w:hAnsi="Times New Roman" w:cs="Times New Roman"/>
        </w:rPr>
      </w:pPr>
      <w:bookmarkStart w:id="35" w:name="_Toc174862039"/>
      <w:r w:rsidRPr="00F00296">
        <w:rPr>
          <w:rFonts w:ascii="Times New Roman" w:hAnsi="Times New Roman" w:cs="Times New Roman"/>
        </w:rPr>
        <w:t>Calculation</w:t>
      </w:r>
      <w:bookmarkEnd w:id="35"/>
    </w:p>
    <w:p w14:paraId="151F2FC7" w14:textId="25ED714F" w:rsidR="00360346" w:rsidRPr="00F00296" w:rsidRDefault="00360346" w:rsidP="00360346">
      <w:pPr>
        <w:spacing w:line="360" w:lineRule="auto"/>
        <w:jc w:val="both"/>
        <w:rPr>
          <w:rFonts w:ascii="Times New Roman" w:hAnsi="Times New Roman" w:cs="Times New Roman"/>
        </w:rPr>
      </w:pPr>
      <w:r w:rsidRPr="00F00296">
        <w:rPr>
          <w:rFonts w:ascii="Times New Roman" w:hAnsi="Times New Roman" w:cs="Times New Roman"/>
          <w:b/>
          <w:bCs/>
        </w:rPr>
        <w:t>2019:</w:t>
      </w:r>
      <w:r w:rsidRPr="00F00296">
        <w:rPr>
          <w:rFonts w:ascii="Times New Roman" w:hAnsi="Times New Roman" w:cs="Times New Roman"/>
        </w:rPr>
        <w:t xml:space="preserve"> Receivables Turnover Ratio=10,000</w:t>
      </w:r>
      <w:r w:rsidR="00E757B1" w:rsidRPr="00F00296">
        <w:rPr>
          <w:rFonts w:ascii="Times New Roman" w:hAnsi="Times New Roman" w:cs="Times New Roman"/>
        </w:rPr>
        <w:t>/</w:t>
      </w:r>
      <w:r w:rsidRPr="00F00296">
        <w:rPr>
          <w:rFonts w:ascii="Times New Roman" w:hAnsi="Times New Roman" w:cs="Times New Roman"/>
        </w:rPr>
        <w:t>800≈12.50</w:t>
      </w:r>
    </w:p>
    <w:p w14:paraId="68789B04" w14:textId="2120A39E" w:rsidR="00360346" w:rsidRPr="00F00296" w:rsidRDefault="00360346" w:rsidP="00360346">
      <w:pPr>
        <w:spacing w:line="360" w:lineRule="auto"/>
        <w:jc w:val="both"/>
        <w:rPr>
          <w:rFonts w:ascii="Times New Roman" w:hAnsi="Times New Roman" w:cs="Times New Roman"/>
        </w:rPr>
      </w:pPr>
      <w:r w:rsidRPr="00F00296">
        <w:rPr>
          <w:rFonts w:ascii="Times New Roman" w:hAnsi="Times New Roman" w:cs="Times New Roman"/>
          <w:b/>
          <w:bCs/>
        </w:rPr>
        <w:t>2020:</w:t>
      </w:r>
      <w:r w:rsidRPr="00F00296">
        <w:rPr>
          <w:rFonts w:ascii="Times New Roman" w:hAnsi="Times New Roman" w:cs="Times New Roman"/>
        </w:rPr>
        <w:t xml:space="preserve"> Receivables Turnover Ratio=10,200</w:t>
      </w:r>
      <w:r w:rsidR="00E757B1" w:rsidRPr="00F00296">
        <w:rPr>
          <w:rFonts w:ascii="Times New Roman" w:hAnsi="Times New Roman" w:cs="Times New Roman"/>
        </w:rPr>
        <w:t>/</w:t>
      </w:r>
      <w:r w:rsidRPr="00F00296">
        <w:rPr>
          <w:rFonts w:ascii="Times New Roman" w:hAnsi="Times New Roman" w:cs="Times New Roman"/>
        </w:rPr>
        <w:t>790≈12.91</w:t>
      </w:r>
    </w:p>
    <w:p w14:paraId="75DFCB5B" w14:textId="7C31958C" w:rsidR="00360346" w:rsidRPr="00F00296" w:rsidRDefault="00360346" w:rsidP="00360346">
      <w:pPr>
        <w:spacing w:line="360" w:lineRule="auto"/>
        <w:jc w:val="both"/>
        <w:rPr>
          <w:rFonts w:ascii="Times New Roman" w:hAnsi="Times New Roman" w:cs="Times New Roman"/>
        </w:rPr>
      </w:pPr>
      <w:r w:rsidRPr="00F00296">
        <w:rPr>
          <w:rFonts w:ascii="Times New Roman" w:hAnsi="Times New Roman" w:cs="Times New Roman"/>
          <w:b/>
          <w:bCs/>
        </w:rPr>
        <w:t>2021:</w:t>
      </w:r>
      <w:r w:rsidRPr="00F00296">
        <w:rPr>
          <w:rFonts w:ascii="Times New Roman" w:hAnsi="Times New Roman" w:cs="Times New Roman"/>
        </w:rPr>
        <w:t xml:space="preserve"> Receivables Turnover Ratio=10,500</w:t>
      </w:r>
      <w:r w:rsidR="00E757B1" w:rsidRPr="00F00296">
        <w:rPr>
          <w:rFonts w:ascii="Times New Roman" w:hAnsi="Times New Roman" w:cs="Times New Roman"/>
        </w:rPr>
        <w:t>/</w:t>
      </w:r>
      <w:r w:rsidRPr="00F00296">
        <w:rPr>
          <w:rFonts w:ascii="Times New Roman" w:hAnsi="Times New Roman" w:cs="Times New Roman"/>
        </w:rPr>
        <w:t>780≈13.46</w:t>
      </w:r>
    </w:p>
    <w:p w14:paraId="25895945" w14:textId="1543220F" w:rsidR="00360346" w:rsidRPr="00F00296" w:rsidRDefault="00360346" w:rsidP="00360346">
      <w:pPr>
        <w:spacing w:line="360" w:lineRule="auto"/>
        <w:jc w:val="both"/>
        <w:rPr>
          <w:rFonts w:ascii="Times New Roman" w:hAnsi="Times New Roman" w:cs="Times New Roman"/>
        </w:rPr>
      </w:pPr>
      <w:r w:rsidRPr="00F00296">
        <w:rPr>
          <w:rFonts w:ascii="Times New Roman" w:hAnsi="Times New Roman" w:cs="Times New Roman"/>
          <w:b/>
          <w:bCs/>
        </w:rPr>
        <w:t>2022:</w:t>
      </w:r>
      <w:r w:rsidRPr="00F00296">
        <w:rPr>
          <w:rFonts w:ascii="Times New Roman" w:hAnsi="Times New Roman" w:cs="Times New Roman"/>
        </w:rPr>
        <w:t xml:space="preserve"> Receivables Turnover Ratio=10,700</w:t>
      </w:r>
      <w:r w:rsidR="00E757B1" w:rsidRPr="00F00296">
        <w:rPr>
          <w:rFonts w:ascii="Times New Roman" w:hAnsi="Times New Roman" w:cs="Times New Roman"/>
        </w:rPr>
        <w:t>/</w:t>
      </w:r>
      <w:r w:rsidRPr="00F00296">
        <w:rPr>
          <w:rFonts w:ascii="Times New Roman" w:hAnsi="Times New Roman" w:cs="Times New Roman"/>
        </w:rPr>
        <w:t>770≈13.90</w:t>
      </w:r>
    </w:p>
    <w:p w14:paraId="2132859C" w14:textId="4B7E5936" w:rsidR="00360346" w:rsidRPr="00F00296" w:rsidRDefault="00360346" w:rsidP="00360346">
      <w:pPr>
        <w:spacing w:line="360" w:lineRule="auto"/>
        <w:jc w:val="both"/>
        <w:rPr>
          <w:rFonts w:ascii="Times New Roman" w:hAnsi="Times New Roman" w:cs="Times New Roman"/>
        </w:rPr>
      </w:pPr>
      <w:r w:rsidRPr="00F00296">
        <w:rPr>
          <w:rFonts w:ascii="Times New Roman" w:hAnsi="Times New Roman" w:cs="Times New Roman"/>
          <w:b/>
          <w:bCs/>
        </w:rPr>
        <w:t>2023:</w:t>
      </w:r>
      <w:r w:rsidRPr="00F00296">
        <w:rPr>
          <w:rFonts w:ascii="Times New Roman" w:hAnsi="Times New Roman" w:cs="Times New Roman"/>
        </w:rPr>
        <w:t xml:space="preserve"> Receivables Turnover Ratio=11,000</w:t>
      </w:r>
      <w:r w:rsidR="00E757B1" w:rsidRPr="00F00296">
        <w:rPr>
          <w:rFonts w:ascii="Times New Roman" w:hAnsi="Times New Roman" w:cs="Times New Roman"/>
        </w:rPr>
        <w:t>/</w:t>
      </w:r>
      <w:r w:rsidRPr="00F00296">
        <w:rPr>
          <w:rFonts w:ascii="Times New Roman" w:hAnsi="Times New Roman" w:cs="Times New Roman"/>
        </w:rPr>
        <w:t>760≈14.47</w:t>
      </w:r>
    </w:p>
    <w:p w14:paraId="4646B913" w14:textId="77777777" w:rsidR="00360346" w:rsidRPr="00F00296" w:rsidRDefault="00360346" w:rsidP="006E6C7D">
      <w:pPr>
        <w:spacing w:line="360" w:lineRule="auto"/>
        <w:jc w:val="both"/>
        <w:rPr>
          <w:rFonts w:ascii="Times New Roman" w:hAnsi="Times New Roman" w:cs="Times New Roman"/>
        </w:rPr>
      </w:pPr>
    </w:p>
    <w:p w14:paraId="0F413A4B" w14:textId="6A8C51A0" w:rsidR="002341EF" w:rsidRPr="00F00296" w:rsidRDefault="002341EF" w:rsidP="002341EF">
      <w:pPr>
        <w:spacing w:line="360" w:lineRule="auto"/>
        <w:jc w:val="center"/>
        <w:rPr>
          <w:rFonts w:ascii="Times New Roman" w:hAnsi="Times New Roman" w:cs="Times New Roman"/>
        </w:rPr>
      </w:pPr>
      <w:r w:rsidRPr="00F00296">
        <w:rPr>
          <w:rFonts w:ascii="Times New Roman" w:hAnsi="Times New Roman" w:cs="Times New Roman"/>
          <w:noProof/>
        </w:rPr>
        <w:lastRenderedPageBreak/>
        <w:drawing>
          <wp:inline distT="0" distB="0" distL="0" distR="0" wp14:anchorId="2424678E" wp14:editId="23A572CD">
            <wp:extent cx="2543175" cy="2162175"/>
            <wp:effectExtent l="0" t="0" r="9525" b="9525"/>
            <wp:docPr id="164051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51742" name=""/>
                    <pic:cNvPicPr/>
                  </pic:nvPicPr>
                  <pic:blipFill>
                    <a:blip r:embed="rId30"/>
                    <a:stretch>
                      <a:fillRect/>
                    </a:stretch>
                  </pic:blipFill>
                  <pic:spPr>
                    <a:xfrm>
                      <a:off x="0" y="0"/>
                      <a:ext cx="2543175" cy="2162175"/>
                    </a:xfrm>
                    <a:prstGeom prst="rect">
                      <a:avLst/>
                    </a:prstGeom>
                  </pic:spPr>
                </pic:pic>
              </a:graphicData>
            </a:graphic>
          </wp:inline>
        </w:drawing>
      </w:r>
    </w:p>
    <w:p w14:paraId="0A23EDBB" w14:textId="542F5237" w:rsidR="00C109F3" w:rsidRPr="00F00296" w:rsidRDefault="00AE67E2" w:rsidP="00C109F3">
      <w:pPr>
        <w:pStyle w:val="Heading3"/>
        <w:spacing w:line="360" w:lineRule="auto"/>
        <w:rPr>
          <w:rFonts w:ascii="Times New Roman" w:hAnsi="Times New Roman" w:cs="Times New Roman"/>
        </w:rPr>
      </w:pPr>
      <w:bookmarkStart w:id="36" w:name="_Toc174862040"/>
      <w:r w:rsidRPr="00F00296">
        <w:rPr>
          <w:rFonts w:ascii="Times New Roman" w:hAnsi="Times New Roman" w:cs="Times New Roman"/>
        </w:rPr>
        <w:t>Analysis</w:t>
      </w:r>
      <w:bookmarkEnd w:id="36"/>
    </w:p>
    <w:p w14:paraId="4EF02AA3" w14:textId="1F63CA05" w:rsidR="00C109F3" w:rsidRPr="00F00296" w:rsidRDefault="00C109F3" w:rsidP="00C109F3">
      <w:pPr>
        <w:spacing w:line="360" w:lineRule="auto"/>
        <w:jc w:val="both"/>
        <w:rPr>
          <w:rFonts w:ascii="Times New Roman" w:hAnsi="Times New Roman" w:cs="Times New Roman"/>
        </w:rPr>
      </w:pPr>
      <w:r w:rsidRPr="00F00296">
        <w:rPr>
          <w:rFonts w:ascii="Times New Roman" w:hAnsi="Times New Roman" w:cs="Times New Roman"/>
        </w:rPr>
        <w:t xml:space="preserve"> Another aspect looking at the ability of M&amp;S to collect its receivables promptly is the Receivables Turnover Ratio that exhibiting an inclination of increasing constantly over the past five years. The given ratio was significantly different; it was equal to 12 in 2019. Some dictions were also changed; thus, 50 became 12. 91 in 2020. This trend escalated in the ratio to 13. 46 in 2021, 13. by 2022: 90, and only 14. 47 in 2023. This ascending ratio indicates that M&amp;S has improved its ability to recover the amounts from the customers. Higher value of this ratio reveals that the company has improved its collection methods in regards to accounts receivables meaning better control in collection of cash.</w:t>
      </w:r>
    </w:p>
    <w:p w14:paraId="2DBE9ABF" w14:textId="0E8FE2E3" w:rsidR="00EE0AAD" w:rsidRPr="00F00296" w:rsidRDefault="00EE0AAD" w:rsidP="00EE0AAD">
      <w:pPr>
        <w:spacing w:line="360" w:lineRule="auto"/>
        <w:jc w:val="center"/>
        <w:rPr>
          <w:rFonts w:ascii="Times New Roman" w:hAnsi="Times New Roman" w:cs="Times New Roman"/>
        </w:rPr>
      </w:pPr>
      <w:r w:rsidRPr="00F00296">
        <w:rPr>
          <w:rFonts w:ascii="Times New Roman" w:hAnsi="Times New Roman" w:cs="Times New Roman"/>
          <w:noProof/>
        </w:rPr>
        <w:drawing>
          <wp:inline distT="0" distB="0" distL="0" distR="0" wp14:anchorId="40FFE3C6" wp14:editId="33D1FD72">
            <wp:extent cx="4572000" cy="2743200"/>
            <wp:effectExtent l="0" t="0" r="0" b="0"/>
            <wp:docPr id="1877800659" name="Chart 1">
              <a:extLst xmlns:a="http://schemas.openxmlformats.org/drawingml/2006/main">
                <a:ext uri="{FF2B5EF4-FFF2-40B4-BE49-F238E27FC236}">
                  <a16:creationId xmlns:a16="http://schemas.microsoft.com/office/drawing/2014/main" id="{FEA6A207-F99E-E984-C2F8-2096F50379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34E627F9" w14:textId="77777777" w:rsidR="00AE67E2" w:rsidRPr="00F00296" w:rsidRDefault="00AE67E2" w:rsidP="006E6C7D">
      <w:pPr>
        <w:pStyle w:val="Heading3"/>
        <w:spacing w:line="360" w:lineRule="auto"/>
        <w:rPr>
          <w:rFonts w:ascii="Times New Roman" w:hAnsi="Times New Roman" w:cs="Times New Roman"/>
        </w:rPr>
      </w:pPr>
      <w:bookmarkStart w:id="37" w:name="_Toc174862041"/>
      <w:r w:rsidRPr="00F00296">
        <w:rPr>
          <w:rFonts w:ascii="Times New Roman" w:hAnsi="Times New Roman" w:cs="Times New Roman"/>
        </w:rPr>
        <w:lastRenderedPageBreak/>
        <w:t>Summary Table</w:t>
      </w:r>
      <w:bookmarkEnd w:id="37"/>
    </w:p>
    <w:p w14:paraId="7C98499B" w14:textId="77777777" w:rsidR="00AE67E2" w:rsidRPr="00F00296" w:rsidRDefault="00AE67E2" w:rsidP="006E6C7D">
      <w:pPr>
        <w:spacing w:line="360" w:lineRule="auto"/>
        <w:jc w:val="both"/>
        <w:rPr>
          <w:rFonts w:ascii="Times New Roman" w:hAnsi="Times New Roman" w:cs="Times New Roman"/>
        </w:rPr>
      </w:pPr>
      <w:r w:rsidRPr="00F00296">
        <w:rPr>
          <w:rFonts w:ascii="Times New Roman" w:hAnsi="Times New Roman" w:cs="Times New Roman"/>
        </w:rPr>
        <w:t>Below is a summary table of the key efficiency ratios for M&amp;S over the past five years:</w:t>
      </w:r>
    </w:p>
    <w:p w14:paraId="68FE32B2" w14:textId="4DBC08D6" w:rsidR="00564818" w:rsidRPr="00F00296" w:rsidRDefault="002341EF" w:rsidP="002341EF">
      <w:pPr>
        <w:spacing w:line="360" w:lineRule="auto"/>
        <w:jc w:val="center"/>
        <w:rPr>
          <w:rFonts w:ascii="Times New Roman" w:hAnsi="Times New Roman" w:cs="Times New Roman"/>
        </w:rPr>
      </w:pPr>
      <w:r w:rsidRPr="00F00296">
        <w:rPr>
          <w:rFonts w:ascii="Times New Roman" w:hAnsi="Times New Roman" w:cs="Times New Roman"/>
          <w:noProof/>
        </w:rPr>
        <w:drawing>
          <wp:inline distT="0" distB="0" distL="0" distR="0" wp14:anchorId="7A298DC9" wp14:editId="2731487D">
            <wp:extent cx="1962150" cy="1857375"/>
            <wp:effectExtent l="0" t="0" r="0" b="9525"/>
            <wp:docPr id="1528487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487747" name=""/>
                    <pic:cNvPicPr/>
                  </pic:nvPicPr>
                  <pic:blipFill>
                    <a:blip r:embed="rId32"/>
                    <a:stretch>
                      <a:fillRect/>
                    </a:stretch>
                  </pic:blipFill>
                  <pic:spPr>
                    <a:xfrm>
                      <a:off x="0" y="0"/>
                      <a:ext cx="1962150" cy="1857375"/>
                    </a:xfrm>
                    <a:prstGeom prst="rect">
                      <a:avLst/>
                    </a:prstGeom>
                  </pic:spPr>
                </pic:pic>
              </a:graphicData>
            </a:graphic>
          </wp:inline>
        </w:drawing>
      </w:r>
    </w:p>
    <w:p w14:paraId="6AFEBF4E" w14:textId="5F87149F" w:rsidR="00EE0AAD" w:rsidRPr="00F00296" w:rsidRDefault="00EE0AAD" w:rsidP="00EE0AAD">
      <w:pPr>
        <w:spacing w:line="360" w:lineRule="auto"/>
        <w:jc w:val="center"/>
        <w:rPr>
          <w:rFonts w:ascii="Times New Roman" w:hAnsi="Times New Roman" w:cs="Times New Roman"/>
        </w:rPr>
      </w:pPr>
      <w:r w:rsidRPr="00F00296">
        <w:rPr>
          <w:rFonts w:ascii="Times New Roman" w:hAnsi="Times New Roman" w:cs="Times New Roman"/>
          <w:noProof/>
        </w:rPr>
        <w:drawing>
          <wp:inline distT="0" distB="0" distL="0" distR="0" wp14:anchorId="5C2EF126" wp14:editId="0FE63365">
            <wp:extent cx="4572000" cy="2743200"/>
            <wp:effectExtent l="0" t="0" r="0" b="0"/>
            <wp:docPr id="133469189" name="Chart 1">
              <a:extLst xmlns:a="http://schemas.openxmlformats.org/drawingml/2006/main">
                <a:ext uri="{FF2B5EF4-FFF2-40B4-BE49-F238E27FC236}">
                  <a16:creationId xmlns:a16="http://schemas.microsoft.com/office/drawing/2014/main" id="{A228F231-A00A-E370-6B44-CEAE633879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4057BC99" w14:textId="08FC8390" w:rsidR="00564818" w:rsidRPr="00F00296" w:rsidRDefault="00564818" w:rsidP="006E6C7D">
      <w:pPr>
        <w:spacing w:line="360" w:lineRule="auto"/>
        <w:jc w:val="both"/>
        <w:rPr>
          <w:rFonts w:ascii="Times New Roman" w:hAnsi="Times New Roman" w:cs="Times New Roman"/>
        </w:rPr>
      </w:pPr>
      <w:r w:rsidRPr="00F00296">
        <w:rPr>
          <w:rFonts w:ascii="Times New Roman" w:hAnsi="Times New Roman" w:cs="Times New Roman"/>
        </w:rPr>
        <w:t xml:space="preserve">Actually </w:t>
      </w:r>
      <w:proofErr w:type="spellStart"/>
      <w:r w:rsidRPr="00F00296">
        <w:rPr>
          <w:rFonts w:ascii="Times New Roman" w:hAnsi="Times New Roman" w:cs="Times New Roman"/>
        </w:rPr>
        <w:t>analyzing</w:t>
      </w:r>
      <w:proofErr w:type="spellEnd"/>
      <w:r w:rsidRPr="00F00296">
        <w:rPr>
          <w:rFonts w:ascii="Times New Roman" w:hAnsi="Times New Roman" w:cs="Times New Roman"/>
        </w:rPr>
        <w:t xml:space="preserve"> M&amp;S’s key financial ratios in comparison with the main competitor Next plc it is possible to single out both its main advantages and significant vices. Although M&amp;S’ </w:t>
      </w:r>
      <w:proofErr w:type="spellStart"/>
      <w:r w:rsidRPr="00F00296">
        <w:rPr>
          <w:rFonts w:ascii="Times New Roman" w:hAnsi="Times New Roman" w:cs="Times New Roman"/>
        </w:rPr>
        <w:t>endeavor</w:t>
      </w:r>
      <w:proofErr w:type="spellEnd"/>
      <w:r w:rsidRPr="00F00296">
        <w:rPr>
          <w:rFonts w:ascii="Times New Roman" w:hAnsi="Times New Roman" w:cs="Times New Roman"/>
        </w:rPr>
        <w:t xml:space="preserve"> in its digital revolution and its online sales performance has seen improvements, the firm is still struggling in its quest to achieve operational profitability, as well as keeping a check on its financial risk. To overcome its problems in the field of efficient financial management, M&amp;S could implement the following measures: realizing additional cost cutting measures, the diversification in the product portfolio, and the development of more efficient web shop strategies in order to benefit from the rising online sales market.</w:t>
      </w:r>
    </w:p>
    <w:p w14:paraId="36CA8999" w14:textId="723B61AD" w:rsidR="00DF7F11" w:rsidRPr="00F00296" w:rsidRDefault="00DF7F11" w:rsidP="006E6C7D">
      <w:pPr>
        <w:pStyle w:val="Heading1"/>
        <w:spacing w:line="360" w:lineRule="auto"/>
        <w:rPr>
          <w:rFonts w:cs="Times New Roman"/>
          <w:b w:val="0"/>
        </w:rPr>
      </w:pPr>
      <w:bookmarkStart w:id="38" w:name="_Toc174862042"/>
      <w:r w:rsidRPr="00F00296">
        <w:rPr>
          <w:rFonts w:cs="Times New Roman"/>
        </w:rPr>
        <w:lastRenderedPageBreak/>
        <w:t xml:space="preserve">Part C). Investment </w:t>
      </w:r>
      <w:r w:rsidR="002D6633" w:rsidRPr="00F00296">
        <w:rPr>
          <w:rFonts w:cs="Times New Roman"/>
          <w:b w:val="0"/>
        </w:rPr>
        <w:t>Appraise</w:t>
      </w:r>
      <w:bookmarkEnd w:id="38"/>
    </w:p>
    <w:p w14:paraId="593066C0" w14:textId="100E76AB" w:rsidR="002168EE" w:rsidRPr="00F00296" w:rsidRDefault="002168EE" w:rsidP="006E6C7D">
      <w:pPr>
        <w:spacing w:line="360" w:lineRule="auto"/>
        <w:jc w:val="both"/>
        <w:rPr>
          <w:rFonts w:ascii="Times New Roman" w:hAnsi="Times New Roman" w:cs="Times New Roman"/>
        </w:rPr>
      </w:pPr>
      <w:r w:rsidRPr="00F00296">
        <w:rPr>
          <w:rFonts w:ascii="Times New Roman" w:hAnsi="Times New Roman" w:cs="Times New Roman"/>
        </w:rPr>
        <w:t>Assessing the investment opportunities for M&amp;S, there are two projects – A and B – and the methodology involves the Payback Period (PBP), Accounting Rate of Return (ARR), and Net Present Value (NPV) tools.</w:t>
      </w:r>
    </w:p>
    <w:p w14:paraId="7A1FB4A8" w14:textId="77777777" w:rsidR="00F9188C" w:rsidRPr="00F00296" w:rsidRDefault="00F9188C" w:rsidP="00F9188C">
      <w:pPr>
        <w:pStyle w:val="Heading2"/>
        <w:spacing w:line="360" w:lineRule="auto"/>
        <w:rPr>
          <w:rFonts w:cs="Times New Roman"/>
          <w:b w:val="0"/>
        </w:rPr>
      </w:pPr>
      <w:bookmarkStart w:id="39" w:name="_Toc174862043"/>
      <w:r w:rsidRPr="00F00296">
        <w:rPr>
          <w:rFonts w:cs="Times New Roman"/>
        </w:rPr>
        <w:t>Payback Period (PBP):</w:t>
      </w:r>
      <w:bookmarkEnd w:id="39"/>
    </w:p>
    <w:p w14:paraId="2DC96C1A" w14:textId="40126BA3" w:rsidR="0076735A" w:rsidRPr="00F00296" w:rsidRDefault="0076735A" w:rsidP="00F9188C">
      <w:pPr>
        <w:spacing w:line="360" w:lineRule="auto"/>
        <w:jc w:val="both"/>
        <w:rPr>
          <w:rFonts w:ascii="Times New Roman" w:hAnsi="Times New Roman" w:cs="Times New Roman"/>
          <w:b/>
        </w:rPr>
      </w:pPr>
      <w:r w:rsidRPr="00F00296">
        <w:rPr>
          <w:rFonts w:ascii="Times New Roman" w:hAnsi="Times New Roman" w:cs="Times New Roman"/>
          <w:b/>
        </w:rPr>
        <w:t xml:space="preserve">Define </w:t>
      </w:r>
    </w:p>
    <w:p w14:paraId="1DB82143" w14:textId="59D2F5AC" w:rsidR="0076735A" w:rsidRPr="00F00296" w:rsidRDefault="0076735A" w:rsidP="00F9188C">
      <w:pPr>
        <w:spacing w:line="360" w:lineRule="auto"/>
        <w:jc w:val="both"/>
        <w:rPr>
          <w:rFonts w:ascii="Times New Roman" w:hAnsi="Times New Roman" w:cs="Times New Roman"/>
        </w:rPr>
      </w:pPr>
      <w:r w:rsidRPr="00F00296">
        <w:rPr>
          <w:rFonts w:ascii="Times New Roman" w:hAnsi="Times New Roman" w:cs="Times New Roman"/>
        </w:rPr>
        <w:t xml:space="preserve">Payback period is one of capital budgeting techniques; it </w:t>
      </w:r>
      <w:proofErr w:type="gramStart"/>
      <w:r w:rsidRPr="00F00296">
        <w:rPr>
          <w:rFonts w:ascii="Times New Roman" w:hAnsi="Times New Roman" w:cs="Times New Roman"/>
        </w:rPr>
        <w:t>determine</w:t>
      </w:r>
      <w:proofErr w:type="gramEnd"/>
      <w:r w:rsidRPr="00F00296">
        <w:rPr>
          <w:rFonts w:ascii="Times New Roman" w:hAnsi="Times New Roman" w:cs="Times New Roman"/>
        </w:rPr>
        <w:t xml:space="preserve"> the number of years it takes to recoup the initial amount that has gone into an investment through generation of cash inflows. It is a basic method used to determine the amount of risk of an investment for it gives information on how long it may take to recover the initial investment. The other measure of working capital investment is a pay-back period My interpretation of this measure is that: The shorter the pay-back or the recovery period the better or more attractive because the shorter the period then the quicker the money is repaid. Nonetheless, they do not consider the time value of money or cash flows that will occur later than the payback period and as such, are the demerits of the PBP method.</w:t>
      </w:r>
    </w:p>
    <w:p w14:paraId="2D62901C" w14:textId="6FB5D56B" w:rsidR="00F9188C" w:rsidRPr="00F00296" w:rsidRDefault="00F9188C" w:rsidP="00F9188C">
      <w:pPr>
        <w:spacing w:line="360" w:lineRule="auto"/>
        <w:jc w:val="both"/>
        <w:rPr>
          <w:rFonts w:ascii="Times New Roman" w:hAnsi="Times New Roman" w:cs="Times New Roman"/>
        </w:rPr>
      </w:pPr>
      <w:r w:rsidRPr="00F00296">
        <w:rPr>
          <w:rFonts w:ascii="Times New Roman" w:hAnsi="Times New Roman" w:cs="Times New Roman"/>
        </w:rPr>
        <w:t xml:space="preserve">The Payback Period refers to the number of years it takes for and organisation to recover the initial investment. Paying attention to the cash flows of Project A, the above table shows that the sum of the accumulated cash flow becomes positive in the third year, and, therefore, the PBP makes, approximately, three years. For Project B on the other hand, the cash flows get accumulated to a positive figure in the second year which gives a PBP of slightly above two years. Hence, it is more reasonable to conclude that payback period in Project B is shorter and the level of risk based on liquidity is lower. </w:t>
      </w:r>
    </w:p>
    <w:p w14:paraId="382B176A" w14:textId="77777777" w:rsidR="00F9188C" w:rsidRPr="00F00296" w:rsidRDefault="00F9188C" w:rsidP="00F9188C">
      <w:pPr>
        <w:spacing w:line="360" w:lineRule="auto"/>
        <w:jc w:val="both"/>
        <w:rPr>
          <w:rFonts w:ascii="Times New Roman" w:hAnsi="Times New Roman" w:cs="Times New Roman"/>
        </w:rPr>
      </w:pPr>
      <w:r w:rsidRPr="00F00296">
        <w:rPr>
          <w:rFonts w:ascii="Times New Roman" w:hAnsi="Times New Roman" w:cs="Times New Roman"/>
          <w:b/>
          <w:bCs/>
        </w:rPr>
        <w:t>Project A:</w:t>
      </w:r>
    </w:p>
    <w:p w14:paraId="682E0E94" w14:textId="77777777" w:rsidR="00F9188C" w:rsidRPr="00F00296" w:rsidRDefault="00F9188C" w:rsidP="00F9188C">
      <w:pPr>
        <w:spacing w:line="360" w:lineRule="auto"/>
        <w:jc w:val="both"/>
        <w:rPr>
          <w:rFonts w:ascii="Times New Roman" w:hAnsi="Times New Roman" w:cs="Times New Roman"/>
        </w:rPr>
      </w:pPr>
      <w:r w:rsidRPr="00F00296">
        <w:rPr>
          <w:rFonts w:ascii="Times New Roman" w:hAnsi="Times New Roman" w:cs="Times New Roman"/>
        </w:rPr>
        <w:t>For Project A, the cumulative cash flow turns positive in year 4. To find the exact payback period:</w:t>
      </w:r>
    </w:p>
    <w:p w14:paraId="49F23222" w14:textId="77777777" w:rsidR="00F9188C" w:rsidRPr="00F00296" w:rsidRDefault="00F9188C" w:rsidP="00F9188C">
      <w:pPr>
        <w:spacing w:line="360" w:lineRule="auto"/>
        <w:jc w:val="both"/>
        <w:rPr>
          <w:rFonts w:ascii="Times New Roman" w:hAnsi="Times New Roman" w:cs="Times New Roman"/>
        </w:rPr>
      </w:pPr>
      <w:r w:rsidRPr="00F00296">
        <w:rPr>
          <w:rFonts w:ascii="Times New Roman" w:hAnsi="Times New Roman" w:cs="Times New Roman"/>
        </w:rPr>
        <w:t>PBPA=3+1055≈3.18 years</w:t>
      </w:r>
    </w:p>
    <w:p w14:paraId="6B7A318B" w14:textId="77777777" w:rsidR="00F9188C" w:rsidRPr="00F00296" w:rsidRDefault="00F9188C" w:rsidP="00F9188C">
      <w:pPr>
        <w:spacing w:line="360" w:lineRule="auto"/>
        <w:jc w:val="center"/>
        <w:rPr>
          <w:rFonts w:ascii="Times New Roman" w:hAnsi="Times New Roman" w:cs="Times New Roman"/>
        </w:rPr>
      </w:pPr>
      <w:r w:rsidRPr="00F00296">
        <w:rPr>
          <w:rFonts w:ascii="Times New Roman" w:hAnsi="Times New Roman" w:cs="Times New Roman"/>
          <w:noProof/>
        </w:rPr>
        <w:lastRenderedPageBreak/>
        <w:drawing>
          <wp:inline distT="0" distB="0" distL="0" distR="0" wp14:anchorId="64296BC6" wp14:editId="24188105">
            <wp:extent cx="2124075" cy="2286000"/>
            <wp:effectExtent l="0" t="0" r="9525" b="0"/>
            <wp:docPr id="365369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369048" name=""/>
                    <pic:cNvPicPr/>
                  </pic:nvPicPr>
                  <pic:blipFill>
                    <a:blip r:embed="rId34"/>
                    <a:stretch>
                      <a:fillRect/>
                    </a:stretch>
                  </pic:blipFill>
                  <pic:spPr>
                    <a:xfrm>
                      <a:off x="0" y="0"/>
                      <a:ext cx="2124075" cy="2286000"/>
                    </a:xfrm>
                    <a:prstGeom prst="rect">
                      <a:avLst/>
                    </a:prstGeom>
                  </pic:spPr>
                </pic:pic>
              </a:graphicData>
            </a:graphic>
          </wp:inline>
        </w:drawing>
      </w:r>
    </w:p>
    <w:p w14:paraId="49CB909D" w14:textId="77777777" w:rsidR="00F9188C" w:rsidRPr="00F00296" w:rsidRDefault="00F9188C" w:rsidP="00F9188C">
      <w:pPr>
        <w:spacing w:line="360" w:lineRule="auto"/>
        <w:jc w:val="center"/>
        <w:rPr>
          <w:rFonts w:ascii="Times New Roman" w:hAnsi="Times New Roman" w:cs="Times New Roman"/>
        </w:rPr>
      </w:pPr>
      <w:r w:rsidRPr="00F00296">
        <w:rPr>
          <w:rFonts w:ascii="Times New Roman" w:hAnsi="Times New Roman" w:cs="Times New Roman"/>
          <w:noProof/>
        </w:rPr>
        <w:drawing>
          <wp:inline distT="0" distB="0" distL="0" distR="0" wp14:anchorId="5B1A5A7B" wp14:editId="1D0E0D55">
            <wp:extent cx="4572000" cy="2743200"/>
            <wp:effectExtent l="0" t="0" r="0" b="0"/>
            <wp:docPr id="508810943" name="Chart 1">
              <a:extLst xmlns:a="http://schemas.openxmlformats.org/drawingml/2006/main">
                <a:ext uri="{FF2B5EF4-FFF2-40B4-BE49-F238E27FC236}">
                  <a16:creationId xmlns:a16="http://schemas.microsoft.com/office/drawing/2014/main" id="{656B0B6A-6F5C-1439-57E6-71BE01EDA2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2177BF43" w14:textId="77777777" w:rsidR="00F9188C" w:rsidRPr="00F00296" w:rsidRDefault="00F9188C" w:rsidP="00F9188C">
      <w:pPr>
        <w:spacing w:line="360" w:lineRule="auto"/>
        <w:jc w:val="both"/>
        <w:rPr>
          <w:rFonts w:ascii="Times New Roman" w:hAnsi="Times New Roman" w:cs="Times New Roman"/>
        </w:rPr>
      </w:pPr>
      <w:r w:rsidRPr="00F00296">
        <w:rPr>
          <w:rFonts w:ascii="Times New Roman" w:hAnsi="Times New Roman" w:cs="Times New Roman"/>
          <w:b/>
          <w:bCs/>
        </w:rPr>
        <w:t>Project B:</w:t>
      </w:r>
    </w:p>
    <w:p w14:paraId="09F13A38" w14:textId="77777777" w:rsidR="00F9188C" w:rsidRPr="00F00296" w:rsidRDefault="00F9188C" w:rsidP="00F9188C">
      <w:pPr>
        <w:spacing w:line="360" w:lineRule="auto"/>
        <w:jc w:val="both"/>
        <w:rPr>
          <w:rFonts w:ascii="Times New Roman" w:hAnsi="Times New Roman" w:cs="Times New Roman"/>
        </w:rPr>
      </w:pPr>
      <w:r w:rsidRPr="00F00296">
        <w:rPr>
          <w:rFonts w:ascii="Times New Roman" w:hAnsi="Times New Roman" w:cs="Times New Roman"/>
        </w:rPr>
        <w:t>For Project B, the cumulative cash flow turns positive in year 3. To find the exact payback period:</w:t>
      </w:r>
    </w:p>
    <w:p w14:paraId="065337C3" w14:textId="77777777" w:rsidR="00F9188C" w:rsidRPr="00F00296" w:rsidRDefault="00F9188C" w:rsidP="00F9188C">
      <w:pPr>
        <w:spacing w:line="360" w:lineRule="auto"/>
        <w:jc w:val="both"/>
        <w:rPr>
          <w:rFonts w:ascii="Times New Roman" w:hAnsi="Times New Roman" w:cs="Times New Roman"/>
        </w:rPr>
      </w:pPr>
      <w:r w:rsidRPr="00F00296">
        <w:rPr>
          <w:rFonts w:ascii="Times New Roman" w:hAnsi="Times New Roman" w:cs="Times New Roman"/>
        </w:rPr>
        <w:t>PBPB=2+520≈2.25 years</w:t>
      </w:r>
    </w:p>
    <w:p w14:paraId="418ED6E8" w14:textId="77777777" w:rsidR="00F9188C" w:rsidRPr="00F00296" w:rsidRDefault="00F9188C" w:rsidP="00F9188C">
      <w:pPr>
        <w:spacing w:line="360" w:lineRule="auto"/>
        <w:jc w:val="center"/>
        <w:rPr>
          <w:rFonts w:ascii="Times New Roman" w:hAnsi="Times New Roman" w:cs="Times New Roman"/>
        </w:rPr>
      </w:pPr>
      <w:r w:rsidRPr="00F00296">
        <w:rPr>
          <w:rFonts w:ascii="Times New Roman" w:hAnsi="Times New Roman" w:cs="Times New Roman"/>
          <w:noProof/>
        </w:rPr>
        <w:lastRenderedPageBreak/>
        <w:drawing>
          <wp:inline distT="0" distB="0" distL="0" distR="0" wp14:anchorId="3F2237E4" wp14:editId="1EC700A5">
            <wp:extent cx="2038350" cy="3429000"/>
            <wp:effectExtent l="0" t="0" r="0" b="0"/>
            <wp:docPr id="1787779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779514" name=""/>
                    <pic:cNvPicPr/>
                  </pic:nvPicPr>
                  <pic:blipFill>
                    <a:blip r:embed="rId36"/>
                    <a:stretch>
                      <a:fillRect/>
                    </a:stretch>
                  </pic:blipFill>
                  <pic:spPr>
                    <a:xfrm>
                      <a:off x="0" y="0"/>
                      <a:ext cx="2038350" cy="3429000"/>
                    </a:xfrm>
                    <a:prstGeom prst="rect">
                      <a:avLst/>
                    </a:prstGeom>
                  </pic:spPr>
                </pic:pic>
              </a:graphicData>
            </a:graphic>
          </wp:inline>
        </w:drawing>
      </w:r>
    </w:p>
    <w:p w14:paraId="1FD75C6C" w14:textId="77777777" w:rsidR="00F9188C" w:rsidRPr="00F00296" w:rsidRDefault="00F9188C" w:rsidP="00F9188C">
      <w:pPr>
        <w:spacing w:line="360" w:lineRule="auto"/>
        <w:jc w:val="center"/>
        <w:rPr>
          <w:rFonts w:ascii="Times New Roman" w:hAnsi="Times New Roman" w:cs="Times New Roman"/>
        </w:rPr>
      </w:pPr>
      <w:r w:rsidRPr="00F00296">
        <w:rPr>
          <w:rFonts w:ascii="Times New Roman" w:hAnsi="Times New Roman" w:cs="Times New Roman"/>
          <w:noProof/>
        </w:rPr>
        <w:drawing>
          <wp:inline distT="0" distB="0" distL="0" distR="0" wp14:anchorId="5370731C" wp14:editId="1BFCE9B7">
            <wp:extent cx="4572000" cy="2743200"/>
            <wp:effectExtent l="0" t="0" r="0" b="0"/>
            <wp:docPr id="1980912129" name="Chart 1">
              <a:extLst xmlns:a="http://schemas.openxmlformats.org/drawingml/2006/main">
                <a:ext uri="{FF2B5EF4-FFF2-40B4-BE49-F238E27FC236}">
                  <a16:creationId xmlns:a16="http://schemas.microsoft.com/office/drawing/2014/main" id="{A1B71F01-0174-47D7-0629-AEB38D04E0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15EB2CBB" w14:textId="7AB3C619" w:rsidR="00F9188C" w:rsidRPr="00F00296" w:rsidRDefault="00F9188C" w:rsidP="006E6C7D">
      <w:pPr>
        <w:spacing w:line="360" w:lineRule="auto"/>
        <w:jc w:val="both"/>
        <w:rPr>
          <w:rFonts w:ascii="Times New Roman" w:hAnsi="Times New Roman" w:cs="Times New Roman"/>
        </w:rPr>
      </w:pPr>
      <w:r w:rsidRPr="00F00296">
        <w:rPr>
          <w:rFonts w:ascii="Times New Roman" w:hAnsi="Times New Roman" w:cs="Times New Roman"/>
        </w:rPr>
        <w:t>Project B has a shorter payback period, indicating it is less risky from a liquidity perspective.</w:t>
      </w:r>
    </w:p>
    <w:p w14:paraId="523F151C" w14:textId="0D27AD51" w:rsidR="002D6633" w:rsidRPr="00F00296" w:rsidRDefault="002D6633" w:rsidP="006E6C7D">
      <w:pPr>
        <w:pStyle w:val="Heading2"/>
        <w:spacing w:line="360" w:lineRule="auto"/>
        <w:rPr>
          <w:rFonts w:cs="Times New Roman"/>
        </w:rPr>
      </w:pPr>
      <w:bookmarkStart w:id="40" w:name="_Toc174862044"/>
      <w:r w:rsidRPr="00F00296">
        <w:rPr>
          <w:rFonts w:cs="Times New Roman"/>
        </w:rPr>
        <w:t>Projected Cash Flows</w:t>
      </w:r>
      <w:bookmarkEnd w:id="40"/>
    </w:p>
    <w:p w14:paraId="044C317C" w14:textId="1DD28260" w:rsidR="0076735A" w:rsidRPr="00F00296" w:rsidRDefault="0076735A" w:rsidP="0076735A">
      <w:pPr>
        <w:spacing w:line="360" w:lineRule="auto"/>
        <w:jc w:val="both"/>
        <w:rPr>
          <w:rFonts w:ascii="Times New Roman" w:hAnsi="Times New Roman" w:cs="Times New Roman"/>
          <w:b/>
        </w:rPr>
      </w:pPr>
      <w:r w:rsidRPr="00F00296">
        <w:rPr>
          <w:rFonts w:ascii="Times New Roman" w:hAnsi="Times New Roman" w:cs="Times New Roman"/>
          <w:b/>
        </w:rPr>
        <w:t>Define</w:t>
      </w:r>
    </w:p>
    <w:p w14:paraId="4630AA22" w14:textId="758B83CC" w:rsidR="0076735A" w:rsidRPr="00F00296" w:rsidRDefault="0076735A" w:rsidP="0076735A">
      <w:pPr>
        <w:spacing w:line="360" w:lineRule="auto"/>
        <w:jc w:val="both"/>
        <w:rPr>
          <w:rFonts w:ascii="Times New Roman" w:hAnsi="Times New Roman" w:cs="Times New Roman"/>
        </w:rPr>
      </w:pPr>
      <w:r w:rsidRPr="00F00296">
        <w:rPr>
          <w:rFonts w:ascii="Times New Roman" w:hAnsi="Times New Roman" w:cs="Times New Roman"/>
        </w:rPr>
        <w:t xml:space="preserve">Project Cash flow may be defined as the flow, in terms of cash, that a given project can expect throughout the various phases of its development. They </w:t>
      </w:r>
      <w:proofErr w:type="spellStart"/>
      <w:r w:rsidRPr="00F00296">
        <w:rPr>
          <w:rFonts w:ascii="Times New Roman" w:hAnsi="Times New Roman" w:cs="Times New Roman"/>
        </w:rPr>
        <w:t>cumulve</w:t>
      </w:r>
      <w:proofErr w:type="spellEnd"/>
      <w:r w:rsidRPr="00F00296">
        <w:rPr>
          <w:rFonts w:ascii="Times New Roman" w:hAnsi="Times New Roman" w:cs="Times New Roman"/>
        </w:rPr>
        <w:t xml:space="preserve"> first cost, costs of operating along </w:t>
      </w:r>
      <w:r w:rsidRPr="00F00296">
        <w:rPr>
          <w:rFonts w:ascii="Times New Roman" w:hAnsi="Times New Roman" w:cs="Times New Roman"/>
        </w:rPr>
        <w:lastRenderedPageBreak/>
        <w:t>the defined time span, receipt of incomes, taxes and whatever residual value is remained at the termination of the project. ‘s and costs’, the former refer to income from the project while the latter are the expenses or costs of the project. Estimation of cash flows is the fundamental part of a cost-benefit analysis as part of the projects’ financial attractiveness assessment. It is often employed jointly with other quantitative tools that include NPV, IRR and Payback Period in decision making involving investments.</w:t>
      </w:r>
    </w:p>
    <w:p w14:paraId="7B7C4EC8" w14:textId="3E68C436" w:rsidR="002D6633" w:rsidRPr="00F00296" w:rsidRDefault="002341EF" w:rsidP="002341EF">
      <w:pPr>
        <w:spacing w:line="360" w:lineRule="auto"/>
        <w:jc w:val="center"/>
        <w:rPr>
          <w:rFonts w:ascii="Times New Roman" w:hAnsi="Times New Roman" w:cs="Times New Roman"/>
        </w:rPr>
      </w:pPr>
      <w:r w:rsidRPr="00F00296">
        <w:rPr>
          <w:rFonts w:ascii="Times New Roman" w:hAnsi="Times New Roman" w:cs="Times New Roman"/>
          <w:noProof/>
        </w:rPr>
        <w:drawing>
          <wp:inline distT="0" distB="0" distL="0" distR="0" wp14:anchorId="543C332B" wp14:editId="2483D383">
            <wp:extent cx="1952625" cy="2181225"/>
            <wp:effectExtent l="0" t="0" r="9525" b="9525"/>
            <wp:docPr id="368670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70427" name=""/>
                    <pic:cNvPicPr/>
                  </pic:nvPicPr>
                  <pic:blipFill>
                    <a:blip r:embed="rId38"/>
                    <a:stretch>
                      <a:fillRect/>
                    </a:stretch>
                  </pic:blipFill>
                  <pic:spPr>
                    <a:xfrm>
                      <a:off x="0" y="0"/>
                      <a:ext cx="1952625" cy="2181225"/>
                    </a:xfrm>
                    <a:prstGeom prst="rect">
                      <a:avLst/>
                    </a:prstGeom>
                  </pic:spPr>
                </pic:pic>
              </a:graphicData>
            </a:graphic>
          </wp:inline>
        </w:drawing>
      </w:r>
    </w:p>
    <w:p w14:paraId="1E440647" w14:textId="2937B0F5" w:rsidR="00EE0AAD" w:rsidRPr="00F00296" w:rsidRDefault="00EE0AAD" w:rsidP="00EE0AAD">
      <w:pPr>
        <w:spacing w:line="360" w:lineRule="auto"/>
        <w:jc w:val="center"/>
        <w:rPr>
          <w:rFonts w:ascii="Times New Roman" w:hAnsi="Times New Roman" w:cs="Times New Roman"/>
        </w:rPr>
      </w:pPr>
      <w:r w:rsidRPr="00F00296">
        <w:rPr>
          <w:rFonts w:ascii="Times New Roman" w:hAnsi="Times New Roman" w:cs="Times New Roman"/>
          <w:noProof/>
        </w:rPr>
        <w:drawing>
          <wp:inline distT="0" distB="0" distL="0" distR="0" wp14:anchorId="588C6F89" wp14:editId="1E9FAE04">
            <wp:extent cx="4572000" cy="2743200"/>
            <wp:effectExtent l="0" t="0" r="0" b="0"/>
            <wp:docPr id="1817940268" name="Chart 1">
              <a:extLst xmlns:a="http://schemas.openxmlformats.org/drawingml/2006/main">
                <a:ext uri="{FF2B5EF4-FFF2-40B4-BE49-F238E27FC236}">
                  <a16:creationId xmlns:a16="http://schemas.microsoft.com/office/drawing/2014/main" id="{D80599CD-26C9-99ED-E7DD-BC8F47A58E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6A67BE45" w14:textId="5C8A3C35" w:rsidR="00DD0CAB" w:rsidRPr="00F00296" w:rsidRDefault="00DF7F11" w:rsidP="00DD0CAB">
      <w:pPr>
        <w:pStyle w:val="Heading2"/>
        <w:spacing w:line="360" w:lineRule="auto"/>
        <w:rPr>
          <w:rFonts w:cs="Times New Roman"/>
          <w:b w:val="0"/>
        </w:rPr>
      </w:pPr>
      <w:bookmarkStart w:id="41" w:name="_Toc174862045"/>
      <w:r w:rsidRPr="00F00296">
        <w:rPr>
          <w:rFonts w:cs="Times New Roman"/>
        </w:rPr>
        <w:t>Accounting Rate of Return (ARR):</w:t>
      </w:r>
      <w:bookmarkEnd w:id="41"/>
    </w:p>
    <w:p w14:paraId="13F98391" w14:textId="5F2A73F5" w:rsidR="00517033" w:rsidRPr="00F00296" w:rsidRDefault="00517033" w:rsidP="007777A7">
      <w:pPr>
        <w:spacing w:line="360" w:lineRule="auto"/>
        <w:jc w:val="both"/>
        <w:rPr>
          <w:rFonts w:ascii="Times New Roman" w:hAnsi="Times New Roman" w:cs="Times New Roman"/>
          <w:b/>
        </w:rPr>
      </w:pPr>
      <w:r w:rsidRPr="00F00296">
        <w:rPr>
          <w:rFonts w:ascii="Times New Roman" w:hAnsi="Times New Roman" w:cs="Times New Roman"/>
          <w:b/>
        </w:rPr>
        <w:t>Define</w:t>
      </w:r>
    </w:p>
    <w:p w14:paraId="7AAF5824" w14:textId="6B349401" w:rsidR="00517033" w:rsidRPr="00F00296" w:rsidRDefault="00517033" w:rsidP="007777A7">
      <w:pPr>
        <w:spacing w:line="360" w:lineRule="auto"/>
        <w:jc w:val="both"/>
        <w:rPr>
          <w:rFonts w:ascii="Times New Roman" w:hAnsi="Times New Roman" w:cs="Times New Roman"/>
        </w:rPr>
      </w:pPr>
      <w:r w:rsidRPr="00F00296">
        <w:rPr>
          <w:rFonts w:ascii="Times New Roman" w:hAnsi="Times New Roman" w:cs="Times New Roman"/>
        </w:rPr>
        <w:t xml:space="preserve">ARR or the Accounting Rate of Return on the other hand is a measure of the profitability of an investment. It is obtained by dividing the annual accounting profit with the initial investment or </w:t>
      </w:r>
      <w:r w:rsidRPr="00F00296">
        <w:rPr>
          <w:rFonts w:ascii="Times New Roman" w:hAnsi="Times New Roman" w:cs="Times New Roman"/>
        </w:rPr>
        <w:lastRenderedPageBreak/>
        <w:t>average investment over the period of project. To achieve this, ARR is often provided as a percentage, and thus it is convenient to compare profitability among different projects. Unlike NPV or IRR, ARR starts with accounting profit and it does not incorporate the time value of money, either. Nonetheless, what is important to note is that ARR provides straightforward means of estimating the return of a project when compared to the cost of the project within a short span of time.</w:t>
      </w:r>
    </w:p>
    <w:p w14:paraId="3846719A" w14:textId="2A9CA771" w:rsidR="007777A7" w:rsidRPr="00F00296" w:rsidRDefault="00DD0CAB" w:rsidP="007777A7">
      <w:pPr>
        <w:spacing w:line="360" w:lineRule="auto"/>
        <w:jc w:val="both"/>
        <w:rPr>
          <w:rFonts w:ascii="Times New Roman" w:hAnsi="Times New Roman" w:cs="Times New Roman"/>
        </w:rPr>
      </w:pPr>
      <w:r w:rsidRPr="00F00296">
        <w:rPr>
          <w:rFonts w:ascii="Times New Roman" w:hAnsi="Times New Roman" w:cs="Times New Roman"/>
        </w:rPr>
        <w:t>In the first project, thus, using average investment method, ARR is calculated to be approximately 31 which is the annual cash receival from the project divided by initial investment. 25%. Thus, for Project B, the ARR would be approximately $ 0. 36. Conveys Project B against the traditional approach whereby it has a higher ARR than the latter/Thus, it depicts greater return on investment.</w:t>
      </w:r>
    </w:p>
    <w:p w14:paraId="56D0753D" w14:textId="05F6AB91" w:rsidR="00F00296" w:rsidRPr="00F00296" w:rsidRDefault="00F00296" w:rsidP="007777A7">
      <w:pPr>
        <w:spacing w:line="360" w:lineRule="auto"/>
        <w:jc w:val="both"/>
        <w:rPr>
          <w:rFonts w:ascii="Times New Roman" w:hAnsi="Times New Roman" w:cs="Times New Roman"/>
          <w:b/>
          <w:bCs/>
        </w:rPr>
      </w:pPr>
      <w:r w:rsidRPr="00F00296">
        <w:rPr>
          <w:rFonts w:ascii="Times New Roman" w:hAnsi="Times New Roman" w:cs="Times New Roman"/>
          <w:b/>
          <w:bCs/>
        </w:rPr>
        <w:t>Formula</w:t>
      </w:r>
    </w:p>
    <w:p w14:paraId="094A29BA" w14:textId="5D20E4E9" w:rsidR="007777A7" w:rsidRPr="00F00296" w:rsidRDefault="007777A7" w:rsidP="007777A7">
      <w:pPr>
        <w:spacing w:line="360" w:lineRule="auto"/>
        <w:jc w:val="both"/>
        <w:rPr>
          <w:rFonts w:ascii="Times New Roman" w:hAnsi="Times New Roman" w:cs="Times New Roman"/>
        </w:rPr>
      </w:pPr>
      <w:r w:rsidRPr="00F00296">
        <w:rPr>
          <w:rFonts w:ascii="Times New Roman" w:hAnsi="Times New Roman" w:cs="Times New Roman"/>
        </w:rPr>
        <w:t xml:space="preserve"> ARR= Average Annual Profits / </w:t>
      </w:r>
      <w:proofErr w:type="spellStart"/>
      <w:r w:rsidRPr="00F00296">
        <w:rPr>
          <w:rFonts w:ascii="Times New Roman" w:hAnsi="Times New Roman" w:cs="Times New Roman"/>
        </w:rPr>
        <w:t>itInitial</w:t>
      </w:r>
      <w:proofErr w:type="spellEnd"/>
      <w:r w:rsidRPr="00F00296">
        <w:rPr>
          <w:rFonts w:ascii="Times New Roman" w:hAnsi="Times New Roman" w:cs="Times New Roman"/>
        </w:rPr>
        <w:t xml:space="preserve"> Investment</w:t>
      </w:r>
    </w:p>
    <w:p w14:paraId="51FA9E7A" w14:textId="2A38248C" w:rsidR="00517033" w:rsidRPr="00F00296" w:rsidRDefault="00517033" w:rsidP="00517033">
      <w:pPr>
        <w:pStyle w:val="Heading2"/>
        <w:rPr>
          <w:rFonts w:cs="Times New Roman"/>
        </w:rPr>
      </w:pPr>
      <w:bookmarkStart w:id="42" w:name="_Toc174862046"/>
      <w:r w:rsidRPr="00F00296">
        <w:rPr>
          <w:rFonts w:cs="Times New Roman"/>
        </w:rPr>
        <w:t>Calculation</w:t>
      </w:r>
      <w:bookmarkEnd w:id="42"/>
    </w:p>
    <w:p w14:paraId="06E312D8" w14:textId="77777777" w:rsidR="002D6633" w:rsidRPr="00F00296" w:rsidRDefault="002D6633" w:rsidP="006E6C7D">
      <w:pPr>
        <w:spacing w:line="360" w:lineRule="auto"/>
        <w:jc w:val="both"/>
        <w:rPr>
          <w:rFonts w:ascii="Times New Roman" w:hAnsi="Times New Roman" w:cs="Times New Roman"/>
        </w:rPr>
      </w:pPr>
      <w:r w:rsidRPr="00F00296">
        <w:rPr>
          <w:rFonts w:ascii="Times New Roman" w:hAnsi="Times New Roman" w:cs="Times New Roman"/>
          <w:b/>
          <w:bCs/>
        </w:rPr>
        <w:t>Project A:</w:t>
      </w:r>
    </w:p>
    <w:p w14:paraId="50568D42" w14:textId="77777777" w:rsidR="002D6633" w:rsidRPr="00F00296" w:rsidRDefault="002D6633" w:rsidP="006E6C7D">
      <w:pPr>
        <w:spacing w:line="360" w:lineRule="auto"/>
        <w:jc w:val="both"/>
        <w:rPr>
          <w:rFonts w:ascii="Times New Roman" w:hAnsi="Times New Roman" w:cs="Times New Roman"/>
        </w:rPr>
      </w:pPr>
      <w:r w:rsidRPr="00F00296">
        <w:rPr>
          <w:rFonts w:ascii="Times New Roman" w:hAnsi="Times New Roman" w:cs="Times New Roman"/>
        </w:rPr>
        <w:t>Average Annual Profit for Project A:</w:t>
      </w:r>
    </w:p>
    <w:p w14:paraId="18DFF313" w14:textId="77777777" w:rsidR="002D6633" w:rsidRPr="00F00296" w:rsidRDefault="002D6633" w:rsidP="006E6C7D">
      <w:pPr>
        <w:spacing w:line="360" w:lineRule="auto"/>
        <w:jc w:val="both"/>
        <w:rPr>
          <w:rFonts w:ascii="Times New Roman" w:hAnsi="Times New Roman" w:cs="Times New Roman"/>
        </w:rPr>
      </w:pPr>
      <w:r w:rsidRPr="00F00296">
        <w:rPr>
          <w:rFonts w:ascii="Times New Roman" w:hAnsi="Times New Roman" w:cs="Times New Roman"/>
        </w:rPr>
        <w:t>Total Cash Flow=25+25+20+55=125 million</w:t>
      </w:r>
    </w:p>
    <w:p w14:paraId="4FB8F885" w14:textId="77777777" w:rsidR="002D6633" w:rsidRPr="00F00296" w:rsidRDefault="002D6633" w:rsidP="006E6C7D">
      <w:pPr>
        <w:spacing w:line="360" w:lineRule="auto"/>
        <w:jc w:val="both"/>
        <w:rPr>
          <w:rFonts w:ascii="Times New Roman" w:hAnsi="Times New Roman" w:cs="Times New Roman"/>
        </w:rPr>
      </w:pPr>
      <w:r w:rsidRPr="00F00296">
        <w:rPr>
          <w:rFonts w:ascii="Times New Roman" w:hAnsi="Times New Roman" w:cs="Times New Roman"/>
        </w:rPr>
        <w:t>Average Annual Profit=1254=31.25 million</w:t>
      </w:r>
    </w:p>
    <w:p w14:paraId="2375FDF0" w14:textId="2F474D45" w:rsidR="002D6633" w:rsidRPr="00F00296" w:rsidRDefault="002D6633" w:rsidP="006E6C7D">
      <w:pPr>
        <w:spacing w:line="360" w:lineRule="auto"/>
        <w:jc w:val="both"/>
        <w:rPr>
          <w:rFonts w:ascii="Times New Roman" w:hAnsi="Times New Roman" w:cs="Times New Roman"/>
        </w:rPr>
      </w:pPr>
      <w:r w:rsidRPr="00F00296">
        <w:rPr>
          <w:rFonts w:ascii="Times New Roman" w:hAnsi="Times New Roman" w:cs="Times New Roman"/>
        </w:rPr>
        <w:t>ARRA=31.2580×100≈39.06%</w:t>
      </w:r>
    </w:p>
    <w:p w14:paraId="009B9551" w14:textId="77777777" w:rsidR="002D6633" w:rsidRPr="00F00296" w:rsidRDefault="002D6633" w:rsidP="006E6C7D">
      <w:pPr>
        <w:spacing w:line="360" w:lineRule="auto"/>
        <w:jc w:val="both"/>
        <w:rPr>
          <w:rFonts w:ascii="Times New Roman" w:hAnsi="Times New Roman" w:cs="Times New Roman"/>
        </w:rPr>
      </w:pPr>
      <w:r w:rsidRPr="00F00296">
        <w:rPr>
          <w:rFonts w:ascii="Times New Roman" w:hAnsi="Times New Roman" w:cs="Times New Roman"/>
          <w:b/>
          <w:bCs/>
        </w:rPr>
        <w:t>Project B:</w:t>
      </w:r>
    </w:p>
    <w:p w14:paraId="6BBBEF95" w14:textId="77777777" w:rsidR="002D6633" w:rsidRPr="00F00296" w:rsidRDefault="002D6633" w:rsidP="006E6C7D">
      <w:pPr>
        <w:spacing w:line="360" w:lineRule="auto"/>
        <w:jc w:val="both"/>
        <w:rPr>
          <w:rFonts w:ascii="Times New Roman" w:hAnsi="Times New Roman" w:cs="Times New Roman"/>
        </w:rPr>
      </w:pPr>
      <w:r w:rsidRPr="00F00296">
        <w:rPr>
          <w:rFonts w:ascii="Times New Roman" w:hAnsi="Times New Roman" w:cs="Times New Roman"/>
        </w:rPr>
        <w:t>Average Annual Profit for Project B:</w:t>
      </w:r>
    </w:p>
    <w:p w14:paraId="645B52B7" w14:textId="77777777" w:rsidR="002D6633" w:rsidRPr="00F00296" w:rsidRDefault="002D6633" w:rsidP="006E6C7D">
      <w:pPr>
        <w:spacing w:line="360" w:lineRule="auto"/>
        <w:jc w:val="both"/>
        <w:rPr>
          <w:rFonts w:ascii="Times New Roman" w:hAnsi="Times New Roman" w:cs="Times New Roman"/>
        </w:rPr>
      </w:pPr>
      <w:r w:rsidRPr="00F00296">
        <w:rPr>
          <w:rFonts w:ascii="Times New Roman" w:hAnsi="Times New Roman" w:cs="Times New Roman"/>
        </w:rPr>
        <w:t>Total Cash Flow=50+20+20+20=110 million</w:t>
      </w:r>
    </w:p>
    <w:p w14:paraId="7E83FD64" w14:textId="77777777" w:rsidR="002D6633" w:rsidRPr="00F00296" w:rsidRDefault="002D6633" w:rsidP="006E6C7D">
      <w:pPr>
        <w:spacing w:line="360" w:lineRule="auto"/>
        <w:jc w:val="both"/>
        <w:rPr>
          <w:rFonts w:ascii="Times New Roman" w:hAnsi="Times New Roman" w:cs="Times New Roman"/>
        </w:rPr>
      </w:pPr>
      <w:r w:rsidRPr="00F00296">
        <w:rPr>
          <w:rFonts w:ascii="Times New Roman" w:hAnsi="Times New Roman" w:cs="Times New Roman"/>
        </w:rPr>
        <w:t>Average Annual Profit=1104=27.5 million</w:t>
      </w:r>
    </w:p>
    <w:p w14:paraId="23E318F3" w14:textId="289CDBB7" w:rsidR="002D6633" w:rsidRPr="00F00296" w:rsidRDefault="002D6633" w:rsidP="006E6C7D">
      <w:pPr>
        <w:spacing w:line="360" w:lineRule="auto"/>
        <w:jc w:val="both"/>
        <w:rPr>
          <w:rFonts w:ascii="Times New Roman" w:hAnsi="Times New Roman" w:cs="Times New Roman"/>
        </w:rPr>
      </w:pPr>
      <w:r w:rsidRPr="00F00296">
        <w:rPr>
          <w:rFonts w:ascii="Times New Roman" w:hAnsi="Times New Roman" w:cs="Times New Roman"/>
        </w:rPr>
        <w:t>ARRB=27.575×100≈36.67%</w:t>
      </w:r>
    </w:p>
    <w:p w14:paraId="5A40DDFE" w14:textId="77777777" w:rsidR="002D6633" w:rsidRPr="00F00296" w:rsidRDefault="002D6633" w:rsidP="006E6C7D">
      <w:pPr>
        <w:spacing w:line="360" w:lineRule="auto"/>
        <w:jc w:val="both"/>
        <w:rPr>
          <w:rFonts w:ascii="Times New Roman" w:hAnsi="Times New Roman" w:cs="Times New Roman"/>
        </w:rPr>
      </w:pPr>
      <w:r w:rsidRPr="00F00296">
        <w:rPr>
          <w:rFonts w:ascii="Times New Roman" w:hAnsi="Times New Roman" w:cs="Times New Roman"/>
        </w:rPr>
        <w:t>While Project A shows a slightly higher ARR, it is essential to consider all factors.</w:t>
      </w:r>
    </w:p>
    <w:p w14:paraId="3CD3F2E7" w14:textId="056FD1F0" w:rsidR="002D6633" w:rsidRPr="00F00296" w:rsidRDefault="002D6633" w:rsidP="006E6C7D">
      <w:pPr>
        <w:spacing w:line="360" w:lineRule="auto"/>
        <w:jc w:val="both"/>
        <w:rPr>
          <w:rFonts w:ascii="Times New Roman" w:hAnsi="Times New Roman" w:cs="Times New Roman"/>
        </w:rPr>
      </w:pPr>
    </w:p>
    <w:p w14:paraId="2DD5A84C" w14:textId="77777777" w:rsidR="00517033" w:rsidRPr="00F00296" w:rsidRDefault="00517033" w:rsidP="006E6C7D">
      <w:pPr>
        <w:spacing w:line="360" w:lineRule="auto"/>
        <w:jc w:val="both"/>
        <w:rPr>
          <w:rFonts w:ascii="Times New Roman" w:hAnsi="Times New Roman" w:cs="Times New Roman"/>
        </w:rPr>
      </w:pPr>
    </w:p>
    <w:p w14:paraId="18DD1033" w14:textId="635D69BD" w:rsidR="007777A7" w:rsidRPr="00F00296" w:rsidRDefault="00DF7F11" w:rsidP="007777A7">
      <w:pPr>
        <w:pStyle w:val="Heading2"/>
        <w:spacing w:line="360" w:lineRule="auto"/>
        <w:rPr>
          <w:rFonts w:cs="Times New Roman"/>
          <w:b w:val="0"/>
        </w:rPr>
      </w:pPr>
      <w:bookmarkStart w:id="43" w:name="_Toc174862047"/>
      <w:r w:rsidRPr="00F00296">
        <w:rPr>
          <w:rFonts w:cs="Times New Roman"/>
        </w:rPr>
        <w:t>Net Present Value (NPV):</w:t>
      </w:r>
      <w:bookmarkEnd w:id="43"/>
    </w:p>
    <w:p w14:paraId="477943B4" w14:textId="0D36ABF7" w:rsidR="00517033" w:rsidRPr="00F00296" w:rsidRDefault="00517033" w:rsidP="007777A7">
      <w:pPr>
        <w:spacing w:line="360" w:lineRule="auto"/>
        <w:jc w:val="both"/>
        <w:rPr>
          <w:rFonts w:ascii="Times New Roman" w:hAnsi="Times New Roman" w:cs="Times New Roman"/>
          <w:b/>
        </w:rPr>
      </w:pPr>
      <w:r w:rsidRPr="00F00296">
        <w:rPr>
          <w:rFonts w:ascii="Times New Roman" w:hAnsi="Times New Roman" w:cs="Times New Roman"/>
          <w:b/>
        </w:rPr>
        <w:t>Define</w:t>
      </w:r>
    </w:p>
    <w:p w14:paraId="338BAA28" w14:textId="63208176" w:rsidR="00517033" w:rsidRPr="00F00296" w:rsidRDefault="007777A7" w:rsidP="007777A7">
      <w:pPr>
        <w:spacing w:line="360" w:lineRule="auto"/>
        <w:jc w:val="both"/>
        <w:rPr>
          <w:rFonts w:ascii="Times New Roman" w:hAnsi="Times New Roman" w:cs="Times New Roman"/>
        </w:rPr>
      </w:pPr>
      <w:r w:rsidRPr="00F00296">
        <w:rPr>
          <w:rFonts w:ascii="Times New Roman" w:hAnsi="Times New Roman" w:cs="Times New Roman"/>
        </w:rPr>
        <w:t xml:space="preserve">NPV, does an assessment of the value of future cash inflow, using the company’s cost of capital, (9. 75%). The NPV for Project A was found equal to £17. 34 million and the NPV of project B is ascertained to be of £ 25. 67 million. In line with this, it is apparent that there is higher NPV associated with Project B and this suggests that this undertaking will create more value to M&amp;S as predicted by </w:t>
      </w:r>
      <w:r w:rsidR="00517033" w:rsidRPr="00F00296">
        <w:rPr>
          <w:rFonts w:ascii="Times New Roman" w:hAnsi="Times New Roman" w:cs="Times New Roman"/>
        </w:rPr>
        <w:t xml:space="preserve">the company’s planning models. </w:t>
      </w:r>
    </w:p>
    <w:p w14:paraId="71137703" w14:textId="2D80AD04" w:rsidR="00F00296" w:rsidRPr="00F00296" w:rsidRDefault="00F00296" w:rsidP="007777A7">
      <w:pPr>
        <w:spacing w:line="360" w:lineRule="auto"/>
        <w:jc w:val="both"/>
        <w:rPr>
          <w:rFonts w:ascii="Times New Roman" w:hAnsi="Times New Roman" w:cs="Times New Roman"/>
          <w:b/>
          <w:bCs/>
        </w:rPr>
      </w:pPr>
      <w:r w:rsidRPr="00F00296">
        <w:rPr>
          <w:rFonts w:ascii="Times New Roman" w:hAnsi="Times New Roman" w:cs="Times New Roman"/>
          <w:b/>
          <w:bCs/>
        </w:rPr>
        <w:t>Formula</w:t>
      </w:r>
    </w:p>
    <w:p w14:paraId="2454A9CD" w14:textId="23826352" w:rsidR="002D6633" w:rsidRPr="00F00296" w:rsidRDefault="002D6633" w:rsidP="006E6C7D">
      <w:pPr>
        <w:spacing w:line="360" w:lineRule="auto"/>
        <w:jc w:val="both"/>
        <w:rPr>
          <w:rFonts w:ascii="Times New Roman" w:hAnsi="Times New Roman" w:cs="Times New Roman"/>
        </w:rPr>
      </w:pPr>
      <w:r w:rsidRPr="00F00296">
        <w:rPr>
          <w:rFonts w:ascii="Times New Roman" w:hAnsi="Times New Roman" w:cs="Times New Roman"/>
        </w:rPr>
        <w:t>NPV=∑Ct(1+r)</w:t>
      </w:r>
      <w:r w:rsidR="00517033" w:rsidRPr="00F00296">
        <w:rPr>
          <w:rFonts w:ascii="Times New Roman" w:hAnsi="Times New Roman" w:cs="Times New Roman"/>
        </w:rPr>
        <w:t xml:space="preserve"> </w:t>
      </w:r>
      <w:r w:rsidRPr="00F00296">
        <w:rPr>
          <w:rFonts w:ascii="Times New Roman" w:hAnsi="Times New Roman" w:cs="Times New Roman"/>
        </w:rPr>
        <w:t>t−C0</w:t>
      </w:r>
    </w:p>
    <w:p w14:paraId="5F02E3AE" w14:textId="5C291708" w:rsidR="002D6633" w:rsidRPr="00F00296" w:rsidRDefault="002D6633" w:rsidP="006E6C7D">
      <w:pPr>
        <w:spacing w:line="360" w:lineRule="auto"/>
        <w:jc w:val="both"/>
        <w:rPr>
          <w:rFonts w:ascii="Times New Roman" w:hAnsi="Times New Roman" w:cs="Times New Roman"/>
        </w:rPr>
      </w:pPr>
      <w:r w:rsidRPr="00F00296">
        <w:rPr>
          <w:rFonts w:ascii="Times New Roman" w:hAnsi="Times New Roman" w:cs="Times New Roman"/>
        </w:rPr>
        <w:t>where Ct​ is the cash flow at time t, r is the discount rate, and C0​ is the initial investment.</w:t>
      </w:r>
    </w:p>
    <w:p w14:paraId="2F656A5E" w14:textId="6E5C11B9" w:rsidR="00517033" w:rsidRPr="00F00296" w:rsidRDefault="00517033" w:rsidP="00517033">
      <w:pPr>
        <w:pStyle w:val="Heading2"/>
        <w:rPr>
          <w:rFonts w:cs="Times New Roman"/>
        </w:rPr>
      </w:pPr>
      <w:bookmarkStart w:id="44" w:name="_Toc174862048"/>
      <w:r w:rsidRPr="00F00296">
        <w:rPr>
          <w:rFonts w:cs="Times New Roman"/>
        </w:rPr>
        <w:t>Calculation</w:t>
      </w:r>
      <w:bookmarkEnd w:id="44"/>
    </w:p>
    <w:p w14:paraId="0CE56B9F" w14:textId="77777777" w:rsidR="002D6633" w:rsidRPr="00F00296" w:rsidRDefault="002D6633" w:rsidP="006E6C7D">
      <w:pPr>
        <w:spacing w:line="360" w:lineRule="auto"/>
        <w:jc w:val="both"/>
        <w:rPr>
          <w:rFonts w:ascii="Times New Roman" w:hAnsi="Times New Roman" w:cs="Times New Roman"/>
        </w:rPr>
      </w:pPr>
      <w:r w:rsidRPr="00F00296">
        <w:rPr>
          <w:rFonts w:ascii="Times New Roman" w:hAnsi="Times New Roman" w:cs="Times New Roman"/>
          <w:b/>
          <w:bCs/>
        </w:rPr>
        <w:t>Project A:</w:t>
      </w:r>
    </w:p>
    <w:p w14:paraId="2CEBC032" w14:textId="77777777" w:rsidR="002D6633" w:rsidRPr="00F00296" w:rsidRDefault="002D6633" w:rsidP="006E6C7D">
      <w:pPr>
        <w:spacing w:line="360" w:lineRule="auto"/>
        <w:jc w:val="both"/>
        <w:rPr>
          <w:rFonts w:ascii="Times New Roman" w:hAnsi="Times New Roman" w:cs="Times New Roman"/>
        </w:rPr>
      </w:pPr>
      <w:r w:rsidRPr="00F00296">
        <w:rPr>
          <w:rFonts w:ascii="Times New Roman" w:hAnsi="Times New Roman" w:cs="Times New Roman"/>
        </w:rPr>
        <w:t>NPVA=25(1+0.0975)1+25(1+0.0975)2+20(1+0.0975)3+55(1+0.0975)4−80</w:t>
      </w:r>
    </w:p>
    <w:p w14:paraId="49C7E85F" w14:textId="5519F2C9" w:rsidR="006E6C7D" w:rsidRPr="00F00296" w:rsidRDefault="002D6633" w:rsidP="006E6C7D">
      <w:pPr>
        <w:spacing w:line="360" w:lineRule="auto"/>
        <w:jc w:val="both"/>
        <w:rPr>
          <w:rFonts w:ascii="Times New Roman" w:hAnsi="Times New Roman" w:cs="Times New Roman"/>
        </w:rPr>
      </w:pPr>
      <w:r w:rsidRPr="00F00296">
        <w:rPr>
          <w:rFonts w:ascii="Times New Roman" w:hAnsi="Times New Roman" w:cs="Times New Roman"/>
        </w:rPr>
        <w:t>NPVA=251.0975+251.2053+201.3201+551.4421−80</w:t>
      </w:r>
    </w:p>
    <w:p w14:paraId="585E6B55" w14:textId="6BF1B6F9" w:rsidR="002D6633" w:rsidRPr="00F00296" w:rsidRDefault="002D6633" w:rsidP="006E6C7D">
      <w:pPr>
        <w:spacing w:line="360" w:lineRule="auto"/>
        <w:jc w:val="both"/>
        <w:rPr>
          <w:rFonts w:ascii="Times New Roman" w:hAnsi="Times New Roman" w:cs="Times New Roman"/>
        </w:rPr>
      </w:pPr>
      <w:r w:rsidRPr="00F00296">
        <w:rPr>
          <w:rFonts w:ascii="Times New Roman" w:hAnsi="Times New Roman" w:cs="Times New Roman"/>
        </w:rPr>
        <w:t>NPVA=22.79+20.75+15.15+38.14−80≈16.83 million</w:t>
      </w:r>
    </w:p>
    <w:p w14:paraId="39487B0A" w14:textId="77777777" w:rsidR="002D6633" w:rsidRPr="00F00296" w:rsidRDefault="002D6633" w:rsidP="006E6C7D">
      <w:pPr>
        <w:spacing w:line="360" w:lineRule="auto"/>
        <w:jc w:val="both"/>
        <w:rPr>
          <w:rFonts w:ascii="Times New Roman" w:hAnsi="Times New Roman" w:cs="Times New Roman"/>
        </w:rPr>
      </w:pPr>
      <w:r w:rsidRPr="00F00296">
        <w:rPr>
          <w:rFonts w:ascii="Times New Roman" w:hAnsi="Times New Roman" w:cs="Times New Roman"/>
          <w:b/>
          <w:bCs/>
        </w:rPr>
        <w:t>Project B:</w:t>
      </w:r>
    </w:p>
    <w:p w14:paraId="4860B9BE" w14:textId="4E63F3D2" w:rsidR="006E6C7D" w:rsidRPr="00F00296" w:rsidRDefault="002D6633" w:rsidP="006E6C7D">
      <w:pPr>
        <w:spacing w:line="360" w:lineRule="auto"/>
        <w:jc w:val="both"/>
        <w:rPr>
          <w:rFonts w:ascii="Times New Roman" w:hAnsi="Times New Roman" w:cs="Times New Roman"/>
        </w:rPr>
      </w:pPr>
      <w:r w:rsidRPr="00F00296">
        <w:rPr>
          <w:rFonts w:ascii="Times New Roman" w:hAnsi="Times New Roman" w:cs="Times New Roman"/>
        </w:rPr>
        <w:t>NPVB=50(1+0.0975)1+20(1+0.0975)2+20(1+0.0975)3+20(1+0.0975)4−75 NPVB=501.0975+201.2053+201.3201+201.4421−75</w:t>
      </w:r>
    </w:p>
    <w:p w14:paraId="2CA4FC56" w14:textId="156016FF" w:rsidR="002D6633" w:rsidRPr="00F00296" w:rsidRDefault="002D6633" w:rsidP="006E6C7D">
      <w:pPr>
        <w:spacing w:line="360" w:lineRule="auto"/>
        <w:jc w:val="both"/>
        <w:rPr>
          <w:rFonts w:ascii="Times New Roman" w:hAnsi="Times New Roman" w:cs="Times New Roman"/>
        </w:rPr>
      </w:pPr>
      <w:r w:rsidRPr="00F00296">
        <w:rPr>
          <w:rFonts w:ascii="Times New Roman" w:hAnsi="Times New Roman" w:cs="Times New Roman"/>
        </w:rPr>
        <w:t>NPVB=45.58+16.60+15.15+13.87−75≈16.98 million</w:t>
      </w:r>
    </w:p>
    <w:p w14:paraId="50713094" w14:textId="77777777" w:rsidR="002D6633" w:rsidRPr="00F00296" w:rsidRDefault="002D6633" w:rsidP="006E6C7D">
      <w:pPr>
        <w:pStyle w:val="Heading2"/>
        <w:spacing w:line="360" w:lineRule="auto"/>
        <w:rPr>
          <w:rFonts w:cs="Times New Roman"/>
        </w:rPr>
      </w:pPr>
      <w:bookmarkStart w:id="45" w:name="_Toc174862049"/>
      <w:r w:rsidRPr="00F00296">
        <w:rPr>
          <w:rFonts w:cs="Times New Roman"/>
        </w:rPr>
        <w:t>Summary Table</w:t>
      </w:r>
      <w:bookmarkEnd w:id="45"/>
    </w:p>
    <w:tbl>
      <w:tblPr>
        <w:tblStyle w:val="TableGrid"/>
        <w:tblW w:w="0" w:type="auto"/>
        <w:jc w:val="center"/>
        <w:tblLook w:val="04A0" w:firstRow="1" w:lastRow="0" w:firstColumn="1" w:lastColumn="0" w:noHBand="0" w:noVBand="1"/>
      </w:tblPr>
      <w:tblGrid>
        <w:gridCol w:w="3522"/>
        <w:gridCol w:w="1630"/>
        <w:gridCol w:w="1630"/>
      </w:tblGrid>
      <w:tr w:rsidR="002D6633" w:rsidRPr="00F00296" w14:paraId="0EE5522F" w14:textId="77777777" w:rsidTr="006E6C7D">
        <w:trPr>
          <w:jc w:val="center"/>
        </w:trPr>
        <w:tc>
          <w:tcPr>
            <w:tcW w:w="0" w:type="auto"/>
            <w:hideMark/>
          </w:tcPr>
          <w:p w14:paraId="21618698" w14:textId="77777777" w:rsidR="002D6633" w:rsidRPr="00F00296" w:rsidRDefault="002D6633" w:rsidP="006E6C7D">
            <w:pPr>
              <w:spacing w:after="160" w:line="360" w:lineRule="auto"/>
              <w:jc w:val="both"/>
              <w:rPr>
                <w:rFonts w:ascii="Times New Roman" w:hAnsi="Times New Roman" w:cs="Times New Roman"/>
                <w:b/>
                <w:bCs/>
              </w:rPr>
            </w:pPr>
            <w:r w:rsidRPr="00F00296">
              <w:rPr>
                <w:rFonts w:ascii="Times New Roman" w:hAnsi="Times New Roman" w:cs="Times New Roman"/>
                <w:b/>
                <w:bCs/>
              </w:rPr>
              <w:t>Metric</w:t>
            </w:r>
          </w:p>
        </w:tc>
        <w:tc>
          <w:tcPr>
            <w:tcW w:w="0" w:type="auto"/>
            <w:hideMark/>
          </w:tcPr>
          <w:p w14:paraId="35752D1E" w14:textId="77777777" w:rsidR="002D6633" w:rsidRPr="00F00296" w:rsidRDefault="002D6633" w:rsidP="006E6C7D">
            <w:pPr>
              <w:spacing w:after="160" w:line="360" w:lineRule="auto"/>
              <w:jc w:val="both"/>
              <w:rPr>
                <w:rFonts w:ascii="Times New Roman" w:hAnsi="Times New Roman" w:cs="Times New Roman"/>
                <w:b/>
                <w:bCs/>
              </w:rPr>
            </w:pPr>
            <w:r w:rsidRPr="00F00296">
              <w:rPr>
                <w:rFonts w:ascii="Times New Roman" w:hAnsi="Times New Roman" w:cs="Times New Roman"/>
                <w:b/>
                <w:bCs/>
              </w:rPr>
              <w:t>Project A</w:t>
            </w:r>
          </w:p>
        </w:tc>
        <w:tc>
          <w:tcPr>
            <w:tcW w:w="0" w:type="auto"/>
            <w:hideMark/>
          </w:tcPr>
          <w:p w14:paraId="6B509EB4" w14:textId="77777777" w:rsidR="002D6633" w:rsidRPr="00F00296" w:rsidRDefault="002D6633" w:rsidP="006E6C7D">
            <w:pPr>
              <w:spacing w:after="160" w:line="360" w:lineRule="auto"/>
              <w:jc w:val="both"/>
              <w:rPr>
                <w:rFonts w:ascii="Times New Roman" w:hAnsi="Times New Roman" w:cs="Times New Roman"/>
                <w:b/>
                <w:bCs/>
              </w:rPr>
            </w:pPr>
            <w:r w:rsidRPr="00F00296">
              <w:rPr>
                <w:rFonts w:ascii="Times New Roman" w:hAnsi="Times New Roman" w:cs="Times New Roman"/>
                <w:b/>
                <w:bCs/>
              </w:rPr>
              <w:t>Project B</w:t>
            </w:r>
          </w:p>
        </w:tc>
      </w:tr>
      <w:tr w:rsidR="002D6633" w:rsidRPr="00F00296" w14:paraId="6F96EABD" w14:textId="77777777" w:rsidTr="006E6C7D">
        <w:trPr>
          <w:jc w:val="center"/>
        </w:trPr>
        <w:tc>
          <w:tcPr>
            <w:tcW w:w="0" w:type="auto"/>
            <w:hideMark/>
          </w:tcPr>
          <w:p w14:paraId="0E8E930B" w14:textId="77777777" w:rsidR="002D6633" w:rsidRPr="00F00296" w:rsidRDefault="002D6633" w:rsidP="006E6C7D">
            <w:pPr>
              <w:spacing w:after="160" w:line="360" w:lineRule="auto"/>
              <w:jc w:val="both"/>
              <w:rPr>
                <w:rFonts w:ascii="Times New Roman" w:hAnsi="Times New Roman" w:cs="Times New Roman"/>
              </w:rPr>
            </w:pPr>
            <w:r w:rsidRPr="00F00296">
              <w:rPr>
                <w:rFonts w:ascii="Times New Roman" w:hAnsi="Times New Roman" w:cs="Times New Roman"/>
              </w:rPr>
              <w:t>Payback Period (PBP)</w:t>
            </w:r>
          </w:p>
        </w:tc>
        <w:tc>
          <w:tcPr>
            <w:tcW w:w="0" w:type="auto"/>
            <w:hideMark/>
          </w:tcPr>
          <w:p w14:paraId="0EABC8CB" w14:textId="77777777" w:rsidR="002D6633" w:rsidRPr="00F00296" w:rsidRDefault="002D6633" w:rsidP="006E6C7D">
            <w:pPr>
              <w:spacing w:after="160" w:line="360" w:lineRule="auto"/>
              <w:jc w:val="both"/>
              <w:rPr>
                <w:rFonts w:ascii="Times New Roman" w:hAnsi="Times New Roman" w:cs="Times New Roman"/>
              </w:rPr>
            </w:pPr>
            <w:r w:rsidRPr="00F00296">
              <w:rPr>
                <w:rFonts w:ascii="Times New Roman" w:hAnsi="Times New Roman" w:cs="Times New Roman"/>
              </w:rPr>
              <w:t>3.18 years</w:t>
            </w:r>
          </w:p>
        </w:tc>
        <w:tc>
          <w:tcPr>
            <w:tcW w:w="0" w:type="auto"/>
            <w:hideMark/>
          </w:tcPr>
          <w:p w14:paraId="6F42C545" w14:textId="77777777" w:rsidR="002D6633" w:rsidRPr="00F00296" w:rsidRDefault="002D6633" w:rsidP="006E6C7D">
            <w:pPr>
              <w:spacing w:after="160" w:line="360" w:lineRule="auto"/>
              <w:jc w:val="both"/>
              <w:rPr>
                <w:rFonts w:ascii="Times New Roman" w:hAnsi="Times New Roman" w:cs="Times New Roman"/>
              </w:rPr>
            </w:pPr>
            <w:r w:rsidRPr="00F00296">
              <w:rPr>
                <w:rFonts w:ascii="Times New Roman" w:hAnsi="Times New Roman" w:cs="Times New Roman"/>
              </w:rPr>
              <w:t>2.25 years</w:t>
            </w:r>
          </w:p>
        </w:tc>
      </w:tr>
      <w:tr w:rsidR="002D6633" w:rsidRPr="00F00296" w14:paraId="5E1DDF19" w14:textId="77777777" w:rsidTr="006E6C7D">
        <w:trPr>
          <w:jc w:val="center"/>
        </w:trPr>
        <w:tc>
          <w:tcPr>
            <w:tcW w:w="0" w:type="auto"/>
            <w:hideMark/>
          </w:tcPr>
          <w:p w14:paraId="0BB84C79" w14:textId="77777777" w:rsidR="002D6633" w:rsidRPr="00F00296" w:rsidRDefault="002D6633" w:rsidP="006E6C7D">
            <w:pPr>
              <w:spacing w:after="160" w:line="360" w:lineRule="auto"/>
              <w:jc w:val="both"/>
              <w:rPr>
                <w:rFonts w:ascii="Times New Roman" w:hAnsi="Times New Roman" w:cs="Times New Roman"/>
              </w:rPr>
            </w:pPr>
            <w:r w:rsidRPr="00F00296">
              <w:rPr>
                <w:rFonts w:ascii="Times New Roman" w:hAnsi="Times New Roman" w:cs="Times New Roman"/>
              </w:rPr>
              <w:t>Accounting Rate of Return (ARR)</w:t>
            </w:r>
          </w:p>
        </w:tc>
        <w:tc>
          <w:tcPr>
            <w:tcW w:w="0" w:type="auto"/>
            <w:hideMark/>
          </w:tcPr>
          <w:p w14:paraId="385A8284" w14:textId="77777777" w:rsidR="002D6633" w:rsidRPr="00F00296" w:rsidRDefault="002D6633" w:rsidP="006E6C7D">
            <w:pPr>
              <w:spacing w:after="160" w:line="360" w:lineRule="auto"/>
              <w:jc w:val="both"/>
              <w:rPr>
                <w:rFonts w:ascii="Times New Roman" w:hAnsi="Times New Roman" w:cs="Times New Roman"/>
              </w:rPr>
            </w:pPr>
            <w:r w:rsidRPr="00F00296">
              <w:rPr>
                <w:rFonts w:ascii="Times New Roman" w:hAnsi="Times New Roman" w:cs="Times New Roman"/>
              </w:rPr>
              <w:t>39.06%</w:t>
            </w:r>
          </w:p>
        </w:tc>
        <w:tc>
          <w:tcPr>
            <w:tcW w:w="0" w:type="auto"/>
            <w:hideMark/>
          </w:tcPr>
          <w:p w14:paraId="034DE384" w14:textId="77777777" w:rsidR="002D6633" w:rsidRPr="00F00296" w:rsidRDefault="002D6633" w:rsidP="006E6C7D">
            <w:pPr>
              <w:spacing w:after="160" w:line="360" w:lineRule="auto"/>
              <w:jc w:val="both"/>
              <w:rPr>
                <w:rFonts w:ascii="Times New Roman" w:hAnsi="Times New Roman" w:cs="Times New Roman"/>
              </w:rPr>
            </w:pPr>
            <w:r w:rsidRPr="00F00296">
              <w:rPr>
                <w:rFonts w:ascii="Times New Roman" w:hAnsi="Times New Roman" w:cs="Times New Roman"/>
              </w:rPr>
              <w:t>36.67%</w:t>
            </w:r>
          </w:p>
        </w:tc>
      </w:tr>
      <w:tr w:rsidR="002D6633" w:rsidRPr="00F00296" w14:paraId="68696BBC" w14:textId="77777777" w:rsidTr="006E6C7D">
        <w:trPr>
          <w:jc w:val="center"/>
        </w:trPr>
        <w:tc>
          <w:tcPr>
            <w:tcW w:w="0" w:type="auto"/>
            <w:hideMark/>
          </w:tcPr>
          <w:p w14:paraId="3B049900" w14:textId="77777777" w:rsidR="002D6633" w:rsidRPr="00F00296" w:rsidRDefault="002D6633" w:rsidP="006E6C7D">
            <w:pPr>
              <w:spacing w:after="160" w:line="360" w:lineRule="auto"/>
              <w:jc w:val="both"/>
              <w:rPr>
                <w:rFonts w:ascii="Times New Roman" w:hAnsi="Times New Roman" w:cs="Times New Roman"/>
              </w:rPr>
            </w:pPr>
            <w:r w:rsidRPr="00F00296">
              <w:rPr>
                <w:rFonts w:ascii="Times New Roman" w:hAnsi="Times New Roman" w:cs="Times New Roman"/>
              </w:rPr>
              <w:lastRenderedPageBreak/>
              <w:t>Net Present Value (NPV)</w:t>
            </w:r>
          </w:p>
        </w:tc>
        <w:tc>
          <w:tcPr>
            <w:tcW w:w="0" w:type="auto"/>
            <w:hideMark/>
          </w:tcPr>
          <w:p w14:paraId="3A6E7A74" w14:textId="77777777" w:rsidR="002D6633" w:rsidRPr="00F00296" w:rsidRDefault="002D6633" w:rsidP="006E6C7D">
            <w:pPr>
              <w:spacing w:after="160" w:line="360" w:lineRule="auto"/>
              <w:jc w:val="both"/>
              <w:rPr>
                <w:rFonts w:ascii="Times New Roman" w:hAnsi="Times New Roman" w:cs="Times New Roman"/>
              </w:rPr>
            </w:pPr>
            <w:r w:rsidRPr="00F00296">
              <w:rPr>
                <w:rFonts w:ascii="Times New Roman" w:hAnsi="Times New Roman" w:cs="Times New Roman"/>
              </w:rPr>
              <w:t>£16.83 million</w:t>
            </w:r>
          </w:p>
        </w:tc>
        <w:tc>
          <w:tcPr>
            <w:tcW w:w="0" w:type="auto"/>
            <w:hideMark/>
          </w:tcPr>
          <w:p w14:paraId="3B5C8BBB" w14:textId="77777777" w:rsidR="002D6633" w:rsidRPr="00F00296" w:rsidRDefault="002D6633" w:rsidP="006E6C7D">
            <w:pPr>
              <w:spacing w:after="160" w:line="360" w:lineRule="auto"/>
              <w:jc w:val="both"/>
              <w:rPr>
                <w:rFonts w:ascii="Times New Roman" w:hAnsi="Times New Roman" w:cs="Times New Roman"/>
              </w:rPr>
            </w:pPr>
            <w:r w:rsidRPr="00F00296">
              <w:rPr>
                <w:rFonts w:ascii="Times New Roman" w:hAnsi="Times New Roman" w:cs="Times New Roman"/>
              </w:rPr>
              <w:t>£16.98 million</w:t>
            </w:r>
          </w:p>
        </w:tc>
      </w:tr>
    </w:tbl>
    <w:p w14:paraId="470EF428" w14:textId="667F932F" w:rsidR="00EE0AAD" w:rsidRPr="00F00296" w:rsidRDefault="00EE0AAD" w:rsidP="00EE0AAD">
      <w:pPr>
        <w:jc w:val="center"/>
        <w:rPr>
          <w:rFonts w:ascii="Times New Roman" w:hAnsi="Times New Roman" w:cs="Times New Roman"/>
        </w:rPr>
      </w:pPr>
      <w:r w:rsidRPr="00F00296">
        <w:rPr>
          <w:rFonts w:ascii="Times New Roman" w:hAnsi="Times New Roman" w:cs="Times New Roman"/>
          <w:noProof/>
        </w:rPr>
        <w:drawing>
          <wp:inline distT="0" distB="0" distL="0" distR="0" wp14:anchorId="13B95208" wp14:editId="478CB64D">
            <wp:extent cx="4572000" cy="2743200"/>
            <wp:effectExtent l="0" t="0" r="0" b="0"/>
            <wp:docPr id="364015202" name="Chart 1">
              <a:extLst xmlns:a="http://schemas.openxmlformats.org/drawingml/2006/main">
                <a:ext uri="{FF2B5EF4-FFF2-40B4-BE49-F238E27FC236}">
                  <a16:creationId xmlns:a16="http://schemas.microsoft.com/office/drawing/2014/main" id="{4966CEFB-6A4B-57E8-95DA-BE3E901949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473E5A39" w14:textId="3C7A47CC" w:rsidR="00F00296" w:rsidRPr="00F00296" w:rsidRDefault="00F00296" w:rsidP="00F00296">
      <w:pPr>
        <w:spacing w:line="360" w:lineRule="auto"/>
        <w:jc w:val="both"/>
        <w:rPr>
          <w:rFonts w:ascii="Times New Roman" w:hAnsi="Times New Roman" w:cs="Times New Roman"/>
        </w:rPr>
      </w:pPr>
      <w:r w:rsidRPr="00F00296">
        <w:rPr>
          <w:rFonts w:ascii="Times New Roman" w:hAnsi="Times New Roman" w:cs="Times New Roman"/>
        </w:rPr>
        <w:t xml:space="preserve">From PBP, ARR, and NPV determinations, Project B is advisable being the project with a shorter PBP, higher ARR, and greater NPV. But it is also necessary to pay attention to other factors that influence the decision-making process, like strategic fit, market environment, and risks likely to be encountered when implementing some of the projects. </w:t>
      </w:r>
    </w:p>
    <w:p w14:paraId="224C03C4" w14:textId="59CA759D" w:rsidR="007777A7" w:rsidRPr="00F00296" w:rsidRDefault="002D6633" w:rsidP="007777A7">
      <w:pPr>
        <w:pStyle w:val="Heading2"/>
        <w:spacing w:line="360" w:lineRule="auto"/>
        <w:rPr>
          <w:rFonts w:cs="Times New Roman"/>
        </w:rPr>
      </w:pPr>
      <w:bookmarkStart w:id="46" w:name="_Toc174862050"/>
      <w:r w:rsidRPr="00F00296">
        <w:rPr>
          <w:rFonts w:cs="Times New Roman"/>
        </w:rPr>
        <w:t>Evaluation and Recommendation</w:t>
      </w:r>
      <w:bookmarkEnd w:id="46"/>
    </w:p>
    <w:p w14:paraId="317934C9" w14:textId="0C42DA67" w:rsidR="00DD0CAB" w:rsidRPr="00F00296" w:rsidRDefault="00DD0CAB" w:rsidP="008666C5">
      <w:pPr>
        <w:spacing w:line="360" w:lineRule="auto"/>
        <w:jc w:val="both"/>
        <w:rPr>
          <w:rFonts w:ascii="Times New Roman" w:hAnsi="Times New Roman" w:cs="Times New Roman"/>
        </w:rPr>
      </w:pPr>
      <w:r w:rsidRPr="00F00296">
        <w:rPr>
          <w:rFonts w:ascii="Times New Roman" w:hAnsi="Times New Roman" w:cs="Times New Roman"/>
        </w:rPr>
        <w:t xml:space="preserve">The Payback Period define the time required to get the return on the initial capital that has been invested in order to develop the corresponding cash inflows of the project. Still, as to the payback period, Project B is somewhat </w:t>
      </w:r>
      <w:proofErr w:type="spellStart"/>
      <w:r w:rsidRPr="00F00296">
        <w:rPr>
          <w:rFonts w:ascii="Times New Roman" w:hAnsi="Times New Roman" w:cs="Times New Roman"/>
        </w:rPr>
        <w:t>favored</w:t>
      </w:r>
      <w:proofErr w:type="spellEnd"/>
      <w:r w:rsidRPr="00F00296">
        <w:rPr>
          <w:rFonts w:ascii="Times New Roman" w:hAnsi="Times New Roman" w:cs="Times New Roman"/>
        </w:rPr>
        <w:t xml:space="preserve"> with the payback period ranging around 2 years. Ross and others in the year 2016 mentioned </w:t>
      </w:r>
      <w:proofErr w:type="gramStart"/>
      <w:r w:rsidRPr="00F00296">
        <w:rPr>
          <w:rFonts w:ascii="Times New Roman" w:hAnsi="Times New Roman" w:cs="Times New Roman"/>
        </w:rPr>
        <w:t>that ,</w:t>
      </w:r>
      <w:proofErr w:type="gramEnd"/>
      <w:r w:rsidRPr="00F00296">
        <w:rPr>
          <w:rFonts w:ascii="Times New Roman" w:hAnsi="Times New Roman" w:cs="Times New Roman"/>
        </w:rPr>
        <w:t xml:space="preserve"> had it to be like Project A, it only had a forecast which looked forward for a period of three years only. 18 years. This situation will mean that if M&amp;S embark in the implementation of Project B will mean that the development costs of M&amp;S will be recovered in the shortest time possible and this will reduce the liquidity risks besides increasing cash flows. The ARR also signal of average annual profitability of the investment expressed in the relation to the initial investment. All in all, Project A has a slightly higher figure of ARR at 39 percent, and approximately that amount. 06% to the project B 36% and so on. 67%. From this, it can be deduced that the Project A may yield a slightly better return, according to accounting income. This one does not take into account the value of time, though it relies on accounting profits rather than cash flows, and as such, this measure is not very useful on its own as a decision </w:t>
      </w:r>
      <w:r w:rsidRPr="00F00296">
        <w:rPr>
          <w:rFonts w:ascii="Times New Roman" w:hAnsi="Times New Roman" w:cs="Times New Roman"/>
        </w:rPr>
        <w:lastRenderedPageBreak/>
        <w:t>criterion. The NPV technique is the last method of discounting cash flow that discounts estimated future cash flows to present value using the company’s cost of capital (SANN).</w:t>
      </w:r>
    </w:p>
    <w:p w14:paraId="48EE2093" w14:textId="313AE1A5" w:rsidR="001E77DD" w:rsidRPr="00F00296" w:rsidRDefault="006E6C7D" w:rsidP="001E77DD">
      <w:pPr>
        <w:pStyle w:val="Heading2"/>
        <w:spacing w:line="360" w:lineRule="auto"/>
        <w:rPr>
          <w:rFonts w:cs="Times New Roman"/>
        </w:rPr>
      </w:pPr>
      <w:bookmarkStart w:id="47" w:name="_Toc174862051"/>
      <w:r w:rsidRPr="00F00296">
        <w:rPr>
          <w:rFonts w:cs="Times New Roman"/>
        </w:rPr>
        <w:t>Advantages and Shortcomings of Investment Appraisal Techniques</w:t>
      </w:r>
      <w:bookmarkEnd w:id="47"/>
    </w:p>
    <w:p w14:paraId="5925902A" w14:textId="3A2132AE" w:rsidR="001E77DD" w:rsidRPr="00F00296" w:rsidRDefault="001E77DD" w:rsidP="006E6C7D">
      <w:pPr>
        <w:spacing w:line="360" w:lineRule="auto"/>
        <w:jc w:val="both"/>
        <w:rPr>
          <w:rFonts w:ascii="Times New Roman" w:hAnsi="Times New Roman" w:cs="Times New Roman"/>
        </w:rPr>
      </w:pPr>
      <w:r w:rsidRPr="00F00296">
        <w:rPr>
          <w:rFonts w:ascii="Times New Roman" w:hAnsi="Times New Roman" w:cs="Times New Roman"/>
        </w:rPr>
        <w:t>The advantages of using Payback Period (PBP) include: It is expedient and efficient to apply and hence; It is a convenient way of assessing the liquidity threat and time for the recovery of capital. Maximal gains are received by the ‘’shallow’’ firms that do not value time as much and are willing to pay for keeping liquidity risks at bay. However, the major weakness of the payback period inability to consider the flows of cash accruing after the expiration of the specified time necessitates the omission of good long term investment proposals. Furthermore, it does not incorporate the time element in which current money is worth more than money to be received in the future; thus, it is not very useful in assessing the total profit making prospects of business. Accounting Rate of Return (ARR) can be easily devised by using information given by accounting records; hence it is simple. Compared to profitability, it is close to ROI; it provides a neutral sign of the financial result of the project. Like the PBP, the ARR does not offer a reflection of the actual worth, which is crucial concerning investment appraisal (Titman &amp; Martin, 2017).</w:t>
      </w:r>
      <w:r w:rsidR="00F00296" w:rsidRPr="00F00296">
        <w:rPr>
          <w:rFonts w:ascii="Times New Roman" w:hAnsi="Times New Roman" w:cs="Times New Roman"/>
        </w:rPr>
        <w:t xml:space="preserve"> The Net Present Value (NPV) method incorporates the time value of money, providing a more accurate measure of the project’s value addition over its entire life. It considers all future cash flows, offering a comprehensive assessment of the investment's profitability. The calculation of NPV requires accurate estimation of the discount rate, which can be complex and subject to uncertainties. Additionally, the method is more complex to understand and apply compared to PBP and ARR.</w:t>
      </w:r>
    </w:p>
    <w:p w14:paraId="26A20153" w14:textId="25D3191B" w:rsidR="00F00296" w:rsidRPr="00F00296" w:rsidRDefault="00F00296" w:rsidP="00F00296">
      <w:pPr>
        <w:pStyle w:val="Heading1"/>
        <w:rPr>
          <w:rFonts w:cs="Times New Roman"/>
        </w:rPr>
      </w:pPr>
      <w:r w:rsidRPr="00F00296">
        <w:rPr>
          <w:rFonts w:cs="Times New Roman"/>
        </w:rPr>
        <w:t>Disadvantages</w:t>
      </w:r>
    </w:p>
    <w:p w14:paraId="2E76E033" w14:textId="496E9C3F" w:rsidR="00F00296" w:rsidRPr="00F00296" w:rsidRDefault="00F00296" w:rsidP="006E6C7D">
      <w:pPr>
        <w:spacing w:line="360" w:lineRule="auto"/>
        <w:jc w:val="both"/>
        <w:rPr>
          <w:rFonts w:ascii="Times New Roman" w:hAnsi="Times New Roman" w:cs="Times New Roman"/>
        </w:rPr>
      </w:pPr>
      <w:r w:rsidRPr="00F00296">
        <w:rPr>
          <w:rFonts w:ascii="Times New Roman" w:hAnsi="Times New Roman" w:cs="Times New Roman"/>
        </w:rPr>
        <w:t xml:space="preserve">Net Present Value (NPV), Accounting Rate of Return (ARR), and Payback Period (PBP) each have notable disadvantages. NPV can be complex to calculate due to its reliance on an appropriate discount rate, which is sensitive and subjective, and it may not account for the project size. ARR fails to consider the time value of money and relies on accounting profits rather than cash flows, potentially leading to misleading evaluations. PBP, on the other hand, does not account for the time value of money or the cash flows occurring after the payback period, focusing solely on how quickly the initial investment is recovered and ignoring long-term profitability. Each method's </w:t>
      </w:r>
      <w:r w:rsidRPr="00F00296">
        <w:rPr>
          <w:rFonts w:ascii="Times New Roman" w:hAnsi="Times New Roman" w:cs="Times New Roman"/>
        </w:rPr>
        <w:lastRenderedPageBreak/>
        <w:t>limitations can affect investment decisions, making it important to use them alongside other financial metrics and qualitative assessments.</w:t>
      </w:r>
    </w:p>
    <w:p w14:paraId="5BD97890" w14:textId="06B9EBAD" w:rsidR="007777A7" w:rsidRPr="00F00296" w:rsidRDefault="006E6C7D" w:rsidP="007777A7">
      <w:pPr>
        <w:pStyle w:val="Heading2"/>
        <w:spacing w:line="360" w:lineRule="auto"/>
        <w:rPr>
          <w:rFonts w:cs="Times New Roman"/>
        </w:rPr>
      </w:pPr>
      <w:bookmarkStart w:id="48" w:name="_Toc174862052"/>
      <w:r w:rsidRPr="00F00296">
        <w:rPr>
          <w:rFonts w:cs="Times New Roman"/>
        </w:rPr>
        <w:t>Non-Financial Factors</w:t>
      </w:r>
      <w:bookmarkEnd w:id="48"/>
    </w:p>
    <w:p w14:paraId="45C43D67" w14:textId="06B260BA" w:rsidR="007777A7" w:rsidRPr="00F00296" w:rsidRDefault="007777A7" w:rsidP="006E6C7D">
      <w:pPr>
        <w:spacing w:line="360" w:lineRule="auto"/>
        <w:jc w:val="both"/>
        <w:rPr>
          <w:rFonts w:ascii="Times New Roman" w:hAnsi="Times New Roman" w:cs="Times New Roman"/>
        </w:rPr>
      </w:pPr>
      <w:r w:rsidRPr="00F00296">
        <w:rPr>
          <w:rFonts w:ascii="Times New Roman" w:hAnsi="Times New Roman" w:cs="Times New Roman"/>
        </w:rPr>
        <w:t>Despite the direct quantifiable aspects that should be measured to assess the attractiveness of investment projects, there are various qualitative factors that should also be taken into account by M&amp;S. The selected project should fit into the organization’s strategic plan for at least the next three to five years I want to achieve goals such as, market penetration, development of new products/services, or environmentalism. Market analysis is another crucial aspect in evaluating the likelihood of success of the project in the country’s context. The regulatory requirements and the concerns of the environment should be checked to eliminate legal concerns and maintain the ecological balance. Successful undertakings that involve the improvement of technological strengths as well as operational effectiveness can offer a competitive edge and/or sustainable advantages. Israel (2014) pointed out that non-financial performance measures are often consistent with business goals because of the awareness of strategic objectives and sustainable value creation, thereby stressing that it is important for companies to integrate those indicators into investment decisions to create value for the long term</w:t>
      </w:r>
      <w:r w:rsidR="008666C5" w:rsidRPr="00F00296">
        <w:rPr>
          <w:rFonts w:ascii="Times New Roman" w:hAnsi="Times New Roman" w:cs="Times New Roman"/>
        </w:rPr>
        <w:t xml:space="preserve"> (Watson and Head, 2019)</w:t>
      </w:r>
      <w:r w:rsidRPr="00F00296">
        <w:rPr>
          <w:rFonts w:ascii="Times New Roman" w:hAnsi="Times New Roman" w:cs="Times New Roman"/>
        </w:rPr>
        <w:t>.</w:t>
      </w:r>
    </w:p>
    <w:p w14:paraId="50EE02DB" w14:textId="77A20E8A" w:rsidR="007777A7" w:rsidRPr="00F00296" w:rsidRDefault="00DF7F11" w:rsidP="007777A7">
      <w:pPr>
        <w:pStyle w:val="Heading2"/>
        <w:spacing w:line="360" w:lineRule="auto"/>
        <w:rPr>
          <w:rFonts w:cs="Times New Roman"/>
        </w:rPr>
      </w:pPr>
      <w:bookmarkStart w:id="49" w:name="_Toc174862053"/>
      <w:r w:rsidRPr="00F00296">
        <w:rPr>
          <w:rFonts w:cs="Times New Roman"/>
        </w:rPr>
        <w:t>Critical Discussion of Investment Appraisal Techniques:</w:t>
      </w:r>
      <w:bookmarkEnd w:id="49"/>
    </w:p>
    <w:p w14:paraId="62BBFC05" w14:textId="17BC3567" w:rsidR="007777A7" w:rsidRPr="00F00296" w:rsidRDefault="007777A7" w:rsidP="007777A7">
      <w:pPr>
        <w:spacing w:line="360" w:lineRule="auto"/>
        <w:jc w:val="both"/>
        <w:rPr>
          <w:rFonts w:ascii="Times New Roman" w:hAnsi="Times New Roman" w:cs="Times New Roman"/>
        </w:rPr>
      </w:pPr>
      <w:r w:rsidRPr="00F00296">
        <w:rPr>
          <w:rFonts w:ascii="Times New Roman" w:hAnsi="Times New Roman" w:cs="Times New Roman"/>
        </w:rPr>
        <w:t xml:space="preserve">The Payback Period is rather straightforward and very easy to calculate, giving the user an initial measure of the liquidity risk. </w:t>
      </w:r>
      <w:proofErr w:type="gramStart"/>
      <w:r w:rsidRPr="00F00296">
        <w:rPr>
          <w:rFonts w:ascii="Times New Roman" w:hAnsi="Times New Roman" w:cs="Times New Roman"/>
        </w:rPr>
        <w:t>However</w:t>
      </w:r>
      <w:proofErr w:type="gramEnd"/>
      <w:r w:rsidRPr="00F00296">
        <w:rPr>
          <w:rFonts w:ascii="Times New Roman" w:hAnsi="Times New Roman" w:cs="Times New Roman"/>
        </w:rPr>
        <w:t xml:space="preserve"> it does not take into consideration the value of time and any cash flows that take place beyond the payback period. However, the method calls for estimation of the future cash flows and the required rate of return</w:t>
      </w:r>
      <w:r w:rsidR="008666C5" w:rsidRPr="00F00296">
        <w:rPr>
          <w:rFonts w:ascii="Times New Roman" w:hAnsi="Times New Roman" w:cs="Times New Roman"/>
        </w:rPr>
        <w:t xml:space="preserve"> (Watson and Head, 2019)</w:t>
      </w:r>
      <w:r w:rsidRPr="00F00296">
        <w:rPr>
          <w:rFonts w:ascii="Times New Roman" w:hAnsi="Times New Roman" w:cs="Times New Roman"/>
        </w:rPr>
        <w:t xml:space="preserve">. </w:t>
      </w:r>
      <w:r w:rsidR="00774391" w:rsidRPr="00F00296">
        <w:rPr>
          <w:rFonts w:ascii="Times New Roman" w:hAnsi="Times New Roman" w:cs="Times New Roman"/>
        </w:rPr>
        <w:t xml:space="preserve"> </w:t>
      </w:r>
      <w:r w:rsidRPr="00F00296">
        <w:rPr>
          <w:rFonts w:ascii="Times New Roman" w:hAnsi="Times New Roman" w:cs="Times New Roman"/>
        </w:rPr>
        <w:t>It is also important to consider non-financial characteristics, like a strategic match between two companies, opportunities for trial, position on the market and regulation. They are all potential sources of inefficiencies that affect the return and the possibility of the investment to be sustained in the future, aspects that the most common financial ratios are incapable of identifying</w:t>
      </w:r>
      <w:r w:rsidR="008666C5" w:rsidRPr="00F00296">
        <w:rPr>
          <w:rFonts w:ascii="Times New Roman" w:hAnsi="Times New Roman" w:cs="Times New Roman"/>
        </w:rPr>
        <w:t xml:space="preserve"> (</w:t>
      </w:r>
      <w:proofErr w:type="spellStart"/>
      <w:r w:rsidR="008666C5" w:rsidRPr="00F00296">
        <w:rPr>
          <w:rFonts w:ascii="Times New Roman" w:hAnsi="Times New Roman" w:cs="Times New Roman"/>
        </w:rPr>
        <w:t>Zutter</w:t>
      </w:r>
      <w:proofErr w:type="spellEnd"/>
      <w:r w:rsidR="008666C5" w:rsidRPr="00F00296">
        <w:rPr>
          <w:rFonts w:ascii="Times New Roman" w:hAnsi="Times New Roman" w:cs="Times New Roman"/>
        </w:rPr>
        <w:t xml:space="preserve"> and Smart, 2019)</w:t>
      </w:r>
      <w:r w:rsidRPr="00F00296">
        <w:rPr>
          <w:rFonts w:ascii="Times New Roman" w:hAnsi="Times New Roman" w:cs="Times New Roman"/>
        </w:rPr>
        <w:t xml:space="preserve">. </w:t>
      </w:r>
    </w:p>
    <w:p w14:paraId="6FFFAA94" w14:textId="1C7B2A81" w:rsidR="007777A7" w:rsidRPr="00F00296" w:rsidRDefault="007777A7" w:rsidP="007777A7">
      <w:pPr>
        <w:spacing w:line="360" w:lineRule="auto"/>
        <w:jc w:val="both"/>
        <w:rPr>
          <w:rFonts w:ascii="Times New Roman" w:hAnsi="Times New Roman" w:cs="Times New Roman"/>
        </w:rPr>
      </w:pPr>
      <w:r w:rsidRPr="00F00296">
        <w:rPr>
          <w:rFonts w:ascii="Times New Roman" w:hAnsi="Times New Roman" w:cs="Times New Roman"/>
        </w:rPr>
        <w:t xml:space="preserve"> This paper gives a brief insight into Marks &amp; Spencer that includes the following sections; history of the company, its financial status, and investment prospects. The analysis in the detailed </w:t>
      </w:r>
      <w:r w:rsidRPr="00F00296">
        <w:rPr>
          <w:rFonts w:ascii="Times New Roman" w:hAnsi="Times New Roman" w:cs="Times New Roman"/>
        </w:rPr>
        <w:lastRenderedPageBreak/>
        <w:t>paragraphs and calculations provide a comprehensive general appraisal of the business and can be useful in the formulation of its business strategies and development plans</w:t>
      </w:r>
      <w:r w:rsidR="008666C5" w:rsidRPr="00F00296">
        <w:rPr>
          <w:rFonts w:ascii="Times New Roman" w:hAnsi="Times New Roman" w:cs="Times New Roman"/>
        </w:rPr>
        <w:t xml:space="preserve"> (Brealey et al., 2017)</w:t>
      </w:r>
      <w:r w:rsidRPr="00F00296">
        <w:rPr>
          <w:rFonts w:ascii="Times New Roman" w:hAnsi="Times New Roman" w:cs="Times New Roman"/>
        </w:rPr>
        <w:t>.</w:t>
      </w:r>
    </w:p>
    <w:p w14:paraId="78E00BA9" w14:textId="6B1A1C03" w:rsidR="007777A7" w:rsidRPr="00F00296" w:rsidRDefault="000C4318" w:rsidP="007777A7">
      <w:pPr>
        <w:pStyle w:val="Heading1"/>
        <w:rPr>
          <w:rFonts w:cs="Times New Roman"/>
        </w:rPr>
      </w:pPr>
      <w:bookmarkStart w:id="50" w:name="_Toc174862054"/>
      <w:r w:rsidRPr="00F00296">
        <w:rPr>
          <w:rFonts w:cs="Times New Roman"/>
        </w:rPr>
        <w:t>Conclusion</w:t>
      </w:r>
      <w:bookmarkEnd w:id="15"/>
      <w:bookmarkEnd w:id="50"/>
    </w:p>
    <w:p w14:paraId="623462B6" w14:textId="43462D76" w:rsidR="007777A7" w:rsidRPr="00F00296" w:rsidRDefault="007777A7" w:rsidP="007777A7">
      <w:pPr>
        <w:spacing w:line="360" w:lineRule="auto"/>
        <w:jc w:val="both"/>
        <w:rPr>
          <w:rFonts w:ascii="Times New Roman" w:hAnsi="Times New Roman" w:cs="Times New Roman"/>
        </w:rPr>
      </w:pPr>
      <w:r w:rsidRPr="00F00296">
        <w:rPr>
          <w:rFonts w:ascii="Times New Roman" w:hAnsi="Times New Roman" w:cs="Times New Roman"/>
        </w:rPr>
        <w:t xml:space="preserve">To sum up, examining the key numbers of Marks &amp; Spencer Group plc (M&amp;S) for the last five years, it is possible to note the existence of a company that experienced crucial changes and faced critical problems. Nevertheless, M&amp;S has encountered distinct challenging even after adopting strategic plans to reactivate the company; some of them are vulnerability in business revenue solidity and more recent and devastating event of COVID-19. Essentially, it may be concluded the having considered financial performance in terms of the key ratios that have been calculated, it is possible to state that the situation remains rather mixed, as there are some signs of stability, yet numerous pressures are still present. </w:t>
      </w:r>
      <w:r w:rsidR="001E77DD" w:rsidRPr="00F00296">
        <w:rPr>
          <w:rFonts w:ascii="Times New Roman" w:hAnsi="Times New Roman" w:cs="Times New Roman"/>
        </w:rPr>
        <w:t xml:space="preserve"> </w:t>
      </w:r>
      <w:r w:rsidRPr="00F00296">
        <w:rPr>
          <w:rFonts w:ascii="Times New Roman" w:hAnsi="Times New Roman" w:cs="Times New Roman"/>
        </w:rPr>
        <w:t xml:space="preserve">The author suggests that M&amp;S should select project B over project A, because project B has taken less time to generate the same amount of cash than project A, and has yielded a higher NPV implying that the investment made in generating £1 million is recovered and generates more value than in project A though project A has a slightly higher ARR level. This recommendation is in line with the Part II of the prospectus that refers to liquidity and value considerations, especially relevant at the current stage of the company’s transformation. </w:t>
      </w:r>
    </w:p>
    <w:p w14:paraId="0EBBCC18" w14:textId="77777777" w:rsidR="007777A7" w:rsidRPr="00F00296" w:rsidRDefault="007777A7" w:rsidP="007777A7">
      <w:pPr>
        <w:spacing w:line="360" w:lineRule="auto"/>
        <w:jc w:val="both"/>
        <w:rPr>
          <w:rFonts w:ascii="Times New Roman" w:hAnsi="Times New Roman" w:cs="Times New Roman"/>
        </w:rPr>
      </w:pPr>
      <w:r w:rsidRPr="00F00296">
        <w:rPr>
          <w:rFonts w:ascii="Times New Roman" w:hAnsi="Times New Roman" w:cs="Times New Roman"/>
        </w:rPr>
        <w:t xml:space="preserve"> Furthermore, the above consideration points have highlighted the need to employ appraisal techniques of investment in combination to acquire a sound view of a given project need. PBP and ARR are useful in their simplicity and their orientation toward the management’s short-term goals, but NPV includes time value of money and a more accurate picture of the profitability. </w:t>
      </w:r>
    </w:p>
    <w:p w14:paraId="55915E61" w14:textId="77777777" w:rsidR="007777A7" w:rsidRPr="00F00296" w:rsidRDefault="007777A7" w:rsidP="007777A7">
      <w:pPr>
        <w:spacing w:line="360" w:lineRule="auto"/>
        <w:jc w:val="both"/>
        <w:rPr>
          <w:rFonts w:ascii="Times New Roman" w:hAnsi="Times New Roman" w:cs="Times New Roman"/>
        </w:rPr>
      </w:pPr>
      <w:r w:rsidRPr="00F00296">
        <w:rPr>
          <w:rFonts w:ascii="Times New Roman" w:hAnsi="Times New Roman" w:cs="Times New Roman"/>
        </w:rPr>
        <w:t xml:space="preserve"> In addition, intangible aspects like the alignment of the strategic objectives, environmental suitability, legal requirements, as well as the opportunities for creating new value are crucial in the decision making process. These factors make sure that financial decisions are not only profitable and optimal but are also sustainable and </w:t>
      </w:r>
      <w:proofErr w:type="spellStart"/>
      <w:r w:rsidRPr="00F00296">
        <w:rPr>
          <w:rFonts w:ascii="Times New Roman" w:hAnsi="Times New Roman" w:cs="Times New Roman"/>
        </w:rPr>
        <w:t>inline</w:t>
      </w:r>
      <w:proofErr w:type="spellEnd"/>
      <w:r w:rsidRPr="00F00296">
        <w:rPr>
          <w:rFonts w:ascii="Times New Roman" w:hAnsi="Times New Roman" w:cs="Times New Roman"/>
        </w:rPr>
        <w:t xml:space="preserve"> with the long term objectives of M&amp;S. </w:t>
      </w:r>
    </w:p>
    <w:p w14:paraId="2CD14730" w14:textId="44DE88C7" w:rsidR="007777A7" w:rsidRPr="00F00296" w:rsidRDefault="007777A7" w:rsidP="007777A7">
      <w:pPr>
        <w:spacing w:line="360" w:lineRule="auto"/>
        <w:jc w:val="both"/>
        <w:rPr>
          <w:rFonts w:ascii="Times New Roman" w:hAnsi="Times New Roman" w:cs="Times New Roman"/>
        </w:rPr>
      </w:pPr>
      <w:r w:rsidRPr="00F00296">
        <w:rPr>
          <w:rFonts w:ascii="Times New Roman" w:hAnsi="Times New Roman" w:cs="Times New Roman"/>
        </w:rPr>
        <w:t xml:space="preserve"> Summing up, it is possible to note that the strategies chosen by M&amp;S to meet new challenges and effectively respond to changes in the market are quite good. Yet, more careful observation and changes in management tactics will be crucial for successful future development against the dynamic context of the retail business. The suggested investment in Project B is complemented with the identification of both financial and non-financial attributes, thus enabling M&amp;S to </w:t>
      </w:r>
      <w:r w:rsidRPr="00F00296">
        <w:rPr>
          <w:rFonts w:ascii="Times New Roman" w:hAnsi="Times New Roman" w:cs="Times New Roman"/>
        </w:rPr>
        <w:lastRenderedPageBreak/>
        <w:t xml:space="preserve">mitigate the potential risks and maximize the opportunities </w:t>
      </w:r>
      <w:proofErr w:type="gramStart"/>
      <w:r w:rsidRPr="00F00296">
        <w:rPr>
          <w:rFonts w:ascii="Times New Roman" w:hAnsi="Times New Roman" w:cs="Times New Roman"/>
        </w:rPr>
        <w:t>In</w:t>
      </w:r>
      <w:proofErr w:type="gramEnd"/>
      <w:r w:rsidRPr="00F00296">
        <w:rPr>
          <w:rFonts w:ascii="Times New Roman" w:hAnsi="Times New Roman" w:cs="Times New Roman"/>
        </w:rPr>
        <w:t xml:space="preserve"> turn, such would contribute to the company’s resilience and sustainability.</w:t>
      </w:r>
    </w:p>
    <w:p w14:paraId="2F6CBB1A" w14:textId="1B54A8E3" w:rsidR="007777A7" w:rsidRPr="00F00296" w:rsidRDefault="00633D63" w:rsidP="00633D63">
      <w:pPr>
        <w:pStyle w:val="Heading1"/>
        <w:rPr>
          <w:rFonts w:cs="Times New Roman"/>
        </w:rPr>
      </w:pPr>
      <w:bookmarkStart w:id="51" w:name="_Toc174862055"/>
      <w:r w:rsidRPr="00F00296">
        <w:rPr>
          <w:rFonts w:cs="Times New Roman"/>
        </w:rPr>
        <w:t>Reference</w:t>
      </w:r>
      <w:bookmarkEnd w:id="51"/>
    </w:p>
    <w:p w14:paraId="06018721" w14:textId="77777777" w:rsidR="00633D63" w:rsidRPr="00F00296" w:rsidRDefault="00633D63" w:rsidP="00633D63">
      <w:pPr>
        <w:spacing w:line="360" w:lineRule="auto"/>
        <w:ind w:firstLine="720"/>
        <w:jc w:val="both"/>
        <w:rPr>
          <w:rFonts w:ascii="Times New Roman" w:hAnsi="Times New Roman" w:cs="Times New Roman"/>
        </w:rPr>
      </w:pPr>
      <w:r w:rsidRPr="00F00296">
        <w:rPr>
          <w:rFonts w:ascii="Times New Roman" w:hAnsi="Times New Roman" w:cs="Times New Roman"/>
        </w:rPr>
        <w:t xml:space="preserve">Arnold, G. (2013). </w:t>
      </w:r>
      <w:r w:rsidRPr="00F00296">
        <w:rPr>
          <w:rFonts w:ascii="Times New Roman" w:hAnsi="Times New Roman" w:cs="Times New Roman"/>
          <w:i/>
          <w:iCs/>
        </w:rPr>
        <w:t>Corporate Financial Management</w:t>
      </w:r>
      <w:r w:rsidRPr="00F00296">
        <w:rPr>
          <w:rFonts w:ascii="Times New Roman" w:hAnsi="Times New Roman" w:cs="Times New Roman"/>
        </w:rPr>
        <w:t>. 5th ed. Harlow: Pearson Education Limited.</w:t>
      </w:r>
    </w:p>
    <w:p w14:paraId="142A3472" w14:textId="77777777" w:rsidR="00633D63" w:rsidRPr="00F00296" w:rsidRDefault="00633D63" w:rsidP="00633D63">
      <w:pPr>
        <w:spacing w:line="360" w:lineRule="auto"/>
        <w:ind w:firstLine="720"/>
        <w:jc w:val="both"/>
        <w:rPr>
          <w:rFonts w:ascii="Times New Roman" w:hAnsi="Times New Roman" w:cs="Times New Roman"/>
        </w:rPr>
      </w:pPr>
      <w:proofErr w:type="spellStart"/>
      <w:r w:rsidRPr="00F00296">
        <w:rPr>
          <w:rFonts w:ascii="Times New Roman" w:hAnsi="Times New Roman" w:cs="Times New Roman"/>
        </w:rPr>
        <w:t>Atrill</w:t>
      </w:r>
      <w:proofErr w:type="spellEnd"/>
      <w:r w:rsidRPr="00F00296">
        <w:rPr>
          <w:rFonts w:ascii="Times New Roman" w:hAnsi="Times New Roman" w:cs="Times New Roman"/>
        </w:rPr>
        <w:t xml:space="preserve">, P. and McLaney, E. (2019). </w:t>
      </w:r>
      <w:r w:rsidRPr="00F00296">
        <w:rPr>
          <w:rFonts w:ascii="Times New Roman" w:hAnsi="Times New Roman" w:cs="Times New Roman"/>
          <w:i/>
          <w:iCs/>
        </w:rPr>
        <w:t>Financial Management for Decision Makers</w:t>
      </w:r>
      <w:r w:rsidRPr="00F00296">
        <w:rPr>
          <w:rFonts w:ascii="Times New Roman" w:hAnsi="Times New Roman" w:cs="Times New Roman"/>
        </w:rPr>
        <w:t>. 9th ed. Harlow: Pearson Education.</w:t>
      </w:r>
    </w:p>
    <w:p w14:paraId="52D3B14B" w14:textId="77777777" w:rsidR="00633D63" w:rsidRPr="00F00296" w:rsidRDefault="00633D63" w:rsidP="00633D63">
      <w:pPr>
        <w:spacing w:line="360" w:lineRule="auto"/>
        <w:ind w:firstLine="720"/>
        <w:jc w:val="both"/>
        <w:rPr>
          <w:rFonts w:ascii="Times New Roman" w:hAnsi="Times New Roman" w:cs="Times New Roman"/>
        </w:rPr>
      </w:pPr>
      <w:r w:rsidRPr="00F00296">
        <w:rPr>
          <w:rFonts w:ascii="Times New Roman" w:hAnsi="Times New Roman" w:cs="Times New Roman"/>
        </w:rPr>
        <w:t xml:space="preserve">Brigham, E.F. and Ehrhardt, M.C. (2016). </w:t>
      </w:r>
      <w:r w:rsidRPr="00F00296">
        <w:rPr>
          <w:rFonts w:ascii="Times New Roman" w:hAnsi="Times New Roman" w:cs="Times New Roman"/>
          <w:i/>
          <w:iCs/>
        </w:rPr>
        <w:t>Financial Management: Theory &amp; Practice</w:t>
      </w:r>
      <w:r w:rsidRPr="00F00296">
        <w:rPr>
          <w:rFonts w:ascii="Times New Roman" w:hAnsi="Times New Roman" w:cs="Times New Roman"/>
        </w:rPr>
        <w:t>. 15th ed. Boston: Cengage Learning.</w:t>
      </w:r>
    </w:p>
    <w:p w14:paraId="7B44D0E5" w14:textId="77777777" w:rsidR="00633D63" w:rsidRPr="00F00296" w:rsidRDefault="00633D63" w:rsidP="00633D63">
      <w:pPr>
        <w:spacing w:line="360" w:lineRule="auto"/>
        <w:ind w:firstLine="720"/>
        <w:jc w:val="both"/>
        <w:rPr>
          <w:rFonts w:ascii="Times New Roman" w:hAnsi="Times New Roman" w:cs="Times New Roman"/>
        </w:rPr>
      </w:pPr>
      <w:r w:rsidRPr="00F00296">
        <w:rPr>
          <w:rFonts w:ascii="Times New Roman" w:hAnsi="Times New Roman" w:cs="Times New Roman"/>
        </w:rPr>
        <w:t xml:space="preserve">Damodaran, A. (2012). </w:t>
      </w:r>
      <w:r w:rsidRPr="00F00296">
        <w:rPr>
          <w:rFonts w:ascii="Times New Roman" w:hAnsi="Times New Roman" w:cs="Times New Roman"/>
          <w:i/>
          <w:iCs/>
        </w:rPr>
        <w:t>Investment Valuation: Tools and Techniques for Determining the Value of Any Asset</w:t>
      </w:r>
      <w:r w:rsidRPr="00F00296">
        <w:rPr>
          <w:rFonts w:ascii="Times New Roman" w:hAnsi="Times New Roman" w:cs="Times New Roman"/>
        </w:rPr>
        <w:t>. 3rd ed. Hoboken: John Wiley &amp; Sons.</w:t>
      </w:r>
    </w:p>
    <w:p w14:paraId="529C179A" w14:textId="77777777" w:rsidR="00633D63" w:rsidRPr="00F00296" w:rsidRDefault="00633D63" w:rsidP="00633D63">
      <w:pPr>
        <w:spacing w:line="360" w:lineRule="auto"/>
        <w:ind w:firstLine="720"/>
        <w:jc w:val="both"/>
        <w:rPr>
          <w:rFonts w:ascii="Times New Roman" w:hAnsi="Times New Roman" w:cs="Times New Roman"/>
        </w:rPr>
      </w:pPr>
      <w:proofErr w:type="spellStart"/>
      <w:r w:rsidRPr="00F00296">
        <w:rPr>
          <w:rFonts w:ascii="Times New Roman" w:hAnsi="Times New Roman" w:cs="Times New Roman"/>
        </w:rPr>
        <w:t>Fabozzi</w:t>
      </w:r>
      <w:proofErr w:type="spellEnd"/>
      <w:r w:rsidRPr="00F00296">
        <w:rPr>
          <w:rFonts w:ascii="Times New Roman" w:hAnsi="Times New Roman" w:cs="Times New Roman"/>
        </w:rPr>
        <w:t xml:space="preserve">, F.J. and Peterson, P.P. (2012). </w:t>
      </w:r>
      <w:r w:rsidRPr="00F00296">
        <w:rPr>
          <w:rFonts w:ascii="Times New Roman" w:hAnsi="Times New Roman" w:cs="Times New Roman"/>
          <w:i/>
          <w:iCs/>
        </w:rPr>
        <w:t>Financial Management and Analysis</w:t>
      </w:r>
      <w:r w:rsidRPr="00F00296">
        <w:rPr>
          <w:rFonts w:ascii="Times New Roman" w:hAnsi="Times New Roman" w:cs="Times New Roman"/>
        </w:rPr>
        <w:t>. 2nd ed. Hoboken: John Wiley &amp; Sons.</w:t>
      </w:r>
    </w:p>
    <w:p w14:paraId="37FDBBCF" w14:textId="77777777" w:rsidR="00633D63" w:rsidRPr="00F00296" w:rsidRDefault="00633D63" w:rsidP="00633D63">
      <w:pPr>
        <w:spacing w:line="360" w:lineRule="auto"/>
        <w:ind w:firstLine="720"/>
        <w:jc w:val="both"/>
        <w:rPr>
          <w:rFonts w:ascii="Times New Roman" w:hAnsi="Times New Roman" w:cs="Times New Roman"/>
        </w:rPr>
      </w:pPr>
      <w:r w:rsidRPr="00F00296">
        <w:rPr>
          <w:rFonts w:ascii="Times New Roman" w:hAnsi="Times New Roman" w:cs="Times New Roman"/>
        </w:rPr>
        <w:t xml:space="preserve">Fraser, L.M. and Ormiston, A. (2016). </w:t>
      </w:r>
      <w:r w:rsidRPr="00F00296">
        <w:rPr>
          <w:rFonts w:ascii="Times New Roman" w:hAnsi="Times New Roman" w:cs="Times New Roman"/>
          <w:i/>
          <w:iCs/>
        </w:rPr>
        <w:t>Understanding Financial Statements</w:t>
      </w:r>
      <w:r w:rsidRPr="00F00296">
        <w:rPr>
          <w:rFonts w:ascii="Times New Roman" w:hAnsi="Times New Roman" w:cs="Times New Roman"/>
        </w:rPr>
        <w:t>. 11th ed. Boston: Pearson Education.</w:t>
      </w:r>
    </w:p>
    <w:p w14:paraId="2C24447C" w14:textId="77777777" w:rsidR="00633D63" w:rsidRPr="00F00296" w:rsidRDefault="00633D63" w:rsidP="00633D63">
      <w:pPr>
        <w:spacing w:line="360" w:lineRule="auto"/>
        <w:ind w:firstLine="720"/>
        <w:jc w:val="both"/>
        <w:rPr>
          <w:rFonts w:ascii="Times New Roman" w:hAnsi="Times New Roman" w:cs="Times New Roman"/>
        </w:rPr>
      </w:pPr>
      <w:r w:rsidRPr="00F00296">
        <w:rPr>
          <w:rFonts w:ascii="Times New Roman" w:hAnsi="Times New Roman" w:cs="Times New Roman"/>
        </w:rPr>
        <w:t xml:space="preserve">Higgins, R.C. (2015). </w:t>
      </w:r>
      <w:r w:rsidRPr="00F00296">
        <w:rPr>
          <w:rFonts w:ascii="Times New Roman" w:hAnsi="Times New Roman" w:cs="Times New Roman"/>
          <w:i/>
          <w:iCs/>
        </w:rPr>
        <w:t>Analysis for Financial Management</w:t>
      </w:r>
      <w:r w:rsidRPr="00F00296">
        <w:rPr>
          <w:rFonts w:ascii="Times New Roman" w:hAnsi="Times New Roman" w:cs="Times New Roman"/>
        </w:rPr>
        <w:t>. 11th ed. New York: McGraw-Hill Education.</w:t>
      </w:r>
    </w:p>
    <w:p w14:paraId="6D1CACFB" w14:textId="77777777" w:rsidR="00633D63" w:rsidRPr="00F00296" w:rsidRDefault="00633D63" w:rsidP="00633D63">
      <w:pPr>
        <w:spacing w:line="360" w:lineRule="auto"/>
        <w:ind w:firstLine="720"/>
        <w:jc w:val="both"/>
        <w:rPr>
          <w:rFonts w:ascii="Times New Roman" w:hAnsi="Times New Roman" w:cs="Times New Roman"/>
        </w:rPr>
      </w:pPr>
      <w:r w:rsidRPr="00F00296">
        <w:rPr>
          <w:rFonts w:ascii="Times New Roman" w:hAnsi="Times New Roman" w:cs="Times New Roman"/>
        </w:rPr>
        <w:t xml:space="preserve">Horngren, C.T., </w:t>
      </w:r>
      <w:proofErr w:type="spellStart"/>
      <w:r w:rsidRPr="00F00296">
        <w:rPr>
          <w:rFonts w:ascii="Times New Roman" w:hAnsi="Times New Roman" w:cs="Times New Roman"/>
        </w:rPr>
        <w:t>Sundem</w:t>
      </w:r>
      <w:proofErr w:type="spellEnd"/>
      <w:r w:rsidRPr="00F00296">
        <w:rPr>
          <w:rFonts w:ascii="Times New Roman" w:hAnsi="Times New Roman" w:cs="Times New Roman"/>
        </w:rPr>
        <w:t xml:space="preserve">, G.L., Elliott, J.A., and Philbrick, D. (2013). </w:t>
      </w:r>
      <w:r w:rsidRPr="00F00296">
        <w:rPr>
          <w:rFonts w:ascii="Times New Roman" w:hAnsi="Times New Roman" w:cs="Times New Roman"/>
          <w:i/>
          <w:iCs/>
        </w:rPr>
        <w:t>Introduction to Financial Accounting</w:t>
      </w:r>
      <w:r w:rsidRPr="00F00296">
        <w:rPr>
          <w:rFonts w:ascii="Times New Roman" w:hAnsi="Times New Roman" w:cs="Times New Roman"/>
        </w:rPr>
        <w:t>. 11th ed. Boston: Pearson Education.</w:t>
      </w:r>
    </w:p>
    <w:p w14:paraId="164DA755" w14:textId="77777777" w:rsidR="00633D63" w:rsidRPr="00F00296" w:rsidRDefault="00633D63" w:rsidP="00633D63">
      <w:pPr>
        <w:spacing w:line="360" w:lineRule="auto"/>
        <w:ind w:firstLine="720"/>
        <w:jc w:val="both"/>
        <w:rPr>
          <w:rFonts w:ascii="Times New Roman" w:hAnsi="Times New Roman" w:cs="Times New Roman"/>
        </w:rPr>
      </w:pPr>
      <w:r w:rsidRPr="00F00296">
        <w:rPr>
          <w:rFonts w:ascii="Times New Roman" w:hAnsi="Times New Roman" w:cs="Times New Roman"/>
        </w:rPr>
        <w:t xml:space="preserve">Kaplan, R.S. and Atkinson, A.A. (2015). </w:t>
      </w:r>
      <w:r w:rsidRPr="00F00296">
        <w:rPr>
          <w:rFonts w:ascii="Times New Roman" w:hAnsi="Times New Roman" w:cs="Times New Roman"/>
          <w:i/>
          <w:iCs/>
        </w:rPr>
        <w:t>Advanced Management Accounting</w:t>
      </w:r>
      <w:r w:rsidRPr="00F00296">
        <w:rPr>
          <w:rFonts w:ascii="Times New Roman" w:hAnsi="Times New Roman" w:cs="Times New Roman"/>
        </w:rPr>
        <w:t>. 3rd ed. Harlow: Pearson Education.</w:t>
      </w:r>
    </w:p>
    <w:p w14:paraId="66BD3380" w14:textId="77777777" w:rsidR="00633D63" w:rsidRPr="00F00296" w:rsidRDefault="00633D63" w:rsidP="00633D63">
      <w:pPr>
        <w:spacing w:line="360" w:lineRule="auto"/>
        <w:ind w:firstLine="720"/>
        <w:jc w:val="both"/>
        <w:rPr>
          <w:rFonts w:ascii="Times New Roman" w:hAnsi="Times New Roman" w:cs="Times New Roman"/>
        </w:rPr>
      </w:pPr>
      <w:r w:rsidRPr="00F00296">
        <w:rPr>
          <w:rFonts w:ascii="Times New Roman" w:hAnsi="Times New Roman" w:cs="Times New Roman"/>
        </w:rPr>
        <w:t xml:space="preserve">Keown, A.J., Martin, J.D., Petty, J.W., and Scott, D.F. (2017). </w:t>
      </w:r>
      <w:r w:rsidRPr="00F00296">
        <w:rPr>
          <w:rFonts w:ascii="Times New Roman" w:hAnsi="Times New Roman" w:cs="Times New Roman"/>
          <w:i/>
          <w:iCs/>
        </w:rPr>
        <w:t>Foundations of Finance: The Logic and Practice of Financial Management</w:t>
      </w:r>
      <w:r w:rsidRPr="00F00296">
        <w:rPr>
          <w:rFonts w:ascii="Times New Roman" w:hAnsi="Times New Roman" w:cs="Times New Roman"/>
        </w:rPr>
        <w:t>. 9th ed. Boston: Pearson Education.</w:t>
      </w:r>
    </w:p>
    <w:p w14:paraId="28A0630B" w14:textId="77777777" w:rsidR="00633D63" w:rsidRPr="00F00296" w:rsidRDefault="00633D63" w:rsidP="00633D63">
      <w:pPr>
        <w:spacing w:line="360" w:lineRule="auto"/>
        <w:ind w:firstLine="720"/>
        <w:jc w:val="both"/>
        <w:rPr>
          <w:rFonts w:ascii="Times New Roman" w:hAnsi="Times New Roman" w:cs="Times New Roman"/>
        </w:rPr>
      </w:pPr>
      <w:proofErr w:type="spellStart"/>
      <w:r w:rsidRPr="00F00296">
        <w:rPr>
          <w:rFonts w:ascii="Times New Roman" w:hAnsi="Times New Roman" w:cs="Times New Roman"/>
        </w:rPr>
        <w:t>Melicher</w:t>
      </w:r>
      <w:proofErr w:type="spellEnd"/>
      <w:r w:rsidRPr="00F00296">
        <w:rPr>
          <w:rFonts w:ascii="Times New Roman" w:hAnsi="Times New Roman" w:cs="Times New Roman"/>
        </w:rPr>
        <w:t xml:space="preserve">, R.W. and Norton, E.A. (2016). </w:t>
      </w:r>
      <w:r w:rsidRPr="00F00296">
        <w:rPr>
          <w:rFonts w:ascii="Times New Roman" w:hAnsi="Times New Roman" w:cs="Times New Roman"/>
          <w:i/>
          <w:iCs/>
        </w:rPr>
        <w:t>Introduction to Finance: Markets, Investments, and Financial Management</w:t>
      </w:r>
      <w:r w:rsidRPr="00F00296">
        <w:rPr>
          <w:rFonts w:ascii="Times New Roman" w:hAnsi="Times New Roman" w:cs="Times New Roman"/>
        </w:rPr>
        <w:t>. 15th ed. Hoboken: John Wiley &amp; Sons.</w:t>
      </w:r>
    </w:p>
    <w:p w14:paraId="070F6FE4" w14:textId="77777777" w:rsidR="00633D63" w:rsidRPr="00F00296" w:rsidRDefault="00633D63" w:rsidP="00633D63">
      <w:pPr>
        <w:spacing w:line="360" w:lineRule="auto"/>
        <w:ind w:firstLine="720"/>
        <w:jc w:val="both"/>
        <w:rPr>
          <w:rFonts w:ascii="Times New Roman" w:hAnsi="Times New Roman" w:cs="Times New Roman"/>
        </w:rPr>
      </w:pPr>
      <w:r w:rsidRPr="00F00296">
        <w:rPr>
          <w:rFonts w:ascii="Times New Roman" w:hAnsi="Times New Roman" w:cs="Times New Roman"/>
        </w:rPr>
        <w:lastRenderedPageBreak/>
        <w:t xml:space="preserve">Moyer, R.C., McGuigan, J.R., and </w:t>
      </w:r>
      <w:proofErr w:type="spellStart"/>
      <w:r w:rsidRPr="00F00296">
        <w:rPr>
          <w:rFonts w:ascii="Times New Roman" w:hAnsi="Times New Roman" w:cs="Times New Roman"/>
        </w:rPr>
        <w:t>Kretlow</w:t>
      </w:r>
      <w:proofErr w:type="spellEnd"/>
      <w:r w:rsidRPr="00F00296">
        <w:rPr>
          <w:rFonts w:ascii="Times New Roman" w:hAnsi="Times New Roman" w:cs="Times New Roman"/>
        </w:rPr>
        <w:t xml:space="preserve">, W.J. (2015). </w:t>
      </w:r>
      <w:r w:rsidRPr="00F00296">
        <w:rPr>
          <w:rFonts w:ascii="Times New Roman" w:hAnsi="Times New Roman" w:cs="Times New Roman"/>
          <w:i/>
          <w:iCs/>
        </w:rPr>
        <w:t>Contemporary Financial Management</w:t>
      </w:r>
      <w:r w:rsidRPr="00F00296">
        <w:rPr>
          <w:rFonts w:ascii="Times New Roman" w:hAnsi="Times New Roman" w:cs="Times New Roman"/>
        </w:rPr>
        <w:t>. 13th ed. Boston: Cengage Learning.</w:t>
      </w:r>
    </w:p>
    <w:p w14:paraId="35C6B527" w14:textId="77777777" w:rsidR="00633D63" w:rsidRPr="00F00296" w:rsidRDefault="00633D63" w:rsidP="00633D63">
      <w:pPr>
        <w:spacing w:line="360" w:lineRule="auto"/>
        <w:ind w:firstLine="720"/>
        <w:jc w:val="both"/>
        <w:rPr>
          <w:rFonts w:ascii="Times New Roman" w:hAnsi="Times New Roman" w:cs="Times New Roman"/>
        </w:rPr>
      </w:pPr>
      <w:r w:rsidRPr="00F00296">
        <w:rPr>
          <w:rFonts w:ascii="Times New Roman" w:hAnsi="Times New Roman" w:cs="Times New Roman"/>
        </w:rPr>
        <w:t xml:space="preserve">Palepu, K.G., Healy, P.M., and Peek, E. (2016). </w:t>
      </w:r>
      <w:r w:rsidRPr="00F00296">
        <w:rPr>
          <w:rFonts w:ascii="Times New Roman" w:hAnsi="Times New Roman" w:cs="Times New Roman"/>
          <w:i/>
          <w:iCs/>
        </w:rPr>
        <w:t>Business Analysis and Valuation: IFRS Edition</w:t>
      </w:r>
      <w:r w:rsidRPr="00F00296">
        <w:rPr>
          <w:rFonts w:ascii="Times New Roman" w:hAnsi="Times New Roman" w:cs="Times New Roman"/>
        </w:rPr>
        <w:t>. 4th ed. Cengage Learning EMEA.</w:t>
      </w:r>
    </w:p>
    <w:p w14:paraId="31FEB25C" w14:textId="77777777" w:rsidR="00633D63" w:rsidRPr="00F00296" w:rsidRDefault="00633D63" w:rsidP="00633D63">
      <w:pPr>
        <w:spacing w:line="360" w:lineRule="auto"/>
        <w:ind w:firstLine="720"/>
        <w:jc w:val="both"/>
        <w:rPr>
          <w:rFonts w:ascii="Times New Roman" w:hAnsi="Times New Roman" w:cs="Times New Roman"/>
        </w:rPr>
      </w:pPr>
      <w:r w:rsidRPr="00F00296">
        <w:rPr>
          <w:rFonts w:ascii="Times New Roman" w:hAnsi="Times New Roman" w:cs="Times New Roman"/>
        </w:rPr>
        <w:t xml:space="preserve">Penman, S.H. (2013). </w:t>
      </w:r>
      <w:r w:rsidRPr="00F00296">
        <w:rPr>
          <w:rFonts w:ascii="Times New Roman" w:hAnsi="Times New Roman" w:cs="Times New Roman"/>
          <w:i/>
          <w:iCs/>
        </w:rPr>
        <w:t>Financial Statement Analysis and Security Valuation</w:t>
      </w:r>
      <w:r w:rsidRPr="00F00296">
        <w:rPr>
          <w:rFonts w:ascii="Times New Roman" w:hAnsi="Times New Roman" w:cs="Times New Roman"/>
        </w:rPr>
        <w:t>. 5th ed. New York: McGraw-Hill Education.</w:t>
      </w:r>
    </w:p>
    <w:p w14:paraId="6407D519" w14:textId="77777777" w:rsidR="00633D63" w:rsidRPr="00F00296" w:rsidRDefault="00633D63" w:rsidP="00633D63">
      <w:pPr>
        <w:spacing w:line="360" w:lineRule="auto"/>
        <w:ind w:firstLine="720"/>
        <w:jc w:val="both"/>
        <w:rPr>
          <w:rFonts w:ascii="Times New Roman" w:hAnsi="Times New Roman" w:cs="Times New Roman"/>
        </w:rPr>
      </w:pPr>
      <w:r w:rsidRPr="00F00296">
        <w:rPr>
          <w:rFonts w:ascii="Times New Roman" w:hAnsi="Times New Roman" w:cs="Times New Roman"/>
        </w:rPr>
        <w:t xml:space="preserve">Ross, S.A., Westerfield, R.W., and Jaffe, J. (2016). </w:t>
      </w:r>
      <w:r w:rsidRPr="00F00296">
        <w:rPr>
          <w:rFonts w:ascii="Times New Roman" w:hAnsi="Times New Roman" w:cs="Times New Roman"/>
          <w:i/>
          <w:iCs/>
        </w:rPr>
        <w:t>Corporate Finance</w:t>
      </w:r>
      <w:r w:rsidRPr="00F00296">
        <w:rPr>
          <w:rFonts w:ascii="Times New Roman" w:hAnsi="Times New Roman" w:cs="Times New Roman"/>
        </w:rPr>
        <w:t>. 11th ed. New York: McGraw-Hill Education.</w:t>
      </w:r>
    </w:p>
    <w:p w14:paraId="05D43D8B" w14:textId="77777777" w:rsidR="00633D63" w:rsidRPr="00F00296" w:rsidRDefault="00633D63" w:rsidP="00633D63">
      <w:pPr>
        <w:spacing w:line="360" w:lineRule="auto"/>
        <w:ind w:firstLine="720"/>
        <w:jc w:val="both"/>
        <w:rPr>
          <w:rFonts w:ascii="Times New Roman" w:hAnsi="Times New Roman" w:cs="Times New Roman"/>
        </w:rPr>
      </w:pPr>
      <w:r w:rsidRPr="00F00296">
        <w:rPr>
          <w:rFonts w:ascii="Times New Roman" w:hAnsi="Times New Roman" w:cs="Times New Roman"/>
        </w:rPr>
        <w:t xml:space="preserve">Titman, S. and Martin, J.D. (2017). </w:t>
      </w:r>
      <w:r w:rsidRPr="00F00296">
        <w:rPr>
          <w:rFonts w:ascii="Times New Roman" w:hAnsi="Times New Roman" w:cs="Times New Roman"/>
          <w:i/>
          <w:iCs/>
        </w:rPr>
        <w:t>Valuation: The Art and Science of Corporate Investment Decisions</w:t>
      </w:r>
      <w:r w:rsidRPr="00F00296">
        <w:rPr>
          <w:rFonts w:ascii="Times New Roman" w:hAnsi="Times New Roman" w:cs="Times New Roman"/>
        </w:rPr>
        <w:t>. 3rd ed. Boston: Pearson Education.</w:t>
      </w:r>
    </w:p>
    <w:p w14:paraId="429418EF" w14:textId="77777777" w:rsidR="00633D63" w:rsidRPr="00F00296" w:rsidRDefault="00633D63" w:rsidP="00633D63">
      <w:pPr>
        <w:spacing w:line="360" w:lineRule="auto"/>
        <w:ind w:firstLine="720"/>
        <w:jc w:val="both"/>
        <w:rPr>
          <w:rFonts w:ascii="Times New Roman" w:hAnsi="Times New Roman" w:cs="Times New Roman"/>
        </w:rPr>
      </w:pPr>
      <w:r w:rsidRPr="00F00296">
        <w:rPr>
          <w:rFonts w:ascii="Times New Roman" w:hAnsi="Times New Roman" w:cs="Times New Roman"/>
        </w:rPr>
        <w:t xml:space="preserve">Van Horne, J.C. and </w:t>
      </w:r>
      <w:proofErr w:type="spellStart"/>
      <w:r w:rsidRPr="00F00296">
        <w:rPr>
          <w:rFonts w:ascii="Times New Roman" w:hAnsi="Times New Roman" w:cs="Times New Roman"/>
        </w:rPr>
        <w:t>Wachowicz</w:t>
      </w:r>
      <w:proofErr w:type="spellEnd"/>
      <w:r w:rsidRPr="00F00296">
        <w:rPr>
          <w:rFonts w:ascii="Times New Roman" w:hAnsi="Times New Roman" w:cs="Times New Roman"/>
        </w:rPr>
        <w:t xml:space="preserve">, J.M. (2014). </w:t>
      </w:r>
      <w:r w:rsidRPr="00F00296">
        <w:rPr>
          <w:rFonts w:ascii="Times New Roman" w:hAnsi="Times New Roman" w:cs="Times New Roman"/>
          <w:i/>
          <w:iCs/>
        </w:rPr>
        <w:t>Fundamentals of Financial Management</w:t>
      </w:r>
      <w:r w:rsidRPr="00F00296">
        <w:rPr>
          <w:rFonts w:ascii="Times New Roman" w:hAnsi="Times New Roman" w:cs="Times New Roman"/>
        </w:rPr>
        <w:t>. 13th ed. Harlow: Pearson Education.</w:t>
      </w:r>
    </w:p>
    <w:p w14:paraId="370CF8BC" w14:textId="77777777" w:rsidR="00633D63" w:rsidRPr="00F00296" w:rsidRDefault="00633D63" w:rsidP="00633D63">
      <w:pPr>
        <w:spacing w:line="360" w:lineRule="auto"/>
        <w:ind w:firstLine="720"/>
        <w:jc w:val="both"/>
        <w:rPr>
          <w:rFonts w:ascii="Times New Roman" w:hAnsi="Times New Roman" w:cs="Times New Roman"/>
        </w:rPr>
      </w:pPr>
      <w:proofErr w:type="spellStart"/>
      <w:r w:rsidRPr="00F00296">
        <w:rPr>
          <w:rFonts w:ascii="Times New Roman" w:hAnsi="Times New Roman" w:cs="Times New Roman"/>
        </w:rPr>
        <w:t>Vernimmen</w:t>
      </w:r>
      <w:proofErr w:type="spellEnd"/>
      <w:r w:rsidRPr="00F00296">
        <w:rPr>
          <w:rFonts w:ascii="Times New Roman" w:hAnsi="Times New Roman" w:cs="Times New Roman"/>
        </w:rPr>
        <w:t xml:space="preserve">, P., </w:t>
      </w:r>
      <w:proofErr w:type="spellStart"/>
      <w:r w:rsidRPr="00F00296">
        <w:rPr>
          <w:rFonts w:ascii="Times New Roman" w:hAnsi="Times New Roman" w:cs="Times New Roman"/>
        </w:rPr>
        <w:t>Quiry</w:t>
      </w:r>
      <w:proofErr w:type="spellEnd"/>
      <w:r w:rsidRPr="00F00296">
        <w:rPr>
          <w:rFonts w:ascii="Times New Roman" w:hAnsi="Times New Roman" w:cs="Times New Roman"/>
        </w:rPr>
        <w:t xml:space="preserve">, P., </w:t>
      </w:r>
      <w:proofErr w:type="spellStart"/>
      <w:r w:rsidRPr="00F00296">
        <w:rPr>
          <w:rFonts w:ascii="Times New Roman" w:hAnsi="Times New Roman" w:cs="Times New Roman"/>
        </w:rPr>
        <w:t>Dallocchio</w:t>
      </w:r>
      <w:proofErr w:type="spellEnd"/>
      <w:r w:rsidRPr="00F00296">
        <w:rPr>
          <w:rFonts w:ascii="Times New Roman" w:hAnsi="Times New Roman" w:cs="Times New Roman"/>
        </w:rPr>
        <w:t xml:space="preserve">, M., Fur, Y.L., and Salvi, A. (2014). </w:t>
      </w:r>
      <w:r w:rsidRPr="00F00296">
        <w:rPr>
          <w:rFonts w:ascii="Times New Roman" w:hAnsi="Times New Roman" w:cs="Times New Roman"/>
          <w:i/>
          <w:iCs/>
        </w:rPr>
        <w:t>Corporate Finance: Theory and Practice</w:t>
      </w:r>
      <w:r w:rsidRPr="00F00296">
        <w:rPr>
          <w:rFonts w:ascii="Times New Roman" w:hAnsi="Times New Roman" w:cs="Times New Roman"/>
        </w:rPr>
        <w:t>. 4th ed. Hoboken: John Wiley &amp; Sons.</w:t>
      </w:r>
    </w:p>
    <w:p w14:paraId="3A550D24" w14:textId="77777777" w:rsidR="00633D63" w:rsidRPr="00F00296" w:rsidRDefault="00633D63" w:rsidP="00633D63">
      <w:pPr>
        <w:spacing w:line="360" w:lineRule="auto"/>
        <w:ind w:firstLine="720"/>
        <w:jc w:val="both"/>
        <w:rPr>
          <w:rFonts w:ascii="Times New Roman" w:hAnsi="Times New Roman" w:cs="Times New Roman"/>
        </w:rPr>
      </w:pPr>
      <w:r w:rsidRPr="00F00296">
        <w:rPr>
          <w:rFonts w:ascii="Times New Roman" w:hAnsi="Times New Roman" w:cs="Times New Roman"/>
        </w:rPr>
        <w:t xml:space="preserve">Watson, D. and Head, A. (2019). </w:t>
      </w:r>
      <w:r w:rsidRPr="00F00296">
        <w:rPr>
          <w:rFonts w:ascii="Times New Roman" w:hAnsi="Times New Roman" w:cs="Times New Roman"/>
          <w:i/>
          <w:iCs/>
        </w:rPr>
        <w:t>Corporate Finance: Principles and Practice</w:t>
      </w:r>
      <w:r w:rsidRPr="00F00296">
        <w:rPr>
          <w:rFonts w:ascii="Times New Roman" w:hAnsi="Times New Roman" w:cs="Times New Roman"/>
        </w:rPr>
        <w:t>. 8th ed. Harlow: Pearson Education.</w:t>
      </w:r>
    </w:p>
    <w:p w14:paraId="5ABC6168" w14:textId="77777777" w:rsidR="00633D63" w:rsidRPr="00F00296" w:rsidRDefault="00633D63" w:rsidP="00633D63">
      <w:pPr>
        <w:spacing w:line="360" w:lineRule="auto"/>
        <w:ind w:firstLine="720"/>
        <w:jc w:val="both"/>
        <w:rPr>
          <w:rFonts w:ascii="Times New Roman" w:hAnsi="Times New Roman" w:cs="Times New Roman"/>
        </w:rPr>
      </w:pPr>
      <w:r w:rsidRPr="00F00296">
        <w:rPr>
          <w:rFonts w:ascii="Times New Roman" w:hAnsi="Times New Roman" w:cs="Times New Roman"/>
        </w:rPr>
        <w:t xml:space="preserve">Wild, J.J., Subramanyam, K.R., and Halsey, R.F. (2013). </w:t>
      </w:r>
      <w:r w:rsidRPr="00F00296">
        <w:rPr>
          <w:rFonts w:ascii="Times New Roman" w:hAnsi="Times New Roman" w:cs="Times New Roman"/>
          <w:i/>
          <w:iCs/>
        </w:rPr>
        <w:t>Financial Statement Analysis</w:t>
      </w:r>
      <w:r w:rsidRPr="00F00296">
        <w:rPr>
          <w:rFonts w:ascii="Times New Roman" w:hAnsi="Times New Roman" w:cs="Times New Roman"/>
        </w:rPr>
        <w:t>. 11th ed. New York: McGraw-Hill Education.</w:t>
      </w:r>
    </w:p>
    <w:p w14:paraId="2A51A274" w14:textId="77777777" w:rsidR="00633D63" w:rsidRPr="00F00296" w:rsidRDefault="00633D63" w:rsidP="00633D63">
      <w:pPr>
        <w:spacing w:line="360" w:lineRule="auto"/>
        <w:ind w:firstLine="720"/>
        <w:jc w:val="both"/>
        <w:rPr>
          <w:rFonts w:ascii="Times New Roman" w:hAnsi="Times New Roman" w:cs="Times New Roman"/>
        </w:rPr>
      </w:pPr>
      <w:proofErr w:type="spellStart"/>
      <w:r w:rsidRPr="00F00296">
        <w:rPr>
          <w:rFonts w:ascii="Times New Roman" w:hAnsi="Times New Roman" w:cs="Times New Roman"/>
        </w:rPr>
        <w:t>Zutter</w:t>
      </w:r>
      <w:proofErr w:type="spellEnd"/>
      <w:r w:rsidRPr="00F00296">
        <w:rPr>
          <w:rFonts w:ascii="Times New Roman" w:hAnsi="Times New Roman" w:cs="Times New Roman"/>
        </w:rPr>
        <w:t xml:space="preserve">, C.J. and Smart, S.B. (2019). </w:t>
      </w:r>
      <w:r w:rsidRPr="00F00296">
        <w:rPr>
          <w:rFonts w:ascii="Times New Roman" w:hAnsi="Times New Roman" w:cs="Times New Roman"/>
          <w:i/>
          <w:iCs/>
        </w:rPr>
        <w:t>Principles of Managerial Finance</w:t>
      </w:r>
      <w:r w:rsidRPr="00F00296">
        <w:rPr>
          <w:rFonts w:ascii="Times New Roman" w:hAnsi="Times New Roman" w:cs="Times New Roman"/>
        </w:rPr>
        <w:t>. 15th ed. Harlow: Pearson Education.</w:t>
      </w:r>
    </w:p>
    <w:p w14:paraId="58611662" w14:textId="77777777" w:rsidR="00633D63" w:rsidRPr="00F00296" w:rsidRDefault="00633D63" w:rsidP="00633D63">
      <w:pPr>
        <w:spacing w:line="360" w:lineRule="auto"/>
        <w:ind w:firstLine="720"/>
        <w:jc w:val="both"/>
        <w:rPr>
          <w:rFonts w:ascii="Times New Roman" w:hAnsi="Times New Roman" w:cs="Times New Roman"/>
        </w:rPr>
      </w:pPr>
      <w:r w:rsidRPr="00F00296">
        <w:rPr>
          <w:rFonts w:ascii="Times New Roman" w:hAnsi="Times New Roman" w:cs="Times New Roman"/>
        </w:rPr>
        <w:t xml:space="preserve">Brealey, R.A., Myers, S.C., and Allen, F. (2017). </w:t>
      </w:r>
      <w:r w:rsidRPr="00F00296">
        <w:rPr>
          <w:rFonts w:ascii="Times New Roman" w:hAnsi="Times New Roman" w:cs="Times New Roman"/>
          <w:i/>
          <w:iCs/>
        </w:rPr>
        <w:t>Principles of Corporate Finance</w:t>
      </w:r>
      <w:r w:rsidRPr="00F00296">
        <w:rPr>
          <w:rFonts w:ascii="Times New Roman" w:hAnsi="Times New Roman" w:cs="Times New Roman"/>
        </w:rPr>
        <w:t>. 12th ed. New York: McGraw-Hill Education.</w:t>
      </w:r>
    </w:p>
    <w:p w14:paraId="0C348B34" w14:textId="77777777" w:rsidR="00633D63" w:rsidRPr="00F00296" w:rsidRDefault="00633D63" w:rsidP="00633D63">
      <w:pPr>
        <w:spacing w:line="360" w:lineRule="auto"/>
        <w:ind w:firstLine="720"/>
        <w:jc w:val="both"/>
        <w:rPr>
          <w:rFonts w:ascii="Times New Roman" w:hAnsi="Times New Roman" w:cs="Times New Roman"/>
        </w:rPr>
      </w:pPr>
      <w:r w:rsidRPr="00F00296">
        <w:rPr>
          <w:rFonts w:ascii="Times New Roman" w:hAnsi="Times New Roman" w:cs="Times New Roman"/>
        </w:rPr>
        <w:t xml:space="preserve">Collier, P.M. (2015). </w:t>
      </w:r>
      <w:r w:rsidRPr="00F00296">
        <w:rPr>
          <w:rFonts w:ascii="Times New Roman" w:hAnsi="Times New Roman" w:cs="Times New Roman"/>
          <w:i/>
          <w:iCs/>
        </w:rPr>
        <w:t>Accounting for Managers: Interpreting Accounting Information for Decision Making</w:t>
      </w:r>
      <w:r w:rsidRPr="00F00296">
        <w:rPr>
          <w:rFonts w:ascii="Times New Roman" w:hAnsi="Times New Roman" w:cs="Times New Roman"/>
        </w:rPr>
        <w:t>. 5th ed. Hoboken: John Wiley &amp; Sons.</w:t>
      </w:r>
    </w:p>
    <w:p w14:paraId="604FE1A3" w14:textId="77777777" w:rsidR="00633D63" w:rsidRPr="00F00296" w:rsidRDefault="00633D63" w:rsidP="00633D63">
      <w:pPr>
        <w:spacing w:line="360" w:lineRule="auto"/>
        <w:ind w:firstLine="720"/>
        <w:jc w:val="both"/>
        <w:rPr>
          <w:rFonts w:ascii="Times New Roman" w:hAnsi="Times New Roman" w:cs="Times New Roman"/>
        </w:rPr>
      </w:pPr>
      <w:proofErr w:type="spellStart"/>
      <w:r w:rsidRPr="00F00296">
        <w:rPr>
          <w:rFonts w:ascii="Times New Roman" w:hAnsi="Times New Roman" w:cs="Times New Roman"/>
        </w:rPr>
        <w:t>Gitman</w:t>
      </w:r>
      <w:proofErr w:type="spellEnd"/>
      <w:r w:rsidRPr="00F00296">
        <w:rPr>
          <w:rFonts w:ascii="Times New Roman" w:hAnsi="Times New Roman" w:cs="Times New Roman"/>
        </w:rPr>
        <w:t xml:space="preserve">, L.J. and </w:t>
      </w:r>
      <w:proofErr w:type="spellStart"/>
      <w:r w:rsidRPr="00F00296">
        <w:rPr>
          <w:rFonts w:ascii="Times New Roman" w:hAnsi="Times New Roman" w:cs="Times New Roman"/>
        </w:rPr>
        <w:t>Zutter</w:t>
      </w:r>
      <w:proofErr w:type="spellEnd"/>
      <w:r w:rsidRPr="00F00296">
        <w:rPr>
          <w:rFonts w:ascii="Times New Roman" w:hAnsi="Times New Roman" w:cs="Times New Roman"/>
        </w:rPr>
        <w:t xml:space="preserve">, C.J. (2015). </w:t>
      </w:r>
      <w:r w:rsidRPr="00F00296">
        <w:rPr>
          <w:rFonts w:ascii="Times New Roman" w:hAnsi="Times New Roman" w:cs="Times New Roman"/>
          <w:i/>
          <w:iCs/>
        </w:rPr>
        <w:t>Principles of Managerial Finance</w:t>
      </w:r>
      <w:r w:rsidRPr="00F00296">
        <w:rPr>
          <w:rFonts w:ascii="Times New Roman" w:hAnsi="Times New Roman" w:cs="Times New Roman"/>
        </w:rPr>
        <w:t>. 14th ed. Harlow: Pearson Education.</w:t>
      </w:r>
    </w:p>
    <w:p w14:paraId="3BDE23AA" w14:textId="2D20D9CA" w:rsidR="00633D63" w:rsidRPr="00F00296" w:rsidRDefault="00633D63" w:rsidP="00633D63">
      <w:pPr>
        <w:spacing w:line="360" w:lineRule="auto"/>
        <w:ind w:firstLine="720"/>
        <w:jc w:val="both"/>
        <w:rPr>
          <w:rFonts w:ascii="Times New Roman" w:hAnsi="Times New Roman" w:cs="Times New Roman"/>
        </w:rPr>
      </w:pPr>
      <w:proofErr w:type="spellStart"/>
      <w:r w:rsidRPr="00F00296">
        <w:rPr>
          <w:rFonts w:ascii="Times New Roman" w:hAnsi="Times New Roman" w:cs="Times New Roman"/>
        </w:rPr>
        <w:lastRenderedPageBreak/>
        <w:t>Lazonick</w:t>
      </w:r>
      <w:proofErr w:type="spellEnd"/>
      <w:r w:rsidRPr="00F00296">
        <w:rPr>
          <w:rFonts w:ascii="Times New Roman" w:hAnsi="Times New Roman" w:cs="Times New Roman"/>
        </w:rPr>
        <w:t xml:space="preserve">, W. and O'Sullivan, M. (2000). "Maximizing shareholder value: a new ideology for corporate governance". </w:t>
      </w:r>
      <w:r w:rsidRPr="00F00296">
        <w:rPr>
          <w:rFonts w:ascii="Times New Roman" w:hAnsi="Times New Roman" w:cs="Times New Roman"/>
          <w:i/>
          <w:iCs/>
        </w:rPr>
        <w:t>Economy and Society</w:t>
      </w:r>
      <w:r w:rsidRPr="00F00296">
        <w:rPr>
          <w:rFonts w:ascii="Times New Roman" w:hAnsi="Times New Roman" w:cs="Times New Roman"/>
        </w:rPr>
        <w:t>, 29(1), pp.13-35.</w:t>
      </w:r>
    </w:p>
    <w:p w14:paraId="7CAFDCAA" w14:textId="77777777" w:rsidR="00633D63" w:rsidRPr="00F00296" w:rsidRDefault="00633D63" w:rsidP="00633D63">
      <w:pPr>
        <w:spacing w:line="360" w:lineRule="auto"/>
        <w:jc w:val="both"/>
        <w:rPr>
          <w:rFonts w:ascii="Times New Roman" w:hAnsi="Times New Roman" w:cs="Times New Roman"/>
        </w:rPr>
      </w:pPr>
    </w:p>
    <w:p w14:paraId="0CAD0CC4" w14:textId="77777777" w:rsidR="0027315D" w:rsidRPr="00F00296" w:rsidRDefault="0027315D" w:rsidP="00633D63">
      <w:pPr>
        <w:spacing w:line="360" w:lineRule="auto"/>
        <w:jc w:val="both"/>
        <w:rPr>
          <w:rFonts w:ascii="Times New Roman" w:hAnsi="Times New Roman" w:cs="Times New Roman"/>
        </w:rPr>
      </w:pPr>
    </w:p>
    <w:p w14:paraId="0058605B" w14:textId="77777777" w:rsidR="003E23EF" w:rsidRPr="00F00296" w:rsidRDefault="003E23EF" w:rsidP="00633D63">
      <w:pPr>
        <w:spacing w:line="360" w:lineRule="auto"/>
        <w:jc w:val="both"/>
        <w:rPr>
          <w:rFonts w:ascii="Times New Roman" w:hAnsi="Times New Roman" w:cs="Times New Roman"/>
        </w:rPr>
      </w:pPr>
    </w:p>
    <w:p w14:paraId="00B71794" w14:textId="77777777" w:rsidR="003E23EF" w:rsidRPr="00F00296" w:rsidRDefault="003E23EF" w:rsidP="00633D63">
      <w:pPr>
        <w:spacing w:line="360" w:lineRule="auto"/>
        <w:jc w:val="both"/>
        <w:rPr>
          <w:rFonts w:ascii="Times New Roman" w:hAnsi="Times New Roman" w:cs="Times New Roman"/>
        </w:rPr>
      </w:pPr>
    </w:p>
    <w:p w14:paraId="05D8EB3F" w14:textId="77777777" w:rsidR="003E23EF" w:rsidRPr="00F00296" w:rsidRDefault="003E23EF" w:rsidP="00633D63">
      <w:pPr>
        <w:spacing w:line="360" w:lineRule="auto"/>
        <w:jc w:val="both"/>
        <w:rPr>
          <w:rFonts w:ascii="Times New Roman" w:hAnsi="Times New Roman" w:cs="Times New Roman"/>
        </w:rPr>
      </w:pPr>
    </w:p>
    <w:p w14:paraId="4F992E02" w14:textId="77777777" w:rsidR="003E23EF" w:rsidRPr="00F00296" w:rsidRDefault="003E23EF" w:rsidP="00633D63">
      <w:pPr>
        <w:spacing w:line="360" w:lineRule="auto"/>
        <w:jc w:val="both"/>
        <w:rPr>
          <w:rFonts w:ascii="Times New Roman" w:hAnsi="Times New Roman" w:cs="Times New Roman"/>
        </w:rPr>
      </w:pPr>
    </w:p>
    <w:p w14:paraId="4DCAD5B0" w14:textId="77777777" w:rsidR="003E23EF" w:rsidRPr="00F00296" w:rsidRDefault="003E23EF" w:rsidP="00633D63">
      <w:pPr>
        <w:spacing w:line="360" w:lineRule="auto"/>
        <w:jc w:val="both"/>
        <w:rPr>
          <w:rFonts w:ascii="Times New Roman" w:hAnsi="Times New Roman" w:cs="Times New Roman"/>
        </w:rPr>
      </w:pPr>
    </w:p>
    <w:p w14:paraId="0A87C8C7" w14:textId="77777777" w:rsidR="003E23EF" w:rsidRPr="00F00296" w:rsidRDefault="003E23EF" w:rsidP="00633D63">
      <w:pPr>
        <w:spacing w:line="360" w:lineRule="auto"/>
        <w:jc w:val="both"/>
        <w:rPr>
          <w:rFonts w:ascii="Times New Roman" w:hAnsi="Times New Roman" w:cs="Times New Roman"/>
        </w:rPr>
      </w:pPr>
    </w:p>
    <w:p w14:paraId="04CCAE2C" w14:textId="77777777" w:rsidR="003E23EF" w:rsidRPr="00F00296" w:rsidRDefault="003E23EF" w:rsidP="00633D63">
      <w:pPr>
        <w:spacing w:line="360" w:lineRule="auto"/>
        <w:jc w:val="both"/>
        <w:rPr>
          <w:rFonts w:ascii="Times New Roman" w:hAnsi="Times New Roman" w:cs="Times New Roman"/>
        </w:rPr>
      </w:pPr>
    </w:p>
    <w:p w14:paraId="02FA0BB2" w14:textId="77777777" w:rsidR="003E23EF" w:rsidRPr="00F00296" w:rsidRDefault="003E23EF" w:rsidP="00633D63">
      <w:pPr>
        <w:spacing w:line="360" w:lineRule="auto"/>
        <w:jc w:val="both"/>
        <w:rPr>
          <w:rFonts w:ascii="Times New Roman" w:hAnsi="Times New Roman" w:cs="Times New Roman"/>
        </w:rPr>
      </w:pPr>
    </w:p>
    <w:p w14:paraId="54F0986E" w14:textId="77777777" w:rsidR="0027315D" w:rsidRPr="00F00296" w:rsidRDefault="0027315D" w:rsidP="0027315D">
      <w:pPr>
        <w:pStyle w:val="Heading1"/>
        <w:rPr>
          <w:rFonts w:cs="Times New Roman"/>
        </w:rPr>
      </w:pPr>
      <w:bookmarkStart w:id="52" w:name="_Toc174862056"/>
      <w:r w:rsidRPr="00F00296">
        <w:rPr>
          <w:rFonts w:cs="Times New Roman"/>
        </w:rPr>
        <w:t>Appendix A: Five-Year Financial Data Tables</w:t>
      </w:r>
      <w:bookmarkEnd w:id="52"/>
    </w:p>
    <w:p w14:paraId="2D148F3A" w14:textId="77777777" w:rsidR="0027315D" w:rsidRPr="00F00296" w:rsidRDefault="0027315D" w:rsidP="0027315D">
      <w:pPr>
        <w:spacing w:line="360" w:lineRule="auto"/>
        <w:jc w:val="both"/>
        <w:rPr>
          <w:rFonts w:ascii="Times New Roman" w:hAnsi="Times New Roman" w:cs="Times New Roman"/>
          <w:b/>
          <w:bCs/>
        </w:rPr>
      </w:pPr>
      <w:r w:rsidRPr="00F00296">
        <w:rPr>
          <w:rFonts w:ascii="Times New Roman" w:hAnsi="Times New Roman" w:cs="Times New Roman"/>
          <w:b/>
          <w:bCs/>
        </w:rPr>
        <w:t>Table A1: Profitability Ratios (2019-2023)</w:t>
      </w:r>
    </w:p>
    <w:tbl>
      <w:tblPr>
        <w:tblStyle w:val="PlainTable1"/>
        <w:tblW w:w="0" w:type="auto"/>
        <w:jc w:val="center"/>
        <w:tblLook w:val="04A0" w:firstRow="1" w:lastRow="0" w:firstColumn="1" w:lastColumn="0" w:noHBand="0" w:noVBand="1"/>
      </w:tblPr>
      <w:tblGrid>
        <w:gridCol w:w="696"/>
        <w:gridCol w:w="2301"/>
        <w:gridCol w:w="2065"/>
        <w:gridCol w:w="2757"/>
      </w:tblGrid>
      <w:tr w:rsidR="0027315D" w:rsidRPr="00F00296" w14:paraId="7F72BF03" w14:textId="77777777" w:rsidTr="0027315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C760B1"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Year</w:t>
            </w:r>
          </w:p>
        </w:tc>
        <w:tc>
          <w:tcPr>
            <w:tcW w:w="0" w:type="auto"/>
            <w:hideMark/>
          </w:tcPr>
          <w:p w14:paraId="63D517C0" w14:textId="77777777" w:rsidR="0027315D" w:rsidRPr="00F00296"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Gross Profit Margin</w:t>
            </w:r>
          </w:p>
        </w:tc>
        <w:tc>
          <w:tcPr>
            <w:tcW w:w="0" w:type="auto"/>
            <w:hideMark/>
          </w:tcPr>
          <w:p w14:paraId="00FD1C76" w14:textId="77777777" w:rsidR="0027315D" w:rsidRPr="00F00296"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Net Profit Margin</w:t>
            </w:r>
          </w:p>
        </w:tc>
        <w:tc>
          <w:tcPr>
            <w:tcW w:w="0" w:type="auto"/>
            <w:hideMark/>
          </w:tcPr>
          <w:p w14:paraId="09398A13" w14:textId="77777777" w:rsidR="0027315D" w:rsidRPr="00F00296"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Return on Equity (ROE)</w:t>
            </w:r>
          </w:p>
        </w:tc>
      </w:tr>
      <w:tr w:rsidR="0027315D" w:rsidRPr="00F00296" w14:paraId="2B905B2B"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16BFB3"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2019</w:t>
            </w:r>
          </w:p>
        </w:tc>
        <w:tc>
          <w:tcPr>
            <w:tcW w:w="0" w:type="auto"/>
            <w:hideMark/>
          </w:tcPr>
          <w:p w14:paraId="33C523F3"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34.2%</w:t>
            </w:r>
          </w:p>
        </w:tc>
        <w:tc>
          <w:tcPr>
            <w:tcW w:w="0" w:type="auto"/>
            <w:hideMark/>
          </w:tcPr>
          <w:p w14:paraId="2D00E6BD"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5.4%</w:t>
            </w:r>
          </w:p>
        </w:tc>
        <w:tc>
          <w:tcPr>
            <w:tcW w:w="0" w:type="auto"/>
            <w:hideMark/>
          </w:tcPr>
          <w:p w14:paraId="16A0A2C0"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12.3%</w:t>
            </w:r>
          </w:p>
        </w:tc>
      </w:tr>
      <w:tr w:rsidR="0027315D" w:rsidRPr="00F00296" w14:paraId="74E10D85" w14:textId="77777777" w:rsidTr="0027315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065C08"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2020</w:t>
            </w:r>
          </w:p>
        </w:tc>
        <w:tc>
          <w:tcPr>
            <w:tcW w:w="0" w:type="auto"/>
            <w:hideMark/>
          </w:tcPr>
          <w:p w14:paraId="7B058FD2"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32.8%</w:t>
            </w:r>
          </w:p>
        </w:tc>
        <w:tc>
          <w:tcPr>
            <w:tcW w:w="0" w:type="auto"/>
            <w:hideMark/>
          </w:tcPr>
          <w:p w14:paraId="1F6B613B"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4.1%</w:t>
            </w:r>
          </w:p>
        </w:tc>
        <w:tc>
          <w:tcPr>
            <w:tcW w:w="0" w:type="auto"/>
            <w:hideMark/>
          </w:tcPr>
          <w:p w14:paraId="757DC44F"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10.8%</w:t>
            </w:r>
          </w:p>
        </w:tc>
      </w:tr>
      <w:tr w:rsidR="0027315D" w:rsidRPr="00F00296" w14:paraId="4A891F4A"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D0AD36"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2021</w:t>
            </w:r>
          </w:p>
        </w:tc>
        <w:tc>
          <w:tcPr>
            <w:tcW w:w="0" w:type="auto"/>
            <w:hideMark/>
          </w:tcPr>
          <w:p w14:paraId="7891E13B"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31.6%</w:t>
            </w:r>
          </w:p>
        </w:tc>
        <w:tc>
          <w:tcPr>
            <w:tcW w:w="0" w:type="auto"/>
            <w:hideMark/>
          </w:tcPr>
          <w:p w14:paraId="0F7A94F0"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3.2%</w:t>
            </w:r>
          </w:p>
        </w:tc>
        <w:tc>
          <w:tcPr>
            <w:tcW w:w="0" w:type="auto"/>
            <w:hideMark/>
          </w:tcPr>
          <w:p w14:paraId="6CB08271"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8.9%</w:t>
            </w:r>
          </w:p>
        </w:tc>
      </w:tr>
      <w:tr w:rsidR="0027315D" w:rsidRPr="00F00296" w14:paraId="13F1CE5D" w14:textId="77777777" w:rsidTr="0027315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8225A4"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2022</w:t>
            </w:r>
          </w:p>
        </w:tc>
        <w:tc>
          <w:tcPr>
            <w:tcW w:w="0" w:type="auto"/>
            <w:hideMark/>
          </w:tcPr>
          <w:p w14:paraId="60EAAA31"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33.0%</w:t>
            </w:r>
          </w:p>
        </w:tc>
        <w:tc>
          <w:tcPr>
            <w:tcW w:w="0" w:type="auto"/>
            <w:hideMark/>
          </w:tcPr>
          <w:p w14:paraId="258FFAAF"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3.8%</w:t>
            </w:r>
          </w:p>
        </w:tc>
        <w:tc>
          <w:tcPr>
            <w:tcW w:w="0" w:type="auto"/>
            <w:hideMark/>
          </w:tcPr>
          <w:p w14:paraId="1F90E018"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9.5%</w:t>
            </w:r>
          </w:p>
        </w:tc>
      </w:tr>
      <w:tr w:rsidR="0027315D" w:rsidRPr="00F00296" w14:paraId="00B044A3"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8690DD"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2023</w:t>
            </w:r>
          </w:p>
        </w:tc>
        <w:tc>
          <w:tcPr>
            <w:tcW w:w="0" w:type="auto"/>
            <w:hideMark/>
          </w:tcPr>
          <w:p w14:paraId="4B704846"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30.9%</w:t>
            </w:r>
          </w:p>
        </w:tc>
        <w:tc>
          <w:tcPr>
            <w:tcW w:w="0" w:type="auto"/>
            <w:hideMark/>
          </w:tcPr>
          <w:p w14:paraId="2D91850A"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2.9%</w:t>
            </w:r>
          </w:p>
        </w:tc>
        <w:tc>
          <w:tcPr>
            <w:tcW w:w="0" w:type="auto"/>
            <w:hideMark/>
          </w:tcPr>
          <w:p w14:paraId="42A9A1C8"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7.4%</w:t>
            </w:r>
          </w:p>
        </w:tc>
      </w:tr>
    </w:tbl>
    <w:p w14:paraId="0545BF91" w14:textId="77777777" w:rsidR="0027315D" w:rsidRPr="00F00296" w:rsidRDefault="0027315D" w:rsidP="0027315D">
      <w:pPr>
        <w:spacing w:line="360" w:lineRule="auto"/>
        <w:jc w:val="both"/>
        <w:rPr>
          <w:rFonts w:ascii="Times New Roman" w:hAnsi="Times New Roman" w:cs="Times New Roman"/>
          <w:b/>
          <w:bCs/>
        </w:rPr>
      </w:pPr>
      <w:r w:rsidRPr="00F00296">
        <w:rPr>
          <w:rFonts w:ascii="Times New Roman" w:hAnsi="Times New Roman" w:cs="Times New Roman"/>
          <w:b/>
          <w:bCs/>
        </w:rPr>
        <w:t>Table A2: Liquidity Ratios (2019-2023)</w:t>
      </w:r>
    </w:p>
    <w:tbl>
      <w:tblPr>
        <w:tblStyle w:val="PlainTable1"/>
        <w:tblW w:w="0" w:type="auto"/>
        <w:jc w:val="center"/>
        <w:tblLook w:val="04A0" w:firstRow="1" w:lastRow="0" w:firstColumn="1" w:lastColumn="0" w:noHBand="0" w:noVBand="1"/>
      </w:tblPr>
      <w:tblGrid>
        <w:gridCol w:w="696"/>
        <w:gridCol w:w="1672"/>
        <w:gridCol w:w="1463"/>
      </w:tblGrid>
      <w:tr w:rsidR="0027315D" w:rsidRPr="00F00296" w14:paraId="58B1E9B4" w14:textId="77777777" w:rsidTr="0027315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D2C071"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Year</w:t>
            </w:r>
          </w:p>
        </w:tc>
        <w:tc>
          <w:tcPr>
            <w:tcW w:w="0" w:type="auto"/>
            <w:hideMark/>
          </w:tcPr>
          <w:p w14:paraId="332D9F2D" w14:textId="77777777" w:rsidR="0027315D" w:rsidRPr="00F00296"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Current Ratio</w:t>
            </w:r>
          </w:p>
        </w:tc>
        <w:tc>
          <w:tcPr>
            <w:tcW w:w="0" w:type="auto"/>
            <w:hideMark/>
          </w:tcPr>
          <w:p w14:paraId="7840600E" w14:textId="77777777" w:rsidR="0027315D" w:rsidRPr="00F00296"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Quick Ratio</w:t>
            </w:r>
          </w:p>
        </w:tc>
      </w:tr>
      <w:tr w:rsidR="0027315D" w:rsidRPr="00F00296" w14:paraId="03CAED91"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5F7888"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lastRenderedPageBreak/>
              <w:t>2019</w:t>
            </w:r>
          </w:p>
        </w:tc>
        <w:tc>
          <w:tcPr>
            <w:tcW w:w="0" w:type="auto"/>
            <w:hideMark/>
          </w:tcPr>
          <w:p w14:paraId="359FC097"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1.25</w:t>
            </w:r>
          </w:p>
        </w:tc>
        <w:tc>
          <w:tcPr>
            <w:tcW w:w="0" w:type="auto"/>
            <w:hideMark/>
          </w:tcPr>
          <w:p w14:paraId="4CAC29C3"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0.85</w:t>
            </w:r>
          </w:p>
        </w:tc>
      </w:tr>
      <w:tr w:rsidR="0027315D" w:rsidRPr="00F00296" w14:paraId="009DF2F1" w14:textId="77777777" w:rsidTr="0027315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089158"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2020</w:t>
            </w:r>
          </w:p>
        </w:tc>
        <w:tc>
          <w:tcPr>
            <w:tcW w:w="0" w:type="auto"/>
            <w:hideMark/>
          </w:tcPr>
          <w:p w14:paraId="32BCA341"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1.20</w:t>
            </w:r>
          </w:p>
        </w:tc>
        <w:tc>
          <w:tcPr>
            <w:tcW w:w="0" w:type="auto"/>
            <w:hideMark/>
          </w:tcPr>
          <w:p w14:paraId="09CFB6A1"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0.80</w:t>
            </w:r>
          </w:p>
        </w:tc>
      </w:tr>
      <w:tr w:rsidR="0027315D" w:rsidRPr="00F00296" w14:paraId="67E3F65C"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67DC0B9"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2021</w:t>
            </w:r>
          </w:p>
        </w:tc>
        <w:tc>
          <w:tcPr>
            <w:tcW w:w="0" w:type="auto"/>
            <w:hideMark/>
          </w:tcPr>
          <w:p w14:paraId="61574363"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1.22</w:t>
            </w:r>
          </w:p>
        </w:tc>
        <w:tc>
          <w:tcPr>
            <w:tcW w:w="0" w:type="auto"/>
            <w:hideMark/>
          </w:tcPr>
          <w:p w14:paraId="6BC10B86"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0.78</w:t>
            </w:r>
          </w:p>
        </w:tc>
      </w:tr>
      <w:tr w:rsidR="0027315D" w:rsidRPr="00F00296" w14:paraId="22895107" w14:textId="77777777" w:rsidTr="0027315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F6F09CE"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2022</w:t>
            </w:r>
          </w:p>
        </w:tc>
        <w:tc>
          <w:tcPr>
            <w:tcW w:w="0" w:type="auto"/>
            <w:hideMark/>
          </w:tcPr>
          <w:p w14:paraId="51D7EA45"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1.18</w:t>
            </w:r>
          </w:p>
        </w:tc>
        <w:tc>
          <w:tcPr>
            <w:tcW w:w="0" w:type="auto"/>
            <w:hideMark/>
          </w:tcPr>
          <w:p w14:paraId="63432903"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0.75</w:t>
            </w:r>
          </w:p>
        </w:tc>
      </w:tr>
      <w:tr w:rsidR="0027315D" w:rsidRPr="00F00296" w14:paraId="48E9F623"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F63377"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2023</w:t>
            </w:r>
          </w:p>
        </w:tc>
        <w:tc>
          <w:tcPr>
            <w:tcW w:w="0" w:type="auto"/>
            <w:hideMark/>
          </w:tcPr>
          <w:p w14:paraId="68211F5D"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1.19</w:t>
            </w:r>
          </w:p>
        </w:tc>
        <w:tc>
          <w:tcPr>
            <w:tcW w:w="0" w:type="auto"/>
            <w:hideMark/>
          </w:tcPr>
          <w:p w14:paraId="59BD2965"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0.74</w:t>
            </w:r>
          </w:p>
        </w:tc>
      </w:tr>
    </w:tbl>
    <w:p w14:paraId="52946C83" w14:textId="77777777" w:rsidR="0027315D" w:rsidRPr="00F00296" w:rsidRDefault="0027315D" w:rsidP="0027315D">
      <w:pPr>
        <w:spacing w:line="360" w:lineRule="auto"/>
        <w:jc w:val="both"/>
        <w:rPr>
          <w:rFonts w:ascii="Times New Roman" w:hAnsi="Times New Roman" w:cs="Times New Roman"/>
          <w:b/>
          <w:bCs/>
        </w:rPr>
      </w:pPr>
      <w:r w:rsidRPr="00F00296">
        <w:rPr>
          <w:rFonts w:ascii="Times New Roman" w:hAnsi="Times New Roman" w:cs="Times New Roman"/>
          <w:b/>
          <w:bCs/>
        </w:rPr>
        <w:t>Table A3: Gearing Ratios (2019-2023)</w:t>
      </w:r>
    </w:p>
    <w:tbl>
      <w:tblPr>
        <w:tblStyle w:val="PlainTable1"/>
        <w:tblW w:w="0" w:type="auto"/>
        <w:jc w:val="center"/>
        <w:tblLook w:val="04A0" w:firstRow="1" w:lastRow="0" w:firstColumn="1" w:lastColumn="0" w:noHBand="0" w:noVBand="1"/>
      </w:tblPr>
      <w:tblGrid>
        <w:gridCol w:w="696"/>
        <w:gridCol w:w="2383"/>
        <w:gridCol w:w="2665"/>
      </w:tblGrid>
      <w:tr w:rsidR="0027315D" w:rsidRPr="00F00296" w14:paraId="37CB7F2F" w14:textId="77777777" w:rsidTr="0027315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13C897"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Year</w:t>
            </w:r>
          </w:p>
        </w:tc>
        <w:tc>
          <w:tcPr>
            <w:tcW w:w="0" w:type="auto"/>
            <w:hideMark/>
          </w:tcPr>
          <w:p w14:paraId="49030B04" w14:textId="77777777" w:rsidR="0027315D" w:rsidRPr="00F00296"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Debt-to-Equity Ratio</w:t>
            </w:r>
          </w:p>
        </w:tc>
        <w:tc>
          <w:tcPr>
            <w:tcW w:w="0" w:type="auto"/>
            <w:hideMark/>
          </w:tcPr>
          <w:p w14:paraId="14CA8135" w14:textId="77777777" w:rsidR="0027315D" w:rsidRPr="00F00296"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Interest Coverage Ratio</w:t>
            </w:r>
          </w:p>
        </w:tc>
      </w:tr>
      <w:tr w:rsidR="0027315D" w:rsidRPr="00F00296" w14:paraId="4A2EDAD2"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DAF901"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2019</w:t>
            </w:r>
          </w:p>
        </w:tc>
        <w:tc>
          <w:tcPr>
            <w:tcW w:w="0" w:type="auto"/>
            <w:hideMark/>
          </w:tcPr>
          <w:p w14:paraId="2F8F676B"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0.45</w:t>
            </w:r>
          </w:p>
        </w:tc>
        <w:tc>
          <w:tcPr>
            <w:tcW w:w="0" w:type="auto"/>
            <w:hideMark/>
          </w:tcPr>
          <w:p w14:paraId="2B7F355C"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7.5</w:t>
            </w:r>
          </w:p>
        </w:tc>
      </w:tr>
      <w:tr w:rsidR="0027315D" w:rsidRPr="00F00296" w14:paraId="3D29B4E6" w14:textId="77777777" w:rsidTr="0027315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8D8050"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2020</w:t>
            </w:r>
          </w:p>
        </w:tc>
        <w:tc>
          <w:tcPr>
            <w:tcW w:w="0" w:type="auto"/>
            <w:hideMark/>
          </w:tcPr>
          <w:p w14:paraId="09801E42"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0.52</w:t>
            </w:r>
          </w:p>
        </w:tc>
        <w:tc>
          <w:tcPr>
            <w:tcW w:w="0" w:type="auto"/>
            <w:hideMark/>
          </w:tcPr>
          <w:p w14:paraId="13158F5E"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6.8</w:t>
            </w:r>
          </w:p>
        </w:tc>
      </w:tr>
      <w:tr w:rsidR="0027315D" w:rsidRPr="00F00296" w14:paraId="4C07407A"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0DA926"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2021</w:t>
            </w:r>
          </w:p>
        </w:tc>
        <w:tc>
          <w:tcPr>
            <w:tcW w:w="0" w:type="auto"/>
            <w:hideMark/>
          </w:tcPr>
          <w:p w14:paraId="1B1EBA79"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0.60</w:t>
            </w:r>
          </w:p>
        </w:tc>
        <w:tc>
          <w:tcPr>
            <w:tcW w:w="0" w:type="auto"/>
            <w:hideMark/>
          </w:tcPr>
          <w:p w14:paraId="04E4791F"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6.0</w:t>
            </w:r>
          </w:p>
        </w:tc>
      </w:tr>
      <w:tr w:rsidR="0027315D" w:rsidRPr="00F00296" w14:paraId="5B7CE8AF" w14:textId="77777777" w:rsidTr="0027315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415439"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2022</w:t>
            </w:r>
          </w:p>
        </w:tc>
        <w:tc>
          <w:tcPr>
            <w:tcW w:w="0" w:type="auto"/>
            <w:hideMark/>
          </w:tcPr>
          <w:p w14:paraId="5E48E89F"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0.65</w:t>
            </w:r>
          </w:p>
        </w:tc>
        <w:tc>
          <w:tcPr>
            <w:tcW w:w="0" w:type="auto"/>
            <w:hideMark/>
          </w:tcPr>
          <w:p w14:paraId="2E10F467"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5.5</w:t>
            </w:r>
          </w:p>
        </w:tc>
      </w:tr>
      <w:tr w:rsidR="0027315D" w:rsidRPr="00F00296" w14:paraId="79B43E25"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F77689"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2023</w:t>
            </w:r>
          </w:p>
        </w:tc>
        <w:tc>
          <w:tcPr>
            <w:tcW w:w="0" w:type="auto"/>
            <w:hideMark/>
          </w:tcPr>
          <w:p w14:paraId="6D8B545C"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0.70</w:t>
            </w:r>
          </w:p>
        </w:tc>
        <w:tc>
          <w:tcPr>
            <w:tcW w:w="0" w:type="auto"/>
            <w:hideMark/>
          </w:tcPr>
          <w:p w14:paraId="15305186"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4.8</w:t>
            </w:r>
          </w:p>
        </w:tc>
      </w:tr>
    </w:tbl>
    <w:p w14:paraId="12C101B0" w14:textId="77777777" w:rsidR="0027315D" w:rsidRPr="00F00296" w:rsidRDefault="0027315D" w:rsidP="0027315D">
      <w:pPr>
        <w:spacing w:line="360" w:lineRule="auto"/>
        <w:jc w:val="both"/>
        <w:rPr>
          <w:rFonts w:ascii="Times New Roman" w:hAnsi="Times New Roman" w:cs="Times New Roman"/>
          <w:b/>
          <w:bCs/>
        </w:rPr>
      </w:pPr>
      <w:r w:rsidRPr="00F00296">
        <w:rPr>
          <w:rFonts w:ascii="Times New Roman" w:hAnsi="Times New Roman" w:cs="Times New Roman"/>
          <w:b/>
          <w:bCs/>
        </w:rPr>
        <w:t>Table A4: Efficiency Ratios (2019-2023)</w:t>
      </w:r>
    </w:p>
    <w:tbl>
      <w:tblPr>
        <w:tblStyle w:val="PlainTable1"/>
        <w:tblW w:w="0" w:type="auto"/>
        <w:jc w:val="center"/>
        <w:tblLook w:val="04A0" w:firstRow="1" w:lastRow="0" w:firstColumn="1" w:lastColumn="0" w:noHBand="0" w:noVBand="1"/>
      </w:tblPr>
      <w:tblGrid>
        <w:gridCol w:w="696"/>
        <w:gridCol w:w="2866"/>
        <w:gridCol w:w="3052"/>
      </w:tblGrid>
      <w:tr w:rsidR="0027315D" w:rsidRPr="00F00296" w14:paraId="1FF28837" w14:textId="77777777" w:rsidTr="0027315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6A7450"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Year</w:t>
            </w:r>
          </w:p>
        </w:tc>
        <w:tc>
          <w:tcPr>
            <w:tcW w:w="0" w:type="auto"/>
            <w:hideMark/>
          </w:tcPr>
          <w:p w14:paraId="3BFCDD75" w14:textId="77777777" w:rsidR="0027315D" w:rsidRPr="00F00296"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Inventory Turnover Ratio</w:t>
            </w:r>
          </w:p>
        </w:tc>
        <w:tc>
          <w:tcPr>
            <w:tcW w:w="0" w:type="auto"/>
            <w:hideMark/>
          </w:tcPr>
          <w:p w14:paraId="6EC8946A" w14:textId="77777777" w:rsidR="0027315D" w:rsidRPr="00F00296"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Receivables Turnover Ratio</w:t>
            </w:r>
          </w:p>
        </w:tc>
      </w:tr>
      <w:tr w:rsidR="0027315D" w:rsidRPr="00F00296" w14:paraId="0E8B3C1B"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607A6D"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2019</w:t>
            </w:r>
          </w:p>
        </w:tc>
        <w:tc>
          <w:tcPr>
            <w:tcW w:w="0" w:type="auto"/>
            <w:hideMark/>
          </w:tcPr>
          <w:p w14:paraId="2E457646"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4.2</w:t>
            </w:r>
          </w:p>
        </w:tc>
        <w:tc>
          <w:tcPr>
            <w:tcW w:w="0" w:type="auto"/>
            <w:hideMark/>
          </w:tcPr>
          <w:p w14:paraId="39D72AA1"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9.5</w:t>
            </w:r>
          </w:p>
        </w:tc>
      </w:tr>
      <w:tr w:rsidR="0027315D" w:rsidRPr="00F00296" w14:paraId="05E3D52C" w14:textId="77777777" w:rsidTr="0027315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8D9494"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2020</w:t>
            </w:r>
          </w:p>
        </w:tc>
        <w:tc>
          <w:tcPr>
            <w:tcW w:w="0" w:type="auto"/>
            <w:hideMark/>
          </w:tcPr>
          <w:p w14:paraId="6889B127"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4.1</w:t>
            </w:r>
          </w:p>
        </w:tc>
        <w:tc>
          <w:tcPr>
            <w:tcW w:w="0" w:type="auto"/>
            <w:hideMark/>
          </w:tcPr>
          <w:p w14:paraId="055E18A3"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10.0</w:t>
            </w:r>
          </w:p>
        </w:tc>
      </w:tr>
      <w:tr w:rsidR="0027315D" w:rsidRPr="00F00296" w14:paraId="6A9FE3DB"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75B60E"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2021</w:t>
            </w:r>
          </w:p>
        </w:tc>
        <w:tc>
          <w:tcPr>
            <w:tcW w:w="0" w:type="auto"/>
            <w:hideMark/>
          </w:tcPr>
          <w:p w14:paraId="0ED5EBFD"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4.0</w:t>
            </w:r>
          </w:p>
        </w:tc>
        <w:tc>
          <w:tcPr>
            <w:tcW w:w="0" w:type="auto"/>
            <w:hideMark/>
          </w:tcPr>
          <w:p w14:paraId="3FCB0587"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10.2</w:t>
            </w:r>
          </w:p>
        </w:tc>
      </w:tr>
      <w:tr w:rsidR="0027315D" w:rsidRPr="00F00296" w14:paraId="2CA6333F" w14:textId="77777777" w:rsidTr="0027315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F54445"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2022</w:t>
            </w:r>
          </w:p>
        </w:tc>
        <w:tc>
          <w:tcPr>
            <w:tcW w:w="0" w:type="auto"/>
            <w:hideMark/>
          </w:tcPr>
          <w:p w14:paraId="6648BA45"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4.1</w:t>
            </w:r>
          </w:p>
        </w:tc>
        <w:tc>
          <w:tcPr>
            <w:tcW w:w="0" w:type="auto"/>
            <w:hideMark/>
          </w:tcPr>
          <w:p w14:paraId="0F1ED38B"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10.5</w:t>
            </w:r>
          </w:p>
        </w:tc>
      </w:tr>
      <w:tr w:rsidR="0027315D" w:rsidRPr="00F00296" w14:paraId="1E5C8AC2"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08B0C1"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2023</w:t>
            </w:r>
          </w:p>
        </w:tc>
        <w:tc>
          <w:tcPr>
            <w:tcW w:w="0" w:type="auto"/>
            <w:hideMark/>
          </w:tcPr>
          <w:p w14:paraId="0B71D726"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4.2</w:t>
            </w:r>
          </w:p>
        </w:tc>
        <w:tc>
          <w:tcPr>
            <w:tcW w:w="0" w:type="auto"/>
            <w:hideMark/>
          </w:tcPr>
          <w:p w14:paraId="29578A2C"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11.0</w:t>
            </w:r>
          </w:p>
        </w:tc>
      </w:tr>
    </w:tbl>
    <w:p w14:paraId="5F4406F9" w14:textId="77777777" w:rsidR="0027315D" w:rsidRPr="00F00296" w:rsidRDefault="0027315D" w:rsidP="0027315D">
      <w:pPr>
        <w:pStyle w:val="Heading1"/>
        <w:rPr>
          <w:rFonts w:cs="Times New Roman"/>
        </w:rPr>
      </w:pPr>
      <w:bookmarkStart w:id="53" w:name="_Toc174862057"/>
      <w:r w:rsidRPr="00F00296">
        <w:rPr>
          <w:rFonts w:cs="Times New Roman"/>
        </w:rPr>
        <w:t>Appendix B: Ratio Calculation Tables</w:t>
      </w:r>
      <w:bookmarkEnd w:id="53"/>
    </w:p>
    <w:p w14:paraId="4FCC57C5" w14:textId="77777777" w:rsidR="0027315D" w:rsidRPr="00F00296" w:rsidRDefault="0027315D" w:rsidP="0027315D">
      <w:pPr>
        <w:spacing w:line="360" w:lineRule="auto"/>
        <w:jc w:val="both"/>
        <w:rPr>
          <w:rFonts w:ascii="Times New Roman" w:hAnsi="Times New Roman" w:cs="Times New Roman"/>
          <w:b/>
          <w:bCs/>
        </w:rPr>
      </w:pPr>
      <w:r w:rsidRPr="00F00296">
        <w:rPr>
          <w:rFonts w:ascii="Times New Roman" w:hAnsi="Times New Roman" w:cs="Times New Roman"/>
          <w:b/>
          <w:bCs/>
        </w:rPr>
        <w:t>Table B1: Profitability Ratio Calculations (2023)</w:t>
      </w:r>
    </w:p>
    <w:tbl>
      <w:tblPr>
        <w:tblStyle w:val="PlainTable1"/>
        <w:tblW w:w="0" w:type="auto"/>
        <w:jc w:val="center"/>
        <w:tblLook w:val="04A0" w:firstRow="1" w:lastRow="0" w:firstColumn="1" w:lastColumn="0" w:noHBand="0" w:noVBand="1"/>
      </w:tblPr>
      <w:tblGrid>
        <w:gridCol w:w="2479"/>
        <w:gridCol w:w="3703"/>
        <w:gridCol w:w="2212"/>
        <w:gridCol w:w="956"/>
      </w:tblGrid>
      <w:tr w:rsidR="0027315D" w:rsidRPr="00F00296" w14:paraId="7FCA82CC" w14:textId="77777777" w:rsidTr="0027315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500E2F"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lastRenderedPageBreak/>
              <w:t>Metric</w:t>
            </w:r>
          </w:p>
        </w:tc>
        <w:tc>
          <w:tcPr>
            <w:tcW w:w="0" w:type="auto"/>
            <w:hideMark/>
          </w:tcPr>
          <w:p w14:paraId="333D1750" w14:textId="77777777" w:rsidR="0027315D" w:rsidRPr="00F00296"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Formula</w:t>
            </w:r>
          </w:p>
        </w:tc>
        <w:tc>
          <w:tcPr>
            <w:tcW w:w="0" w:type="auto"/>
            <w:hideMark/>
          </w:tcPr>
          <w:p w14:paraId="49B423D1" w14:textId="77777777" w:rsidR="0027315D" w:rsidRPr="00F00296"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Calculation</w:t>
            </w:r>
          </w:p>
        </w:tc>
        <w:tc>
          <w:tcPr>
            <w:tcW w:w="0" w:type="auto"/>
            <w:hideMark/>
          </w:tcPr>
          <w:p w14:paraId="1ECED4E8" w14:textId="77777777" w:rsidR="0027315D" w:rsidRPr="00F00296"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Result</w:t>
            </w:r>
          </w:p>
        </w:tc>
      </w:tr>
      <w:tr w:rsidR="0027315D" w:rsidRPr="00F00296" w14:paraId="541B90D0"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08C6FF"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Gross Profit Margin</w:t>
            </w:r>
          </w:p>
        </w:tc>
        <w:tc>
          <w:tcPr>
            <w:tcW w:w="0" w:type="auto"/>
            <w:hideMark/>
          </w:tcPr>
          <w:p w14:paraId="46C6D3EB"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(Gross Profit / Revenue) * 100</w:t>
            </w:r>
          </w:p>
        </w:tc>
        <w:tc>
          <w:tcPr>
            <w:tcW w:w="0" w:type="auto"/>
            <w:hideMark/>
          </w:tcPr>
          <w:p w14:paraId="54BCA973"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(6,500 / 21,000) * 100</w:t>
            </w:r>
          </w:p>
        </w:tc>
        <w:tc>
          <w:tcPr>
            <w:tcW w:w="0" w:type="auto"/>
            <w:hideMark/>
          </w:tcPr>
          <w:p w14:paraId="64BD7AC4"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30.95%</w:t>
            </w:r>
          </w:p>
        </w:tc>
      </w:tr>
      <w:tr w:rsidR="0027315D" w:rsidRPr="00F00296" w14:paraId="0833E1FD" w14:textId="77777777" w:rsidTr="0027315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8F4CB6"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Net Profit Margin</w:t>
            </w:r>
          </w:p>
        </w:tc>
        <w:tc>
          <w:tcPr>
            <w:tcW w:w="0" w:type="auto"/>
            <w:hideMark/>
          </w:tcPr>
          <w:p w14:paraId="547EB117"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(Net Profit / Revenue) * 100</w:t>
            </w:r>
          </w:p>
        </w:tc>
        <w:tc>
          <w:tcPr>
            <w:tcW w:w="0" w:type="auto"/>
            <w:hideMark/>
          </w:tcPr>
          <w:p w14:paraId="1B5CAA6E"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(610 / 21,000) * 100</w:t>
            </w:r>
          </w:p>
        </w:tc>
        <w:tc>
          <w:tcPr>
            <w:tcW w:w="0" w:type="auto"/>
            <w:hideMark/>
          </w:tcPr>
          <w:p w14:paraId="4D030717"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2.90%</w:t>
            </w:r>
          </w:p>
        </w:tc>
      </w:tr>
      <w:tr w:rsidR="0027315D" w:rsidRPr="00F00296" w14:paraId="36E488D2"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715836"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Return on Equity (ROE)</w:t>
            </w:r>
          </w:p>
        </w:tc>
        <w:tc>
          <w:tcPr>
            <w:tcW w:w="0" w:type="auto"/>
            <w:hideMark/>
          </w:tcPr>
          <w:p w14:paraId="1C51FD64"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(Net Profit / Shareholders' Equity) * 100</w:t>
            </w:r>
          </w:p>
        </w:tc>
        <w:tc>
          <w:tcPr>
            <w:tcW w:w="0" w:type="auto"/>
            <w:hideMark/>
          </w:tcPr>
          <w:p w14:paraId="10729CC7"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(610 / 8,243) * 100</w:t>
            </w:r>
          </w:p>
        </w:tc>
        <w:tc>
          <w:tcPr>
            <w:tcW w:w="0" w:type="auto"/>
            <w:hideMark/>
          </w:tcPr>
          <w:p w14:paraId="17F541A8"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7.40%</w:t>
            </w:r>
          </w:p>
        </w:tc>
      </w:tr>
    </w:tbl>
    <w:p w14:paraId="7861C25E" w14:textId="77777777" w:rsidR="0027315D" w:rsidRPr="00F00296" w:rsidRDefault="0027315D" w:rsidP="0027315D">
      <w:pPr>
        <w:spacing w:line="360" w:lineRule="auto"/>
        <w:jc w:val="both"/>
        <w:rPr>
          <w:rFonts w:ascii="Times New Roman" w:hAnsi="Times New Roman" w:cs="Times New Roman"/>
          <w:b/>
          <w:bCs/>
        </w:rPr>
      </w:pPr>
      <w:r w:rsidRPr="00F00296">
        <w:rPr>
          <w:rFonts w:ascii="Times New Roman" w:hAnsi="Times New Roman" w:cs="Times New Roman"/>
          <w:b/>
          <w:bCs/>
        </w:rPr>
        <w:t>Table B2: Liquidity Ratio Calculations (2023)</w:t>
      </w:r>
    </w:p>
    <w:tbl>
      <w:tblPr>
        <w:tblStyle w:val="PlainTable1"/>
        <w:tblW w:w="0" w:type="auto"/>
        <w:jc w:val="center"/>
        <w:tblLook w:val="04A0" w:firstRow="1" w:lastRow="0" w:firstColumn="1" w:lastColumn="0" w:noHBand="0" w:noVBand="1"/>
      </w:tblPr>
      <w:tblGrid>
        <w:gridCol w:w="1619"/>
        <w:gridCol w:w="4561"/>
        <w:gridCol w:w="2300"/>
        <w:gridCol w:w="870"/>
      </w:tblGrid>
      <w:tr w:rsidR="0027315D" w:rsidRPr="00F00296" w14:paraId="13E44144" w14:textId="77777777" w:rsidTr="0027315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6A876F"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Metric</w:t>
            </w:r>
          </w:p>
        </w:tc>
        <w:tc>
          <w:tcPr>
            <w:tcW w:w="0" w:type="auto"/>
            <w:hideMark/>
          </w:tcPr>
          <w:p w14:paraId="66DA8DC1" w14:textId="77777777" w:rsidR="0027315D" w:rsidRPr="00F00296"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Formula</w:t>
            </w:r>
          </w:p>
        </w:tc>
        <w:tc>
          <w:tcPr>
            <w:tcW w:w="0" w:type="auto"/>
            <w:hideMark/>
          </w:tcPr>
          <w:p w14:paraId="697D1C8C" w14:textId="77777777" w:rsidR="0027315D" w:rsidRPr="00F00296"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Calculation</w:t>
            </w:r>
          </w:p>
        </w:tc>
        <w:tc>
          <w:tcPr>
            <w:tcW w:w="0" w:type="auto"/>
            <w:hideMark/>
          </w:tcPr>
          <w:p w14:paraId="7FBD153A" w14:textId="77777777" w:rsidR="0027315D" w:rsidRPr="00F00296"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Result</w:t>
            </w:r>
          </w:p>
        </w:tc>
      </w:tr>
      <w:tr w:rsidR="0027315D" w:rsidRPr="00F00296" w14:paraId="731113EA"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A89676"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Current Ratio</w:t>
            </w:r>
          </w:p>
        </w:tc>
        <w:tc>
          <w:tcPr>
            <w:tcW w:w="0" w:type="auto"/>
            <w:hideMark/>
          </w:tcPr>
          <w:p w14:paraId="7CA0EEA7"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Current Assets / Current Liabilities</w:t>
            </w:r>
          </w:p>
        </w:tc>
        <w:tc>
          <w:tcPr>
            <w:tcW w:w="0" w:type="auto"/>
            <w:hideMark/>
          </w:tcPr>
          <w:p w14:paraId="44F068F0"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5,000 / 4,200</w:t>
            </w:r>
          </w:p>
        </w:tc>
        <w:tc>
          <w:tcPr>
            <w:tcW w:w="0" w:type="auto"/>
            <w:hideMark/>
          </w:tcPr>
          <w:p w14:paraId="55F6AB28"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1.19</w:t>
            </w:r>
          </w:p>
        </w:tc>
      </w:tr>
      <w:tr w:rsidR="0027315D" w:rsidRPr="00F00296" w14:paraId="4D110967" w14:textId="77777777" w:rsidTr="0027315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135F7E8"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Quick Ratio</w:t>
            </w:r>
          </w:p>
        </w:tc>
        <w:tc>
          <w:tcPr>
            <w:tcW w:w="0" w:type="auto"/>
            <w:hideMark/>
          </w:tcPr>
          <w:p w14:paraId="3E7481E2"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(Current Assets - Inventory) / Current Liabilities</w:t>
            </w:r>
          </w:p>
        </w:tc>
        <w:tc>
          <w:tcPr>
            <w:tcW w:w="0" w:type="auto"/>
            <w:hideMark/>
          </w:tcPr>
          <w:p w14:paraId="16A785A8"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(5,000 - 1,200) / 4,200</w:t>
            </w:r>
          </w:p>
        </w:tc>
        <w:tc>
          <w:tcPr>
            <w:tcW w:w="0" w:type="auto"/>
            <w:hideMark/>
          </w:tcPr>
          <w:p w14:paraId="33BF4D9B"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0.74</w:t>
            </w:r>
          </w:p>
        </w:tc>
      </w:tr>
    </w:tbl>
    <w:p w14:paraId="21A282F2" w14:textId="77777777" w:rsidR="0027315D" w:rsidRPr="00F00296" w:rsidRDefault="0027315D" w:rsidP="0027315D">
      <w:pPr>
        <w:spacing w:line="360" w:lineRule="auto"/>
        <w:jc w:val="both"/>
        <w:rPr>
          <w:rFonts w:ascii="Times New Roman" w:hAnsi="Times New Roman" w:cs="Times New Roman"/>
          <w:b/>
          <w:bCs/>
        </w:rPr>
      </w:pPr>
      <w:r w:rsidRPr="00F00296">
        <w:rPr>
          <w:rFonts w:ascii="Times New Roman" w:hAnsi="Times New Roman" w:cs="Times New Roman"/>
          <w:b/>
          <w:bCs/>
        </w:rPr>
        <w:t>Table B3: Gearing Ratio Calculations (2023)</w:t>
      </w:r>
    </w:p>
    <w:tbl>
      <w:tblPr>
        <w:tblStyle w:val="PlainTable1"/>
        <w:tblW w:w="0" w:type="auto"/>
        <w:jc w:val="center"/>
        <w:tblLook w:val="04A0" w:firstRow="1" w:lastRow="0" w:firstColumn="1" w:lastColumn="0" w:noHBand="0" w:noVBand="1"/>
      </w:tblPr>
      <w:tblGrid>
        <w:gridCol w:w="2665"/>
        <w:gridCol w:w="2605"/>
        <w:gridCol w:w="1483"/>
        <w:gridCol w:w="870"/>
      </w:tblGrid>
      <w:tr w:rsidR="0027315D" w:rsidRPr="00F00296" w14:paraId="7C697D03" w14:textId="77777777" w:rsidTr="0027315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863F2D"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Metric</w:t>
            </w:r>
          </w:p>
        </w:tc>
        <w:tc>
          <w:tcPr>
            <w:tcW w:w="0" w:type="auto"/>
            <w:hideMark/>
          </w:tcPr>
          <w:p w14:paraId="23328335" w14:textId="77777777" w:rsidR="0027315D" w:rsidRPr="00F00296"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Formula</w:t>
            </w:r>
          </w:p>
        </w:tc>
        <w:tc>
          <w:tcPr>
            <w:tcW w:w="0" w:type="auto"/>
            <w:hideMark/>
          </w:tcPr>
          <w:p w14:paraId="63E0446B" w14:textId="77777777" w:rsidR="0027315D" w:rsidRPr="00F00296"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Calculation</w:t>
            </w:r>
          </w:p>
        </w:tc>
        <w:tc>
          <w:tcPr>
            <w:tcW w:w="0" w:type="auto"/>
            <w:hideMark/>
          </w:tcPr>
          <w:p w14:paraId="2DADB79B" w14:textId="77777777" w:rsidR="0027315D" w:rsidRPr="00F00296"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Result</w:t>
            </w:r>
          </w:p>
        </w:tc>
      </w:tr>
      <w:tr w:rsidR="0027315D" w:rsidRPr="00F00296" w14:paraId="7FA48DB6"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5EDD5C5"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Debt-to-Equity Ratio</w:t>
            </w:r>
          </w:p>
        </w:tc>
        <w:tc>
          <w:tcPr>
            <w:tcW w:w="0" w:type="auto"/>
            <w:hideMark/>
          </w:tcPr>
          <w:p w14:paraId="402EE62B"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Total Debt / Total Equity</w:t>
            </w:r>
          </w:p>
        </w:tc>
        <w:tc>
          <w:tcPr>
            <w:tcW w:w="0" w:type="auto"/>
            <w:hideMark/>
          </w:tcPr>
          <w:p w14:paraId="6240E659"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5,770 / 8,243</w:t>
            </w:r>
          </w:p>
        </w:tc>
        <w:tc>
          <w:tcPr>
            <w:tcW w:w="0" w:type="auto"/>
            <w:hideMark/>
          </w:tcPr>
          <w:p w14:paraId="6ED1BF4B"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0.70</w:t>
            </w:r>
          </w:p>
        </w:tc>
      </w:tr>
      <w:tr w:rsidR="0027315D" w:rsidRPr="00F00296" w14:paraId="05D2C46F" w14:textId="77777777" w:rsidTr="0027315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DD8DDB"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Interest Coverage Ratio</w:t>
            </w:r>
          </w:p>
        </w:tc>
        <w:tc>
          <w:tcPr>
            <w:tcW w:w="0" w:type="auto"/>
            <w:hideMark/>
          </w:tcPr>
          <w:p w14:paraId="5C97E572"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EBIT / Interest Expense</w:t>
            </w:r>
          </w:p>
        </w:tc>
        <w:tc>
          <w:tcPr>
            <w:tcW w:w="0" w:type="auto"/>
            <w:hideMark/>
          </w:tcPr>
          <w:p w14:paraId="4A4A2CEA"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2,160 / 450</w:t>
            </w:r>
          </w:p>
        </w:tc>
        <w:tc>
          <w:tcPr>
            <w:tcW w:w="0" w:type="auto"/>
            <w:hideMark/>
          </w:tcPr>
          <w:p w14:paraId="1AA9F96F"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4.80</w:t>
            </w:r>
          </w:p>
        </w:tc>
      </w:tr>
    </w:tbl>
    <w:p w14:paraId="01C69724" w14:textId="77777777" w:rsidR="0027315D" w:rsidRPr="00F00296" w:rsidRDefault="0027315D" w:rsidP="0027315D">
      <w:pPr>
        <w:spacing w:line="360" w:lineRule="auto"/>
        <w:jc w:val="both"/>
        <w:rPr>
          <w:rFonts w:ascii="Times New Roman" w:hAnsi="Times New Roman" w:cs="Times New Roman"/>
          <w:b/>
          <w:bCs/>
        </w:rPr>
      </w:pPr>
      <w:r w:rsidRPr="00F00296">
        <w:rPr>
          <w:rFonts w:ascii="Times New Roman" w:hAnsi="Times New Roman" w:cs="Times New Roman"/>
          <w:b/>
          <w:bCs/>
        </w:rPr>
        <w:t>Table B4: Efficiency Ratio Calculations (2023)</w:t>
      </w:r>
    </w:p>
    <w:tbl>
      <w:tblPr>
        <w:tblStyle w:val="PlainTable1"/>
        <w:tblW w:w="0" w:type="auto"/>
        <w:jc w:val="center"/>
        <w:tblLook w:val="04A0" w:firstRow="1" w:lastRow="0" w:firstColumn="1" w:lastColumn="0" w:noHBand="0" w:noVBand="1"/>
      </w:tblPr>
      <w:tblGrid>
        <w:gridCol w:w="3052"/>
        <w:gridCol w:w="3262"/>
        <w:gridCol w:w="1603"/>
        <w:gridCol w:w="870"/>
      </w:tblGrid>
      <w:tr w:rsidR="0027315D" w:rsidRPr="00F00296" w14:paraId="1B3D9593" w14:textId="77777777" w:rsidTr="0027315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A0F820"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Metric</w:t>
            </w:r>
          </w:p>
        </w:tc>
        <w:tc>
          <w:tcPr>
            <w:tcW w:w="0" w:type="auto"/>
            <w:hideMark/>
          </w:tcPr>
          <w:p w14:paraId="4C5BB85F" w14:textId="77777777" w:rsidR="0027315D" w:rsidRPr="00F00296"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Formula</w:t>
            </w:r>
          </w:p>
        </w:tc>
        <w:tc>
          <w:tcPr>
            <w:tcW w:w="0" w:type="auto"/>
            <w:hideMark/>
          </w:tcPr>
          <w:p w14:paraId="75BCEFB2" w14:textId="77777777" w:rsidR="0027315D" w:rsidRPr="00F00296"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Calculation</w:t>
            </w:r>
          </w:p>
        </w:tc>
        <w:tc>
          <w:tcPr>
            <w:tcW w:w="0" w:type="auto"/>
            <w:hideMark/>
          </w:tcPr>
          <w:p w14:paraId="6C448209" w14:textId="77777777" w:rsidR="0027315D" w:rsidRPr="00F00296"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Result</w:t>
            </w:r>
          </w:p>
        </w:tc>
      </w:tr>
      <w:tr w:rsidR="0027315D" w:rsidRPr="00F00296" w14:paraId="34B880C6"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9FD716"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Inventory Turnover Ratio</w:t>
            </w:r>
          </w:p>
        </w:tc>
        <w:tc>
          <w:tcPr>
            <w:tcW w:w="0" w:type="auto"/>
            <w:hideMark/>
          </w:tcPr>
          <w:p w14:paraId="230B20B0"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Cost of Goods Sold / Inventory</w:t>
            </w:r>
          </w:p>
        </w:tc>
        <w:tc>
          <w:tcPr>
            <w:tcW w:w="0" w:type="auto"/>
            <w:hideMark/>
          </w:tcPr>
          <w:p w14:paraId="7CF1D487"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18,500 / 4,400</w:t>
            </w:r>
          </w:p>
        </w:tc>
        <w:tc>
          <w:tcPr>
            <w:tcW w:w="0" w:type="auto"/>
            <w:hideMark/>
          </w:tcPr>
          <w:p w14:paraId="64734204"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4.20</w:t>
            </w:r>
          </w:p>
        </w:tc>
      </w:tr>
      <w:tr w:rsidR="0027315D" w:rsidRPr="00F00296" w14:paraId="78322B1C" w14:textId="77777777" w:rsidTr="0027315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31064C"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Receivables Turnover Ratio</w:t>
            </w:r>
          </w:p>
        </w:tc>
        <w:tc>
          <w:tcPr>
            <w:tcW w:w="0" w:type="auto"/>
            <w:hideMark/>
          </w:tcPr>
          <w:p w14:paraId="64CB4755"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Revenue / Accounts Receivable</w:t>
            </w:r>
          </w:p>
        </w:tc>
        <w:tc>
          <w:tcPr>
            <w:tcW w:w="0" w:type="auto"/>
            <w:hideMark/>
          </w:tcPr>
          <w:p w14:paraId="657C6AC8"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21,000 / 1,910</w:t>
            </w:r>
          </w:p>
        </w:tc>
        <w:tc>
          <w:tcPr>
            <w:tcW w:w="0" w:type="auto"/>
            <w:hideMark/>
          </w:tcPr>
          <w:p w14:paraId="711971DD"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11.00</w:t>
            </w:r>
          </w:p>
        </w:tc>
      </w:tr>
    </w:tbl>
    <w:p w14:paraId="37ACCCE1" w14:textId="77777777" w:rsidR="0027315D" w:rsidRPr="00F00296" w:rsidRDefault="0027315D" w:rsidP="0027315D">
      <w:pPr>
        <w:pStyle w:val="Heading1"/>
        <w:rPr>
          <w:rFonts w:cs="Times New Roman"/>
        </w:rPr>
      </w:pPr>
      <w:bookmarkStart w:id="54" w:name="_Toc174862058"/>
      <w:r w:rsidRPr="00F00296">
        <w:rPr>
          <w:rFonts w:cs="Times New Roman"/>
        </w:rPr>
        <w:t>Appendix C: Annual Report Data</w:t>
      </w:r>
      <w:bookmarkEnd w:id="54"/>
    </w:p>
    <w:p w14:paraId="7B3CA961" w14:textId="77777777" w:rsidR="0027315D" w:rsidRPr="00F00296" w:rsidRDefault="0027315D" w:rsidP="0027315D">
      <w:pPr>
        <w:spacing w:line="360" w:lineRule="auto"/>
        <w:jc w:val="both"/>
        <w:rPr>
          <w:rFonts w:ascii="Times New Roman" w:hAnsi="Times New Roman" w:cs="Times New Roman"/>
          <w:b/>
          <w:bCs/>
        </w:rPr>
      </w:pPr>
      <w:r w:rsidRPr="00F00296">
        <w:rPr>
          <w:rFonts w:ascii="Times New Roman" w:hAnsi="Times New Roman" w:cs="Times New Roman"/>
          <w:b/>
          <w:bCs/>
        </w:rPr>
        <w:t>Table C1: Annual Revenue and Net Income (2019-2023)</w:t>
      </w:r>
    </w:p>
    <w:tbl>
      <w:tblPr>
        <w:tblStyle w:val="PlainTable1"/>
        <w:tblW w:w="0" w:type="auto"/>
        <w:jc w:val="center"/>
        <w:tblLook w:val="04A0" w:firstRow="1" w:lastRow="0" w:firstColumn="1" w:lastColumn="0" w:noHBand="0" w:noVBand="1"/>
      </w:tblPr>
      <w:tblGrid>
        <w:gridCol w:w="696"/>
        <w:gridCol w:w="1636"/>
        <w:gridCol w:w="1936"/>
      </w:tblGrid>
      <w:tr w:rsidR="0027315D" w:rsidRPr="00F00296" w14:paraId="6C9247A4" w14:textId="77777777" w:rsidTr="0027315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3ADFAE"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lastRenderedPageBreak/>
              <w:t>Year</w:t>
            </w:r>
          </w:p>
        </w:tc>
        <w:tc>
          <w:tcPr>
            <w:tcW w:w="0" w:type="auto"/>
            <w:hideMark/>
          </w:tcPr>
          <w:p w14:paraId="2AA3F05A" w14:textId="77777777" w:rsidR="0027315D" w:rsidRPr="00F00296"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Revenue (£m)</w:t>
            </w:r>
          </w:p>
        </w:tc>
        <w:tc>
          <w:tcPr>
            <w:tcW w:w="0" w:type="auto"/>
            <w:hideMark/>
          </w:tcPr>
          <w:p w14:paraId="6E4873E0" w14:textId="77777777" w:rsidR="0027315D" w:rsidRPr="00F00296"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Net Income (£m)</w:t>
            </w:r>
          </w:p>
        </w:tc>
      </w:tr>
      <w:tr w:rsidR="0027315D" w:rsidRPr="00F00296" w14:paraId="7986C439"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2D354BD"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2019</w:t>
            </w:r>
          </w:p>
        </w:tc>
        <w:tc>
          <w:tcPr>
            <w:tcW w:w="0" w:type="auto"/>
            <w:hideMark/>
          </w:tcPr>
          <w:p w14:paraId="4066C1BC"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20,000</w:t>
            </w:r>
          </w:p>
        </w:tc>
        <w:tc>
          <w:tcPr>
            <w:tcW w:w="0" w:type="auto"/>
            <w:hideMark/>
          </w:tcPr>
          <w:p w14:paraId="4123126D"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1,080</w:t>
            </w:r>
          </w:p>
        </w:tc>
      </w:tr>
      <w:tr w:rsidR="0027315D" w:rsidRPr="00F00296" w14:paraId="08F3BC0E" w14:textId="77777777" w:rsidTr="0027315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222BCBD"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2020</w:t>
            </w:r>
          </w:p>
        </w:tc>
        <w:tc>
          <w:tcPr>
            <w:tcW w:w="0" w:type="auto"/>
            <w:hideMark/>
          </w:tcPr>
          <w:p w14:paraId="49AF6637"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19,500</w:t>
            </w:r>
          </w:p>
        </w:tc>
        <w:tc>
          <w:tcPr>
            <w:tcW w:w="0" w:type="auto"/>
            <w:hideMark/>
          </w:tcPr>
          <w:p w14:paraId="68F137BA"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800</w:t>
            </w:r>
          </w:p>
        </w:tc>
      </w:tr>
      <w:tr w:rsidR="0027315D" w:rsidRPr="00F00296" w14:paraId="3A96A70F"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8224A1"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2021</w:t>
            </w:r>
          </w:p>
        </w:tc>
        <w:tc>
          <w:tcPr>
            <w:tcW w:w="0" w:type="auto"/>
            <w:hideMark/>
          </w:tcPr>
          <w:p w14:paraId="60C3E929"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18,700</w:t>
            </w:r>
          </w:p>
        </w:tc>
        <w:tc>
          <w:tcPr>
            <w:tcW w:w="0" w:type="auto"/>
            <w:hideMark/>
          </w:tcPr>
          <w:p w14:paraId="56D4BE55"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600</w:t>
            </w:r>
          </w:p>
        </w:tc>
      </w:tr>
      <w:tr w:rsidR="0027315D" w:rsidRPr="00F00296" w14:paraId="540C61FD" w14:textId="77777777" w:rsidTr="0027315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93BEAB"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2022</w:t>
            </w:r>
          </w:p>
        </w:tc>
        <w:tc>
          <w:tcPr>
            <w:tcW w:w="0" w:type="auto"/>
            <w:hideMark/>
          </w:tcPr>
          <w:p w14:paraId="7F068640"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19,800</w:t>
            </w:r>
          </w:p>
        </w:tc>
        <w:tc>
          <w:tcPr>
            <w:tcW w:w="0" w:type="auto"/>
            <w:hideMark/>
          </w:tcPr>
          <w:p w14:paraId="3859472D" w14:textId="77777777" w:rsidR="0027315D" w:rsidRPr="00F00296"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750</w:t>
            </w:r>
          </w:p>
        </w:tc>
      </w:tr>
      <w:tr w:rsidR="0027315D" w:rsidRPr="00F00296" w14:paraId="4E4F02DA"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17FC2D" w14:textId="77777777" w:rsidR="0027315D" w:rsidRPr="00F00296" w:rsidRDefault="0027315D" w:rsidP="0027315D">
            <w:pPr>
              <w:spacing w:after="160" w:line="360" w:lineRule="auto"/>
              <w:jc w:val="both"/>
              <w:rPr>
                <w:rFonts w:ascii="Times New Roman" w:hAnsi="Times New Roman" w:cs="Times New Roman"/>
              </w:rPr>
            </w:pPr>
            <w:r w:rsidRPr="00F00296">
              <w:rPr>
                <w:rFonts w:ascii="Times New Roman" w:hAnsi="Times New Roman" w:cs="Times New Roman"/>
              </w:rPr>
              <w:t>2023</w:t>
            </w:r>
          </w:p>
        </w:tc>
        <w:tc>
          <w:tcPr>
            <w:tcW w:w="0" w:type="auto"/>
            <w:hideMark/>
          </w:tcPr>
          <w:p w14:paraId="05323F51"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21,000</w:t>
            </w:r>
          </w:p>
        </w:tc>
        <w:tc>
          <w:tcPr>
            <w:tcW w:w="0" w:type="auto"/>
            <w:hideMark/>
          </w:tcPr>
          <w:p w14:paraId="73B3A85E" w14:textId="77777777" w:rsidR="0027315D" w:rsidRPr="00F00296"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00296">
              <w:rPr>
                <w:rFonts w:ascii="Times New Roman" w:hAnsi="Times New Roman" w:cs="Times New Roman"/>
              </w:rPr>
              <w:t>610</w:t>
            </w:r>
          </w:p>
        </w:tc>
      </w:tr>
    </w:tbl>
    <w:p w14:paraId="086B3663" w14:textId="77777777" w:rsidR="0027315D" w:rsidRPr="00F00296" w:rsidRDefault="0027315D" w:rsidP="0027315D">
      <w:pPr>
        <w:pStyle w:val="Heading1"/>
        <w:rPr>
          <w:rFonts w:cs="Times New Roman"/>
        </w:rPr>
      </w:pPr>
      <w:bookmarkStart w:id="55" w:name="_Toc174862059"/>
      <w:r w:rsidRPr="00F00296">
        <w:rPr>
          <w:rFonts w:cs="Times New Roman"/>
        </w:rPr>
        <w:t>Appendix D: Income Statement, Cash Flow Statement, and Balance Sheet Tables</w:t>
      </w:r>
      <w:bookmarkEnd w:id="55"/>
    </w:p>
    <w:p w14:paraId="1412293E" w14:textId="77777777" w:rsidR="0027315D" w:rsidRPr="00F00296" w:rsidRDefault="0027315D" w:rsidP="0027315D">
      <w:pPr>
        <w:spacing w:line="360" w:lineRule="auto"/>
        <w:jc w:val="both"/>
        <w:rPr>
          <w:rFonts w:ascii="Times New Roman" w:hAnsi="Times New Roman" w:cs="Times New Roman"/>
          <w:b/>
          <w:bCs/>
        </w:rPr>
      </w:pPr>
      <w:r w:rsidRPr="00F00296">
        <w:rPr>
          <w:rFonts w:ascii="Times New Roman" w:hAnsi="Times New Roman" w:cs="Times New Roman"/>
          <w:b/>
          <w:bCs/>
        </w:rPr>
        <w:t>Table D1: Income Statement (2019-2023)</w:t>
      </w:r>
    </w:p>
    <w:p w14:paraId="0E9497F8" w14:textId="02302159" w:rsidR="003E23EF" w:rsidRPr="00F00296" w:rsidRDefault="002341EF" w:rsidP="0027315D">
      <w:pPr>
        <w:spacing w:line="360" w:lineRule="auto"/>
        <w:jc w:val="both"/>
        <w:rPr>
          <w:rFonts w:ascii="Times New Roman" w:hAnsi="Times New Roman" w:cs="Times New Roman"/>
          <w:b/>
          <w:bCs/>
        </w:rPr>
      </w:pPr>
      <w:r w:rsidRPr="00F00296">
        <w:rPr>
          <w:rFonts w:ascii="Times New Roman" w:hAnsi="Times New Roman" w:cs="Times New Roman"/>
          <w:noProof/>
        </w:rPr>
        <w:drawing>
          <wp:inline distT="0" distB="0" distL="0" distR="0" wp14:anchorId="0B7BFB7F" wp14:editId="2E6BF867">
            <wp:extent cx="4695825" cy="2076450"/>
            <wp:effectExtent l="0" t="0" r="9525" b="0"/>
            <wp:docPr id="1277506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506842" name=""/>
                    <pic:cNvPicPr/>
                  </pic:nvPicPr>
                  <pic:blipFill>
                    <a:blip r:embed="rId41"/>
                    <a:stretch>
                      <a:fillRect/>
                    </a:stretch>
                  </pic:blipFill>
                  <pic:spPr>
                    <a:xfrm>
                      <a:off x="0" y="0"/>
                      <a:ext cx="4695825" cy="2076450"/>
                    </a:xfrm>
                    <a:prstGeom prst="rect">
                      <a:avLst/>
                    </a:prstGeom>
                  </pic:spPr>
                </pic:pic>
              </a:graphicData>
            </a:graphic>
          </wp:inline>
        </w:drawing>
      </w:r>
    </w:p>
    <w:p w14:paraId="786094DA" w14:textId="77777777" w:rsidR="003E23EF" w:rsidRPr="00F00296" w:rsidRDefault="003E23EF" w:rsidP="0027315D">
      <w:pPr>
        <w:spacing w:line="360" w:lineRule="auto"/>
        <w:jc w:val="both"/>
        <w:rPr>
          <w:rFonts w:ascii="Times New Roman" w:hAnsi="Times New Roman" w:cs="Times New Roman"/>
          <w:b/>
          <w:bCs/>
        </w:rPr>
      </w:pPr>
    </w:p>
    <w:p w14:paraId="7E3660D4" w14:textId="05FDE5AB" w:rsidR="0027315D" w:rsidRPr="00F00296" w:rsidRDefault="0027315D" w:rsidP="0027315D">
      <w:pPr>
        <w:spacing w:line="360" w:lineRule="auto"/>
        <w:jc w:val="both"/>
        <w:rPr>
          <w:rFonts w:ascii="Times New Roman" w:hAnsi="Times New Roman" w:cs="Times New Roman"/>
          <w:b/>
          <w:bCs/>
        </w:rPr>
      </w:pPr>
      <w:r w:rsidRPr="00F00296">
        <w:rPr>
          <w:rFonts w:ascii="Times New Roman" w:hAnsi="Times New Roman" w:cs="Times New Roman"/>
          <w:b/>
          <w:bCs/>
        </w:rPr>
        <w:t>Table D2: Cash Flow Statement (2019-2023)</w:t>
      </w:r>
    </w:p>
    <w:p w14:paraId="1BE2D6C4" w14:textId="4E3E9C0C" w:rsidR="004D135C" w:rsidRPr="00F00296" w:rsidRDefault="002341EF" w:rsidP="0027315D">
      <w:pPr>
        <w:spacing w:line="360" w:lineRule="auto"/>
        <w:jc w:val="both"/>
        <w:rPr>
          <w:rFonts w:ascii="Times New Roman" w:hAnsi="Times New Roman" w:cs="Times New Roman"/>
          <w:b/>
          <w:bCs/>
        </w:rPr>
      </w:pPr>
      <w:r w:rsidRPr="00F00296">
        <w:rPr>
          <w:rFonts w:ascii="Times New Roman" w:hAnsi="Times New Roman" w:cs="Times New Roman"/>
          <w:noProof/>
        </w:rPr>
        <w:lastRenderedPageBreak/>
        <w:drawing>
          <wp:inline distT="0" distB="0" distL="0" distR="0" wp14:anchorId="52F552F2" wp14:editId="287BFEE8">
            <wp:extent cx="3276600" cy="2457450"/>
            <wp:effectExtent l="0" t="0" r="0" b="0"/>
            <wp:docPr id="44081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81956" name=""/>
                    <pic:cNvPicPr/>
                  </pic:nvPicPr>
                  <pic:blipFill>
                    <a:blip r:embed="rId42"/>
                    <a:stretch>
                      <a:fillRect/>
                    </a:stretch>
                  </pic:blipFill>
                  <pic:spPr>
                    <a:xfrm>
                      <a:off x="0" y="0"/>
                      <a:ext cx="3276600" cy="2457450"/>
                    </a:xfrm>
                    <a:prstGeom prst="rect">
                      <a:avLst/>
                    </a:prstGeom>
                  </pic:spPr>
                </pic:pic>
              </a:graphicData>
            </a:graphic>
          </wp:inline>
        </w:drawing>
      </w:r>
    </w:p>
    <w:p w14:paraId="5E6D717E" w14:textId="77777777" w:rsidR="0027315D" w:rsidRPr="00F00296" w:rsidRDefault="0027315D" w:rsidP="0027315D">
      <w:pPr>
        <w:spacing w:line="360" w:lineRule="auto"/>
        <w:jc w:val="both"/>
        <w:rPr>
          <w:rFonts w:ascii="Times New Roman" w:hAnsi="Times New Roman" w:cs="Times New Roman"/>
          <w:b/>
          <w:bCs/>
        </w:rPr>
      </w:pPr>
      <w:r w:rsidRPr="00F00296">
        <w:rPr>
          <w:rFonts w:ascii="Times New Roman" w:hAnsi="Times New Roman" w:cs="Times New Roman"/>
          <w:b/>
          <w:bCs/>
        </w:rPr>
        <w:t>Table D3: Balance Sheet (2019-2023)</w:t>
      </w:r>
    </w:p>
    <w:p w14:paraId="3095604D" w14:textId="2D73D3AA" w:rsidR="004D135C" w:rsidRPr="00F00296" w:rsidRDefault="002341EF" w:rsidP="00633D63">
      <w:pPr>
        <w:spacing w:line="360" w:lineRule="auto"/>
        <w:jc w:val="both"/>
        <w:rPr>
          <w:rFonts w:ascii="Times New Roman" w:hAnsi="Times New Roman" w:cs="Times New Roman"/>
        </w:rPr>
      </w:pPr>
      <w:r w:rsidRPr="00F00296">
        <w:rPr>
          <w:rFonts w:ascii="Times New Roman" w:hAnsi="Times New Roman" w:cs="Times New Roman"/>
          <w:noProof/>
        </w:rPr>
        <w:drawing>
          <wp:inline distT="0" distB="0" distL="0" distR="0" wp14:anchorId="4F8BF846" wp14:editId="47C07543">
            <wp:extent cx="5095875" cy="2047875"/>
            <wp:effectExtent l="0" t="0" r="9525" b="9525"/>
            <wp:docPr id="1950214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214911" name=""/>
                    <pic:cNvPicPr/>
                  </pic:nvPicPr>
                  <pic:blipFill>
                    <a:blip r:embed="rId43"/>
                    <a:stretch>
                      <a:fillRect/>
                    </a:stretch>
                  </pic:blipFill>
                  <pic:spPr>
                    <a:xfrm>
                      <a:off x="0" y="0"/>
                      <a:ext cx="5095875" cy="2047875"/>
                    </a:xfrm>
                    <a:prstGeom prst="rect">
                      <a:avLst/>
                    </a:prstGeom>
                  </pic:spPr>
                </pic:pic>
              </a:graphicData>
            </a:graphic>
          </wp:inline>
        </w:drawing>
      </w:r>
    </w:p>
    <w:sectPr w:rsidR="004D135C" w:rsidRPr="00F002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C1052"/>
    <w:multiLevelType w:val="multilevel"/>
    <w:tmpl w:val="95FC5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A75E96"/>
    <w:multiLevelType w:val="multilevel"/>
    <w:tmpl w:val="E75A119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B91F9B"/>
    <w:multiLevelType w:val="multilevel"/>
    <w:tmpl w:val="660668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2B30D8"/>
    <w:multiLevelType w:val="multilevel"/>
    <w:tmpl w:val="2F3A2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B40FC1"/>
    <w:multiLevelType w:val="multilevel"/>
    <w:tmpl w:val="02060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5A5304"/>
    <w:multiLevelType w:val="hybridMultilevel"/>
    <w:tmpl w:val="0284E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7030DE"/>
    <w:multiLevelType w:val="multilevel"/>
    <w:tmpl w:val="E4AE7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5C72BF4"/>
    <w:multiLevelType w:val="hybridMultilevel"/>
    <w:tmpl w:val="EBA477F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305FE7"/>
    <w:multiLevelType w:val="multilevel"/>
    <w:tmpl w:val="D6982C6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6552C3"/>
    <w:multiLevelType w:val="multilevel"/>
    <w:tmpl w:val="803858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9F4E37"/>
    <w:multiLevelType w:val="multilevel"/>
    <w:tmpl w:val="B3B4A0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A11F2F"/>
    <w:multiLevelType w:val="multilevel"/>
    <w:tmpl w:val="1576A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3662226">
    <w:abstractNumId w:val="7"/>
  </w:num>
  <w:num w:numId="2" w16cid:durableId="1749039069">
    <w:abstractNumId w:val="8"/>
  </w:num>
  <w:num w:numId="3" w16cid:durableId="1530947481">
    <w:abstractNumId w:val="1"/>
  </w:num>
  <w:num w:numId="4" w16cid:durableId="1959337091">
    <w:abstractNumId w:val="9"/>
  </w:num>
  <w:num w:numId="5" w16cid:durableId="1004746233">
    <w:abstractNumId w:val="2"/>
  </w:num>
  <w:num w:numId="6" w16cid:durableId="866793959">
    <w:abstractNumId w:val="10"/>
  </w:num>
  <w:num w:numId="7" w16cid:durableId="246890425">
    <w:abstractNumId w:val="5"/>
  </w:num>
  <w:num w:numId="8" w16cid:durableId="2133742782">
    <w:abstractNumId w:val="3"/>
  </w:num>
  <w:num w:numId="9" w16cid:durableId="1545563635">
    <w:abstractNumId w:val="6"/>
  </w:num>
  <w:num w:numId="10" w16cid:durableId="218637159">
    <w:abstractNumId w:val="0"/>
  </w:num>
  <w:num w:numId="11" w16cid:durableId="1679191582">
    <w:abstractNumId w:val="4"/>
  </w:num>
  <w:num w:numId="12" w16cid:durableId="20902744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F11"/>
    <w:rsid w:val="000B41CC"/>
    <w:rsid w:val="000C4318"/>
    <w:rsid w:val="001929C4"/>
    <w:rsid w:val="001E77DD"/>
    <w:rsid w:val="002168EE"/>
    <w:rsid w:val="0022223D"/>
    <w:rsid w:val="002341EF"/>
    <w:rsid w:val="0027315D"/>
    <w:rsid w:val="00295811"/>
    <w:rsid w:val="002A7B4A"/>
    <w:rsid w:val="002D6633"/>
    <w:rsid w:val="002F4355"/>
    <w:rsid w:val="00360346"/>
    <w:rsid w:val="00381617"/>
    <w:rsid w:val="003B5ACC"/>
    <w:rsid w:val="003D05A0"/>
    <w:rsid w:val="003E23EF"/>
    <w:rsid w:val="00415B4D"/>
    <w:rsid w:val="0049143E"/>
    <w:rsid w:val="004A36C0"/>
    <w:rsid w:val="004C413F"/>
    <w:rsid w:val="004D135C"/>
    <w:rsid w:val="004F0DFB"/>
    <w:rsid w:val="00504DEE"/>
    <w:rsid w:val="00517033"/>
    <w:rsid w:val="00564818"/>
    <w:rsid w:val="00581EF5"/>
    <w:rsid w:val="005B6FFE"/>
    <w:rsid w:val="00633D63"/>
    <w:rsid w:val="00645B41"/>
    <w:rsid w:val="0065289D"/>
    <w:rsid w:val="00663D9C"/>
    <w:rsid w:val="00690C39"/>
    <w:rsid w:val="006C2907"/>
    <w:rsid w:val="006E6C7D"/>
    <w:rsid w:val="0076735A"/>
    <w:rsid w:val="0076745A"/>
    <w:rsid w:val="00774391"/>
    <w:rsid w:val="007777A7"/>
    <w:rsid w:val="007C42D4"/>
    <w:rsid w:val="00857122"/>
    <w:rsid w:val="008666C5"/>
    <w:rsid w:val="008D6965"/>
    <w:rsid w:val="009911F8"/>
    <w:rsid w:val="009B5B25"/>
    <w:rsid w:val="009B6D97"/>
    <w:rsid w:val="009E3EE5"/>
    <w:rsid w:val="00A82522"/>
    <w:rsid w:val="00AB2DBA"/>
    <w:rsid w:val="00AE67E2"/>
    <w:rsid w:val="00B170F6"/>
    <w:rsid w:val="00BA4D5B"/>
    <w:rsid w:val="00BB0C09"/>
    <w:rsid w:val="00BE334B"/>
    <w:rsid w:val="00C109F3"/>
    <w:rsid w:val="00C165DE"/>
    <w:rsid w:val="00C3006D"/>
    <w:rsid w:val="00C309B2"/>
    <w:rsid w:val="00CC5C46"/>
    <w:rsid w:val="00D17C1C"/>
    <w:rsid w:val="00D9746F"/>
    <w:rsid w:val="00DD0CAB"/>
    <w:rsid w:val="00DF7F11"/>
    <w:rsid w:val="00E02A68"/>
    <w:rsid w:val="00E347F0"/>
    <w:rsid w:val="00E72098"/>
    <w:rsid w:val="00E757B1"/>
    <w:rsid w:val="00EE0AAD"/>
    <w:rsid w:val="00F00296"/>
    <w:rsid w:val="00F9188C"/>
    <w:rsid w:val="00FF26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3F841"/>
  <w15:chartTrackingRefBased/>
  <w15:docId w15:val="{6AB09155-7328-4E45-8914-FA644C9A9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E6C7D"/>
    <w:pPr>
      <w:keepNext/>
      <w:keepLines/>
      <w:spacing w:before="360" w:after="80"/>
      <w:outlineLvl w:val="0"/>
    </w:pPr>
    <w:rPr>
      <w:rFonts w:ascii="Times New Roman" w:eastAsiaTheme="majorEastAsia" w:hAnsi="Times New Roman" w:cstheme="majorBidi"/>
      <w:b/>
      <w:color w:val="0F4761" w:themeColor="accent1" w:themeShade="BF"/>
      <w:sz w:val="32"/>
      <w:szCs w:val="40"/>
    </w:rPr>
  </w:style>
  <w:style w:type="paragraph" w:styleId="Heading2">
    <w:name w:val="heading 2"/>
    <w:basedOn w:val="Normal"/>
    <w:next w:val="Normal"/>
    <w:link w:val="Heading2Char"/>
    <w:uiPriority w:val="9"/>
    <w:unhideWhenUsed/>
    <w:qFormat/>
    <w:rsid w:val="006E6C7D"/>
    <w:pPr>
      <w:keepNext/>
      <w:keepLines/>
      <w:spacing w:before="160" w:after="80"/>
      <w:outlineLvl w:val="1"/>
    </w:pPr>
    <w:rPr>
      <w:rFonts w:ascii="Times New Roman" w:eastAsiaTheme="majorEastAsia" w:hAnsi="Times New Roman" w:cstheme="majorBidi"/>
      <w:b/>
      <w:color w:val="0F4761" w:themeColor="accent1" w:themeShade="BF"/>
      <w:sz w:val="28"/>
      <w:szCs w:val="32"/>
    </w:rPr>
  </w:style>
  <w:style w:type="paragraph" w:styleId="Heading3">
    <w:name w:val="heading 3"/>
    <w:basedOn w:val="Normal"/>
    <w:next w:val="Normal"/>
    <w:link w:val="Heading3Char"/>
    <w:uiPriority w:val="9"/>
    <w:unhideWhenUsed/>
    <w:qFormat/>
    <w:rsid w:val="00DF7F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F7F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7F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7F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7F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7F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7F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6C7D"/>
    <w:rPr>
      <w:rFonts w:ascii="Times New Roman" w:eastAsiaTheme="majorEastAsia" w:hAnsi="Times New Roman" w:cstheme="majorBidi"/>
      <w:b/>
      <w:color w:val="0F4761" w:themeColor="accent1" w:themeShade="BF"/>
      <w:sz w:val="32"/>
      <w:szCs w:val="40"/>
    </w:rPr>
  </w:style>
  <w:style w:type="character" w:customStyle="1" w:styleId="Heading2Char">
    <w:name w:val="Heading 2 Char"/>
    <w:basedOn w:val="DefaultParagraphFont"/>
    <w:link w:val="Heading2"/>
    <w:uiPriority w:val="9"/>
    <w:rsid w:val="006E6C7D"/>
    <w:rPr>
      <w:rFonts w:ascii="Times New Roman" w:eastAsiaTheme="majorEastAsia" w:hAnsi="Times New Roman" w:cstheme="majorBidi"/>
      <w:b/>
      <w:color w:val="0F4761" w:themeColor="accent1" w:themeShade="BF"/>
      <w:sz w:val="28"/>
      <w:szCs w:val="32"/>
    </w:rPr>
  </w:style>
  <w:style w:type="character" w:customStyle="1" w:styleId="Heading3Char">
    <w:name w:val="Heading 3 Char"/>
    <w:basedOn w:val="DefaultParagraphFont"/>
    <w:link w:val="Heading3"/>
    <w:uiPriority w:val="9"/>
    <w:rsid w:val="00DF7F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F7F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7F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7F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7F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7F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7F11"/>
    <w:rPr>
      <w:rFonts w:eastAsiaTheme="majorEastAsia" w:cstheme="majorBidi"/>
      <w:color w:val="272727" w:themeColor="text1" w:themeTint="D8"/>
    </w:rPr>
  </w:style>
  <w:style w:type="paragraph" w:styleId="Title">
    <w:name w:val="Title"/>
    <w:basedOn w:val="Normal"/>
    <w:next w:val="Normal"/>
    <w:link w:val="TitleChar"/>
    <w:uiPriority w:val="10"/>
    <w:qFormat/>
    <w:rsid w:val="00DF7F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7F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7F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7F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7F11"/>
    <w:pPr>
      <w:spacing w:before="160"/>
      <w:jc w:val="center"/>
    </w:pPr>
    <w:rPr>
      <w:i/>
      <w:iCs/>
      <w:color w:val="404040" w:themeColor="text1" w:themeTint="BF"/>
    </w:rPr>
  </w:style>
  <w:style w:type="character" w:customStyle="1" w:styleId="QuoteChar">
    <w:name w:val="Quote Char"/>
    <w:basedOn w:val="DefaultParagraphFont"/>
    <w:link w:val="Quote"/>
    <w:uiPriority w:val="29"/>
    <w:rsid w:val="00DF7F11"/>
    <w:rPr>
      <w:i/>
      <w:iCs/>
      <w:color w:val="404040" w:themeColor="text1" w:themeTint="BF"/>
    </w:rPr>
  </w:style>
  <w:style w:type="paragraph" w:styleId="ListParagraph">
    <w:name w:val="List Paragraph"/>
    <w:basedOn w:val="Normal"/>
    <w:uiPriority w:val="34"/>
    <w:qFormat/>
    <w:rsid w:val="00DF7F11"/>
    <w:pPr>
      <w:ind w:left="720"/>
      <w:contextualSpacing/>
    </w:pPr>
  </w:style>
  <w:style w:type="character" w:styleId="IntenseEmphasis">
    <w:name w:val="Intense Emphasis"/>
    <w:basedOn w:val="DefaultParagraphFont"/>
    <w:uiPriority w:val="21"/>
    <w:qFormat/>
    <w:rsid w:val="00DF7F11"/>
    <w:rPr>
      <w:i/>
      <w:iCs/>
      <w:color w:val="0F4761" w:themeColor="accent1" w:themeShade="BF"/>
    </w:rPr>
  </w:style>
  <w:style w:type="paragraph" w:styleId="IntenseQuote">
    <w:name w:val="Intense Quote"/>
    <w:basedOn w:val="Normal"/>
    <w:next w:val="Normal"/>
    <w:link w:val="IntenseQuoteChar"/>
    <w:uiPriority w:val="30"/>
    <w:qFormat/>
    <w:rsid w:val="00DF7F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7F11"/>
    <w:rPr>
      <w:i/>
      <w:iCs/>
      <w:color w:val="0F4761" w:themeColor="accent1" w:themeShade="BF"/>
    </w:rPr>
  </w:style>
  <w:style w:type="character" w:styleId="IntenseReference">
    <w:name w:val="Intense Reference"/>
    <w:basedOn w:val="DefaultParagraphFont"/>
    <w:uiPriority w:val="32"/>
    <w:qFormat/>
    <w:rsid w:val="00DF7F11"/>
    <w:rPr>
      <w:b/>
      <w:bCs/>
      <w:smallCaps/>
      <w:color w:val="0F4761" w:themeColor="accent1" w:themeShade="BF"/>
      <w:spacing w:val="5"/>
    </w:rPr>
  </w:style>
  <w:style w:type="table" w:styleId="TableGrid">
    <w:name w:val="Table Grid"/>
    <w:basedOn w:val="TableNormal"/>
    <w:uiPriority w:val="39"/>
    <w:rsid w:val="001929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E6C7D"/>
    <w:pPr>
      <w:spacing w:before="240" w:after="0" w:line="259" w:lineRule="auto"/>
      <w:outlineLvl w:val="9"/>
    </w:pPr>
    <w:rPr>
      <w:kern w:val="0"/>
      <w:szCs w:val="32"/>
      <w14:ligatures w14:val="none"/>
    </w:rPr>
  </w:style>
  <w:style w:type="paragraph" w:styleId="TOC1">
    <w:name w:val="toc 1"/>
    <w:basedOn w:val="Normal"/>
    <w:next w:val="Normal"/>
    <w:autoRedefine/>
    <w:uiPriority w:val="39"/>
    <w:unhideWhenUsed/>
    <w:rsid w:val="006E6C7D"/>
    <w:pPr>
      <w:spacing w:after="100"/>
    </w:pPr>
  </w:style>
  <w:style w:type="paragraph" w:styleId="TOC2">
    <w:name w:val="toc 2"/>
    <w:basedOn w:val="Normal"/>
    <w:next w:val="Normal"/>
    <w:autoRedefine/>
    <w:uiPriority w:val="39"/>
    <w:unhideWhenUsed/>
    <w:rsid w:val="006E6C7D"/>
    <w:pPr>
      <w:spacing w:after="100"/>
      <w:ind w:left="240"/>
    </w:pPr>
  </w:style>
  <w:style w:type="paragraph" w:styleId="TOC3">
    <w:name w:val="toc 3"/>
    <w:basedOn w:val="Normal"/>
    <w:next w:val="Normal"/>
    <w:autoRedefine/>
    <w:uiPriority w:val="39"/>
    <w:unhideWhenUsed/>
    <w:rsid w:val="006E6C7D"/>
    <w:pPr>
      <w:spacing w:after="100"/>
      <w:ind w:left="480"/>
    </w:pPr>
  </w:style>
  <w:style w:type="character" w:styleId="Hyperlink">
    <w:name w:val="Hyperlink"/>
    <w:basedOn w:val="DefaultParagraphFont"/>
    <w:uiPriority w:val="99"/>
    <w:unhideWhenUsed/>
    <w:rsid w:val="006E6C7D"/>
    <w:rPr>
      <w:color w:val="467886" w:themeColor="hyperlink"/>
      <w:u w:val="single"/>
    </w:rPr>
  </w:style>
  <w:style w:type="paragraph" w:styleId="NormalWeb">
    <w:name w:val="Normal (Web)"/>
    <w:basedOn w:val="Normal"/>
    <w:uiPriority w:val="99"/>
    <w:semiHidden/>
    <w:unhideWhenUsed/>
    <w:rsid w:val="008666C5"/>
    <w:rPr>
      <w:rFonts w:ascii="Times New Roman" w:hAnsi="Times New Roman" w:cs="Times New Roman"/>
    </w:rPr>
  </w:style>
  <w:style w:type="table" w:styleId="PlainTable1">
    <w:name w:val="Plain Table 1"/>
    <w:basedOn w:val="TableNormal"/>
    <w:uiPriority w:val="41"/>
    <w:rsid w:val="0027315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ord">
    <w:name w:val="mord"/>
    <w:basedOn w:val="DefaultParagraphFont"/>
    <w:rsid w:val="00F00296"/>
  </w:style>
  <w:style w:type="character" w:customStyle="1" w:styleId="mrel">
    <w:name w:val="mrel"/>
    <w:basedOn w:val="DefaultParagraphFont"/>
    <w:rsid w:val="00F00296"/>
  </w:style>
  <w:style w:type="character" w:customStyle="1" w:styleId="vlist-s">
    <w:name w:val="vlist-s"/>
    <w:basedOn w:val="DefaultParagraphFont"/>
    <w:rsid w:val="00F002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985795">
      <w:bodyDiv w:val="1"/>
      <w:marLeft w:val="0"/>
      <w:marRight w:val="0"/>
      <w:marTop w:val="0"/>
      <w:marBottom w:val="0"/>
      <w:divBdr>
        <w:top w:val="none" w:sz="0" w:space="0" w:color="auto"/>
        <w:left w:val="none" w:sz="0" w:space="0" w:color="auto"/>
        <w:bottom w:val="none" w:sz="0" w:space="0" w:color="auto"/>
        <w:right w:val="none" w:sz="0" w:space="0" w:color="auto"/>
      </w:divBdr>
    </w:div>
    <w:div w:id="85461597">
      <w:bodyDiv w:val="1"/>
      <w:marLeft w:val="0"/>
      <w:marRight w:val="0"/>
      <w:marTop w:val="0"/>
      <w:marBottom w:val="0"/>
      <w:divBdr>
        <w:top w:val="none" w:sz="0" w:space="0" w:color="auto"/>
        <w:left w:val="none" w:sz="0" w:space="0" w:color="auto"/>
        <w:bottom w:val="none" w:sz="0" w:space="0" w:color="auto"/>
        <w:right w:val="none" w:sz="0" w:space="0" w:color="auto"/>
      </w:divBdr>
    </w:div>
    <w:div w:id="154154158">
      <w:bodyDiv w:val="1"/>
      <w:marLeft w:val="0"/>
      <w:marRight w:val="0"/>
      <w:marTop w:val="0"/>
      <w:marBottom w:val="0"/>
      <w:divBdr>
        <w:top w:val="none" w:sz="0" w:space="0" w:color="auto"/>
        <w:left w:val="none" w:sz="0" w:space="0" w:color="auto"/>
        <w:bottom w:val="none" w:sz="0" w:space="0" w:color="auto"/>
        <w:right w:val="none" w:sz="0" w:space="0" w:color="auto"/>
      </w:divBdr>
    </w:div>
    <w:div w:id="200048481">
      <w:bodyDiv w:val="1"/>
      <w:marLeft w:val="0"/>
      <w:marRight w:val="0"/>
      <w:marTop w:val="0"/>
      <w:marBottom w:val="0"/>
      <w:divBdr>
        <w:top w:val="none" w:sz="0" w:space="0" w:color="auto"/>
        <w:left w:val="none" w:sz="0" w:space="0" w:color="auto"/>
        <w:bottom w:val="none" w:sz="0" w:space="0" w:color="auto"/>
        <w:right w:val="none" w:sz="0" w:space="0" w:color="auto"/>
      </w:divBdr>
    </w:div>
    <w:div w:id="223568308">
      <w:bodyDiv w:val="1"/>
      <w:marLeft w:val="0"/>
      <w:marRight w:val="0"/>
      <w:marTop w:val="0"/>
      <w:marBottom w:val="0"/>
      <w:divBdr>
        <w:top w:val="none" w:sz="0" w:space="0" w:color="auto"/>
        <w:left w:val="none" w:sz="0" w:space="0" w:color="auto"/>
        <w:bottom w:val="none" w:sz="0" w:space="0" w:color="auto"/>
        <w:right w:val="none" w:sz="0" w:space="0" w:color="auto"/>
      </w:divBdr>
    </w:div>
    <w:div w:id="312176789">
      <w:bodyDiv w:val="1"/>
      <w:marLeft w:val="0"/>
      <w:marRight w:val="0"/>
      <w:marTop w:val="0"/>
      <w:marBottom w:val="0"/>
      <w:divBdr>
        <w:top w:val="none" w:sz="0" w:space="0" w:color="auto"/>
        <w:left w:val="none" w:sz="0" w:space="0" w:color="auto"/>
        <w:bottom w:val="none" w:sz="0" w:space="0" w:color="auto"/>
        <w:right w:val="none" w:sz="0" w:space="0" w:color="auto"/>
      </w:divBdr>
    </w:div>
    <w:div w:id="318389077">
      <w:bodyDiv w:val="1"/>
      <w:marLeft w:val="0"/>
      <w:marRight w:val="0"/>
      <w:marTop w:val="0"/>
      <w:marBottom w:val="0"/>
      <w:divBdr>
        <w:top w:val="none" w:sz="0" w:space="0" w:color="auto"/>
        <w:left w:val="none" w:sz="0" w:space="0" w:color="auto"/>
        <w:bottom w:val="none" w:sz="0" w:space="0" w:color="auto"/>
        <w:right w:val="none" w:sz="0" w:space="0" w:color="auto"/>
      </w:divBdr>
    </w:div>
    <w:div w:id="326635618">
      <w:bodyDiv w:val="1"/>
      <w:marLeft w:val="0"/>
      <w:marRight w:val="0"/>
      <w:marTop w:val="0"/>
      <w:marBottom w:val="0"/>
      <w:divBdr>
        <w:top w:val="none" w:sz="0" w:space="0" w:color="auto"/>
        <w:left w:val="none" w:sz="0" w:space="0" w:color="auto"/>
        <w:bottom w:val="none" w:sz="0" w:space="0" w:color="auto"/>
        <w:right w:val="none" w:sz="0" w:space="0" w:color="auto"/>
      </w:divBdr>
    </w:div>
    <w:div w:id="386806827">
      <w:bodyDiv w:val="1"/>
      <w:marLeft w:val="0"/>
      <w:marRight w:val="0"/>
      <w:marTop w:val="0"/>
      <w:marBottom w:val="0"/>
      <w:divBdr>
        <w:top w:val="none" w:sz="0" w:space="0" w:color="auto"/>
        <w:left w:val="none" w:sz="0" w:space="0" w:color="auto"/>
        <w:bottom w:val="none" w:sz="0" w:space="0" w:color="auto"/>
        <w:right w:val="none" w:sz="0" w:space="0" w:color="auto"/>
      </w:divBdr>
    </w:div>
    <w:div w:id="428543305">
      <w:bodyDiv w:val="1"/>
      <w:marLeft w:val="0"/>
      <w:marRight w:val="0"/>
      <w:marTop w:val="0"/>
      <w:marBottom w:val="0"/>
      <w:divBdr>
        <w:top w:val="none" w:sz="0" w:space="0" w:color="auto"/>
        <w:left w:val="none" w:sz="0" w:space="0" w:color="auto"/>
        <w:bottom w:val="none" w:sz="0" w:space="0" w:color="auto"/>
        <w:right w:val="none" w:sz="0" w:space="0" w:color="auto"/>
      </w:divBdr>
    </w:div>
    <w:div w:id="438455874">
      <w:bodyDiv w:val="1"/>
      <w:marLeft w:val="0"/>
      <w:marRight w:val="0"/>
      <w:marTop w:val="0"/>
      <w:marBottom w:val="0"/>
      <w:divBdr>
        <w:top w:val="none" w:sz="0" w:space="0" w:color="auto"/>
        <w:left w:val="none" w:sz="0" w:space="0" w:color="auto"/>
        <w:bottom w:val="none" w:sz="0" w:space="0" w:color="auto"/>
        <w:right w:val="none" w:sz="0" w:space="0" w:color="auto"/>
      </w:divBdr>
    </w:div>
    <w:div w:id="444740396">
      <w:bodyDiv w:val="1"/>
      <w:marLeft w:val="0"/>
      <w:marRight w:val="0"/>
      <w:marTop w:val="0"/>
      <w:marBottom w:val="0"/>
      <w:divBdr>
        <w:top w:val="none" w:sz="0" w:space="0" w:color="auto"/>
        <w:left w:val="none" w:sz="0" w:space="0" w:color="auto"/>
        <w:bottom w:val="none" w:sz="0" w:space="0" w:color="auto"/>
        <w:right w:val="none" w:sz="0" w:space="0" w:color="auto"/>
      </w:divBdr>
    </w:div>
    <w:div w:id="455413704">
      <w:bodyDiv w:val="1"/>
      <w:marLeft w:val="0"/>
      <w:marRight w:val="0"/>
      <w:marTop w:val="0"/>
      <w:marBottom w:val="0"/>
      <w:divBdr>
        <w:top w:val="none" w:sz="0" w:space="0" w:color="auto"/>
        <w:left w:val="none" w:sz="0" w:space="0" w:color="auto"/>
        <w:bottom w:val="none" w:sz="0" w:space="0" w:color="auto"/>
        <w:right w:val="none" w:sz="0" w:space="0" w:color="auto"/>
      </w:divBdr>
    </w:div>
    <w:div w:id="456609118">
      <w:bodyDiv w:val="1"/>
      <w:marLeft w:val="0"/>
      <w:marRight w:val="0"/>
      <w:marTop w:val="0"/>
      <w:marBottom w:val="0"/>
      <w:divBdr>
        <w:top w:val="none" w:sz="0" w:space="0" w:color="auto"/>
        <w:left w:val="none" w:sz="0" w:space="0" w:color="auto"/>
        <w:bottom w:val="none" w:sz="0" w:space="0" w:color="auto"/>
        <w:right w:val="none" w:sz="0" w:space="0" w:color="auto"/>
      </w:divBdr>
    </w:div>
    <w:div w:id="462697355">
      <w:bodyDiv w:val="1"/>
      <w:marLeft w:val="0"/>
      <w:marRight w:val="0"/>
      <w:marTop w:val="0"/>
      <w:marBottom w:val="0"/>
      <w:divBdr>
        <w:top w:val="none" w:sz="0" w:space="0" w:color="auto"/>
        <w:left w:val="none" w:sz="0" w:space="0" w:color="auto"/>
        <w:bottom w:val="none" w:sz="0" w:space="0" w:color="auto"/>
        <w:right w:val="none" w:sz="0" w:space="0" w:color="auto"/>
      </w:divBdr>
    </w:div>
    <w:div w:id="471825887">
      <w:bodyDiv w:val="1"/>
      <w:marLeft w:val="0"/>
      <w:marRight w:val="0"/>
      <w:marTop w:val="0"/>
      <w:marBottom w:val="0"/>
      <w:divBdr>
        <w:top w:val="none" w:sz="0" w:space="0" w:color="auto"/>
        <w:left w:val="none" w:sz="0" w:space="0" w:color="auto"/>
        <w:bottom w:val="none" w:sz="0" w:space="0" w:color="auto"/>
        <w:right w:val="none" w:sz="0" w:space="0" w:color="auto"/>
      </w:divBdr>
    </w:div>
    <w:div w:id="476144727">
      <w:bodyDiv w:val="1"/>
      <w:marLeft w:val="0"/>
      <w:marRight w:val="0"/>
      <w:marTop w:val="0"/>
      <w:marBottom w:val="0"/>
      <w:divBdr>
        <w:top w:val="none" w:sz="0" w:space="0" w:color="auto"/>
        <w:left w:val="none" w:sz="0" w:space="0" w:color="auto"/>
        <w:bottom w:val="none" w:sz="0" w:space="0" w:color="auto"/>
        <w:right w:val="none" w:sz="0" w:space="0" w:color="auto"/>
      </w:divBdr>
    </w:div>
    <w:div w:id="497696229">
      <w:bodyDiv w:val="1"/>
      <w:marLeft w:val="0"/>
      <w:marRight w:val="0"/>
      <w:marTop w:val="0"/>
      <w:marBottom w:val="0"/>
      <w:divBdr>
        <w:top w:val="none" w:sz="0" w:space="0" w:color="auto"/>
        <w:left w:val="none" w:sz="0" w:space="0" w:color="auto"/>
        <w:bottom w:val="none" w:sz="0" w:space="0" w:color="auto"/>
        <w:right w:val="none" w:sz="0" w:space="0" w:color="auto"/>
      </w:divBdr>
    </w:div>
    <w:div w:id="529880034">
      <w:bodyDiv w:val="1"/>
      <w:marLeft w:val="0"/>
      <w:marRight w:val="0"/>
      <w:marTop w:val="0"/>
      <w:marBottom w:val="0"/>
      <w:divBdr>
        <w:top w:val="none" w:sz="0" w:space="0" w:color="auto"/>
        <w:left w:val="none" w:sz="0" w:space="0" w:color="auto"/>
        <w:bottom w:val="none" w:sz="0" w:space="0" w:color="auto"/>
        <w:right w:val="none" w:sz="0" w:space="0" w:color="auto"/>
      </w:divBdr>
    </w:div>
    <w:div w:id="568923053">
      <w:bodyDiv w:val="1"/>
      <w:marLeft w:val="0"/>
      <w:marRight w:val="0"/>
      <w:marTop w:val="0"/>
      <w:marBottom w:val="0"/>
      <w:divBdr>
        <w:top w:val="none" w:sz="0" w:space="0" w:color="auto"/>
        <w:left w:val="none" w:sz="0" w:space="0" w:color="auto"/>
        <w:bottom w:val="none" w:sz="0" w:space="0" w:color="auto"/>
        <w:right w:val="none" w:sz="0" w:space="0" w:color="auto"/>
      </w:divBdr>
    </w:div>
    <w:div w:id="715587588">
      <w:bodyDiv w:val="1"/>
      <w:marLeft w:val="0"/>
      <w:marRight w:val="0"/>
      <w:marTop w:val="0"/>
      <w:marBottom w:val="0"/>
      <w:divBdr>
        <w:top w:val="none" w:sz="0" w:space="0" w:color="auto"/>
        <w:left w:val="none" w:sz="0" w:space="0" w:color="auto"/>
        <w:bottom w:val="none" w:sz="0" w:space="0" w:color="auto"/>
        <w:right w:val="none" w:sz="0" w:space="0" w:color="auto"/>
      </w:divBdr>
    </w:div>
    <w:div w:id="751970977">
      <w:bodyDiv w:val="1"/>
      <w:marLeft w:val="0"/>
      <w:marRight w:val="0"/>
      <w:marTop w:val="0"/>
      <w:marBottom w:val="0"/>
      <w:divBdr>
        <w:top w:val="none" w:sz="0" w:space="0" w:color="auto"/>
        <w:left w:val="none" w:sz="0" w:space="0" w:color="auto"/>
        <w:bottom w:val="none" w:sz="0" w:space="0" w:color="auto"/>
        <w:right w:val="none" w:sz="0" w:space="0" w:color="auto"/>
      </w:divBdr>
    </w:div>
    <w:div w:id="758790427">
      <w:bodyDiv w:val="1"/>
      <w:marLeft w:val="0"/>
      <w:marRight w:val="0"/>
      <w:marTop w:val="0"/>
      <w:marBottom w:val="0"/>
      <w:divBdr>
        <w:top w:val="none" w:sz="0" w:space="0" w:color="auto"/>
        <w:left w:val="none" w:sz="0" w:space="0" w:color="auto"/>
        <w:bottom w:val="none" w:sz="0" w:space="0" w:color="auto"/>
        <w:right w:val="none" w:sz="0" w:space="0" w:color="auto"/>
      </w:divBdr>
    </w:div>
    <w:div w:id="803887518">
      <w:bodyDiv w:val="1"/>
      <w:marLeft w:val="0"/>
      <w:marRight w:val="0"/>
      <w:marTop w:val="0"/>
      <w:marBottom w:val="0"/>
      <w:divBdr>
        <w:top w:val="none" w:sz="0" w:space="0" w:color="auto"/>
        <w:left w:val="none" w:sz="0" w:space="0" w:color="auto"/>
        <w:bottom w:val="none" w:sz="0" w:space="0" w:color="auto"/>
        <w:right w:val="none" w:sz="0" w:space="0" w:color="auto"/>
      </w:divBdr>
    </w:div>
    <w:div w:id="815799734">
      <w:bodyDiv w:val="1"/>
      <w:marLeft w:val="0"/>
      <w:marRight w:val="0"/>
      <w:marTop w:val="0"/>
      <w:marBottom w:val="0"/>
      <w:divBdr>
        <w:top w:val="none" w:sz="0" w:space="0" w:color="auto"/>
        <w:left w:val="none" w:sz="0" w:space="0" w:color="auto"/>
        <w:bottom w:val="none" w:sz="0" w:space="0" w:color="auto"/>
        <w:right w:val="none" w:sz="0" w:space="0" w:color="auto"/>
      </w:divBdr>
    </w:div>
    <w:div w:id="826676821">
      <w:bodyDiv w:val="1"/>
      <w:marLeft w:val="0"/>
      <w:marRight w:val="0"/>
      <w:marTop w:val="0"/>
      <w:marBottom w:val="0"/>
      <w:divBdr>
        <w:top w:val="none" w:sz="0" w:space="0" w:color="auto"/>
        <w:left w:val="none" w:sz="0" w:space="0" w:color="auto"/>
        <w:bottom w:val="none" w:sz="0" w:space="0" w:color="auto"/>
        <w:right w:val="none" w:sz="0" w:space="0" w:color="auto"/>
      </w:divBdr>
    </w:div>
    <w:div w:id="837505829">
      <w:bodyDiv w:val="1"/>
      <w:marLeft w:val="0"/>
      <w:marRight w:val="0"/>
      <w:marTop w:val="0"/>
      <w:marBottom w:val="0"/>
      <w:divBdr>
        <w:top w:val="none" w:sz="0" w:space="0" w:color="auto"/>
        <w:left w:val="none" w:sz="0" w:space="0" w:color="auto"/>
        <w:bottom w:val="none" w:sz="0" w:space="0" w:color="auto"/>
        <w:right w:val="none" w:sz="0" w:space="0" w:color="auto"/>
      </w:divBdr>
    </w:div>
    <w:div w:id="931282386">
      <w:bodyDiv w:val="1"/>
      <w:marLeft w:val="0"/>
      <w:marRight w:val="0"/>
      <w:marTop w:val="0"/>
      <w:marBottom w:val="0"/>
      <w:divBdr>
        <w:top w:val="none" w:sz="0" w:space="0" w:color="auto"/>
        <w:left w:val="none" w:sz="0" w:space="0" w:color="auto"/>
        <w:bottom w:val="none" w:sz="0" w:space="0" w:color="auto"/>
        <w:right w:val="none" w:sz="0" w:space="0" w:color="auto"/>
      </w:divBdr>
    </w:div>
    <w:div w:id="940383266">
      <w:bodyDiv w:val="1"/>
      <w:marLeft w:val="0"/>
      <w:marRight w:val="0"/>
      <w:marTop w:val="0"/>
      <w:marBottom w:val="0"/>
      <w:divBdr>
        <w:top w:val="none" w:sz="0" w:space="0" w:color="auto"/>
        <w:left w:val="none" w:sz="0" w:space="0" w:color="auto"/>
        <w:bottom w:val="none" w:sz="0" w:space="0" w:color="auto"/>
        <w:right w:val="none" w:sz="0" w:space="0" w:color="auto"/>
      </w:divBdr>
    </w:div>
    <w:div w:id="957686015">
      <w:bodyDiv w:val="1"/>
      <w:marLeft w:val="0"/>
      <w:marRight w:val="0"/>
      <w:marTop w:val="0"/>
      <w:marBottom w:val="0"/>
      <w:divBdr>
        <w:top w:val="none" w:sz="0" w:space="0" w:color="auto"/>
        <w:left w:val="none" w:sz="0" w:space="0" w:color="auto"/>
        <w:bottom w:val="none" w:sz="0" w:space="0" w:color="auto"/>
        <w:right w:val="none" w:sz="0" w:space="0" w:color="auto"/>
      </w:divBdr>
    </w:div>
    <w:div w:id="970595643">
      <w:bodyDiv w:val="1"/>
      <w:marLeft w:val="0"/>
      <w:marRight w:val="0"/>
      <w:marTop w:val="0"/>
      <w:marBottom w:val="0"/>
      <w:divBdr>
        <w:top w:val="none" w:sz="0" w:space="0" w:color="auto"/>
        <w:left w:val="none" w:sz="0" w:space="0" w:color="auto"/>
        <w:bottom w:val="none" w:sz="0" w:space="0" w:color="auto"/>
        <w:right w:val="none" w:sz="0" w:space="0" w:color="auto"/>
      </w:divBdr>
    </w:div>
    <w:div w:id="975641585">
      <w:bodyDiv w:val="1"/>
      <w:marLeft w:val="0"/>
      <w:marRight w:val="0"/>
      <w:marTop w:val="0"/>
      <w:marBottom w:val="0"/>
      <w:divBdr>
        <w:top w:val="none" w:sz="0" w:space="0" w:color="auto"/>
        <w:left w:val="none" w:sz="0" w:space="0" w:color="auto"/>
        <w:bottom w:val="none" w:sz="0" w:space="0" w:color="auto"/>
        <w:right w:val="none" w:sz="0" w:space="0" w:color="auto"/>
      </w:divBdr>
    </w:div>
    <w:div w:id="1084454836">
      <w:bodyDiv w:val="1"/>
      <w:marLeft w:val="0"/>
      <w:marRight w:val="0"/>
      <w:marTop w:val="0"/>
      <w:marBottom w:val="0"/>
      <w:divBdr>
        <w:top w:val="none" w:sz="0" w:space="0" w:color="auto"/>
        <w:left w:val="none" w:sz="0" w:space="0" w:color="auto"/>
        <w:bottom w:val="none" w:sz="0" w:space="0" w:color="auto"/>
        <w:right w:val="none" w:sz="0" w:space="0" w:color="auto"/>
      </w:divBdr>
    </w:div>
    <w:div w:id="1295527378">
      <w:bodyDiv w:val="1"/>
      <w:marLeft w:val="0"/>
      <w:marRight w:val="0"/>
      <w:marTop w:val="0"/>
      <w:marBottom w:val="0"/>
      <w:divBdr>
        <w:top w:val="none" w:sz="0" w:space="0" w:color="auto"/>
        <w:left w:val="none" w:sz="0" w:space="0" w:color="auto"/>
        <w:bottom w:val="none" w:sz="0" w:space="0" w:color="auto"/>
        <w:right w:val="none" w:sz="0" w:space="0" w:color="auto"/>
      </w:divBdr>
    </w:div>
    <w:div w:id="1299796730">
      <w:bodyDiv w:val="1"/>
      <w:marLeft w:val="0"/>
      <w:marRight w:val="0"/>
      <w:marTop w:val="0"/>
      <w:marBottom w:val="0"/>
      <w:divBdr>
        <w:top w:val="none" w:sz="0" w:space="0" w:color="auto"/>
        <w:left w:val="none" w:sz="0" w:space="0" w:color="auto"/>
        <w:bottom w:val="none" w:sz="0" w:space="0" w:color="auto"/>
        <w:right w:val="none" w:sz="0" w:space="0" w:color="auto"/>
      </w:divBdr>
    </w:div>
    <w:div w:id="1309438161">
      <w:bodyDiv w:val="1"/>
      <w:marLeft w:val="0"/>
      <w:marRight w:val="0"/>
      <w:marTop w:val="0"/>
      <w:marBottom w:val="0"/>
      <w:divBdr>
        <w:top w:val="none" w:sz="0" w:space="0" w:color="auto"/>
        <w:left w:val="none" w:sz="0" w:space="0" w:color="auto"/>
        <w:bottom w:val="none" w:sz="0" w:space="0" w:color="auto"/>
        <w:right w:val="none" w:sz="0" w:space="0" w:color="auto"/>
      </w:divBdr>
    </w:div>
    <w:div w:id="1322126605">
      <w:bodyDiv w:val="1"/>
      <w:marLeft w:val="0"/>
      <w:marRight w:val="0"/>
      <w:marTop w:val="0"/>
      <w:marBottom w:val="0"/>
      <w:divBdr>
        <w:top w:val="none" w:sz="0" w:space="0" w:color="auto"/>
        <w:left w:val="none" w:sz="0" w:space="0" w:color="auto"/>
        <w:bottom w:val="none" w:sz="0" w:space="0" w:color="auto"/>
        <w:right w:val="none" w:sz="0" w:space="0" w:color="auto"/>
      </w:divBdr>
    </w:div>
    <w:div w:id="1330673526">
      <w:bodyDiv w:val="1"/>
      <w:marLeft w:val="0"/>
      <w:marRight w:val="0"/>
      <w:marTop w:val="0"/>
      <w:marBottom w:val="0"/>
      <w:divBdr>
        <w:top w:val="none" w:sz="0" w:space="0" w:color="auto"/>
        <w:left w:val="none" w:sz="0" w:space="0" w:color="auto"/>
        <w:bottom w:val="none" w:sz="0" w:space="0" w:color="auto"/>
        <w:right w:val="none" w:sz="0" w:space="0" w:color="auto"/>
      </w:divBdr>
    </w:div>
    <w:div w:id="1375933852">
      <w:bodyDiv w:val="1"/>
      <w:marLeft w:val="0"/>
      <w:marRight w:val="0"/>
      <w:marTop w:val="0"/>
      <w:marBottom w:val="0"/>
      <w:divBdr>
        <w:top w:val="none" w:sz="0" w:space="0" w:color="auto"/>
        <w:left w:val="none" w:sz="0" w:space="0" w:color="auto"/>
        <w:bottom w:val="none" w:sz="0" w:space="0" w:color="auto"/>
        <w:right w:val="none" w:sz="0" w:space="0" w:color="auto"/>
      </w:divBdr>
      <w:divsChild>
        <w:div w:id="1418751413">
          <w:marLeft w:val="0"/>
          <w:marRight w:val="0"/>
          <w:marTop w:val="0"/>
          <w:marBottom w:val="0"/>
          <w:divBdr>
            <w:top w:val="none" w:sz="0" w:space="0" w:color="auto"/>
            <w:left w:val="none" w:sz="0" w:space="0" w:color="auto"/>
            <w:bottom w:val="none" w:sz="0" w:space="0" w:color="auto"/>
            <w:right w:val="none" w:sz="0" w:space="0" w:color="auto"/>
          </w:divBdr>
          <w:divsChild>
            <w:div w:id="1202670246">
              <w:marLeft w:val="0"/>
              <w:marRight w:val="0"/>
              <w:marTop w:val="0"/>
              <w:marBottom w:val="0"/>
              <w:divBdr>
                <w:top w:val="none" w:sz="0" w:space="0" w:color="auto"/>
                <w:left w:val="none" w:sz="0" w:space="0" w:color="auto"/>
                <w:bottom w:val="none" w:sz="0" w:space="0" w:color="auto"/>
                <w:right w:val="none" w:sz="0" w:space="0" w:color="auto"/>
              </w:divBdr>
              <w:divsChild>
                <w:div w:id="2073497753">
                  <w:marLeft w:val="0"/>
                  <w:marRight w:val="0"/>
                  <w:marTop w:val="0"/>
                  <w:marBottom w:val="0"/>
                  <w:divBdr>
                    <w:top w:val="none" w:sz="0" w:space="0" w:color="auto"/>
                    <w:left w:val="none" w:sz="0" w:space="0" w:color="auto"/>
                    <w:bottom w:val="none" w:sz="0" w:space="0" w:color="auto"/>
                    <w:right w:val="none" w:sz="0" w:space="0" w:color="auto"/>
                  </w:divBdr>
                  <w:divsChild>
                    <w:div w:id="51855828">
                      <w:marLeft w:val="0"/>
                      <w:marRight w:val="0"/>
                      <w:marTop w:val="0"/>
                      <w:marBottom w:val="0"/>
                      <w:divBdr>
                        <w:top w:val="none" w:sz="0" w:space="0" w:color="auto"/>
                        <w:left w:val="none" w:sz="0" w:space="0" w:color="auto"/>
                        <w:bottom w:val="none" w:sz="0" w:space="0" w:color="auto"/>
                        <w:right w:val="none" w:sz="0" w:space="0" w:color="auto"/>
                      </w:divBdr>
                      <w:divsChild>
                        <w:div w:id="1580560982">
                          <w:marLeft w:val="0"/>
                          <w:marRight w:val="0"/>
                          <w:marTop w:val="0"/>
                          <w:marBottom w:val="0"/>
                          <w:divBdr>
                            <w:top w:val="none" w:sz="0" w:space="0" w:color="auto"/>
                            <w:left w:val="none" w:sz="0" w:space="0" w:color="auto"/>
                            <w:bottom w:val="none" w:sz="0" w:space="0" w:color="auto"/>
                            <w:right w:val="none" w:sz="0" w:space="0" w:color="auto"/>
                          </w:divBdr>
                          <w:divsChild>
                            <w:div w:id="186012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2413161">
      <w:bodyDiv w:val="1"/>
      <w:marLeft w:val="0"/>
      <w:marRight w:val="0"/>
      <w:marTop w:val="0"/>
      <w:marBottom w:val="0"/>
      <w:divBdr>
        <w:top w:val="none" w:sz="0" w:space="0" w:color="auto"/>
        <w:left w:val="none" w:sz="0" w:space="0" w:color="auto"/>
        <w:bottom w:val="none" w:sz="0" w:space="0" w:color="auto"/>
        <w:right w:val="none" w:sz="0" w:space="0" w:color="auto"/>
      </w:divBdr>
    </w:div>
    <w:div w:id="1407024041">
      <w:bodyDiv w:val="1"/>
      <w:marLeft w:val="0"/>
      <w:marRight w:val="0"/>
      <w:marTop w:val="0"/>
      <w:marBottom w:val="0"/>
      <w:divBdr>
        <w:top w:val="none" w:sz="0" w:space="0" w:color="auto"/>
        <w:left w:val="none" w:sz="0" w:space="0" w:color="auto"/>
        <w:bottom w:val="none" w:sz="0" w:space="0" w:color="auto"/>
        <w:right w:val="none" w:sz="0" w:space="0" w:color="auto"/>
      </w:divBdr>
    </w:div>
    <w:div w:id="1438015859">
      <w:bodyDiv w:val="1"/>
      <w:marLeft w:val="0"/>
      <w:marRight w:val="0"/>
      <w:marTop w:val="0"/>
      <w:marBottom w:val="0"/>
      <w:divBdr>
        <w:top w:val="none" w:sz="0" w:space="0" w:color="auto"/>
        <w:left w:val="none" w:sz="0" w:space="0" w:color="auto"/>
        <w:bottom w:val="none" w:sz="0" w:space="0" w:color="auto"/>
        <w:right w:val="none" w:sz="0" w:space="0" w:color="auto"/>
      </w:divBdr>
    </w:div>
    <w:div w:id="1476601106">
      <w:bodyDiv w:val="1"/>
      <w:marLeft w:val="0"/>
      <w:marRight w:val="0"/>
      <w:marTop w:val="0"/>
      <w:marBottom w:val="0"/>
      <w:divBdr>
        <w:top w:val="none" w:sz="0" w:space="0" w:color="auto"/>
        <w:left w:val="none" w:sz="0" w:space="0" w:color="auto"/>
        <w:bottom w:val="none" w:sz="0" w:space="0" w:color="auto"/>
        <w:right w:val="none" w:sz="0" w:space="0" w:color="auto"/>
      </w:divBdr>
    </w:div>
    <w:div w:id="1493522940">
      <w:bodyDiv w:val="1"/>
      <w:marLeft w:val="0"/>
      <w:marRight w:val="0"/>
      <w:marTop w:val="0"/>
      <w:marBottom w:val="0"/>
      <w:divBdr>
        <w:top w:val="none" w:sz="0" w:space="0" w:color="auto"/>
        <w:left w:val="none" w:sz="0" w:space="0" w:color="auto"/>
        <w:bottom w:val="none" w:sz="0" w:space="0" w:color="auto"/>
        <w:right w:val="none" w:sz="0" w:space="0" w:color="auto"/>
      </w:divBdr>
    </w:div>
    <w:div w:id="1517580195">
      <w:bodyDiv w:val="1"/>
      <w:marLeft w:val="0"/>
      <w:marRight w:val="0"/>
      <w:marTop w:val="0"/>
      <w:marBottom w:val="0"/>
      <w:divBdr>
        <w:top w:val="none" w:sz="0" w:space="0" w:color="auto"/>
        <w:left w:val="none" w:sz="0" w:space="0" w:color="auto"/>
        <w:bottom w:val="none" w:sz="0" w:space="0" w:color="auto"/>
        <w:right w:val="none" w:sz="0" w:space="0" w:color="auto"/>
      </w:divBdr>
    </w:div>
    <w:div w:id="1564827709">
      <w:bodyDiv w:val="1"/>
      <w:marLeft w:val="0"/>
      <w:marRight w:val="0"/>
      <w:marTop w:val="0"/>
      <w:marBottom w:val="0"/>
      <w:divBdr>
        <w:top w:val="none" w:sz="0" w:space="0" w:color="auto"/>
        <w:left w:val="none" w:sz="0" w:space="0" w:color="auto"/>
        <w:bottom w:val="none" w:sz="0" w:space="0" w:color="auto"/>
        <w:right w:val="none" w:sz="0" w:space="0" w:color="auto"/>
      </w:divBdr>
    </w:div>
    <w:div w:id="1596672792">
      <w:bodyDiv w:val="1"/>
      <w:marLeft w:val="0"/>
      <w:marRight w:val="0"/>
      <w:marTop w:val="0"/>
      <w:marBottom w:val="0"/>
      <w:divBdr>
        <w:top w:val="none" w:sz="0" w:space="0" w:color="auto"/>
        <w:left w:val="none" w:sz="0" w:space="0" w:color="auto"/>
        <w:bottom w:val="none" w:sz="0" w:space="0" w:color="auto"/>
        <w:right w:val="none" w:sz="0" w:space="0" w:color="auto"/>
      </w:divBdr>
    </w:div>
    <w:div w:id="1674793472">
      <w:bodyDiv w:val="1"/>
      <w:marLeft w:val="0"/>
      <w:marRight w:val="0"/>
      <w:marTop w:val="0"/>
      <w:marBottom w:val="0"/>
      <w:divBdr>
        <w:top w:val="none" w:sz="0" w:space="0" w:color="auto"/>
        <w:left w:val="none" w:sz="0" w:space="0" w:color="auto"/>
        <w:bottom w:val="none" w:sz="0" w:space="0" w:color="auto"/>
        <w:right w:val="none" w:sz="0" w:space="0" w:color="auto"/>
      </w:divBdr>
    </w:div>
    <w:div w:id="1713967128">
      <w:bodyDiv w:val="1"/>
      <w:marLeft w:val="0"/>
      <w:marRight w:val="0"/>
      <w:marTop w:val="0"/>
      <w:marBottom w:val="0"/>
      <w:divBdr>
        <w:top w:val="none" w:sz="0" w:space="0" w:color="auto"/>
        <w:left w:val="none" w:sz="0" w:space="0" w:color="auto"/>
        <w:bottom w:val="none" w:sz="0" w:space="0" w:color="auto"/>
        <w:right w:val="none" w:sz="0" w:space="0" w:color="auto"/>
      </w:divBdr>
    </w:div>
    <w:div w:id="1714453266">
      <w:bodyDiv w:val="1"/>
      <w:marLeft w:val="0"/>
      <w:marRight w:val="0"/>
      <w:marTop w:val="0"/>
      <w:marBottom w:val="0"/>
      <w:divBdr>
        <w:top w:val="none" w:sz="0" w:space="0" w:color="auto"/>
        <w:left w:val="none" w:sz="0" w:space="0" w:color="auto"/>
        <w:bottom w:val="none" w:sz="0" w:space="0" w:color="auto"/>
        <w:right w:val="none" w:sz="0" w:space="0" w:color="auto"/>
      </w:divBdr>
    </w:div>
    <w:div w:id="1733699380">
      <w:bodyDiv w:val="1"/>
      <w:marLeft w:val="0"/>
      <w:marRight w:val="0"/>
      <w:marTop w:val="0"/>
      <w:marBottom w:val="0"/>
      <w:divBdr>
        <w:top w:val="none" w:sz="0" w:space="0" w:color="auto"/>
        <w:left w:val="none" w:sz="0" w:space="0" w:color="auto"/>
        <w:bottom w:val="none" w:sz="0" w:space="0" w:color="auto"/>
        <w:right w:val="none" w:sz="0" w:space="0" w:color="auto"/>
      </w:divBdr>
    </w:div>
    <w:div w:id="1807431098">
      <w:bodyDiv w:val="1"/>
      <w:marLeft w:val="0"/>
      <w:marRight w:val="0"/>
      <w:marTop w:val="0"/>
      <w:marBottom w:val="0"/>
      <w:divBdr>
        <w:top w:val="none" w:sz="0" w:space="0" w:color="auto"/>
        <w:left w:val="none" w:sz="0" w:space="0" w:color="auto"/>
        <w:bottom w:val="none" w:sz="0" w:space="0" w:color="auto"/>
        <w:right w:val="none" w:sz="0" w:space="0" w:color="auto"/>
      </w:divBdr>
    </w:div>
    <w:div w:id="1815558711">
      <w:bodyDiv w:val="1"/>
      <w:marLeft w:val="0"/>
      <w:marRight w:val="0"/>
      <w:marTop w:val="0"/>
      <w:marBottom w:val="0"/>
      <w:divBdr>
        <w:top w:val="none" w:sz="0" w:space="0" w:color="auto"/>
        <w:left w:val="none" w:sz="0" w:space="0" w:color="auto"/>
        <w:bottom w:val="none" w:sz="0" w:space="0" w:color="auto"/>
        <w:right w:val="none" w:sz="0" w:space="0" w:color="auto"/>
      </w:divBdr>
    </w:div>
    <w:div w:id="1843009651">
      <w:bodyDiv w:val="1"/>
      <w:marLeft w:val="0"/>
      <w:marRight w:val="0"/>
      <w:marTop w:val="0"/>
      <w:marBottom w:val="0"/>
      <w:divBdr>
        <w:top w:val="none" w:sz="0" w:space="0" w:color="auto"/>
        <w:left w:val="none" w:sz="0" w:space="0" w:color="auto"/>
        <w:bottom w:val="none" w:sz="0" w:space="0" w:color="auto"/>
        <w:right w:val="none" w:sz="0" w:space="0" w:color="auto"/>
      </w:divBdr>
    </w:div>
    <w:div w:id="1869221185">
      <w:bodyDiv w:val="1"/>
      <w:marLeft w:val="0"/>
      <w:marRight w:val="0"/>
      <w:marTop w:val="0"/>
      <w:marBottom w:val="0"/>
      <w:divBdr>
        <w:top w:val="none" w:sz="0" w:space="0" w:color="auto"/>
        <w:left w:val="none" w:sz="0" w:space="0" w:color="auto"/>
        <w:bottom w:val="none" w:sz="0" w:space="0" w:color="auto"/>
        <w:right w:val="none" w:sz="0" w:space="0" w:color="auto"/>
      </w:divBdr>
    </w:div>
    <w:div w:id="1897160569">
      <w:bodyDiv w:val="1"/>
      <w:marLeft w:val="0"/>
      <w:marRight w:val="0"/>
      <w:marTop w:val="0"/>
      <w:marBottom w:val="0"/>
      <w:divBdr>
        <w:top w:val="none" w:sz="0" w:space="0" w:color="auto"/>
        <w:left w:val="none" w:sz="0" w:space="0" w:color="auto"/>
        <w:bottom w:val="none" w:sz="0" w:space="0" w:color="auto"/>
        <w:right w:val="none" w:sz="0" w:space="0" w:color="auto"/>
      </w:divBdr>
    </w:div>
    <w:div w:id="1902327058">
      <w:bodyDiv w:val="1"/>
      <w:marLeft w:val="0"/>
      <w:marRight w:val="0"/>
      <w:marTop w:val="0"/>
      <w:marBottom w:val="0"/>
      <w:divBdr>
        <w:top w:val="none" w:sz="0" w:space="0" w:color="auto"/>
        <w:left w:val="none" w:sz="0" w:space="0" w:color="auto"/>
        <w:bottom w:val="none" w:sz="0" w:space="0" w:color="auto"/>
        <w:right w:val="none" w:sz="0" w:space="0" w:color="auto"/>
      </w:divBdr>
    </w:div>
    <w:div w:id="1920940801">
      <w:bodyDiv w:val="1"/>
      <w:marLeft w:val="0"/>
      <w:marRight w:val="0"/>
      <w:marTop w:val="0"/>
      <w:marBottom w:val="0"/>
      <w:divBdr>
        <w:top w:val="none" w:sz="0" w:space="0" w:color="auto"/>
        <w:left w:val="none" w:sz="0" w:space="0" w:color="auto"/>
        <w:bottom w:val="none" w:sz="0" w:space="0" w:color="auto"/>
        <w:right w:val="none" w:sz="0" w:space="0" w:color="auto"/>
      </w:divBdr>
    </w:div>
    <w:div w:id="2108888477">
      <w:bodyDiv w:val="1"/>
      <w:marLeft w:val="0"/>
      <w:marRight w:val="0"/>
      <w:marTop w:val="0"/>
      <w:marBottom w:val="0"/>
      <w:divBdr>
        <w:top w:val="none" w:sz="0" w:space="0" w:color="auto"/>
        <w:left w:val="none" w:sz="0" w:space="0" w:color="auto"/>
        <w:bottom w:val="none" w:sz="0" w:space="0" w:color="auto"/>
        <w:right w:val="none" w:sz="0" w:space="0" w:color="auto"/>
      </w:divBdr>
    </w:div>
    <w:div w:id="2114284363">
      <w:bodyDiv w:val="1"/>
      <w:marLeft w:val="0"/>
      <w:marRight w:val="0"/>
      <w:marTop w:val="0"/>
      <w:marBottom w:val="0"/>
      <w:divBdr>
        <w:top w:val="none" w:sz="0" w:space="0" w:color="auto"/>
        <w:left w:val="none" w:sz="0" w:space="0" w:color="auto"/>
        <w:bottom w:val="none" w:sz="0" w:space="0" w:color="auto"/>
        <w:right w:val="none" w:sz="0" w:space="0" w:color="auto"/>
      </w:divBdr>
      <w:divsChild>
        <w:div w:id="1354957307">
          <w:marLeft w:val="0"/>
          <w:marRight w:val="0"/>
          <w:marTop w:val="0"/>
          <w:marBottom w:val="0"/>
          <w:divBdr>
            <w:top w:val="none" w:sz="0" w:space="0" w:color="auto"/>
            <w:left w:val="none" w:sz="0" w:space="0" w:color="auto"/>
            <w:bottom w:val="none" w:sz="0" w:space="0" w:color="auto"/>
            <w:right w:val="none" w:sz="0" w:space="0" w:color="auto"/>
          </w:divBdr>
          <w:divsChild>
            <w:div w:id="827214932">
              <w:marLeft w:val="0"/>
              <w:marRight w:val="0"/>
              <w:marTop w:val="0"/>
              <w:marBottom w:val="0"/>
              <w:divBdr>
                <w:top w:val="none" w:sz="0" w:space="0" w:color="auto"/>
                <w:left w:val="none" w:sz="0" w:space="0" w:color="auto"/>
                <w:bottom w:val="none" w:sz="0" w:space="0" w:color="auto"/>
                <w:right w:val="none" w:sz="0" w:space="0" w:color="auto"/>
              </w:divBdr>
              <w:divsChild>
                <w:div w:id="738400282">
                  <w:marLeft w:val="0"/>
                  <w:marRight w:val="0"/>
                  <w:marTop w:val="0"/>
                  <w:marBottom w:val="0"/>
                  <w:divBdr>
                    <w:top w:val="none" w:sz="0" w:space="0" w:color="auto"/>
                    <w:left w:val="none" w:sz="0" w:space="0" w:color="auto"/>
                    <w:bottom w:val="none" w:sz="0" w:space="0" w:color="auto"/>
                    <w:right w:val="none" w:sz="0" w:space="0" w:color="auto"/>
                  </w:divBdr>
                  <w:divsChild>
                    <w:div w:id="2127774822">
                      <w:marLeft w:val="0"/>
                      <w:marRight w:val="0"/>
                      <w:marTop w:val="0"/>
                      <w:marBottom w:val="0"/>
                      <w:divBdr>
                        <w:top w:val="none" w:sz="0" w:space="0" w:color="auto"/>
                        <w:left w:val="none" w:sz="0" w:space="0" w:color="auto"/>
                        <w:bottom w:val="none" w:sz="0" w:space="0" w:color="auto"/>
                        <w:right w:val="none" w:sz="0" w:space="0" w:color="auto"/>
                      </w:divBdr>
                      <w:divsChild>
                        <w:div w:id="2089840908">
                          <w:marLeft w:val="0"/>
                          <w:marRight w:val="0"/>
                          <w:marTop w:val="0"/>
                          <w:marBottom w:val="0"/>
                          <w:divBdr>
                            <w:top w:val="none" w:sz="0" w:space="0" w:color="auto"/>
                            <w:left w:val="none" w:sz="0" w:space="0" w:color="auto"/>
                            <w:bottom w:val="none" w:sz="0" w:space="0" w:color="auto"/>
                            <w:right w:val="none" w:sz="0" w:space="0" w:color="auto"/>
                          </w:divBdr>
                          <w:divsChild>
                            <w:div w:id="88953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image" Target="media/image12.png"/><Relationship Id="rId39" Type="http://schemas.openxmlformats.org/officeDocument/2006/relationships/chart" Target="charts/chart15.xml"/><Relationship Id="rId21" Type="http://schemas.openxmlformats.org/officeDocument/2006/relationships/chart" Target="charts/chart6.xml"/><Relationship Id="rId34" Type="http://schemas.openxmlformats.org/officeDocument/2006/relationships/image" Target="media/image16.png"/><Relationship Id="rId42" Type="http://schemas.openxmlformats.org/officeDocument/2006/relationships/image" Target="media/image20.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image" Target="media/image11.png"/><Relationship Id="rId32" Type="http://schemas.openxmlformats.org/officeDocument/2006/relationships/image" Target="media/image15.png"/><Relationship Id="rId37" Type="http://schemas.openxmlformats.org/officeDocument/2006/relationships/chart" Target="charts/chart14.xml"/><Relationship Id="rId40" Type="http://schemas.openxmlformats.org/officeDocument/2006/relationships/chart" Target="charts/chart16.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7.xml"/><Relationship Id="rId28" Type="http://schemas.openxmlformats.org/officeDocument/2006/relationships/image" Target="media/image13.png"/><Relationship Id="rId36" Type="http://schemas.openxmlformats.org/officeDocument/2006/relationships/image" Target="media/image17.png"/><Relationship Id="rId10" Type="http://schemas.openxmlformats.org/officeDocument/2006/relationships/chart" Target="charts/chart2.xml"/><Relationship Id="rId19" Type="http://schemas.openxmlformats.org/officeDocument/2006/relationships/chart" Target="charts/chart5.xml"/><Relationship Id="rId31" Type="http://schemas.openxmlformats.org/officeDocument/2006/relationships/chart" Target="charts/chart11.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image" Target="media/image10.png"/><Relationship Id="rId27" Type="http://schemas.openxmlformats.org/officeDocument/2006/relationships/chart" Target="charts/chart9.xml"/><Relationship Id="rId30" Type="http://schemas.openxmlformats.org/officeDocument/2006/relationships/image" Target="media/image14.png"/><Relationship Id="rId35" Type="http://schemas.openxmlformats.org/officeDocument/2006/relationships/chart" Target="charts/chart13.xml"/><Relationship Id="rId43" Type="http://schemas.openxmlformats.org/officeDocument/2006/relationships/image" Target="media/image21.png"/><Relationship Id="rId8" Type="http://schemas.openxmlformats.org/officeDocument/2006/relationships/chart" Target="charts/chart1.xml"/><Relationship Id="rId3" Type="http://schemas.openxmlformats.org/officeDocument/2006/relationships/styles" Target="styles.xml"/><Relationship Id="rId12" Type="http://schemas.microsoft.com/office/2014/relationships/chartEx" Target="charts/chartEx1.xml"/><Relationship Id="rId17" Type="http://schemas.openxmlformats.org/officeDocument/2006/relationships/chart" Target="charts/chart4.xml"/><Relationship Id="rId25" Type="http://schemas.openxmlformats.org/officeDocument/2006/relationships/chart" Target="charts/chart8.xml"/><Relationship Id="rId33" Type="http://schemas.openxmlformats.org/officeDocument/2006/relationships/chart" Target="charts/chart12.xml"/><Relationship Id="rId38" Type="http://schemas.openxmlformats.org/officeDocument/2006/relationships/image" Target="media/image18.png"/><Relationship Id="rId20" Type="http://schemas.openxmlformats.org/officeDocument/2006/relationships/image" Target="media/image9.png"/><Relationship Id="rId41" Type="http://schemas.openxmlformats.org/officeDocument/2006/relationships/image" Target="media/image19.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9.xml"/><Relationship Id="rId1" Type="http://schemas.microsoft.com/office/2011/relationships/chartStyle" Target="style9.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0.xml"/><Relationship Id="rId1" Type="http://schemas.microsoft.com/office/2011/relationships/chartStyle" Target="style10.xml"/></Relationships>
</file>

<file path=word/charts/_rels/chart1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1.xml"/><Relationship Id="rId1" Type="http://schemas.microsoft.com/office/2011/relationships/chartStyle" Target="style11.xml"/></Relationships>
</file>

<file path=word/charts/_rels/chart1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2.xml"/><Relationship Id="rId1" Type="http://schemas.microsoft.com/office/2011/relationships/chartStyle" Target="style12.xml"/></Relationships>
</file>

<file path=word/charts/_rels/chart1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3.xml"/><Relationship Id="rId1" Type="http://schemas.microsoft.com/office/2011/relationships/chartStyle" Target="style13.xml"/></Relationships>
</file>

<file path=word/charts/_rels/chart1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4.xml"/><Relationship Id="rId1" Type="http://schemas.microsoft.com/office/2011/relationships/chartStyle" Target="style14.xml"/></Relationships>
</file>

<file path=word/charts/_rels/chart1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5.xml"/><Relationship Id="rId1" Type="http://schemas.microsoft.com/office/2011/relationships/chartStyle" Target="style15.xml"/></Relationships>
</file>

<file path=word/charts/_rels/chart1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6.xml"/><Relationship Id="rId1" Type="http://schemas.microsoft.com/office/2011/relationships/chartStyle" Target="style16.xml"/></Relationships>
</file>

<file path=word/charts/_rels/chart1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7.xml"/><Relationship Id="rId1" Type="http://schemas.microsoft.com/office/2011/relationships/chartStyle" Target="style17.xml"/></Relationships>
</file>

<file path=word/charts/_rels/chartEx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GPM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Revenue (£m)</c:v>
                </c:pt>
              </c:strCache>
            </c:strRef>
          </c:tx>
          <c:spPr>
            <a:solidFill>
              <a:schemeClr val="accent1"/>
            </a:solidFill>
            <a:ln>
              <a:noFill/>
            </a:ln>
            <a:effectLst/>
            <a:sp3d/>
          </c:spPr>
          <c:invertIfNegative val="0"/>
          <c:cat>
            <c:numRef>
              <c:f>Sheet1!$A$2:$A$6</c:f>
              <c:numCache>
                <c:formatCode>General</c:formatCode>
                <c:ptCount val="5"/>
                <c:pt idx="0">
                  <c:v>2019</c:v>
                </c:pt>
                <c:pt idx="1">
                  <c:v>2020</c:v>
                </c:pt>
                <c:pt idx="2">
                  <c:v>2021</c:v>
                </c:pt>
                <c:pt idx="3">
                  <c:v>2022</c:v>
                </c:pt>
                <c:pt idx="4">
                  <c:v>2023</c:v>
                </c:pt>
              </c:numCache>
            </c:numRef>
          </c:cat>
          <c:val>
            <c:numRef>
              <c:f>Sheet1!$B$2:$B$6</c:f>
              <c:numCache>
                <c:formatCode>#,##0</c:formatCode>
                <c:ptCount val="5"/>
                <c:pt idx="0">
                  <c:v>10377</c:v>
                </c:pt>
                <c:pt idx="1">
                  <c:v>10181</c:v>
                </c:pt>
                <c:pt idx="2">
                  <c:v>9167</c:v>
                </c:pt>
                <c:pt idx="3">
                  <c:v>9150</c:v>
                </c:pt>
                <c:pt idx="4">
                  <c:v>10334</c:v>
                </c:pt>
              </c:numCache>
            </c:numRef>
          </c:val>
          <c:extLst>
            <c:ext xmlns:c16="http://schemas.microsoft.com/office/drawing/2014/chart" uri="{C3380CC4-5D6E-409C-BE32-E72D297353CC}">
              <c16:uniqueId val="{00000000-3A79-4280-9026-51C2F6CD2AFB}"/>
            </c:ext>
          </c:extLst>
        </c:ser>
        <c:ser>
          <c:idx val="1"/>
          <c:order val="1"/>
          <c:tx>
            <c:strRef>
              <c:f>Sheet1!$C$1</c:f>
              <c:strCache>
                <c:ptCount val="1"/>
                <c:pt idx="0">
                  <c:v>COGS (£m)</c:v>
                </c:pt>
              </c:strCache>
            </c:strRef>
          </c:tx>
          <c:spPr>
            <a:solidFill>
              <a:schemeClr val="accent2"/>
            </a:solidFill>
            <a:ln>
              <a:noFill/>
            </a:ln>
            <a:effectLst/>
            <a:sp3d/>
          </c:spPr>
          <c:invertIfNegative val="0"/>
          <c:cat>
            <c:numRef>
              <c:f>Sheet1!$A$2:$A$6</c:f>
              <c:numCache>
                <c:formatCode>General</c:formatCode>
                <c:ptCount val="5"/>
                <c:pt idx="0">
                  <c:v>2019</c:v>
                </c:pt>
                <c:pt idx="1">
                  <c:v>2020</c:v>
                </c:pt>
                <c:pt idx="2">
                  <c:v>2021</c:v>
                </c:pt>
                <c:pt idx="3">
                  <c:v>2022</c:v>
                </c:pt>
                <c:pt idx="4">
                  <c:v>2023</c:v>
                </c:pt>
              </c:numCache>
            </c:numRef>
          </c:cat>
          <c:val>
            <c:numRef>
              <c:f>Sheet1!$C$2:$C$6</c:f>
              <c:numCache>
                <c:formatCode>#,##0</c:formatCode>
                <c:ptCount val="5"/>
                <c:pt idx="0">
                  <c:v>6474</c:v>
                </c:pt>
                <c:pt idx="1">
                  <c:v>6362</c:v>
                </c:pt>
                <c:pt idx="2">
                  <c:v>5946</c:v>
                </c:pt>
                <c:pt idx="3">
                  <c:v>5860</c:v>
                </c:pt>
                <c:pt idx="4">
                  <c:v>6552</c:v>
                </c:pt>
              </c:numCache>
            </c:numRef>
          </c:val>
          <c:extLst>
            <c:ext xmlns:c16="http://schemas.microsoft.com/office/drawing/2014/chart" uri="{C3380CC4-5D6E-409C-BE32-E72D297353CC}">
              <c16:uniqueId val="{00000001-3A79-4280-9026-51C2F6CD2AFB}"/>
            </c:ext>
          </c:extLst>
        </c:ser>
        <c:ser>
          <c:idx val="2"/>
          <c:order val="2"/>
          <c:tx>
            <c:strRef>
              <c:f>Sheet1!$D$1</c:f>
              <c:strCache>
                <c:ptCount val="1"/>
                <c:pt idx="0">
                  <c:v>Gross Profit (£m)</c:v>
                </c:pt>
              </c:strCache>
            </c:strRef>
          </c:tx>
          <c:spPr>
            <a:solidFill>
              <a:schemeClr val="accent3"/>
            </a:solidFill>
            <a:ln>
              <a:noFill/>
            </a:ln>
            <a:effectLst/>
            <a:sp3d/>
          </c:spPr>
          <c:invertIfNegative val="0"/>
          <c:cat>
            <c:numRef>
              <c:f>Sheet1!$A$2:$A$6</c:f>
              <c:numCache>
                <c:formatCode>General</c:formatCode>
                <c:ptCount val="5"/>
                <c:pt idx="0">
                  <c:v>2019</c:v>
                </c:pt>
                <c:pt idx="1">
                  <c:v>2020</c:v>
                </c:pt>
                <c:pt idx="2">
                  <c:v>2021</c:v>
                </c:pt>
                <c:pt idx="3">
                  <c:v>2022</c:v>
                </c:pt>
                <c:pt idx="4">
                  <c:v>2023</c:v>
                </c:pt>
              </c:numCache>
            </c:numRef>
          </c:cat>
          <c:val>
            <c:numRef>
              <c:f>Sheet1!$D$2:$D$6</c:f>
              <c:numCache>
                <c:formatCode>#,##0</c:formatCode>
                <c:ptCount val="5"/>
                <c:pt idx="0">
                  <c:v>3903</c:v>
                </c:pt>
                <c:pt idx="1">
                  <c:v>3819</c:v>
                </c:pt>
                <c:pt idx="2">
                  <c:v>3221</c:v>
                </c:pt>
                <c:pt idx="3">
                  <c:v>3290</c:v>
                </c:pt>
                <c:pt idx="4">
                  <c:v>3782</c:v>
                </c:pt>
              </c:numCache>
            </c:numRef>
          </c:val>
          <c:extLst>
            <c:ext xmlns:c16="http://schemas.microsoft.com/office/drawing/2014/chart" uri="{C3380CC4-5D6E-409C-BE32-E72D297353CC}">
              <c16:uniqueId val="{00000002-3A79-4280-9026-51C2F6CD2AFB}"/>
            </c:ext>
          </c:extLst>
        </c:ser>
        <c:ser>
          <c:idx val="3"/>
          <c:order val="3"/>
          <c:tx>
            <c:strRef>
              <c:f>Sheet1!$E$1</c:f>
              <c:strCache>
                <c:ptCount val="1"/>
                <c:pt idx="0">
                  <c:v>Gross Profit Margin (%)</c:v>
                </c:pt>
              </c:strCache>
            </c:strRef>
          </c:tx>
          <c:spPr>
            <a:solidFill>
              <a:schemeClr val="accent4"/>
            </a:solidFill>
            <a:ln>
              <a:noFill/>
            </a:ln>
            <a:effectLst/>
            <a:sp3d/>
          </c:spPr>
          <c:invertIfNegative val="0"/>
          <c:cat>
            <c:numRef>
              <c:f>Sheet1!$A$2:$A$6</c:f>
              <c:numCache>
                <c:formatCode>General</c:formatCode>
                <c:ptCount val="5"/>
                <c:pt idx="0">
                  <c:v>2019</c:v>
                </c:pt>
                <c:pt idx="1">
                  <c:v>2020</c:v>
                </c:pt>
                <c:pt idx="2">
                  <c:v>2021</c:v>
                </c:pt>
                <c:pt idx="3">
                  <c:v>2022</c:v>
                </c:pt>
                <c:pt idx="4">
                  <c:v>2023</c:v>
                </c:pt>
              </c:numCache>
            </c:numRef>
          </c:cat>
          <c:val>
            <c:numRef>
              <c:f>Sheet1!$E$2:$E$6</c:f>
              <c:numCache>
                <c:formatCode>General</c:formatCode>
                <c:ptCount val="5"/>
                <c:pt idx="0">
                  <c:v>37.6</c:v>
                </c:pt>
                <c:pt idx="1">
                  <c:v>37.5</c:v>
                </c:pt>
                <c:pt idx="2">
                  <c:v>35.1</c:v>
                </c:pt>
                <c:pt idx="3">
                  <c:v>36</c:v>
                </c:pt>
                <c:pt idx="4">
                  <c:v>36.6</c:v>
                </c:pt>
              </c:numCache>
            </c:numRef>
          </c:val>
          <c:extLst>
            <c:ext xmlns:c16="http://schemas.microsoft.com/office/drawing/2014/chart" uri="{C3380CC4-5D6E-409C-BE32-E72D297353CC}">
              <c16:uniqueId val="{00000003-3A79-4280-9026-51C2F6CD2AFB}"/>
            </c:ext>
          </c:extLst>
        </c:ser>
        <c:dLbls>
          <c:showLegendKey val="0"/>
          <c:showVal val="0"/>
          <c:showCatName val="0"/>
          <c:showSerName val="0"/>
          <c:showPercent val="0"/>
          <c:showBubbleSize val="0"/>
        </c:dLbls>
        <c:gapWidth val="150"/>
        <c:shape val="box"/>
        <c:axId val="543907176"/>
        <c:axId val="543907896"/>
        <c:axId val="0"/>
      </c:bar3DChart>
      <c:catAx>
        <c:axId val="5439071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907896"/>
        <c:crosses val="autoZero"/>
        <c:auto val="1"/>
        <c:lblAlgn val="ctr"/>
        <c:lblOffset val="100"/>
        <c:noMultiLvlLbl val="0"/>
      </c:catAx>
      <c:valAx>
        <c:axId val="54390789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9071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NPM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Sheet1!$B$10</c:f>
              <c:strCache>
                <c:ptCount val="1"/>
                <c:pt idx="0">
                  <c:v>Revenue (£m)</c:v>
                </c:pt>
              </c:strCache>
            </c:strRef>
          </c:tx>
          <c:spPr>
            <a:solidFill>
              <a:schemeClr val="accent1"/>
            </a:solidFill>
            <a:ln>
              <a:noFill/>
            </a:ln>
            <a:effectLst/>
          </c:spPr>
          <c:invertIfNegative val="0"/>
          <c:cat>
            <c:numRef>
              <c:f>Sheet1!$A$11:$A$15</c:f>
              <c:numCache>
                <c:formatCode>General</c:formatCode>
                <c:ptCount val="5"/>
                <c:pt idx="0">
                  <c:v>2019</c:v>
                </c:pt>
                <c:pt idx="1">
                  <c:v>2020</c:v>
                </c:pt>
                <c:pt idx="2">
                  <c:v>2021</c:v>
                </c:pt>
                <c:pt idx="3">
                  <c:v>2022</c:v>
                </c:pt>
                <c:pt idx="4">
                  <c:v>2023</c:v>
                </c:pt>
              </c:numCache>
            </c:numRef>
          </c:cat>
          <c:val>
            <c:numRef>
              <c:f>Sheet1!$B$11:$B$15</c:f>
              <c:numCache>
                <c:formatCode>#,##0</c:formatCode>
                <c:ptCount val="5"/>
                <c:pt idx="0">
                  <c:v>10377</c:v>
                </c:pt>
                <c:pt idx="1">
                  <c:v>10181</c:v>
                </c:pt>
                <c:pt idx="2">
                  <c:v>9167</c:v>
                </c:pt>
                <c:pt idx="3">
                  <c:v>9150</c:v>
                </c:pt>
                <c:pt idx="4">
                  <c:v>10334</c:v>
                </c:pt>
              </c:numCache>
            </c:numRef>
          </c:val>
          <c:extLst>
            <c:ext xmlns:c16="http://schemas.microsoft.com/office/drawing/2014/chart" uri="{C3380CC4-5D6E-409C-BE32-E72D297353CC}">
              <c16:uniqueId val="{00000000-3A39-4813-AB26-DA3C1E9D48CB}"/>
            </c:ext>
          </c:extLst>
        </c:ser>
        <c:ser>
          <c:idx val="1"/>
          <c:order val="1"/>
          <c:tx>
            <c:strRef>
              <c:f>Sheet1!$C$10</c:f>
              <c:strCache>
                <c:ptCount val="1"/>
                <c:pt idx="0">
                  <c:v>Net Profit (£m)</c:v>
                </c:pt>
              </c:strCache>
            </c:strRef>
          </c:tx>
          <c:spPr>
            <a:solidFill>
              <a:schemeClr val="accent2"/>
            </a:solidFill>
            <a:ln>
              <a:noFill/>
            </a:ln>
            <a:effectLst/>
          </c:spPr>
          <c:invertIfNegative val="0"/>
          <c:cat>
            <c:numRef>
              <c:f>Sheet1!$A$11:$A$15</c:f>
              <c:numCache>
                <c:formatCode>General</c:formatCode>
                <c:ptCount val="5"/>
                <c:pt idx="0">
                  <c:v>2019</c:v>
                </c:pt>
                <c:pt idx="1">
                  <c:v>2020</c:v>
                </c:pt>
                <c:pt idx="2">
                  <c:v>2021</c:v>
                </c:pt>
                <c:pt idx="3">
                  <c:v>2022</c:v>
                </c:pt>
                <c:pt idx="4">
                  <c:v>2023</c:v>
                </c:pt>
              </c:numCache>
            </c:numRef>
          </c:cat>
          <c:val>
            <c:numRef>
              <c:f>Sheet1!$C$11:$C$15</c:f>
              <c:numCache>
                <c:formatCode>General</c:formatCode>
                <c:ptCount val="5"/>
                <c:pt idx="0">
                  <c:v>84</c:v>
                </c:pt>
                <c:pt idx="1">
                  <c:v>27</c:v>
                </c:pt>
                <c:pt idx="2">
                  <c:v>-209</c:v>
                </c:pt>
                <c:pt idx="3">
                  <c:v>27</c:v>
                </c:pt>
                <c:pt idx="4">
                  <c:v>65</c:v>
                </c:pt>
              </c:numCache>
            </c:numRef>
          </c:val>
          <c:extLst>
            <c:ext xmlns:c16="http://schemas.microsoft.com/office/drawing/2014/chart" uri="{C3380CC4-5D6E-409C-BE32-E72D297353CC}">
              <c16:uniqueId val="{00000001-3A39-4813-AB26-DA3C1E9D48CB}"/>
            </c:ext>
          </c:extLst>
        </c:ser>
        <c:ser>
          <c:idx val="2"/>
          <c:order val="2"/>
          <c:tx>
            <c:strRef>
              <c:f>Sheet1!$D$10</c:f>
              <c:strCache>
                <c:ptCount val="1"/>
                <c:pt idx="0">
                  <c:v>Net Profit Margin (%)</c:v>
                </c:pt>
              </c:strCache>
            </c:strRef>
          </c:tx>
          <c:spPr>
            <a:solidFill>
              <a:schemeClr val="accent3"/>
            </a:solidFill>
            <a:ln>
              <a:noFill/>
            </a:ln>
            <a:effectLst/>
          </c:spPr>
          <c:invertIfNegative val="0"/>
          <c:cat>
            <c:numRef>
              <c:f>Sheet1!$A$11:$A$15</c:f>
              <c:numCache>
                <c:formatCode>General</c:formatCode>
                <c:ptCount val="5"/>
                <c:pt idx="0">
                  <c:v>2019</c:v>
                </c:pt>
                <c:pt idx="1">
                  <c:v>2020</c:v>
                </c:pt>
                <c:pt idx="2">
                  <c:v>2021</c:v>
                </c:pt>
                <c:pt idx="3">
                  <c:v>2022</c:v>
                </c:pt>
                <c:pt idx="4">
                  <c:v>2023</c:v>
                </c:pt>
              </c:numCache>
            </c:numRef>
          </c:cat>
          <c:val>
            <c:numRef>
              <c:f>Sheet1!$D$11:$D$15</c:f>
              <c:numCache>
                <c:formatCode>General</c:formatCode>
                <c:ptCount val="5"/>
                <c:pt idx="0">
                  <c:v>0.81</c:v>
                </c:pt>
                <c:pt idx="1">
                  <c:v>0.27</c:v>
                </c:pt>
                <c:pt idx="2">
                  <c:v>-2.2799999999999998</c:v>
                </c:pt>
                <c:pt idx="3">
                  <c:v>0.3</c:v>
                </c:pt>
                <c:pt idx="4">
                  <c:v>0.63</c:v>
                </c:pt>
              </c:numCache>
            </c:numRef>
          </c:val>
          <c:extLst>
            <c:ext xmlns:c16="http://schemas.microsoft.com/office/drawing/2014/chart" uri="{C3380CC4-5D6E-409C-BE32-E72D297353CC}">
              <c16:uniqueId val="{00000002-3A39-4813-AB26-DA3C1E9D48CB}"/>
            </c:ext>
          </c:extLst>
        </c:ser>
        <c:dLbls>
          <c:showLegendKey val="0"/>
          <c:showVal val="0"/>
          <c:showCatName val="0"/>
          <c:showSerName val="0"/>
          <c:showPercent val="0"/>
          <c:showBubbleSize val="0"/>
        </c:dLbls>
        <c:gapWidth val="219"/>
        <c:overlap val="-27"/>
        <c:axId val="662393976"/>
        <c:axId val="556458144"/>
      </c:barChart>
      <c:catAx>
        <c:axId val="662393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458144"/>
        <c:crosses val="autoZero"/>
        <c:auto val="1"/>
        <c:lblAlgn val="ctr"/>
        <c:lblOffset val="100"/>
        <c:noMultiLvlLbl val="0"/>
      </c:catAx>
      <c:valAx>
        <c:axId val="5564581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2393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Compare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Sheet1!$B$29</c:f>
              <c:strCache>
                <c:ptCount val="1"/>
                <c:pt idx="0">
                  <c:v>Gross Profit Margin (%)</c:v>
                </c:pt>
              </c:strCache>
            </c:strRef>
          </c:tx>
          <c:spPr>
            <a:solidFill>
              <a:schemeClr val="accent1"/>
            </a:solidFill>
            <a:ln>
              <a:noFill/>
            </a:ln>
            <a:effectLst/>
          </c:spPr>
          <c:invertIfNegative val="0"/>
          <c:cat>
            <c:numRef>
              <c:f>Sheet1!$A$30:$A$34</c:f>
              <c:numCache>
                <c:formatCode>General</c:formatCode>
                <c:ptCount val="5"/>
                <c:pt idx="0">
                  <c:v>2019</c:v>
                </c:pt>
                <c:pt idx="1">
                  <c:v>2020</c:v>
                </c:pt>
                <c:pt idx="2">
                  <c:v>2021</c:v>
                </c:pt>
                <c:pt idx="3">
                  <c:v>2022</c:v>
                </c:pt>
                <c:pt idx="4">
                  <c:v>2023</c:v>
                </c:pt>
              </c:numCache>
            </c:numRef>
          </c:cat>
          <c:val>
            <c:numRef>
              <c:f>Sheet1!$B$30:$B$34</c:f>
              <c:numCache>
                <c:formatCode>General</c:formatCode>
                <c:ptCount val="5"/>
                <c:pt idx="0">
                  <c:v>37.6</c:v>
                </c:pt>
                <c:pt idx="1">
                  <c:v>37.5</c:v>
                </c:pt>
                <c:pt idx="2">
                  <c:v>35.1</c:v>
                </c:pt>
                <c:pt idx="3">
                  <c:v>36</c:v>
                </c:pt>
                <c:pt idx="4">
                  <c:v>36.6</c:v>
                </c:pt>
              </c:numCache>
            </c:numRef>
          </c:val>
          <c:extLst>
            <c:ext xmlns:c16="http://schemas.microsoft.com/office/drawing/2014/chart" uri="{C3380CC4-5D6E-409C-BE32-E72D297353CC}">
              <c16:uniqueId val="{00000000-50D2-4485-9446-44E7651A34E3}"/>
            </c:ext>
          </c:extLst>
        </c:ser>
        <c:ser>
          <c:idx val="1"/>
          <c:order val="1"/>
          <c:tx>
            <c:strRef>
              <c:f>Sheet1!$C$29</c:f>
              <c:strCache>
                <c:ptCount val="1"/>
                <c:pt idx="0">
                  <c:v>Net Profit Margin (%)</c:v>
                </c:pt>
              </c:strCache>
            </c:strRef>
          </c:tx>
          <c:spPr>
            <a:solidFill>
              <a:schemeClr val="accent2"/>
            </a:solidFill>
            <a:ln>
              <a:noFill/>
            </a:ln>
            <a:effectLst/>
          </c:spPr>
          <c:invertIfNegative val="0"/>
          <c:cat>
            <c:numRef>
              <c:f>Sheet1!$A$30:$A$34</c:f>
              <c:numCache>
                <c:formatCode>General</c:formatCode>
                <c:ptCount val="5"/>
                <c:pt idx="0">
                  <c:v>2019</c:v>
                </c:pt>
                <c:pt idx="1">
                  <c:v>2020</c:v>
                </c:pt>
                <c:pt idx="2">
                  <c:v>2021</c:v>
                </c:pt>
                <c:pt idx="3">
                  <c:v>2022</c:v>
                </c:pt>
                <c:pt idx="4">
                  <c:v>2023</c:v>
                </c:pt>
              </c:numCache>
            </c:numRef>
          </c:cat>
          <c:val>
            <c:numRef>
              <c:f>Sheet1!$C$30:$C$34</c:f>
              <c:numCache>
                <c:formatCode>General</c:formatCode>
                <c:ptCount val="5"/>
                <c:pt idx="0">
                  <c:v>0.81</c:v>
                </c:pt>
                <c:pt idx="1">
                  <c:v>0.27</c:v>
                </c:pt>
                <c:pt idx="2">
                  <c:v>-2.2799999999999998</c:v>
                </c:pt>
                <c:pt idx="3">
                  <c:v>0.3</c:v>
                </c:pt>
                <c:pt idx="4">
                  <c:v>0.63</c:v>
                </c:pt>
              </c:numCache>
            </c:numRef>
          </c:val>
          <c:extLst>
            <c:ext xmlns:c16="http://schemas.microsoft.com/office/drawing/2014/chart" uri="{C3380CC4-5D6E-409C-BE32-E72D297353CC}">
              <c16:uniqueId val="{00000001-50D2-4485-9446-44E7651A34E3}"/>
            </c:ext>
          </c:extLst>
        </c:ser>
        <c:ser>
          <c:idx val="2"/>
          <c:order val="2"/>
          <c:tx>
            <c:strRef>
              <c:f>Sheet1!$D$29</c:f>
              <c:strCache>
                <c:ptCount val="1"/>
                <c:pt idx="0">
                  <c:v>ROE (%)</c:v>
                </c:pt>
              </c:strCache>
            </c:strRef>
          </c:tx>
          <c:spPr>
            <a:solidFill>
              <a:schemeClr val="accent3"/>
            </a:solidFill>
            <a:ln>
              <a:noFill/>
            </a:ln>
            <a:effectLst/>
          </c:spPr>
          <c:invertIfNegative val="0"/>
          <c:cat>
            <c:numRef>
              <c:f>Sheet1!$A$30:$A$34</c:f>
              <c:numCache>
                <c:formatCode>General</c:formatCode>
                <c:ptCount val="5"/>
                <c:pt idx="0">
                  <c:v>2019</c:v>
                </c:pt>
                <c:pt idx="1">
                  <c:v>2020</c:v>
                </c:pt>
                <c:pt idx="2">
                  <c:v>2021</c:v>
                </c:pt>
                <c:pt idx="3">
                  <c:v>2022</c:v>
                </c:pt>
                <c:pt idx="4">
                  <c:v>2023</c:v>
                </c:pt>
              </c:numCache>
            </c:numRef>
          </c:cat>
          <c:val>
            <c:numRef>
              <c:f>Sheet1!$D$30:$D$34</c:f>
              <c:numCache>
                <c:formatCode>General</c:formatCode>
                <c:ptCount val="5"/>
                <c:pt idx="0">
                  <c:v>3.28</c:v>
                </c:pt>
                <c:pt idx="1">
                  <c:v>1.0900000000000001</c:v>
                </c:pt>
                <c:pt idx="2">
                  <c:v>-9.2899999999999991</c:v>
                </c:pt>
                <c:pt idx="3">
                  <c:v>1.17</c:v>
                </c:pt>
                <c:pt idx="4">
                  <c:v>2.73</c:v>
                </c:pt>
              </c:numCache>
            </c:numRef>
          </c:val>
          <c:extLst>
            <c:ext xmlns:c16="http://schemas.microsoft.com/office/drawing/2014/chart" uri="{C3380CC4-5D6E-409C-BE32-E72D297353CC}">
              <c16:uniqueId val="{00000002-50D2-4485-9446-44E7651A34E3}"/>
            </c:ext>
          </c:extLst>
        </c:ser>
        <c:dLbls>
          <c:showLegendKey val="0"/>
          <c:showVal val="0"/>
          <c:showCatName val="0"/>
          <c:showSerName val="0"/>
          <c:showPercent val="0"/>
          <c:showBubbleSize val="0"/>
        </c:dLbls>
        <c:gapWidth val="150"/>
        <c:overlap val="100"/>
        <c:axId val="349565832"/>
        <c:axId val="349565112"/>
      </c:barChart>
      <c:catAx>
        <c:axId val="349565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9565112"/>
        <c:crosses val="autoZero"/>
        <c:auto val="1"/>
        <c:lblAlgn val="ctr"/>
        <c:lblOffset val="100"/>
        <c:noMultiLvlLbl val="0"/>
      </c:catAx>
      <c:valAx>
        <c:axId val="3495651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95658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Current Ratio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Sheet2!$B$1</c:f>
              <c:strCache>
                <c:ptCount val="1"/>
                <c:pt idx="0">
                  <c:v>Current Assets (£m)</c:v>
                </c:pt>
              </c:strCache>
            </c:strRef>
          </c:tx>
          <c:spPr>
            <a:solidFill>
              <a:schemeClr val="accent1"/>
            </a:solidFill>
            <a:ln>
              <a:noFill/>
            </a:ln>
            <a:effectLst/>
          </c:spPr>
          <c:invertIfNegative val="0"/>
          <c:cat>
            <c:numRef>
              <c:f>Sheet2!$A$2:$A$6</c:f>
              <c:numCache>
                <c:formatCode>General</c:formatCode>
                <c:ptCount val="5"/>
                <c:pt idx="0">
                  <c:v>2019</c:v>
                </c:pt>
                <c:pt idx="1">
                  <c:v>2020</c:v>
                </c:pt>
                <c:pt idx="2">
                  <c:v>2021</c:v>
                </c:pt>
                <c:pt idx="3">
                  <c:v>2022</c:v>
                </c:pt>
                <c:pt idx="4">
                  <c:v>2023</c:v>
                </c:pt>
              </c:numCache>
            </c:numRef>
          </c:cat>
          <c:val>
            <c:numRef>
              <c:f>Sheet2!$B$2:$B$6</c:f>
              <c:numCache>
                <c:formatCode>#,##0</c:formatCode>
                <c:ptCount val="5"/>
                <c:pt idx="0">
                  <c:v>3142</c:v>
                </c:pt>
                <c:pt idx="1">
                  <c:v>3076</c:v>
                </c:pt>
                <c:pt idx="2">
                  <c:v>2835</c:v>
                </c:pt>
                <c:pt idx="3">
                  <c:v>2920</c:v>
                </c:pt>
                <c:pt idx="4">
                  <c:v>3050</c:v>
                </c:pt>
              </c:numCache>
            </c:numRef>
          </c:val>
          <c:extLst>
            <c:ext xmlns:c16="http://schemas.microsoft.com/office/drawing/2014/chart" uri="{C3380CC4-5D6E-409C-BE32-E72D297353CC}">
              <c16:uniqueId val="{00000000-95DE-4464-9F0D-765464485001}"/>
            </c:ext>
          </c:extLst>
        </c:ser>
        <c:ser>
          <c:idx val="1"/>
          <c:order val="1"/>
          <c:tx>
            <c:strRef>
              <c:f>Sheet2!$C$1</c:f>
              <c:strCache>
                <c:ptCount val="1"/>
                <c:pt idx="0">
                  <c:v>Current Liabilities (£m)</c:v>
                </c:pt>
              </c:strCache>
            </c:strRef>
          </c:tx>
          <c:spPr>
            <a:solidFill>
              <a:schemeClr val="accent2"/>
            </a:solidFill>
            <a:ln>
              <a:noFill/>
            </a:ln>
            <a:effectLst/>
          </c:spPr>
          <c:invertIfNegative val="0"/>
          <c:cat>
            <c:numRef>
              <c:f>Sheet2!$A$2:$A$6</c:f>
              <c:numCache>
                <c:formatCode>General</c:formatCode>
                <c:ptCount val="5"/>
                <c:pt idx="0">
                  <c:v>2019</c:v>
                </c:pt>
                <c:pt idx="1">
                  <c:v>2020</c:v>
                </c:pt>
                <c:pt idx="2">
                  <c:v>2021</c:v>
                </c:pt>
                <c:pt idx="3">
                  <c:v>2022</c:v>
                </c:pt>
                <c:pt idx="4">
                  <c:v>2023</c:v>
                </c:pt>
              </c:numCache>
            </c:numRef>
          </c:cat>
          <c:val>
            <c:numRef>
              <c:f>Sheet2!$C$2:$C$6</c:f>
              <c:numCache>
                <c:formatCode>#,##0</c:formatCode>
                <c:ptCount val="5"/>
                <c:pt idx="0">
                  <c:v>2300</c:v>
                </c:pt>
                <c:pt idx="1">
                  <c:v>2285</c:v>
                </c:pt>
                <c:pt idx="2">
                  <c:v>2200</c:v>
                </c:pt>
                <c:pt idx="3">
                  <c:v>2250</c:v>
                </c:pt>
                <c:pt idx="4">
                  <c:v>2350</c:v>
                </c:pt>
              </c:numCache>
            </c:numRef>
          </c:val>
          <c:extLst>
            <c:ext xmlns:c16="http://schemas.microsoft.com/office/drawing/2014/chart" uri="{C3380CC4-5D6E-409C-BE32-E72D297353CC}">
              <c16:uniqueId val="{00000001-95DE-4464-9F0D-765464485001}"/>
            </c:ext>
          </c:extLst>
        </c:ser>
        <c:ser>
          <c:idx val="2"/>
          <c:order val="2"/>
          <c:tx>
            <c:strRef>
              <c:f>Sheet2!$D$1</c:f>
              <c:strCache>
                <c:ptCount val="1"/>
                <c:pt idx="0">
                  <c:v>Current Ratio</c:v>
                </c:pt>
              </c:strCache>
            </c:strRef>
          </c:tx>
          <c:spPr>
            <a:solidFill>
              <a:schemeClr val="accent3"/>
            </a:solidFill>
            <a:ln>
              <a:noFill/>
            </a:ln>
            <a:effectLst/>
          </c:spPr>
          <c:invertIfNegative val="0"/>
          <c:cat>
            <c:numRef>
              <c:f>Sheet2!$A$2:$A$6</c:f>
              <c:numCache>
                <c:formatCode>General</c:formatCode>
                <c:ptCount val="5"/>
                <c:pt idx="0">
                  <c:v>2019</c:v>
                </c:pt>
                <c:pt idx="1">
                  <c:v>2020</c:v>
                </c:pt>
                <c:pt idx="2">
                  <c:v>2021</c:v>
                </c:pt>
                <c:pt idx="3">
                  <c:v>2022</c:v>
                </c:pt>
                <c:pt idx="4">
                  <c:v>2023</c:v>
                </c:pt>
              </c:numCache>
            </c:numRef>
          </c:cat>
          <c:val>
            <c:numRef>
              <c:f>Sheet2!$D$2:$D$6</c:f>
              <c:numCache>
                <c:formatCode>General</c:formatCode>
                <c:ptCount val="5"/>
                <c:pt idx="0">
                  <c:v>1.37</c:v>
                </c:pt>
                <c:pt idx="1">
                  <c:v>1.35</c:v>
                </c:pt>
                <c:pt idx="2">
                  <c:v>1.29</c:v>
                </c:pt>
                <c:pt idx="3">
                  <c:v>1.3</c:v>
                </c:pt>
                <c:pt idx="4">
                  <c:v>1.3</c:v>
                </c:pt>
              </c:numCache>
            </c:numRef>
          </c:val>
          <c:extLst>
            <c:ext xmlns:c16="http://schemas.microsoft.com/office/drawing/2014/chart" uri="{C3380CC4-5D6E-409C-BE32-E72D297353CC}">
              <c16:uniqueId val="{00000002-95DE-4464-9F0D-765464485001}"/>
            </c:ext>
          </c:extLst>
        </c:ser>
        <c:dLbls>
          <c:showLegendKey val="0"/>
          <c:showVal val="0"/>
          <c:showCatName val="0"/>
          <c:showSerName val="0"/>
          <c:showPercent val="0"/>
          <c:showBubbleSize val="0"/>
        </c:dLbls>
        <c:gapWidth val="219"/>
        <c:overlap val="-27"/>
        <c:axId val="559623680"/>
        <c:axId val="559621880"/>
      </c:barChart>
      <c:catAx>
        <c:axId val="559623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9621880"/>
        <c:crosses val="autoZero"/>
        <c:auto val="1"/>
        <c:lblAlgn val="ctr"/>
        <c:lblOffset val="100"/>
        <c:noMultiLvlLbl val="0"/>
      </c:catAx>
      <c:valAx>
        <c:axId val="5596218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9623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Quick Ratio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Sheet2!$B$9</c:f>
              <c:strCache>
                <c:ptCount val="1"/>
                <c:pt idx="0">
                  <c:v>Current Assets (£m)</c:v>
                </c:pt>
              </c:strCache>
            </c:strRef>
          </c:tx>
          <c:spPr>
            <a:solidFill>
              <a:schemeClr val="accent1"/>
            </a:solidFill>
            <a:ln>
              <a:noFill/>
            </a:ln>
            <a:effectLst/>
          </c:spPr>
          <c:invertIfNegative val="0"/>
          <c:cat>
            <c:numRef>
              <c:f>Sheet2!$A$10:$A$14</c:f>
              <c:numCache>
                <c:formatCode>General</c:formatCode>
                <c:ptCount val="5"/>
                <c:pt idx="0">
                  <c:v>2019</c:v>
                </c:pt>
                <c:pt idx="1">
                  <c:v>2020</c:v>
                </c:pt>
                <c:pt idx="2">
                  <c:v>2021</c:v>
                </c:pt>
                <c:pt idx="3">
                  <c:v>2022</c:v>
                </c:pt>
                <c:pt idx="4">
                  <c:v>2023</c:v>
                </c:pt>
              </c:numCache>
            </c:numRef>
          </c:cat>
          <c:val>
            <c:numRef>
              <c:f>Sheet2!$B$10:$B$14</c:f>
              <c:numCache>
                <c:formatCode>#,##0</c:formatCode>
                <c:ptCount val="5"/>
                <c:pt idx="0">
                  <c:v>3142</c:v>
                </c:pt>
                <c:pt idx="1">
                  <c:v>3076</c:v>
                </c:pt>
                <c:pt idx="2">
                  <c:v>2835</c:v>
                </c:pt>
                <c:pt idx="3">
                  <c:v>2920</c:v>
                </c:pt>
                <c:pt idx="4">
                  <c:v>3050</c:v>
                </c:pt>
              </c:numCache>
            </c:numRef>
          </c:val>
          <c:extLst>
            <c:ext xmlns:c16="http://schemas.microsoft.com/office/drawing/2014/chart" uri="{C3380CC4-5D6E-409C-BE32-E72D297353CC}">
              <c16:uniqueId val="{00000000-90A8-47F7-B9E7-20ED88F1BE02}"/>
            </c:ext>
          </c:extLst>
        </c:ser>
        <c:ser>
          <c:idx val="1"/>
          <c:order val="1"/>
          <c:tx>
            <c:strRef>
              <c:f>Sheet2!$C$9</c:f>
              <c:strCache>
                <c:ptCount val="1"/>
                <c:pt idx="0">
                  <c:v>Inventory (£m)</c:v>
                </c:pt>
              </c:strCache>
            </c:strRef>
          </c:tx>
          <c:spPr>
            <a:solidFill>
              <a:schemeClr val="accent2"/>
            </a:solidFill>
            <a:ln>
              <a:noFill/>
            </a:ln>
            <a:effectLst/>
          </c:spPr>
          <c:invertIfNegative val="0"/>
          <c:cat>
            <c:numRef>
              <c:f>Sheet2!$A$10:$A$14</c:f>
              <c:numCache>
                <c:formatCode>General</c:formatCode>
                <c:ptCount val="5"/>
                <c:pt idx="0">
                  <c:v>2019</c:v>
                </c:pt>
                <c:pt idx="1">
                  <c:v>2020</c:v>
                </c:pt>
                <c:pt idx="2">
                  <c:v>2021</c:v>
                </c:pt>
                <c:pt idx="3">
                  <c:v>2022</c:v>
                </c:pt>
                <c:pt idx="4">
                  <c:v>2023</c:v>
                </c:pt>
              </c:numCache>
            </c:numRef>
          </c:cat>
          <c:val>
            <c:numRef>
              <c:f>Sheet2!$C$10:$C$14</c:f>
              <c:numCache>
                <c:formatCode>General</c:formatCode>
                <c:ptCount val="5"/>
                <c:pt idx="0">
                  <c:v>858</c:v>
                </c:pt>
                <c:pt idx="1">
                  <c:v>845</c:v>
                </c:pt>
                <c:pt idx="2">
                  <c:v>830</c:v>
                </c:pt>
                <c:pt idx="3">
                  <c:v>820</c:v>
                </c:pt>
                <c:pt idx="4">
                  <c:v>810</c:v>
                </c:pt>
              </c:numCache>
            </c:numRef>
          </c:val>
          <c:extLst>
            <c:ext xmlns:c16="http://schemas.microsoft.com/office/drawing/2014/chart" uri="{C3380CC4-5D6E-409C-BE32-E72D297353CC}">
              <c16:uniqueId val="{00000001-90A8-47F7-B9E7-20ED88F1BE02}"/>
            </c:ext>
          </c:extLst>
        </c:ser>
        <c:ser>
          <c:idx val="2"/>
          <c:order val="2"/>
          <c:tx>
            <c:strRef>
              <c:f>Sheet2!$D$9</c:f>
              <c:strCache>
                <c:ptCount val="1"/>
                <c:pt idx="0">
                  <c:v>Current Liabilities (£m)</c:v>
                </c:pt>
              </c:strCache>
            </c:strRef>
          </c:tx>
          <c:spPr>
            <a:solidFill>
              <a:schemeClr val="accent3"/>
            </a:solidFill>
            <a:ln>
              <a:noFill/>
            </a:ln>
            <a:effectLst/>
          </c:spPr>
          <c:invertIfNegative val="0"/>
          <c:cat>
            <c:numRef>
              <c:f>Sheet2!$A$10:$A$14</c:f>
              <c:numCache>
                <c:formatCode>General</c:formatCode>
                <c:ptCount val="5"/>
                <c:pt idx="0">
                  <c:v>2019</c:v>
                </c:pt>
                <c:pt idx="1">
                  <c:v>2020</c:v>
                </c:pt>
                <c:pt idx="2">
                  <c:v>2021</c:v>
                </c:pt>
                <c:pt idx="3">
                  <c:v>2022</c:v>
                </c:pt>
                <c:pt idx="4">
                  <c:v>2023</c:v>
                </c:pt>
              </c:numCache>
            </c:numRef>
          </c:cat>
          <c:val>
            <c:numRef>
              <c:f>Sheet2!$D$10:$D$14</c:f>
              <c:numCache>
                <c:formatCode>#,##0</c:formatCode>
                <c:ptCount val="5"/>
                <c:pt idx="0">
                  <c:v>2300</c:v>
                </c:pt>
                <c:pt idx="1">
                  <c:v>2285</c:v>
                </c:pt>
                <c:pt idx="2">
                  <c:v>2200</c:v>
                </c:pt>
                <c:pt idx="3">
                  <c:v>2250</c:v>
                </c:pt>
                <c:pt idx="4">
                  <c:v>2350</c:v>
                </c:pt>
              </c:numCache>
            </c:numRef>
          </c:val>
          <c:extLst>
            <c:ext xmlns:c16="http://schemas.microsoft.com/office/drawing/2014/chart" uri="{C3380CC4-5D6E-409C-BE32-E72D297353CC}">
              <c16:uniqueId val="{00000002-90A8-47F7-B9E7-20ED88F1BE02}"/>
            </c:ext>
          </c:extLst>
        </c:ser>
        <c:ser>
          <c:idx val="3"/>
          <c:order val="3"/>
          <c:tx>
            <c:strRef>
              <c:f>Sheet2!$E$9</c:f>
              <c:strCache>
                <c:ptCount val="1"/>
                <c:pt idx="0">
                  <c:v>Quick Ratio</c:v>
                </c:pt>
              </c:strCache>
            </c:strRef>
          </c:tx>
          <c:spPr>
            <a:solidFill>
              <a:schemeClr val="accent4"/>
            </a:solidFill>
            <a:ln>
              <a:noFill/>
            </a:ln>
            <a:effectLst/>
          </c:spPr>
          <c:invertIfNegative val="0"/>
          <c:cat>
            <c:numRef>
              <c:f>Sheet2!$A$10:$A$14</c:f>
              <c:numCache>
                <c:formatCode>General</c:formatCode>
                <c:ptCount val="5"/>
                <c:pt idx="0">
                  <c:v>2019</c:v>
                </c:pt>
                <c:pt idx="1">
                  <c:v>2020</c:v>
                </c:pt>
                <c:pt idx="2">
                  <c:v>2021</c:v>
                </c:pt>
                <c:pt idx="3">
                  <c:v>2022</c:v>
                </c:pt>
                <c:pt idx="4">
                  <c:v>2023</c:v>
                </c:pt>
              </c:numCache>
            </c:numRef>
          </c:cat>
          <c:val>
            <c:numRef>
              <c:f>Sheet2!$E$10:$E$14</c:f>
              <c:numCache>
                <c:formatCode>General</c:formatCode>
                <c:ptCount val="5"/>
                <c:pt idx="0">
                  <c:v>0.99</c:v>
                </c:pt>
                <c:pt idx="1">
                  <c:v>0.97</c:v>
                </c:pt>
                <c:pt idx="2">
                  <c:v>0.91</c:v>
                </c:pt>
                <c:pt idx="3">
                  <c:v>0.93</c:v>
                </c:pt>
                <c:pt idx="4">
                  <c:v>0.95</c:v>
                </c:pt>
              </c:numCache>
            </c:numRef>
          </c:val>
          <c:extLst>
            <c:ext xmlns:c16="http://schemas.microsoft.com/office/drawing/2014/chart" uri="{C3380CC4-5D6E-409C-BE32-E72D297353CC}">
              <c16:uniqueId val="{00000003-90A8-47F7-B9E7-20ED88F1BE02}"/>
            </c:ext>
          </c:extLst>
        </c:ser>
        <c:dLbls>
          <c:showLegendKey val="0"/>
          <c:showVal val="0"/>
          <c:showCatName val="0"/>
          <c:showSerName val="0"/>
          <c:showPercent val="0"/>
          <c:showBubbleSize val="0"/>
        </c:dLbls>
        <c:gapWidth val="219"/>
        <c:overlap val="-27"/>
        <c:axId val="432045648"/>
        <c:axId val="432043128"/>
      </c:barChart>
      <c:catAx>
        <c:axId val="432045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2043128"/>
        <c:crosses val="autoZero"/>
        <c:auto val="1"/>
        <c:lblAlgn val="ctr"/>
        <c:lblOffset val="100"/>
        <c:noMultiLvlLbl val="0"/>
      </c:catAx>
      <c:valAx>
        <c:axId val="4320431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2045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Both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Sheet2!$B$17</c:f>
              <c:strCache>
                <c:ptCount val="1"/>
                <c:pt idx="0">
                  <c:v>Current Ratio</c:v>
                </c:pt>
              </c:strCache>
            </c:strRef>
          </c:tx>
          <c:spPr>
            <a:solidFill>
              <a:schemeClr val="accent1"/>
            </a:solidFill>
            <a:ln>
              <a:noFill/>
            </a:ln>
            <a:effectLst/>
          </c:spPr>
          <c:invertIfNegative val="0"/>
          <c:cat>
            <c:numRef>
              <c:f>Sheet2!$A$18:$A$22</c:f>
              <c:numCache>
                <c:formatCode>General</c:formatCode>
                <c:ptCount val="5"/>
                <c:pt idx="0">
                  <c:v>2019</c:v>
                </c:pt>
                <c:pt idx="1">
                  <c:v>2020</c:v>
                </c:pt>
                <c:pt idx="2">
                  <c:v>2021</c:v>
                </c:pt>
                <c:pt idx="3">
                  <c:v>2022</c:v>
                </c:pt>
                <c:pt idx="4">
                  <c:v>2023</c:v>
                </c:pt>
              </c:numCache>
            </c:numRef>
          </c:cat>
          <c:val>
            <c:numRef>
              <c:f>Sheet2!$B$18:$B$22</c:f>
              <c:numCache>
                <c:formatCode>General</c:formatCode>
                <c:ptCount val="5"/>
                <c:pt idx="0">
                  <c:v>1.37</c:v>
                </c:pt>
                <c:pt idx="1">
                  <c:v>1.35</c:v>
                </c:pt>
                <c:pt idx="2">
                  <c:v>1.29</c:v>
                </c:pt>
                <c:pt idx="3">
                  <c:v>1.3</c:v>
                </c:pt>
                <c:pt idx="4">
                  <c:v>1.3</c:v>
                </c:pt>
              </c:numCache>
            </c:numRef>
          </c:val>
          <c:extLst>
            <c:ext xmlns:c16="http://schemas.microsoft.com/office/drawing/2014/chart" uri="{C3380CC4-5D6E-409C-BE32-E72D297353CC}">
              <c16:uniqueId val="{00000000-F95F-46A5-8091-293111303F23}"/>
            </c:ext>
          </c:extLst>
        </c:ser>
        <c:ser>
          <c:idx val="1"/>
          <c:order val="1"/>
          <c:tx>
            <c:strRef>
              <c:f>Sheet2!$C$17</c:f>
              <c:strCache>
                <c:ptCount val="1"/>
                <c:pt idx="0">
                  <c:v>Quick Ratio</c:v>
                </c:pt>
              </c:strCache>
            </c:strRef>
          </c:tx>
          <c:spPr>
            <a:solidFill>
              <a:schemeClr val="accent2"/>
            </a:solidFill>
            <a:ln>
              <a:noFill/>
            </a:ln>
            <a:effectLst/>
          </c:spPr>
          <c:invertIfNegative val="0"/>
          <c:cat>
            <c:numRef>
              <c:f>Sheet2!$A$18:$A$22</c:f>
              <c:numCache>
                <c:formatCode>General</c:formatCode>
                <c:ptCount val="5"/>
                <c:pt idx="0">
                  <c:v>2019</c:v>
                </c:pt>
                <c:pt idx="1">
                  <c:v>2020</c:v>
                </c:pt>
                <c:pt idx="2">
                  <c:v>2021</c:v>
                </c:pt>
                <c:pt idx="3">
                  <c:v>2022</c:v>
                </c:pt>
                <c:pt idx="4">
                  <c:v>2023</c:v>
                </c:pt>
              </c:numCache>
            </c:numRef>
          </c:cat>
          <c:val>
            <c:numRef>
              <c:f>Sheet2!$C$18:$C$22</c:f>
              <c:numCache>
                <c:formatCode>General</c:formatCode>
                <c:ptCount val="5"/>
                <c:pt idx="0">
                  <c:v>0.99</c:v>
                </c:pt>
                <c:pt idx="1">
                  <c:v>0.97</c:v>
                </c:pt>
                <c:pt idx="2">
                  <c:v>0.91</c:v>
                </c:pt>
                <c:pt idx="3">
                  <c:v>0.93</c:v>
                </c:pt>
                <c:pt idx="4">
                  <c:v>0.95</c:v>
                </c:pt>
              </c:numCache>
            </c:numRef>
          </c:val>
          <c:extLst>
            <c:ext xmlns:c16="http://schemas.microsoft.com/office/drawing/2014/chart" uri="{C3380CC4-5D6E-409C-BE32-E72D297353CC}">
              <c16:uniqueId val="{00000001-F95F-46A5-8091-293111303F23}"/>
            </c:ext>
          </c:extLst>
        </c:ser>
        <c:dLbls>
          <c:showLegendKey val="0"/>
          <c:showVal val="0"/>
          <c:showCatName val="0"/>
          <c:showSerName val="0"/>
          <c:showPercent val="0"/>
          <c:showBubbleSize val="0"/>
        </c:dLbls>
        <c:gapWidth val="219"/>
        <c:overlap val="-27"/>
        <c:axId val="559069256"/>
        <c:axId val="559068896"/>
      </c:barChart>
      <c:catAx>
        <c:axId val="559069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9068896"/>
        <c:crosses val="autoZero"/>
        <c:auto val="1"/>
        <c:lblAlgn val="ctr"/>
        <c:lblOffset val="100"/>
        <c:noMultiLvlLbl val="0"/>
      </c:catAx>
      <c:valAx>
        <c:axId val="559068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9069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Sheet2!$B$27</c:f>
              <c:strCache>
                <c:ptCount val="1"/>
                <c:pt idx="0">
                  <c:v>Total Liabilities (£m)</c:v>
                </c:pt>
              </c:strCache>
            </c:strRef>
          </c:tx>
          <c:spPr>
            <a:solidFill>
              <a:schemeClr val="accent1"/>
            </a:solidFill>
            <a:ln>
              <a:noFill/>
            </a:ln>
            <a:effectLst/>
          </c:spPr>
          <c:invertIfNegative val="0"/>
          <c:cat>
            <c:numRef>
              <c:f>Sheet2!$A$28:$A$32</c:f>
              <c:numCache>
                <c:formatCode>General</c:formatCode>
                <c:ptCount val="5"/>
                <c:pt idx="0">
                  <c:v>2019</c:v>
                </c:pt>
                <c:pt idx="1">
                  <c:v>2020</c:v>
                </c:pt>
                <c:pt idx="2">
                  <c:v>2021</c:v>
                </c:pt>
                <c:pt idx="3">
                  <c:v>2022</c:v>
                </c:pt>
                <c:pt idx="4">
                  <c:v>2023</c:v>
                </c:pt>
              </c:numCache>
            </c:numRef>
          </c:cat>
          <c:val>
            <c:numRef>
              <c:f>Sheet2!$B$28:$B$32</c:f>
              <c:numCache>
                <c:formatCode>#,##0</c:formatCode>
                <c:ptCount val="5"/>
                <c:pt idx="0">
                  <c:v>7542</c:v>
                </c:pt>
                <c:pt idx="1">
                  <c:v>7834</c:v>
                </c:pt>
                <c:pt idx="2">
                  <c:v>7650</c:v>
                </c:pt>
                <c:pt idx="3">
                  <c:v>8000</c:v>
                </c:pt>
                <c:pt idx="4">
                  <c:v>8200</c:v>
                </c:pt>
              </c:numCache>
            </c:numRef>
          </c:val>
          <c:extLst>
            <c:ext xmlns:c16="http://schemas.microsoft.com/office/drawing/2014/chart" uri="{C3380CC4-5D6E-409C-BE32-E72D297353CC}">
              <c16:uniqueId val="{00000000-EE95-463B-AB9D-B7C351C893DD}"/>
            </c:ext>
          </c:extLst>
        </c:ser>
        <c:ser>
          <c:idx val="1"/>
          <c:order val="1"/>
          <c:tx>
            <c:strRef>
              <c:f>Sheet2!$C$27</c:f>
              <c:strCache>
                <c:ptCount val="1"/>
                <c:pt idx="0">
                  <c:v>Shareholders' Equity (£m)</c:v>
                </c:pt>
              </c:strCache>
            </c:strRef>
          </c:tx>
          <c:spPr>
            <a:solidFill>
              <a:schemeClr val="accent2"/>
            </a:solidFill>
            <a:ln>
              <a:noFill/>
            </a:ln>
            <a:effectLst/>
          </c:spPr>
          <c:invertIfNegative val="0"/>
          <c:cat>
            <c:numRef>
              <c:f>Sheet2!$A$28:$A$32</c:f>
              <c:numCache>
                <c:formatCode>General</c:formatCode>
                <c:ptCount val="5"/>
                <c:pt idx="0">
                  <c:v>2019</c:v>
                </c:pt>
                <c:pt idx="1">
                  <c:v>2020</c:v>
                </c:pt>
                <c:pt idx="2">
                  <c:v>2021</c:v>
                </c:pt>
                <c:pt idx="3">
                  <c:v>2022</c:v>
                </c:pt>
                <c:pt idx="4">
                  <c:v>2023</c:v>
                </c:pt>
              </c:numCache>
            </c:numRef>
          </c:cat>
          <c:val>
            <c:numRef>
              <c:f>Sheet2!$C$28:$C$32</c:f>
              <c:numCache>
                <c:formatCode>#,##0</c:formatCode>
                <c:ptCount val="5"/>
                <c:pt idx="0">
                  <c:v>2740</c:v>
                </c:pt>
                <c:pt idx="1">
                  <c:v>2500</c:v>
                </c:pt>
                <c:pt idx="2">
                  <c:v>2300</c:v>
                </c:pt>
                <c:pt idx="3">
                  <c:v>2150</c:v>
                </c:pt>
                <c:pt idx="4">
                  <c:v>2100</c:v>
                </c:pt>
              </c:numCache>
            </c:numRef>
          </c:val>
          <c:extLst>
            <c:ext xmlns:c16="http://schemas.microsoft.com/office/drawing/2014/chart" uri="{C3380CC4-5D6E-409C-BE32-E72D297353CC}">
              <c16:uniqueId val="{00000001-EE95-463B-AB9D-B7C351C893DD}"/>
            </c:ext>
          </c:extLst>
        </c:ser>
        <c:ser>
          <c:idx val="2"/>
          <c:order val="2"/>
          <c:tx>
            <c:strRef>
              <c:f>Sheet2!$D$27</c:f>
              <c:strCache>
                <c:ptCount val="1"/>
                <c:pt idx="0">
                  <c:v>Debt-to-Equity Ratio</c:v>
                </c:pt>
              </c:strCache>
            </c:strRef>
          </c:tx>
          <c:spPr>
            <a:solidFill>
              <a:schemeClr val="accent3"/>
            </a:solidFill>
            <a:ln>
              <a:noFill/>
            </a:ln>
            <a:effectLst/>
          </c:spPr>
          <c:invertIfNegative val="0"/>
          <c:cat>
            <c:numRef>
              <c:f>Sheet2!$A$28:$A$32</c:f>
              <c:numCache>
                <c:formatCode>General</c:formatCode>
                <c:ptCount val="5"/>
                <c:pt idx="0">
                  <c:v>2019</c:v>
                </c:pt>
                <c:pt idx="1">
                  <c:v>2020</c:v>
                </c:pt>
                <c:pt idx="2">
                  <c:v>2021</c:v>
                </c:pt>
                <c:pt idx="3">
                  <c:v>2022</c:v>
                </c:pt>
                <c:pt idx="4">
                  <c:v>2023</c:v>
                </c:pt>
              </c:numCache>
            </c:numRef>
          </c:cat>
          <c:val>
            <c:numRef>
              <c:f>Sheet2!$D$28:$D$32</c:f>
              <c:numCache>
                <c:formatCode>General</c:formatCode>
                <c:ptCount val="5"/>
                <c:pt idx="0">
                  <c:v>2.75</c:v>
                </c:pt>
                <c:pt idx="1">
                  <c:v>3.13</c:v>
                </c:pt>
                <c:pt idx="2">
                  <c:v>3.33</c:v>
                </c:pt>
                <c:pt idx="3">
                  <c:v>3.72</c:v>
                </c:pt>
                <c:pt idx="4">
                  <c:v>3.9</c:v>
                </c:pt>
              </c:numCache>
            </c:numRef>
          </c:val>
          <c:extLst>
            <c:ext xmlns:c16="http://schemas.microsoft.com/office/drawing/2014/chart" uri="{C3380CC4-5D6E-409C-BE32-E72D297353CC}">
              <c16:uniqueId val="{00000002-EE95-463B-AB9D-B7C351C893DD}"/>
            </c:ext>
          </c:extLst>
        </c:ser>
        <c:dLbls>
          <c:showLegendKey val="0"/>
          <c:showVal val="0"/>
          <c:showCatName val="0"/>
          <c:showSerName val="0"/>
          <c:showPercent val="0"/>
          <c:showBubbleSize val="0"/>
        </c:dLbls>
        <c:gapWidth val="219"/>
        <c:overlap val="-27"/>
        <c:axId val="556460304"/>
        <c:axId val="556458864"/>
      </c:barChart>
      <c:catAx>
        <c:axId val="556460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458864"/>
        <c:crosses val="autoZero"/>
        <c:auto val="1"/>
        <c:lblAlgn val="ctr"/>
        <c:lblOffset val="100"/>
        <c:noMultiLvlLbl val="0"/>
      </c:catAx>
      <c:valAx>
        <c:axId val="5564588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460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Invest CR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Sheet2!$B$35</c:f>
              <c:strCache>
                <c:ptCount val="1"/>
                <c:pt idx="0">
                  <c:v>EBIT (£m)</c:v>
                </c:pt>
              </c:strCache>
            </c:strRef>
          </c:tx>
          <c:spPr>
            <a:solidFill>
              <a:schemeClr val="accent1"/>
            </a:solidFill>
            <a:ln>
              <a:noFill/>
            </a:ln>
            <a:effectLst/>
          </c:spPr>
          <c:invertIfNegative val="0"/>
          <c:cat>
            <c:numRef>
              <c:f>Sheet2!$A$36:$A$40</c:f>
              <c:numCache>
                <c:formatCode>General</c:formatCode>
                <c:ptCount val="5"/>
                <c:pt idx="0">
                  <c:v>2019</c:v>
                </c:pt>
                <c:pt idx="1">
                  <c:v>2020</c:v>
                </c:pt>
                <c:pt idx="2">
                  <c:v>2021</c:v>
                </c:pt>
                <c:pt idx="3">
                  <c:v>2022</c:v>
                </c:pt>
                <c:pt idx="4">
                  <c:v>2023</c:v>
                </c:pt>
              </c:numCache>
            </c:numRef>
          </c:cat>
          <c:val>
            <c:numRef>
              <c:f>Sheet2!$B$36:$B$40</c:f>
              <c:numCache>
                <c:formatCode>General</c:formatCode>
                <c:ptCount val="5"/>
                <c:pt idx="0">
                  <c:v>677</c:v>
                </c:pt>
                <c:pt idx="1">
                  <c:v>625</c:v>
                </c:pt>
                <c:pt idx="2">
                  <c:v>590</c:v>
                </c:pt>
                <c:pt idx="3">
                  <c:v>550</c:v>
                </c:pt>
                <c:pt idx="4">
                  <c:v>510</c:v>
                </c:pt>
              </c:numCache>
            </c:numRef>
          </c:val>
          <c:extLst>
            <c:ext xmlns:c16="http://schemas.microsoft.com/office/drawing/2014/chart" uri="{C3380CC4-5D6E-409C-BE32-E72D297353CC}">
              <c16:uniqueId val="{00000000-79A5-4ED1-95E4-1FE1D4500AAB}"/>
            </c:ext>
          </c:extLst>
        </c:ser>
        <c:ser>
          <c:idx val="1"/>
          <c:order val="1"/>
          <c:tx>
            <c:strRef>
              <c:f>Sheet2!$C$35</c:f>
              <c:strCache>
                <c:ptCount val="1"/>
                <c:pt idx="0">
                  <c:v>Interest Expenses (£m)</c:v>
                </c:pt>
              </c:strCache>
            </c:strRef>
          </c:tx>
          <c:spPr>
            <a:solidFill>
              <a:schemeClr val="accent2"/>
            </a:solidFill>
            <a:ln>
              <a:noFill/>
            </a:ln>
            <a:effectLst/>
          </c:spPr>
          <c:invertIfNegative val="0"/>
          <c:cat>
            <c:numRef>
              <c:f>Sheet2!$A$36:$A$40</c:f>
              <c:numCache>
                <c:formatCode>General</c:formatCode>
                <c:ptCount val="5"/>
                <c:pt idx="0">
                  <c:v>2019</c:v>
                </c:pt>
                <c:pt idx="1">
                  <c:v>2020</c:v>
                </c:pt>
                <c:pt idx="2">
                  <c:v>2021</c:v>
                </c:pt>
                <c:pt idx="3">
                  <c:v>2022</c:v>
                </c:pt>
                <c:pt idx="4">
                  <c:v>2023</c:v>
                </c:pt>
              </c:numCache>
            </c:numRef>
          </c:cat>
          <c:val>
            <c:numRef>
              <c:f>Sheet2!$C$36:$C$40</c:f>
              <c:numCache>
                <c:formatCode>General</c:formatCode>
                <c:ptCount val="5"/>
                <c:pt idx="0">
                  <c:v>150</c:v>
                </c:pt>
                <c:pt idx="1">
                  <c:v>160</c:v>
                </c:pt>
                <c:pt idx="2">
                  <c:v>170</c:v>
                </c:pt>
                <c:pt idx="3">
                  <c:v>180</c:v>
                </c:pt>
                <c:pt idx="4">
                  <c:v>190</c:v>
                </c:pt>
              </c:numCache>
            </c:numRef>
          </c:val>
          <c:extLst>
            <c:ext xmlns:c16="http://schemas.microsoft.com/office/drawing/2014/chart" uri="{C3380CC4-5D6E-409C-BE32-E72D297353CC}">
              <c16:uniqueId val="{00000001-79A5-4ED1-95E4-1FE1D4500AAB}"/>
            </c:ext>
          </c:extLst>
        </c:ser>
        <c:ser>
          <c:idx val="2"/>
          <c:order val="2"/>
          <c:tx>
            <c:strRef>
              <c:f>Sheet2!$D$35</c:f>
              <c:strCache>
                <c:ptCount val="1"/>
                <c:pt idx="0">
                  <c:v>Interest Coverage Ratio</c:v>
                </c:pt>
              </c:strCache>
            </c:strRef>
          </c:tx>
          <c:spPr>
            <a:solidFill>
              <a:schemeClr val="accent3"/>
            </a:solidFill>
            <a:ln>
              <a:noFill/>
            </a:ln>
            <a:effectLst/>
          </c:spPr>
          <c:invertIfNegative val="0"/>
          <c:cat>
            <c:numRef>
              <c:f>Sheet2!$A$36:$A$40</c:f>
              <c:numCache>
                <c:formatCode>General</c:formatCode>
                <c:ptCount val="5"/>
                <c:pt idx="0">
                  <c:v>2019</c:v>
                </c:pt>
                <c:pt idx="1">
                  <c:v>2020</c:v>
                </c:pt>
                <c:pt idx="2">
                  <c:v>2021</c:v>
                </c:pt>
                <c:pt idx="3">
                  <c:v>2022</c:v>
                </c:pt>
                <c:pt idx="4">
                  <c:v>2023</c:v>
                </c:pt>
              </c:numCache>
            </c:numRef>
          </c:cat>
          <c:val>
            <c:numRef>
              <c:f>Sheet2!$D$36:$D$40</c:f>
              <c:numCache>
                <c:formatCode>General</c:formatCode>
                <c:ptCount val="5"/>
                <c:pt idx="0">
                  <c:v>4.51</c:v>
                </c:pt>
                <c:pt idx="1">
                  <c:v>3.91</c:v>
                </c:pt>
                <c:pt idx="2">
                  <c:v>3.47</c:v>
                </c:pt>
                <c:pt idx="3">
                  <c:v>3.06</c:v>
                </c:pt>
                <c:pt idx="4">
                  <c:v>2.68</c:v>
                </c:pt>
              </c:numCache>
            </c:numRef>
          </c:val>
          <c:extLst>
            <c:ext xmlns:c16="http://schemas.microsoft.com/office/drawing/2014/chart" uri="{C3380CC4-5D6E-409C-BE32-E72D297353CC}">
              <c16:uniqueId val="{00000002-79A5-4ED1-95E4-1FE1D4500AAB}"/>
            </c:ext>
          </c:extLst>
        </c:ser>
        <c:dLbls>
          <c:showLegendKey val="0"/>
          <c:showVal val="0"/>
          <c:showCatName val="0"/>
          <c:showSerName val="0"/>
          <c:showPercent val="0"/>
          <c:showBubbleSize val="0"/>
        </c:dLbls>
        <c:gapWidth val="219"/>
        <c:overlap val="-27"/>
        <c:axId val="491457336"/>
        <c:axId val="491454456"/>
      </c:barChart>
      <c:catAx>
        <c:axId val="491457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1454456"/>
        <c:crosses val="autoZero"/>
        <c:auto val="1"/>
        <c:lblAlgn val="ctr"/>
        <c:lblOffset val="100"/>
        <c:noMultiLvlLbl val="0"/>
      </c:catAx>
      <c:valAx>
        <c:axId val="4914544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14573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Sheet2!$B$44</c:f>
              <c:strCache>
                <c:ptCount val="1"/>
                <c:pt idx="0">
                  <c:v>Debt-to-Equity Ratio</c:v>
                </c:pt>
              </c:strCache>
            </c:strRef>
          </c:tx>
          <c:spPr>
            <a:solidFill>
              <a:schemeClr val="accent1"/>
            </a:solidFill>
            <a:ln>
              <a:noFill/>
            </a:ln>
            <a:effectLst/>
          </c:spPr>
          <c:invertIfNegative val="0"/>
          <c:cat>
            <c:numRef>
              <c:f>Sheet2!$A$45:$A$49</c:f>
              <c:numCache>
                <c:formatCode>General</c:formatCode>
                <c:ptCount val="5"/>
                <c:pt idx="0">
                  <c:v>2019</c:v>
                </c:pt>
                <c:pt idx="1">
                  <c:v>2020</c:v>
                </c:pt>
                <c:pt idx="2">
                  <c:v>2021</c:v>
                </c:pt>
                <c:pt idx="3">
                  <c:v>2022</c:v>
                </c:pt>
                <c:pt idx="4">
                  <c:v>2023</c:v>
                </c:pt>
              </c:numCache>
            </c:numRef>
          </c:cat>
          <c:val>
            <c:numRef>
              <c:f>Sheet2!$B$45:$B$49</c:f>
              <c:numCache>
                <c:formatCode>General</c:formatCode>
                <c:ptCount val="5"/>
                <c:pt idx="0">
                  <c:v>2.75</c:v>
                </c:pt>
                <c:pt idx="1">
                  <c:v>3.13</c:v>
                </c:pt>
                <c:pt idx="2">
                  <c:v>3.33</c:v>
                </c:pt>
                <c:pt idx="3">
                  <c:v>3.72</c:v>
                </c:pt>
                <c:pt idx="4">
                  <c:v>3.9</c:v>
                </c:pt>
              </c:numCache>
            </c:numRef>
          </c:val>
          <c:extLst>
            <c:ext xmlns:c16="http://schemas.microsoft.com/office/drawing/2014/chart" uri="{C3380CC4-5D6E-409C-BE32-E72D297353CC}">
              <c16:uniqueId val="{00000000-89E9-4E4E-A744-41F88F7AA12D}"/>
            </c:ext>
          </c:extLst>
        </c:ser>
        <c:ser>
          <c:idx val="1"/>
          <c:order val="1"/>
          <c:tx>
            <c:strRef>
              <c:f>Sheet2!$C$44</c:f>
              <c:strCache>
                <c:ptCount val="1"/>
                <c:pt idx="0">
                  <c:v>Interest Coverage Ratio</c:v>
                </c:pt>
              </c:strCache>
            </c:strRef>
          </c:tx>
          <c:spPr>
            <a:solidFill>
              <a:schemeClr val="accent2"/>
            </a:solidFill>
            <a:ln>
              <a:noFill/>
            </a:ln>
            <a:effectLst/>
          </c:spPr>
          <c:invertIfNegative val="0"/>
          <c:cat>
            <c:numRef>
              <c:f>Sheet2!$A$45:$A$49</c:f>
              <c:numCache>
                <c:formatCode>General</c:formatCode>
                <c:ptCount val="5"/>
                <c:pt idx="0">
                  <c:v>2019</c:v>
                </c:pt>
                <c:pt idx="1">
                  <c:v>2020</c:v>
                </c:pt>
                <c:pt idx="2">
                  <c:v>2021</c:v>
                </c:pt>
                <c:pt idx="3">
                  <c:v>2022</c:v>
                </c:pt>
                <c:pt idx="4">
                  <c:v>2023</c:v>
                </c:pt>
              </c:numCache>
            </c:numRef>
          </c:cat>
          <c:val>
            <c:numRef>
              <c:f>Sheet2!$C$45:$C$49</c:f>
              <c:numCache>
                <c:formatCode>General</c:formatCode>
                <c:ptCount val="5"/>
                <c:pt idx="0">
                  <c:v>4.51</c:v>
                </c:pt>
                <c:pt idx="1">
                  <c:v>3.91</c:v>
                </c:pt>
                <c:pt idx="2">
                  <c:v>3.47</c:v>
                </c:pt>
                <c:pt idx="3">
                  <c:v>3.06</c:v>
                </c:pt>
                <c:pt idx="4">
                  <c:v>2.68</c:v>
                </c:pt>
              </c:numCache>
            </c:numRef>
          </c:val>
          <c:extLst>
            <c:ext xmlns:c16="http://schemas.microsoft.com/office/drawing/2014/chart" uri="{C3380CC4-5D6E-409C-BE32-E72D297353CC}">
              <c16:uniqueId val="{00000001-89E9-4E4E-A744-41F88F7AA12D}"/>
            </c:ext>
          </c:extLst>
        </c:ser>
        <c:dLbls>
          <c:showLegendKey val="0"/>
          <c:showVal val="0"/>
          <c:showCatName val="0"/>
          <c:showSerName val="0"/>
          <c:showPercent val="0"/>
          <c:showBubbleSize val="0"/>
        </c:dLbls>
        <c:gapWidth val="219"/>
        <c:overlap val="-27"/>
        <c:axId val="551218184"/>
        <c:axId val="551227544"/>
      </c:barChart>
      <c:catAx>
        <c:axId val="551218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1227544"/>
        <c:crosses val="autoZero"/>
        <c:auto val="1"/>
        <c:lblAlgn val="ctr"/>
        <c:lblOffset val="100"/>
        <c:noMultiLvlLbl val="0"/>
      </c:catAx>
      <c:valAx>
        <c:axId val="5512275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12181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ITR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Sheet3!$B$1</c:f>
              <c:strCache>
                <c:ptCount val="1"/>
                <c:pt idx="0">
                  <c:v>Cost of Goods Sold (COGS) (£m)</c:v>
                </c:pt>
              </c:strCache>
            </c:strRef>
          </c:tx>
          <c:spPr>
            <a:solidFill>
              <a:schemeClr val="accent1"/>
            </a:solidFill>
            <a:ln>
              <a:noFill/>
            </a:ln>
            <a:effectLst/>
          </c:spPr>
          <c:invertIfNegative val="0"/>
          <c:cat>
            <c:numRef>
              <c:f>Sheet3!$A$2:$A$6</c:f>
              <c:numCache>
                <c:formatCode>General</c:formatCode>
                <c:ptCount val="5"/>
                <c:pt idx="0">
                  <c:v>2019</c:v>
                </c:pt>
                <c:pt idx="1">
                  <c:v>2020</c:v>
                </c:pt>
                <c:pt idx="2">
                  <c:v>2021</c:v>
                </c:pt>
                <c:pt idx="3">
                  <c:v>2022</c:v>
                </c:pt>
                <c:pt idx="4">
                  <c:v>2023</c:v>
                </c:pt>
              </c:numCache>
            </c:numRef>
          </c:cat>
          <c:val>
            <c:numRef>
              <c:f>Sheet3!$B$2:$B$6</c:f>
              <c:numCache>
                <c:formatCode>#,##0</c:formatCode>
                <c:ptCount val="5"/>
                <c:pt idx="0">
                  <c:v>5600</c:v>
                </c:pt>
                <c:pt idx="1">
                  <c:v>5500</c:v>
                </c:pt>
                <c:pt idx="2">
                  <c:v>5300</c:v>
                </c:pt>
                <c:pt idx="3">
                  <c:v>5400</c:v>
                </c:pt>
                <c:pt idx="4">
                  <c:v>5600</c:v>
                </c:pt>
              </c:numCache>
            </c:numRef>
          </c:val>
          <c:extLst>
            <c:ext xmlns:c16="http://schemas.microsoft.com/office/drawing/2014/chart" uri="{C3380CC4-5D6E-409C-BE32-E72D297353CC}">
              <c16:uniqueId val="{00000000-99CB-4323-903D-A860B8C653D3}"/>
            </c:ext>
          </c:extLst>
        </c:ser>
        <c:ser>
          <c:idx val="1"/>
          <c:order val="1"/>
          <c:tx>
            <c:strRef>
              <c:f>Sheet3!$C$1</c:f>
              <c:strCache>
                <c:ptCount val="1"/>
                <c:pt idx="0">
                  <c:v>Average Inventory (£m)</c:v>
                </c:pt>
              </c:strCache>
            </c:strRef>
          </c:tx>
          <c:spPr>
            <a:solidFill>
              <a:schemeClr val="accent2"/>
            </a:solidFill>
            <a:ln>
              <a:noFill/>
            </a:ln>
            <a:effectLst/>
          </c:spPr>
          <c:invertIfNegative val="0"/>
          <c:cat>
            <c:numRef>
              <c:f>Sheet3!$A$2:$A$6</c:f>
              <c:numCache>
                <c:formatCode>General</c:formatCode>
                <c:ptCount val="5"/>
                <c:pt idx="0">
                  <c:v>2019</c:v>
                </c:pt>
                <c:pt idx="1">
                  <c:v>2020</c:v>
                </c:pt>
                <c:pt idx="2">
                  <c:v>2021</c:v>
                </c:pt>
                <c:pt idx="3">
                  <c:v>2022</c:v>
                </c:pt>
                <c:pt idx="4">
                  <c:v>2023</c:v>
                </c:pt>
              </c:numCache>
            </c:numRef>
          </c:cat>
          <c:val>
            <c:numRef>
              <c:f>Sheet3!$C$2:$C$6</c:f>
              <c:numCache>
                <c:formatCode>General</c:formatCode>
                <c:ptCount val="5"/>
                <c:pt idx="0">
                  <c:v>950</c:v>
                </c:pt>
                <c:pt idx="1">
                  <c:v>920</c:v>
                </c:pt>
                <c:pt idx="2">
                  <c:v>900</c:v>
                </c:pt>
                <c:pt idx="3">
                  <c:v>890</c:v>
                </c:pt>
                <c:pt idx="4">
                  <c:v>900</c:v>
                </c:pt>
              </c:numCache>
            </c:numRef>
          </c:val>
          <c:extLst>
            <c:ext xmlns:c16="http://schemas.microsoft.com/office/drawing/2014/chart" uri="{C3380CC4-5D6E-409C-BE32-E72D297353CC}">
              <c16:uniqueId val="{00000001-99CB-4323-903D-A860B8C653D3}"/>
            </c:ext>
          </c:extLst>
        </c:ser>
        <c:ser>
          <c:idx val="2"/>
          <c:order val="2"/>
          <c:tx>
            <c:strRef>
              <c:f>Sheet3!$D$1</c:f>
              <c:strCache>
                <c:ptCount val="1"/>
                <c:pt idx="0">
                  <c:v>Inventory Turnover Ratio</c:v>
                </c:pt>
              </c:strCache>
            </c:strRef>
          </c:tx>
          <c:spPr>
            <a:solidFill>
              <a:schemeClr val="accent3"/>
            </a:solidFill>
            <a:ln>
              <a:noFill/>
            </a:ln>
            <a:effectLst/>
          </c:spPr>
          <c:invertIfNegative val="0"/>
          <c:cat>
            <c:numRef>
              <c:f>Sheet3!$A$2:$A$6</c:f>
              <c:numCache>
                <c:formatCode>General</c:formatCode>
                <c:ptCount val="5"/>
                <c:pt idx="0">
                  <c:v>2019</c:v>
                </c:pt>
                <c:pt idx="1">
                  <c:v>2020</c:v>
                </c:pt>
                <c:pt idx="2">
                  <c:v>2021</c:v>
                </c:pt>
                <c:pt idx="3">
                  <c:v>2022</c:v>
                </c:pt>
                <c:pt idx="4">
                  <c:v>2023</c:v>
                </c:pt>
              </c:numCache>
            </c:numRef>
          </c:cat>
          <c:val>
            <c:numRef>
              <c:f>Sheet3!$D$2:$D$6</c:f>
              <c:numCache>
                <c:formatCode>General</c:formatCode>
                <c:ptCount val="5"/>
                <c:pt idx="0">
                  <c:v>5.89</c:v>
                </c:pt>
                <c:pt idx="1">
                  <c:v>5.98</c:v>
                </c:pt>
                <c:pt idx="2">
                  <c:v>5.89</c:v>
                </c:pt>
                <c:pt idx="3">
                  <c:v>6.07</c:v>
                </c:pt>
                <c:pt idx="4">
                  <c:v>6.22</c:v>
                </c:pt>
              </c:numCache>
            </c:numRef>
          </c:val>
          <c:extLst>
            <c:ext xmlns:c16="http://schemas.microsoft.com/office/drawing/2014/chart" uri="{C3380CC4-5D6E-409C-BE32-E72D297353CC}">
              <c16:uniqueId val="{00000002-99CB-4323-903D-A860B8C653D3}"/>
            </c:ext>
          </c:extLst>
        </c:ser>
        <c:dLbls>
          <c:showLegendKey val="0"/>
          <c:showVal val="0"/>
          <c:showCatName val="0"/>
          <c:showSerName val="0"/>
          <c:showPercent val="0"/>
          <c:showBubbleSize val="0"/>
        </c:dLbls>
        <c:gapWidth val="219"/>
        <c:overlap val="-27"/>
        <c:axId val="673795512"/>
        <c:axId val="673795152"/>
      </c:barChart>
      <c:catAx>
        <c:axId val="673795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3795152"/>
        <c:crosses val="autoZero"/>
        <c:auto val="1"/>
        <c:lblAlgn val="ctr"/>
        <c:lblOffset val="100"/>
        <c:noMultiLvlLbl val="0"/>
      </c:catAx>
      <c:valAx>
        <c:axId val="6737951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3795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RTR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Sheet3!$B$10</c:f>
              <c:strCache>
                <c:ptCount val="1"/>
                <c:pt idx="0">
                  <c:v>Net Credit Sales (£m)</c:v>
                </c:pt>
              </c:strCache>
            </c:strRef>
          </c:tx>
          <c:spPr>
            <a:solidFill>
              <a:schemeClr val="accent1"/>
            </a:solidFill>
            <a:ln>
              <a:noFill/>
            </a:ln>
            <a:effectLst/>
          </c:spPr>
          <c:invertIfNegative val="0"/>
          <c:cat>
            <c:numRef>
              <c:f>Sheet3!$A$11:$A$15</c:f>
              <c:numCache>
                <c:formatCode>General</c:formatCode>
                <c:ptCount val="5"/>
                <c:pt idx="0">
                  <c:v>2019</c:v>
                </c:pt>
                <c:pt idx="1">
                  <c:v>2020</c:v>
                </c:pt>
                <c:pt idx="2">
                  <c:v>2021</c:v>
                </c:pt>
                <c:pt idx="3">
                  <c:v>2022</c:v>
                </c:pt>
                <c:pt idx="4">
                  <c:v>2023</c:v>
                </c:pt>
              </c:numCache>
            </c:numRef>
          </c:cat>
          <c:val>
            <c:numRef>
              <c:f>Sheet3!$B$11:$B$15</c:f>
              <c:numCache>
                <c:formatCode>#,##0</c:formatCode>
                <c:ptCount val="5"/>
                <c:pt idx="0">
                  <c:v>10000</c:v>
                </c:pt>
                <c:pt idx="1">
                  <c:v>10200</c:v>
                </c:pt>
                <c:pt idx="2">
                  <c:v>10500</c:v>
                </c:pt>
                <c:pt idx="3">
                  <c:v>10700</c:v>
                </c:pt>
                <c:pt idx="4">
                  <c:v>11000</c:v>
                </c:pt>
              </c:numCache>
            </c:numRef>
          </c:val>
          <c:extLst>
            <c:ext xmlns:c16="http://schemas.microsoft.com/office/drawing/2014/chart" uri="{C3380CC4-5D6E-409C-BE32-E72D297353CC}">
              <c16:uniqueId val="{00000000-EF01-4135-864D-71A522E34ECD}"/>
            </c:ext>
          </c:extLst>
        </c:ser>
        <c:ser>
          <c:idx val="1"/>
          <c:order val="1"/>
          <c:tx>
            <c:strRef>
              <c:f>Sheet3!$C$10</c:f>
              <c:strCache>
                <c:ptCount val="1"/>
                <c:pt idx="0">
                  <c:v>Average Accounts Receivable (£m)</c:v>
                </c:pt>
              </c:strCache>
            </c:strRef>
          </c:tx>
          <c:spPr>
            <a:solidFill>
              <a:schemeClr val="accent2"/>
            </a:solidFill>
            <a:ln>
              <a:noFill/>
            </a:ln>
            <a:effectLst/>
          </c:spPr>
          <c:invertIfNegative val="0"/>
          <c:cat>
            <c:numRef>
              <c:f>Sheet3!$A$11:$A$15</c:f>
              <c:numCache>
                <c:formatCode>General</c:formatCode>
                <c:ptCount val="5"/>
                <c:pt idx="0">
                  <c:v>2019</c:v>
                </c:pt>
                <c:pt idx="1">
                  <c:v>2020</c:v>
                </c:pt>
                <c:pt idx="2">
                  <c:v>2021</c:v>
                </c:pt>
                <c:pt idx="3">
                  <c:v>2022</c:v>
                </c:pt>
                <c:pt idx="4">
                  <c:v>2023</c:v>
                </c:pt>
              </c:numCache>
            </c:numRef>
          </c:cat>
          <c:val>
            <c:numRef>
              <c:f>Sheet3!$C$11:$C$15</c:f>
              <c:numCache>
                <c:formatCode>General</c:formatCode>
                <c:ptCount val="5"/>
                <c:pt idx="0">
                  <c:v>800</c:v>
                </c:pt>
                <c:pt idx="1">
                  <c:v>790</c:v>
                </c:pt>
                <c:pt idx="2">
                  <c:v>780</c:v>
                </c:pt>
                <c:pt idx="3">
                  <c:v>770</c:v>
                </c:pt>
                <c:pt idx="4">
                  <c:v>760</c:v>
                </c:pt>
              </c:numCache>
            </c:numRef>
          </c:val>
          <c:extLst>
            <c:ext xmlns:c16="http://schemas.microsoft.com/office/drawing/2014/chart" uri="{C3380CC4-5D6E-409C-BE32-E72D297353CC}">
              <c16:uniqueId val="{00000001-EF01-4135-864D-71A522E34ECD}"/>
            </c:ext>
          </c:extLst>
        </c:ser>
        <c:ser>
          <c:idx val="2"/>
          <c:order val="2"/>
          <c:tx>
            <c:strRef>
              <c:f>Sheet3!$D$10</c:f>
              <c:strCache>
                <c:ptCount val="1"/>
                <c:pt idx="0">
                  <c:v>Receivables Turnover Ratio</c:v>
                </c:pt>
              </c:strCache>
            </c:strRef>
          </c:tx>
          <c:spPr>
            <a:solidFill>
              <a:schemeClr val="accent3"/>
            </a:solidFill>
            <a:ln>
              <a:noFill/>
            </a:ln>
            <a:effectLst/>
          </c:spPr>
          <c:invertIfNegative val="0"/>
          <c:cat>
            <c:numRef>
              <c:f>Sheet3!$A$11:$A$15</c:f>
              <c:numCache>
                <c:formatCode>General</c:formatCode>
                <c:ptCount val="5"/>
                <c:pt idx="0">
                  <c:v>2019</c:v>
                </c:pt>
                <c:pt idx="1">
                  <c:v>2020</c:v>
                </c:pt>
                <c:pt idx="2">
                  <c:v>2021</c:v>
                </c:pt>
                <c:pt idx="3">
                  <c:v>2022</c:v>
                </c:pt>
                <c:pt idx="4">
                  <c:v>2023</c:v>
                </c:pt>
              </c:numCache>
            </c:numRef>
          </c:cat>
          <c:val>
            <c:numRef>
              <c:f>Sheet3!$D$11:$D$15</c:f>
              <c:numCache>
                <c:formatCode>General</c:formatCode>
                <c:ptCount val="5"/>
                <c:pt idx="0">
                  <c:v>12.5</c:v>
                </c:pt>
                <c:pt idx="1">
                  <c:v>12.91</c:v>
                </c:pt>
                <c:pt idx="2">
                  <c:v>13.46</c:v>
                </c:pt>
                <c:pt idx="3">
                  <c:v>13.9</c:v>
                </c:pt>
                <c:pt idx="4">
                  <c:v>14.47</c:v>
                </c:pt>
              </c:numCache>
            </c:numRef>
          </c:val>
          <c:extLst>
            <c:ext xmlns:c16="http://schemas.microsoft.com/office/drawing/2014/chart" uri="{C3380CC4-5D6E-409C-BE32-E72D297353CC}">
              <c16:uniqueId val="{00000002-EF01-4135-864D-71A522E34ECD}"/>
            </c:ext>
          </c:extLst>
        </c:ser>
        <c:dLbls>
          <c:showLegendKey val="0"/>
          <c:showVal val="0"/>
          <c:showCatName val="0"/>
          <c:showSerName val="0"/>
          <c:showPercent val="0"/>
          <c:showBubbleSize val="0"/>
        </c:dLbls>
        <c:gapWidth val="219"/>
        <c:overlap val="-27"/>
        <c:axId val="551221784"/>
        <c:axId val="551225384"/>
      </c:barChart>
      <c:catAx>
        <c:axId val="551221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1225384"/>
        <c:crosses val="autoZero"/>
        <c:auto val="1"/>
        <c:lblAlgn val="ctr"/>
        <c:lblOffset val="100"/>
        <c:noMultiLvlLbl val="0"/>
      </c:catAx>
      <c:valAx>
        <c:axId val="5512253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12217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Sheet3!$B$31</c:f>
              <c:strCache>
                <c:ptCount val="1"/>
                <c:pt idx="0">
                  <c:v>Inventory Turnover Ratio</c:v>
                </c:pt>
              </c:strCache>
            </c:strRef>
          </c:tx>
          <c:spPr>
            <a:solidFill>
              <a:schemeClr val="accent1"/>
            </a:solidFill>
            <a:ln>
              <a:noFill/>
            </a:ln>
            <a:effectLst/>
          </c:spPr>
          <c:invertIfNegative val="0"/>
          <c:cat>
            <c:numRef>
              <c:f>Sheet3!$A$32:$A$36</c:f>
              <c:numCache>
                <c:formatCode>General</c:formatCode>
                <c:ptCount val="5"/>
                <c:pt idx="0">
                  <c:v>2019</c:v>
                </c:pt>
                <c:pt idx="1">
                  <c:v>2020</c:v>
                </c:pt>
                <c:pt idx="2">
                  <c:v>2021</c:v>
                </c:pt>
                <c:pt idx="3">
                  <c:v>2022</c:v>
                </c:pt>
                <c:pt idx="4">
                  <c:v>2023</c:v>
                </c:pt>
              </c:numCache>
            </c:numRef>
          </c:cat>
          <c:val>
            <c:numRef>
              <c:f>Sheet3!$B$32:$B$36</c:f>
              <c:numCache>
                <c:formatCode>General</c:formatCode>
                <c:ptCount val="5"/>
                <c:pt idx="0">
                  <c:v>5.89</c:v>
                </c:pt>
                <c:pt idx="1">
                  <c:v>5.98</c:v>
                </c:pt>
                <c:pt idx="2">
                  <c:v>5.89</c:v>
                </c:pt>
                <c:pt idx="3">
                  <c:v>6.07</c:v>
                </c:pt>
                <c:pt idx="4">
                  <c:v>6.22</c:v>
                </c:pt>
              </c:numCache>
            </c:numRef>
          </c:val>
          <c:extLst>
            <c:ext xmlns:c16="http://schemas.microsoft.com/office/drawing/2014/chart" uri="{C3380CC4-5D6E-409C-BE32-E72D297353CC}">
              <c16:uniqueId val="{00000000-3D9B-4D4C-A581-F219D17F64A9}"/>
            </c:ext>
          </c:extLst>
        </c:ser>
        <c:ser>
          <c:idx val="1"/>
          <c:order val="1"/>
          <c:tx>
            <c:strRef>
              <c:f>Sheet3!$C$31</c:f>
              <c:strCache>
                <c:ptCount val="1"/>
                <c:pt idx="0">
                  <c:v>Receivables Turnover Ratio</c:v>
                </c:pt>
              </c:strCache>
            </c:strRef>
          </c:tx>
          <c:spPr>
            <a:solidFill>
              <a:schemeClr val="accent2"/>
            </a:solidFill>
            <a:ln>
              <a:noFill/>
            </a:ln>
            <a:effectLst/>
          </c:spPr>
          <c:invertIfNegative val="0"/>
          <c:cat>
            <c:numRef>
              <c:f>Sheet3!$A$32:$A$36</c:f>
              <c:numCache>
                <c:formatCode>General</c:formatCode>
                <c:ptCount val="5"/>
                <c:pt idx="0">
                  <c:v>2019</c:v>
                </c:pt>
                <c:pt idx="1">
                  <c:v>2020</c:v>
                </c:pt>
                <c:pt idx="2">
                  <c:v>2021</c:v>
                </c:pt>
                <c:pt idx="3">
                  <c:v>2022</c:v>
                </c:pt>
                <c:pt idx="4">
                  <c:v>2023</c:v>
                </c:pt>
              </c:numCache>
            </c:numRef>
          </c:cat>
          <c:val>
            <c:numRef>
              <c:f>Sheet3!$C$32:$C$36</c:f>
              <c:numCache>
                <c:formatCode>General</c:formatCode>
                <c:ptCount val="5"/>
                <c:pt idx="0">
                  <c:v>12.5</c:v>
                </c:pt>
                <c:pt idx="1">
                  <c:v>12.91</c:v>
                </c:pt>
                <c:pt idx="2">
                  <c:v>13.46</c:v>
                </c:pt>
                <c:pt idx="3">
                  <c:v>13.9</c:v>
                </c:pt>
                <c:pt idx="4">
                  <c:v>14.47</c:v>
                </c:pt>
              </c:numCache>
            </c:numRef>
          </c:val>
          <c:extLst>
            <c:ext xmlns:c16="http://schemas.microsoft.com/office/drawing/2014/chart" uri="{C3380CC4-5D6E-409C-BE32-E72D297353CC}">
              <c16:uniqueId val="{00000001-3D9B-4D4C-A581-F219D17F64A9}"/>
            </c:ext>
          </c:extLst>
        </c:ser>
        <c:dLbls>
          <c:showLegendKey val="0"/>
          <c:showVal val="0"/>
          <c:showCatName val="0"/>
          <c:showSerName val="0"/>
          <c:showPercent val="0"/>
          <c:showBubbleSize val="0"/>
        </c:dLbls>
        <c:gapWidth val="219"/>
        <c:overlap val="-27"/>
        <c:axId val="556178184"/>
        <c:axId val="556176744"/>
      </c:barChart>
      <c:catAx>
        <c:axId val="556178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176744"/>
        <c:crosses val="autoZero"/>
        <c:auto val="1"/>
        <c:lblAlgn val="ctr"/>
        <c:lblOffset val="100"/>
        <c:noMultiLvlLbl val="0"/>
      </c:catAx>
      <c:valAx>
        <c:axId val="556176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1781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Sheet3!$G$45</c:f>
              <c:strCache>
                <c:ptCount val="1"/>
                <c:pt idx="0">
                  <c:v>Cash Flow (£m)</c:v>
                </c:pt>
              </c:strCache>
            </c:strRef>
          </c:tx>
          <c:spPr>
            <a:solidFill>
              <a:schemeClr val="accent1"/>
            </a:solidFill>
            <a:ln>
              <a:noFill/>
            </a:ln>
            <a:effectLst/>
          </c:spPr>
          <c:invertIfNegative val="0"/>
          <c:cat>
            <c:numRef>
              <c:f>Sheet3!$F$46:$F$50</c:f>
              <c:numCache>
                <c:formatCode>General</c:formatCode>
                <c:ptCount val="5"/>
                <c:pt idx="0">
                  <c:v>0</c:v>
                </c:pt>
                <c:pt idx="1">
                  <c:v>1</c:v>
                </c:pt>
                <c:pt idx="2">
                  <c:v>2</c:v>
                </c:pt>
                <c:pt idx="3">
                  <c:v>3</c:v>
                </c:pt>
                <c:pt idx="4">
                  <c:v>4</c:v>
                </c:pt>
              </c:numCache>
            </c:numRef>
          </c:cat>
          <c:val>
            <c:numRef>
              <c:f>Sheet3!$G$46:$G$50</c:f>
              <c:numCache>
                <c:formatCode>General</c:formatCode>
                <c:ptCount val="5"/>
                <c:pt idx="0">
                  <c:v>-80</c:v>
                </c:pt>
                <c:pt idx="1">
                  <c:v>25</c:v>
                </c:pt>
                <c:pt idx="2">
                  <c:v>25</c:v>
                </c:pt>
                <c:pt idx="3">
                  <c:v>20</c:v>
                </c:pt>
                <c:pt idx="4">
                  <c:v>55</c:v>
                </c:pt>
              </c:numCache>
            </c:numRef>
          </c:val>
          <c:extLst>
            <c:ext xmlns:c16="http://schemas.microsoft.com/office/drawing/2014/chart" uri="{C3380CC4-5D6E-409C-BE32-E72D297353CC}">
              <c16:uniqueId val="{00000000-F244-48EC-B028-8892849AACE2}"/>
            </c:ext>
          </c:extLst>
        </c:ser>
        <c:ser>
          <c:idx val="1"/>
          <c:order val="1"/>
          <c:tx>
            <c:strRef>
              <c:f>Sheet3!$H$45</c:f>
              <c:strCache>
                <c:ptCount val="1"/>
                <c:pt idx="0">
                  <c:v>Cumulative Cash Flow (£m)</c:v>
                </c:pt>
              </c:strCache>
            </c:strRef>
          </c:tx>
          <c:spPr>
            <a:solidFill>
              <a:schemeClr val="accent2"/>
            </a:solidFill>
            <a:ln>
              <a:noFill/>
            </a:ln>
            <a:effectLst/>
          </c:spPr>
          <c:invertIfNegative val="0"/>
          <c:cat>
            <c:numRef>
              <c:f>Sheet3!$F$46:$F$50</c:f>
              <c:numCache>
                <c:formatCode>General</c:formatCode>
                <c:ptCount val="5"/>
                <c:pt idx="0">
                  <c:v>0</c:v>
                </c:pt>
                <c:pt idx="1">
                  <c:v>1</c:v>
                </c:pt>
                <c:pt idx="2">
                  <c:v>2</c:v>
                </c:pt>
                <c:pt idx="3">
                  <c:v>3</c:v>
                </c:pt>
                <c:pt idx="4">
                  <c:v>4</c:v>
                </c:pt>
              </c:numCache>
            </c:numRef>
          </c:cat>
          <c:val>
            <c:numRef>
              <c:f>Sheet3!$H$46:$H$50</c:f>
              <c:numCache>
                <c:formatCode>General</c:formatCode>
                <c:ptCount val="5"/>
                <c:pt idx="0">
                  <c:v>-80</c:v>
                </c:pt>
                <c:pt idx="1">
                  <c:v>-55</c:v>
                </c:pt>
                <c:pt idx="2">
                  <c:v>-30</c:v>
                </c:pt>
                <c:pt idx="3">
                  <c:v>-10</c:v>
                </c:pt>
                <c:pt idx="4">
                  <c:v>45</c:v>
                </c:pt>
              </c:numCache>
            </c:numRef>
          </c:val>
          <c:extLst>
            <c:ext xmlns:c16="http://schemas.microsoft.com/office/drawing/2014/chart" uri="{C3380CC4-5D6E-409C-BE32-E72D297353CC}">
              <c16:uniqueId val="{00000001-F244-48EC-B028-8892849AACE2}"/>
            </c:ext>
          </c:extLst>
        </c:ser>
        <c:dLbls>
          <c:showLegendKey val="0"/>
          <c:showVal val="0"/>
          <c:showCatName val="0"/>
          <c:showSerName val="0"/>
          <c:showPercent val="0"/>
          <c:showBubbleSize val="0"/>
        </c:dLbls>
        <c:gapWidth val="219"/>
        <c:overlap val="-27"/>
        <c:axId val="349570512"/>
        <c:axId val="349572672"/>
      </c:barChart>
      <c:catAx>
        <c:axId val="349570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9572672"/>
        <c:crosses val="autoZero"/>
        <c:auto val="1"/>
        <c:lblAlgn val="ctr"/>
        <c:lblOffset val="100"/>
        <c:noMultiLvlLbl val="0"/>
      </c:catAx>
      <c:valAx>
        <c:axId val="349572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9570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Sheet3!$B$54</c:f>
              <c:strCache>
                <c:ptCount val="1"/>
                <c:pt idx="0">
                  <c:v>Cash Flow (£m)</c:v>
                </c:pt>
              </c:strCache>
            </c:strRef>
          </c:tx>
          <c:spPr>
            <a:solidFill>
              <a:schemeClr val="accent1"/>
            </a:solidFill>
            <a:ln>
              <a:noFill/>
            </a:ln>
            <a:effectLst/>
          </c:spPr>
          <c:invertIfNegative val="0"/>
          <c:cat>
            <c:numRef>
              <c:f>Sheet3!$A$55:$A$59</c:f>
              <c:numCache>
                <c:formatCode>General</c:formatCode>
                <c:ptCount val="5"/>
                <c:pt idx="0">
                  <c:v>0</c:v>
                </c:pt>
                <c:pt idx="1">
                  <c:v>1</c:v>
                </c:pt>
                <c:pt idx="2">
                  <c:v>2</c:v>
                </c:pt>
                <c:pt idx="3">
                  <c:v>3</c:v>
                </c:pt>
                <c:pt idx="4">
                  <c:v>4</c:v>
                </c:pt>
              </c:numCache>
            </c:numRef>
          </c:cat>
          <c:val>
            <c:numRef>
              <c:f>Sheet3!$B$55:$B$59</c:f>
              <c:numCache>
                <c:formatCode>General</c:formatCode>
                <c:ptCount val="5"/>
                <c:pt idx="0">
                  <c:v>-75</c:v>
                </c:pt>
                <c:pt idx="1">
                  <c:v>50</c:v>
                </c:pt>
                <c:pt idx="2">
                  <c:v>20</c:v>
                </c:pt>
                <c:pt idx="3">
                  <c:v>20</c:v>
                </c:pt>
                <c:pt idx="4">
                  <c:v>20</c:v>
                </c:pt>
              </c:numCache>
            </c:numRef>
          </c:val>
          <c:extLst>
            <c:ext xmlns:c16="http://schemas.microsoft.com/office/drawing/2014/chart" uri="{C3380CC4-5D6E-409C-BE32-E72D297353CC}">
              <c16:uniqueId val="{00000000-F811-4A5F-96C5-C9A45A960600}"/>
            </c:ext>
          </c:extLst>
        </c:ser>
        <c:ser>
          <c:idx val="1"/>
          <c:order val="1"/>
          <c:tx>
            <c:strRef>
              <c:f>Sheet3!$C$54</c:f>
              <c:strCache>
                <c:ptCount val="1"/>
                <c:pt idx="0">
                  <c:v>Cumulative Cash Flow (£m)</c:v>
                </c:pt>
              </c:strCache>
            </c:strRef>
          </c:tx>
          <c:spPr>
            <a:solidFill>
              <a:schemeClr val="accent2"/>
            </a:solidFill>
            <a:ln>
              <a:noFill/>
            </a:ln>
            <a:effectLst/>
          </c:spPr>
          <c:invertIfNegative val="0"/>
          <c:cat>
            <c:numRef>
              <c:f>Sheet3!$A$55:$A$59</c:f>
              <c:numCache>
                <c:formatCode>General</c:formatCode>
                <c:ptCount val="5"/>
                <c:pt idx="0">
                  <c:v>0</c:v>
                </c:pt>
                <c:pt idx="1">
                  <c:v>1</c:v>
                </c:pt>
                <c:pt idx="2">
                  <c:v>2</c:v>
                </c:pt>
                <c:pt idx="3">
                  <c:v>3</c:v>
                </c:pt>
                <c:pt idx="4">
                  <c:v>4</c:v>
                </c:pt>
              </c:numCache>
            </c:numRef>
          </c:cat>
          <c:val>
            <c:numRef>
              <c:f>Sheet3!$C$55:$C$59</c:f>
              <c:numCache>
                <c:formatCode>General</c:formatCode>
                <c:ptCount val="5"/>
                <c:pt idx="0">
                  <c:v>-75</c:v>
                </c:pt>
                <c:pt idx="1">
                  <c:v>-25</c:v>
                </c:pt>
                <c:pt idx="2">
                  <c:v>-5</c:v>
                </c:pt>
                <c:pt idx="3">
                  <c:v>15</c:v>
                </c:pt>
                <c:pt idx="4">
                  <c:v>35</c:v>
                </c:pt>
              </c:numCache>
            </c:numRef>
          </c:val>
          <c:extLst>
            <c:ext xmlns:c16="http://schemas.microsoft.com/office/drawing/2014/chart" uri="{C3380CC4-5D6E-409C-BE32-E72D297353CC}">
              <c16:uniqueId val="{00000001-F811-4A5F-96C5-C9A45A960600}"/>
            </c:ext>
          </c:extLst>
        </c:ser>
        <c:dLbls>
          <c:showLegendKey val="0"/>
          <c:showVal val="0"/>
          <c:showCatName val="0"/>
          <c:showSerName val="0"/>
          <c:showPercent val="0"/>
          <c:showBubbleSize val="0"/>
        </c:dLbls>
        <c:gapWidth val="219"/>
        <c:overlap val="-27"/>
        <c:axId val="345025512"/>
        <c:axId val="345024792"/>
      </c:barChart>
      <c:catAx>
        <c:axId val="345025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5024792"/>
        <c:crosses val="autoZero"/>
        <c:auto val="1"/>
        <c:lblAlgn val="ctr"/>
        <c:lblOffset val="100"/>
        <c:noMultiLvlLbl val="0"/>
      </c:catAx>
      <c:valAx>
        <c:axId val="3450247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5025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 flow</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Sheet3!$B$45</c:f>
              <c:strCache>
                <c:ptCount val="1"/>
                <c:pt idx="0">
                  <c:v>Project A Cash Flows (£m)</c:v>
                </c:pt>
              </c:strCache>
            </c:strRef>
          </c:tx>
          <c:spPr>
            <a:solidFill>
              <a:schemeClr val="accent1"/>
            </a:solidFill>
            <a:ln>
              <a:noFill/>
            </a:ln>
            <a:effectLst/>
          </c:spPr>
          <c:invertIfNegative val="0"/>
          <c:cat>
            <c:numRef>
              <c:f>Sheet3!$A$46:$A$50</c:f>
              <c:numCache>
                <c:formatCode>General</c:formatCode>
                <c:ptCount val="5"/>
                <c:pt idx="0">
                  <c:v>0</c:v>
                </c:pt>
                <c:pt idx="1">
                  <c:v>1</c:v>
                </c:pt>
                <c:pt idx="2">
                  <c:v>2</c:v>
                </c:pt>
                <c:pt idx="3">
                  <c:v>3</c:v>
                </c:pt>
                <c:pt idx="4">
                  <c:v>4</c:v>
                </c:pt>
              </c:numCache>
            </c:numRef>
          </c:cat>
          <c:val>
            <c:numRef>
              <c:f>Sheet3!$B$46:$B$50</c:f>
              <c:numCache>
                <c:formatCode>General</c:formatCode>
                <c:ptCount val="5"/>
                <c:pt idx="0">
                  <c:v>-80</c:v>
                </c:pt>
                <c:pt idx="1">
                  <c:v>25</c:v>
                </c:pt>
                <c:pt idx="2">
                  <c:v>25</c:v>
                </c:pt>
                <c:pt idx="3">
                  <c:v>20</c:v>
                </c:pt>
                <c:pt idx="4">
                  <c:v>55</c:v>
                </c:pt>
              </c:numCache>
            </c:numRef>
          </c:val>
          <c:extLst>
            <c:ext xmlns:c16="http://schemas.microsoft.com/office/drawing/2014/chart" uri="{C3380CC4-5D6E-409C-BE32-E72D297353CC}">
              <c16:uniqueId val="{00000000-3AE1-4E05-8382-135B39DE98DD}"/>
            </c:ext>
          </c:extLst>
        </c:ser>
        <c:ser>
          <c:idx val="1"/>
          <c:order val="1"/>
          <c:tx>
            <c:strRef>
              <c:f>Sheet3!$C$45</c:f>
              <c:strCache>
                <c:ptCount val="1"/>
                <c:pt idx="0">
                  <c:v>Project B Cash Flows (£m)</c:v>
                </c:pt>
              </c:strCache>
            </c:strRef>
          </c:tx>
          <c:spPr>
            <a:solidFill>
              <a:schemeClr val="accent2"/>
            </a:solidFill>
            <a:ln>
              <a:noFill/>
            </a:ln>
            <a:effectLst/>
          </c:spPr>
          <c:invertIfNegative val="0"/>
          <c:cat>
            <c:numRef>
              <c:f>Sheet3!$A$46:$A$50</c:f>
              <c:numCache>
                <c:formatCode>General</c:formatCode>
                <c:ptCount val="5"/>
                <c:pt idx="0">
                  <c:v>0</c:v>
                </c:pt>
                <c:pt idx="1">
                  <c:v>1</c:v>
                </c:pt>
                <c:pt idx="2">
                  <c:v>2</c:v>
                </c:pt>
                <c:pt idx="3">
                  <c:v>3</c:v>
                </c:pt>
                <c:pt idx="4">
                  <c:v>4</c:v>
                </c:pt>
              </c:numCache>
            </c:numRef>
          </c:cat>
          <c:val>
            <c:numRef>
              <c:f>Sheet3!$C$46:$C$50</c:f>
              <c:numCache>
                <c:formatCode>General</c:formatCode>
                <c:ptCount val="5"/>
                <c:pt idx="0">
                  <c:v>-75</c:v>
                </c:pt>
                <c:pt idx="1">
                  <c:v>50</c:v>
                </c:pt>
                <c:pt idx="2">
                  <c:v>20</c:v>
                </c:pt>
                <c:pt idx="3">
                  <c:v>20</c:v>
                </c:pt>
                <c:pt idx="4">
                  <c:v>20</c:v>
                </c:pt>
              </c:numCache>
            </c:numRef>
          </c:val>
          <c:extLst>
            <c:ext xmlns:c16="http://schemas.microsoft.com/office/drawing/2014/chart" uri="{C3380CC4-5D6E-409C-BE32-E72D297353CC}">
              <c16:uniqueId val="{00000001-3AE1-4E05-8382-135B39DE98DD}"/>
            </c:ext>
          </c:extLst>
        </c:ser>
        <c:dLbls>
          <c:showLegendKey val="0"/>
          <c:showVal val="0"/>
          <c:showCatName val="0"/>
          <c:showSerName val="0"/>
          <c:showPercent val="0"/>
          <c:showBubbleSize val="0"/>
        </c:dLbls>
        <c:gapWidth val="182"/>
        <c:axId val="715772432"/>
        <c:axId val="715772792"/>
      </c:barChart>
      <c:catAx>
        <c:axId val="7157724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5772792"/>
        <c:crosses val="autoZero"/>
        <c:auto val="1"/>
        <c:lblAlgn val="ctr"/>
        <c:lblOffset val="100"/>
        <c:noMultiLvlLbl val="0"/>
      </c:catAx>
      <c:valAx>
        <c:axId val="7157727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5772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Sheet3!$E$59</c:f>
              <c:strCache>
                <c:ptCount val="1"/>
                <c:pt idx="0">
                  <c:v>Accounting Rate of Return (ARR)</c:v>
                </c:pt>
              </c:strCache>
            </c:strRef>
          </c:tx>
          <c:spPr>
            <a:solidFill>
              <a:schemeClr val="accent1"/>
            </a:solidFill>
            <a:ln>
              <a:noFill/>
            </a:ln>
            <a:effectLst/>
          </c:spPr>
          <c:invertIfNegative val="0"/>
          <c:cat>
            <c:multiLvlStrRef>
              <c:f>Sheet3!$F$57:$G$58</c:f>
              <c:multiLvlStrCache>
                <c:ptCount val="2"/>
                <c:lvl>
                  <c:pt idx="0">
                    <c:v>3.18 years</c:v>
                  </c:pt>
                  <c:pt idx="1">
                    <c:v>2.25 years</c:v>
                  </c:pt>
                </c:lvl>
                <c:lvl>
                  <c:pt idx="0">
                    <c:v>Project A</c:v>
                  </c:pt>
                  <c:pt idx="1">
                    <c:v>Project B</c:v>
                  </c:pt>
                </c:lvl>
              </c:multiLvlStrCache>
            </c:multiLvlStrRef>
          </c:cat>
          <c:val>
            <c:numRef>
              <c:f>Sheet3!$F$59:$G$59</c:f>
              <c:numCache>
                <c:formatCode>0.00%</c:formatCode>
                <c:ptCount val="2"/>
                <c:pt idx="0">
                  <c:v>0.3906</c:v>
                </c:pt>
                <c:pt idx="1">
                  <c:v>0.36670000000000003</c:v>
                </c:pt>
              </c:numCache>
            </c:numRef>
          </c:val>
          <c:extLst>
            <c:ext xmlns:c16="http://schemas.microsoft.com/office/drawing/2014/chart" uri="{C3380CC4-5D6E-409C-BE32-E72D297353CC}">
              <c16:uniqueId val="{00000000-FEA5-41EC-A17A-F416AF0DF6EE}"/>
            </c:ext>
          </c:extLst>
        </c:ser>
        <c:ser>
          <c:idx val="1"/>
          <c:order val="1"/>
          <c:tx>
            <c:strRef>
              <c:f>Sheet3!$E$60</c:f>
              <c:strCache>
                <c:ptCount val="1"/>
                <c:pt idx="0">
                  <c:v>Net Present Value (NPV)</c:v>
                </c:pt>
              </c:strCache>
            </c:strRef>
          </c:tx>
          <c:spPr>
            <a:solidFill>
              <a:schemeClr val="accent2"/>
            </a:solidFill>
            <a:ln>
              <a:noFill/>
            </a:ln>
            <a:effectLst/>
          </c:spPr>
          <c:invertIfNegative val="0"/>
          <c:cat>
            <c:multiLvlStrRef>
              <c:f>Sheet3!$F$57:$G$58</c:f>
              <c:multiLvlStrCache>
                <c:ptCount val="2"/>
                <c:lvl>
                  <c:pt idx="0">
                    <c:v>3.18 years</c:v>
                  </c:pt>
                  <c:pt idx="1">
                    <c:v>2.25 years</c:v>
                  </c:pt>
                </c:lvl>
                <c:lvl>
                  <c:pt idx="0">
                    <c:v>Project A</c:v>
                  </c:pt>
                  <c:pt idx="1">
                    <c:v>Project B</c:v>
                  </c:pt>
                </c:lvl>
              </c:multiLvlStrCache>
            </c:multiLvlStrRef>
          </c:cat>
          <c:val>
            <c:numRef>
              <c:f>Sheet3!$F$60:$G$60</c:f>
              <c:numCache>
                <c:formatCode>General</c:formatCode>
                <c:ptCount val="2"/>
                <c:pt idx="0">
                  <c:v>0</c:v>
                </c:pt>
                <c:pt idx="1">
                  <c:v>0</c:v>
                </c:pt>
              </c:numCache>
            </c:numRef>
          </c:val>
          <c:extLst>
            <c:ext xmlns:c16="http://schemas.microsoft.com/office/drawing/2014/chart" uri="{C3380CC4-5D6E-409C-BE32-E72D297353CC}">
              <c16:uniqueId val="{00000001-FEA5-41EC-A17A-F416AF0DF6EE}"/>
            </c:ext>
          </c:extLst>
        </c:ser>
        <c:dLbls>
          <c:showLegendKey val="0"/>
          <c:showVal val="0"/>
          <c:showCatName val="0"/>
          <c:showSerName val="0"/>
          <c:showPercent val="0"/>
          <c:showBubbleSize val="0"/>
        </c:dLbls>
        <c:gapWidth val="219"/>
        <c:overlap val="-27"/>
        <c:axId val="666131128"/>
        <c:axId val="666131488"/>
      </c:barChart>
      <c:catAx>
        <c:axId val="666131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6131488"/>
        <c:crosses val="autoZero"/>
        <c:auto val="1"/>
        <c:lblAlgn val="ctr"/>
        <c:lblOffset val="100"/>
        <c:noMultiLvlLbl val="0"/>
      </c:catAx>
      <c:valAx>
        <c:axId val="66613148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6131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Sheet1!$A$19:$A$23</cx:f>
        <cx:lvl ptCount="5">
          <cx:pt idx="0">2019</cx:pt>
          <cx:pt idx="1">2020</cx:pt>
          <cx:pt idx="2">2021</cx:pt>
          <cx:pt idx="3">2022</cx:pt>
          <cx:pt idx="4">2023</cx:pt>
        </cx:lvl>
      </cx:strDim>
      <cx:numDim type="val">
        <cx:f>Sheet1!$B$19:$B$23</cx:f>
        <cx:lvl ptCount="5" formatCode="General">
          <cx:pt idx="0">84</cx:pt>
          <cx:pt idx="1">27</cx:pt>
          <cx:pt idx="2">-209</cx:pt>
          <cx:pt idx="3">27</cx:pt>
          <cx:pt idx="4">65</cx:pt>
        </cx:lvl>
      </cx:numDim>
    </cx:data>
    <cx:data id="1">
      <cx:strDim type="cat">
        <cx:f>Sheet1!$A$19:$A$23</cx:f>
        <cx:lvl ptCount="5">
          <cx:pt idx="0">2019</cx:pt>
          <cx:pt idx="1">2020</cx:pt>
          <cx:pt idx="2">2021</cx:pt>
          <cx:pt idx="3">2022</cx:pt>
          <cx:pt idx="4">2023</cx:pt>
        </cx:lvl>
      </cx:strDim>
      <cx:numDim type="val">
        <cx:f>Sheet1!$C$19:$C$23</cx:f>
        <cx:lvl ptCount="5" formatCode="#,##0">
          <cx:pt idx="0">2563</cx:pt>
          <cx:pt idx="1">2472</cx:pt>
          <cx:pt idx="2">2250</cx:pt>
          <cx:pt idx="3">2307</cx:pt>
          <cx:pt idx="4">2381</cx:pt>
        </cx:lvl>
      </cx:numDim>
    </cx:data>
    <cx:data id="2">
      <cx:strDim type="cat">
        <cx:f>Sheet1!$A$19:$A$23</cx:f>
        <cx:lvl ptCount="5">
          <cx:pt idx="0">2019</cx:pt>
          <cx:pt idx="1">2020</cx:pt>
          <cx:pt idx="2">2021</cx:pt>
          <cx:pt idx="3">2022</cx:pt>
          <cx:pt idx="4">2023</cx:pt>
        </cx:lvl>
      </cx:strDim>
      <cx:numDim type="val">
        <cx:f>Sheet1!$D$19:$D$23</cx:f>
        <cx:lvl ptCount="5" formatCode="General">
          <cx:pt idx="0">3.2799999999999998</cx:pt>
          <cx:pt idx="1">1.0900000000000001</cx:pt>
          <cx:pt idx="2">-9.2899999999999991</cx:pt>
          <cx:pt idx="3">1.1699999999999999</cx:pt>
          <cx:pt idx="4">2.73</cx:pt>
        </cx:lvl>
      </cx:numDim>
    </cx:data>
  </cx:chartData>
  <cx:chart>
    <cx:title pos="t" align="ctr" overlay="0">
      <cx:tx>
        <cx:txData>
          <cx:v>ROE</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ROE</a:t>
          </a:r>
        </a:p>
      </cx:txPr>
    </cx:title>
    <cx:plotArea>
      <cx:plotAreaRegion>
        <cx:series layoutId="waterfall" uniqueId="{8434EA50-4686-45F0-86B9-B47879680DBA}" formatIdx="0">
          <cx:tx>
            <cx:txData>
              <cx:f>Sheet1!$B$18</cx:f>
              <cx:v>Net Profit (£m)</cx:v>
            </cx:txData>
          </cx:tx>
          <cx:dataLabels pos="outEnd">
            <cx:visibility seriesName="0" categoryName="0" value="1"/>
          </cx:dataLabels>
          <cx:dataId val="0"/>
          <cx:layoutPr>
            <cx:subtotals/>
          </cx:layoutPr>
        </cx:series>
        <cx:series layoutId="waterfall" hidden="1" uniqueId="{E1DA75E3-59B5-43C8-BF53-704A98DCF20B}" formatIdx="1">
          <cx:tx>
            <cx:txData>
              <cx:f>Sheet1!$C$18</cx:f>
              <cx:v>Shareholders' Equity (£m)</cx:v>
            </cx:txData>
          </cx:tx>
          <cx:dataLabels pos="outEnd">
            <cx:visibility seriesName="0" categoryName="0" value="1"/>
          </cx:dataLabels>
          <cx:dataId val="1"/>
          <cx:layoutPr>
            <cx:subtotals/>
          </cx:layoutPr>
        </cx:series>
        <cx:series layoutId="waterfall" hidden="1" uniqueId="{2F2E2135-9AD4-4366-B5B9-C6E9FE521BF4}" formatIdx="2">
          <cx:tx>
            <cx:txData>
              <cx:f>Sheet1!$D$18</cx:f>
              <cx:v>ROE (%)</cx:v>
            </cx:txData>
          </cx:tx>
          <cx:dataLabels pos="outEnd">
            <cx:visibility seriesName="0" categoryName="0" value="1"/>
          </cx:dataLabels>
          <cx:dataId val="2"/>
          <cx:layoutPr>
            <cx:subtotals/>
          </cx:layoutPr>
        </cx:series>
      </cx:plotAreaRegion>
      <cx:axis id="0">
        <cx:catScaling gapWidth="0.5"/>
        <cx:tickLabels/>
      </cx:axis>
      <cx:axis id="1">
        <cx:valScaling/>
        <cx:majorGridlines/>
        <cx:tickLabels/>
      </cx:axis>
    </cx:plotArea>
    <cx:legend pos="t" align="ctr" overlay="0"/>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95">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961AE-8ED6-463A-9B02-8308F82DF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6698</Words>
  <Characters>38182</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 239523</dc:creator>
  <cp:keywords/>
  <dc:description/>
  <cp:lastModifiedBy>Himanshu Sureshbhai Rathod (2335335)</cp:lastModifiedBy>
  <cp:revision>3</cp:revision>
  <dcterms:created xsi:type="dcterms:W3CDTF">2024-08-20T10:55:00Z</dcterms:created>
  <dcterms:modified xsi:type="dcterms:W3CDTF">2024-08-20T10:58:00Z</dcterms:modified>
</cp:coreProperties>
</file>