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243B" w:rsidRPr="001B243B" w:rsidRDefault="001B243B" w:rsidP="001B243B">
      <w:pPr>
        <w:ind w:left="141"/>
        <w:rPr>
          <w:rFonts w:ascii="Arial" w:hAnsi="Arial" w:cs="Arial"/>
          <w:b/>
          <w:sz w:val="28"/>
          <w:szCs w:val="28"/>
          <w:lang w:val="en"/>
        </w:rPr>
      </w:pPr>
      <w:r w:rsidRPr="001B243B">
        <w:rPr>
          <w:b/>
          <w:sz w:val="28"/>
          <w:szCs w:val="28"/>
        </w:rPr>
        <w:t xml:space="preserve">‘However powerful their sense of cultural and historical identity the Welsh were, in political and economic terms, strictly unionist.’  (Kenneth Morgan, </w:t>
      </w:r>
      <w:r w:rsidRPr="001B243B">
        <w:rPr>
          <w:b/>
          <w:i/>
          <w:sz w:val="28"/>
          <w:szCs w:val="28"/>
        </w:rPr>
        <w:t>Rebirth of a Nation</w:t>
      </w:r>
      <w:r w:rsidRPr="001B243B">
        <w:rPr>
          <w:b/>
          <w:sz w:val="28"/>
          <w:szCs w:val="28"/>
        </w:rPr>
        <w:t xml:space="preserve"> (Oxford: OUP, 1982), p. 405. </w:t>
      </w:r>
    </w:p>
    <w:p w:rsidR="001B243B" w:rsidRDefault="001B243B" w:rsidP="001B243B">
      <w:pPr>
        <w:rPr>
          <w:b/>
          <w:sz w:val="28"/>
          <w:szCs w:val="28"/>
        </w:rPr>
      </w:pPr>
      <w:r w:rsidRPr="001B243B">
        <w:rPr>
          <w:b/>
          <w:sz w:val="28"/>
          <w:szCs w:val="28"/>
        </w:rPr>
        <w:t xml:space="preserve">Discuss the accuracy of this statement by examining economic and politics developments in Wales since 1945. As part of your research for this you will be required to draw upon </w:t>
      </w:r>
      <w:proofErr w:type="gramStart"/>
      <w:r w:rsidRPr="001B243B">
        <w:rPr>
          <w:b/>
          <w:sz w:val="28"/>
          <w:szCs w:val="28"/>
        </w:rPr>
        <w:t>a number of</w:t>
      </w:r>
      <w:proofErr w:type="gramEnd"/>
      <w:r w:rsidRPr="001B243B">
        <w:rPr>
          <w:b/>
          <w:sz w:val="28"/>
          <w:szCs w:val="28"/>
        </w:rPr>
        <w:t xml:space="preserve"> secondary sources dealing with post-World War Two Wales, including part III of Morgan’s seminal work, the essential reader for this course and the source of the above quote.</w:t>
      </w:r>
    </w:p>
    <w:p w:rsidR="001B243B" w:rsidRDefault="001B243B" w:rsidP="001B243B">
      <w:pPr>
        <w:spacing w:line="360" w:lineRule="auto"/>
        <w:rPr>
          <w:sz w:val="24"/>
          <w:szCs w:val="24"/>
        </w:rPr>
      </w:pPr>
    </w:p>
    <w:p w:rsidR="00130ABD" w:rsidRDefault="001B243B" w:rsidP="001B243B">
      <w:pPr>
        <w:spacing w:line="360" w:lineRule="auto"/>
        <w:rPr>
          <w:sz w:val="24"/>
          <w:szCs w:val="24"/>
        </w:rPr>
      </w:pPr>
      <w:r>
        <w:rPr>
          <w:sz w:val="24"/>
          <w:szCs w:val="24"/>
        </w:rPr>
        <w:t xml:space="preserve">Part of Morgan’s main contention is that the post-war economy of Wales created </w:t>
      </w:r>
      <w:r w:rsidR="000B415E">
        <w:rPr>
          <w:sz w:val="24"/>
          <w:szCs w:val="24"/>
        </w:rPr>
        <w:t>more homogenised, consumerist society and dampened calls for political separation.</w:t>
      </w:r>
      <w:r w:rsidR="00130ABD">
        <w:rPr>
          <w:sz w:val="24"/>
          <w:szCs w:val="24"/>
        </w:rPr>
        <w:t xml:space="preserve"> The war had left behind the core of a strong manufacturing industry in Wales</w:t>
      </w:r>
      <w:r w:rsidR="00130ABD" w:rsidRPr="00130ABD">
        <w:rPr>
          <w:sz w:val="24"/>
          <w:szCs w:val="24"/>
        </w:rPr>
        <w:t>—</w:t>
      </w:r>
      <w:r w:rsidR="00130ABD">
        <w:rPr>
          <w:sz w:val="24"/>
          <w:szCs w:val="24"/>
        </w:rPr>
        <w:t xml:space="preserve">a pool of newly-skilled workers and the presence of former ordnance factories, ready to be converted, </w:t>
      </w:r>
      <w:r w:rsidR="004E63E0">
        <w:rPr>
          <w:sz w:val="24"/>
          <w:szCs w:val="24"/>
        </w:rPr>
        <w:t xml:space="preserve">allowed </w:t>
      </w:r>
      <w:r w:rsidR="00130ABD">
        <w:rPr>
          <w:sz w:val="24"/>
          <w:szCs w:val="24"/>
        </w:rPr>
        <w:t xml:space="preserve">new light industry </w:t>
      </w:r>
      <w:r w:rsidR="004E63E0">
        <w:rPr>
          <w:sz w:val="24"/>
          <w:szCs w:val="24"/>
        </w:rPr>
        <w:t xml:space="preserve">to flourish </w:t>
      </w:r>
      <w:r w:rsidR="00130ABD">
        <w:rPr>
          <w:sz w:val="24"/>
          <w:szCs w:val="24"/>
        </w:rPr>
        <w:t>in the country, buoyed by the need for post-war restocking;</w:t>
      </w:r>
      <w:r w:rsidR="00130ABD">
        <w:rPr>
          <w:rStyle w:val="FootnoteReference"/>
          <w:sz w:val="24"/>
          <w:szCs w:val="24"/>
        </w:rPr>
        <w:footnoteReference w:id="1"/>
      </w:r>
      <w:r w:rsidR="00130ABD">
        <w:rPr>
          <w:sz w:val="24"/>
          <w:szCs w:val="24"/>
        </w:rPr>
        <w:t xml:space="preserve"> as a result, industry in </w:t>
      </w:r>
      <w:r w:rsidR="00D62D68">
        <w:rPr>
          <w:sz w:val="24"/>
          <w:szCs w:val="24"/>
        </w:rPr>
        <w:t xml:space="preserve">parts of </w:t>
      </w:r>
      <w:r w:rsidR="00130ABD">
        <w:rPr>
          <w:sz w:val="24"/>
          <w:szCs w:val="24"/>
        </w:rPr>
        <w:t xml:space="preserve">south Wales grew rapidly, </w:t>
      </w:r>
      <w:r w:rsidR="003A68E6">
        <w:rPr>
          <w:sz w:val="24"/>
          <w:szCs w:val="24"/>
        </w:rPr>
        <w:t>and full employment was maintained</w:t>
      </w:r>
      <w:r w:rsidR="00782F99">
        <w:rPr>
          <w:sz w:val="24"/>
          <w:szCs w:val="24"/>
        </w:rPr>
        <w:t>.</w:t>
      </w:r>
      <w:r w:rsidR="00782F99">
        <w:rPr>
          <w:rStyle w:val="FootnoteReference"/>
          <w:sz w:val="24"/>
          <w:szCs w:val="24"/>
        </w:rPr>
        <w:footnoteReference w:id="2"/>
      </w:r>
      <w:r w:rsidR="00357974">
        <w:rPr>
          <w:sz w:val="24"/>
          <w:szCs w:val="24"/>
        </w:rPr>
        <w:t xml:space="preserve"> The period between 1945 and 1980 saw a spreading of material wealth, and rising living and working standards</w:t>
      </w:r>
      <w:r w:rsidR="009202E7">
        <w:rPr>
          <w:sz w:val="24"/>
          <w:szCs w:val="24"/>
        </w:rPr>
        <w:t>;</w:t>
      </w:r>
      <w:r w:rsidR="00357974">
        <w:rPr>
          <w:rStyle w:val="FootnoteReference"/>
          <w:sz w:val="24"/>
          <w:szCs w:val="24"/>
        </w:rPr>
        <w:footnoteReference w:id="3"/>
      </w:r>
      <w:r w:rsidR="009202E7">
        <w:rPr>
          <w:sz w:val="24"/>
          <w:szCs w:val="24"/>
        </w:rPr>
        <w:t xml:space="preserve"> importantly, women came to amount to almost 40 per cent of Wales’s labou</w:t>
      </w:r>
      <w:r w:rsidR="004E63E0">
        <w:rPr>
          <w:sz w:val="24"/>
          <w:szCs w:val="24"/>
        </w:rPr>
        <w:t>r</w:t>
      </w:r>
      <w:r w:rsidR="009202E7">
        <w:rPr>
          <w:sz w:val="24"/>
          <w:szCs w:val="24"/>
        </w:rPr>
        <w:t xml:space="preserve"> force during this period</w:t>
      </w:r>
      <w:r w:rsidR="00D62D68" w:rsidRPr="00130ABD">
        <w:rPr>
          <w:sz w:val="24"/>
          <w:szCs w:val="24"/>
        </w:rPr>
        <w:t>—</w:t>
      </w:r>
      <w:r w:rsidR="00D62D68">
        <w:rPr>
          <w:sz w:val="24"/>
          <w:szCs w:val="24"/>
        </w:rPr>
        <w:t xml:space="preserve">it was not just </w:t>
      </w:r>
      <w:r w:rsidR="003A68E6">
        <w:rPr>
          <w:sz w:val="24"/>
          <w:szCs w:val="24"/>
        </w:rPr>
        <w:t>businesses that were diversifying, but the workforce itself, and with it came new opportunity</w:t>
      </w:r>
      <w:r w:rsidR="00D62D68">
        <w:rPr>
          <w:sz w:val="24"/>
          <w:szCs w:val="24"/>
        </w:rPr>
        <w:t xml:space="preserve">. </w:t>
      </w:r>
      <w:r w:rsidR="00892565">
        <w:rPr>
          <w:sz w:val="24"/>
          <w:szCs w:val="24"/>
        </w:rPr>
        <w:t>T</w:t>
      </w:r>
      <w:r w:rsidR="00B41468">
        <w:rPr>
          <w:sz w:val="24"/>
          <w:szCs w:val="24"/>
        </w:rPr>
        <w:t xml:space="preserve">his created </w:t>
      </w:r>
      <w:r w:rsidR="00892565">
        <w:rPr>
          <w:sz w:val="24"/>
          <w:szCs w:val="24"/>
        </w:rPr>
        <w:t>what Morgan describes as a ‘mood of optimism’ in south Wales.</w:t>
      </w:r>
      <w:r w:rsidR="009955F2">
        <w:rPr>
          <w:rStyle w:val="FootnoteReference"/>
          <w:sz w:val="24"/>
          <w:szCs w:val="24"/>
        </w:rPr>
        <w:footnoteReference w:id="4"/>
      </w:r>
      <w:r w:rsidR="009955F2">
        <w:rPr>
          <w:sz w:val="24"/>
          <w:szCs w:val="24"/>
        </w:rPr>
        <w:t xml:space="preserve"> </w:t>
      </w:r>
      <w:r w:rsidR="003A68E6">
        <w:rPr>
          <w:sz w:val="24"/>
          <w:szCs w:val="24"/>
        </w:rPr>
        <w:t xml:space="preserve">Having emerged from the severe decline of the interwar years, the people of Wales </w:t>
      </w:r>
      <w:r w:rsidR="000F42DC">
        <w:rPr>
          <w:sz w:val="24"/>
          <w:szCs w:val="24"/>
        </w:rPr>
        <w:t>found themselves</w:t>
      </w:r>
      <w:r w:rsidR="000F42DC" w:rsidRPr="00130ABD">
        <w:rPr>
          <w:sz w:val="24"/>
          <w:szCs w:val="24"/>
        </w:rPr>
        <w:t>—</w:t>
      </w:r>
      <w:r w:rsidR="000F42DC">
        <w:rPr>
          <w:sz w:val="24"/>
          <w:szCs w:val="24"/>
        </w:rPr>
        <w:t>in relative terms</w:t>
      </w:r>
      <w:r w:rsidR="000F42DC" w:rsidRPr="00130ABD">
        <w:rPr>
          <w:sz w:val="24"/>
          <w:szCs w:val="24"/>
        </w:rPr>
        <w:t>—</w:t>
      </w:r>
      <w:r w:rsidR="000F42DC">
        <w:rPr>
          <w:sz w:val="24"/>
          <w:szCs w:val="24"/>
        </w:rPr>
        <w:t>enriched.</w:t>
      </w:r>
    </w:p>
    <w:p w:rsidR="002E0233" w:rsidRDefault="009955F2" w:rsidP="002E0233">
      <w:pPr>
        <w:spacing w:line="360" w:lineRule="auto"/>
        <w:ind w:firstLine="720"/>
        <w:rPr>
          <w:sz w:val="24"/>
          <w:szCs w:val="24"/>
        </w:rPr>
      </w:pPr>
      <w:r>
        <w:rPr>
          <w:sz w:val="24"/>
          <w:szCs w:val="24"/>
        </w:rPr>
        <w:t>This growth of new industries rested in large part on the</w:t>
      </w:r>
      <w:r w:rsidR="000F42DC">
        <w:rPr>
          <w:sz w:val="24"/>
          <w:szCs w:val="24"/>
        </w:rPr>
        <w:t xml:space="preserve"> central direction of the UK government</w:t>
      </w:r>
      <w:r w:rsidR="003C23F0" w:rsidRPr="00130ABD">
        <w:rPr>
          <w:sz w:val="24"/>
          <w:szCs w:val="24"/>
        </w:rPr>
        <w:t>—</w:t>
      </w:r>
      <w:r w:rsidR="003C23F0">
        <w:rPr>
          <w:sz w:val="24"/>
          <w:szCs w:val="24"/>
        </w:rPr>
        <w:t>operating in the wake</w:t>
      </w:r>
      <w:r>
        <w:rPr>
          <w:sz w:val="24"/>
          <w:szCs w:val="24"/>
        </w:rPr>
        <w:t xml:space="preserve"> of t</w:t>
      </w:r>
      <w:r w:rsidR="00DA53F2">
        <w:rPr>
          <w:sz w:val="24"/>
          <w:szCs w:val="24"/>
        </w:rPr>
        <w:t>he 194</w:t>
      </w:r>
      <w:r w:rsidR="003A68E6">
        <w:rPr>
          <w:sz w:val="24"/>
          <w:szCs w:val="24"/>
        </w:rPr>
        <w:t>2</w:t>
      </w:r>
      <w:r w:rsidR="00DA53F2">
        <w:rPr>
          <w:sz w:val="24"/>
          <w:szCs w:val="24"/>
        </w:rPr>
        <w:t xml:space="preserve"> Barlow Report</w:t>
      </w:r>
      <w:r w:rsidR="003C23F0" w:rsidRPr="00130ABD">
        <w:rPr>
          <w:sz w:val="24"/>
          <w:szCs w:val="24"/>
        </w:rPr>
        <w:t>—</w:t>
      </w:r>
      <w:r>
        <w:rPr>
          <w:sz w:val="24"/>
          <w:szCs w:val="24"/>
        </w:rPr>
        <w:t>which</w:t>
      </w:r>
      <w:r w:rsidR="00DA53F2">
        <w:rPr>
          <w:sz w:val="24"/>
          <w:szCs w:val="24"/>
        </w:rPr>
        <w:t xml:space="preserve"> </w:t>
      </w:r>
      <w:r w:rsidR="008D2A5F">
        <w:rPr>
          <w:sz w:val="24"/>
          <w:szCs w:val="24"/>
        </w:rPr>
        <w:t>ushered in</w:t>
      </w:r>
      <w:r w:rsidR="00DA53F2">
        <w:rPr>
          <w:sz w:val="24"/>
          <w:szCs w:val="24"/>
        </w:rPr>
        <w:t xml:space="preserve"> reorganisation of British industry on a wide scale.</w:t>
      </w:r>
      <w:r w:rsidR="00DA53F2">
        <w:rPr>
          <w:rStyle w:val="FootnoteReference"/>
          <w:sz w:val="24"/>
          <w:szCs w:val="24"/>
        </w:rPr>
        <w:footnoteReference w:id="5"/>
      </w:r>
      <w:r w:rsidR="008D2A5F">
        <w:rPr>
          <w:sz w:val="24"/>
          <w:szCs w:val="24"/>
        </w:rPr>
        <w:t xml:space="preserve"> The report’s recommendations were for a national planning board to encourage the redistribution of industry across the country, </w:t>
      </w:r>
      <w:r w:rsidR="008D2A5F">
        <w:rPr>
          <w:sz w:val="24"/>
          <w:szCs w:val="24"/>
        </w:rPr>
        <w:lastRenderedPageBreak/>
        <w:t xml:space="preserve">away from London </w:t>
      </w:r>
      <w:r w:rsidR="000B1F4F">
        <w:rPr>
          <w:sz w:val="24"/>
          <w:szCs w:val="24"/>
        </w:rPr>
        <w:t xml:space="preserve">and southeast England </w:t>
      </w:r>
      <w:r w:rsidR="008D2A5F">
        <w:rPr>
          <w:sz w:val="24"/>
          <w:szCs w:val="24"/>
        </w:rPr>
        <w:t>in particular</w:t>
      </w:r>
      <w:r w:rsidR="000F42DC">
        <w:rPr>
          <w:sz w:val="24"/>
          <w:szCs w:val="24"/>
        </w:rPr>
        <w:t>;</w:t>
      </w:r>
      <w:r w:rsidR="00DC21A8">
        <w:rPr>
          <w:rStyle w:val="FootnoteReference"/>
          <w:sz w:val="24"/>
          <w:szCs w:val="24"/>
        </w:rPr>
        <w:footnoteReference w:id="6"/>
      </w:r>
      <w:r w:rsidR="008D2A5F">
        <w:rPr>
          <w:sz w:val="24"/>
          <w:szCs w:val="24"/>
        </w:rPr>
        <w:t xml:space="preserve"> </w:t>
      </w:r>
      <w:r w:rsidR="000F42DC">
        <w:rPr>
          <w:sz w:val="24"/>
          <w:szCs w:val="24"/>
        </w:rPr>
        <w:t xml:space="preserve">attention was to be paid to ensuring diverse economies within individual regions. </w:t>
      </w:r>
      <w:r w:rsidR="00A77BAE">
        <w:rPr>
          <w:sz w:val="24"/>
          <w:szCs w:val="24"/>
        </w:rPr>
        <w:t xml:space="preserve">As a result, the Board of Trade </w:t>
      </w:r>
      <w:r w:rsidR="00835BFD">
        <w:rPr>
          <w:sz w:val="24"/>
          <w:szCs w:val="24"/>
        </w:rPr>
        <w:t xml:space="preserve">was given powers to build factories and provide grants </w:t>
      </w:r>
      <w:proofErr w:type="gramStart"/>
      <w:r w:rsidR="00835BFD">
        <w:rPr>
          <w:sz w:val="24"/>
          <w:szCs w:val="24"/>
        </w:rPr>
        <w:t>in order to</w:t>
      </w:r>
      <w:proofErr w:type="gramEnd"/>
      <w:r w:rsidR="00835BFD">
        <w:rPr>
          <w:sz w:val="24"/>
          <w:szCs w:val="24"/>
        </w:rPr>
        <w:t xml:space="preserve"> encourage new industry into ‘</w:t>
      </w:r>
      <w:r>
        <w:rPr>
          <w:sz w:val="24"/>
          <w:szCs w:val="24"/>
        </w:rPr>
        <w:t>D</w:t>
      </w:r>
      <w:r w:rsidR="00835BFD">
        <w:rPr>
          <w:sz w:val="24"/>
          <w:szCs w:val="24"/>
        </w:rPr>
        <w:t xml:space="preserve">evelopment </w:t>
      </w:r>
      <w:r>
        <w:rPr>
          <w:sz w:val="24"/>
          <w:szCs w:val="24"/>
        </w:rPr>
        <w:t>A</w:t>
      </w:r>
      <w:r w:rsidR="00835BFD">
        <w:rPr>
          <w:sz w:val="24"/>
          <w:szCs w:val="24"/>
        </w:rPr>
        <w:t>reas’</w:t>
      </w:r>
      <w:r w:rsidR="006840F0">
        <w:rPr>
          <w:sz w:val="24"/>
          <w:szCs w:val="24"/>
        </w:rPr>
        <w:t>.</w:t>
      </w:r>
      <w:r w:rsidR="00835BFD">
        <w:rPr>
          <w:rStyle w:val="FootnoteReference"/>
          <w:sz w:val="24"/>
          <w:szCs w:val="24"/>
        </w:rPr>
        <w:footnoteReference w:id="7"/>
      </w:r>
      <w:r w:rsidR="00F317B3">
        <w:rPr>
          <w:sz w:val="24"/>
          <w:szCs w:val="24"/>
        </w:rPr>
        <w:t xml:space="preserve"> </w:t>
      </w:r>
      <w:r w:rsidR="006840F0">
        <w:rPr>
          <w:sz w:val="24"/>
          <w:szCs w:val="24"/>
        </w:rPr>
        <w:t>A</w:t>
      </w:r>
      <w:r w:rsidR="00F317B3">
        <w:rPr>
          <w:sz w:val="24"/>
          <w:szCs w:val="24"/>
        </w:rPr>
        <w:t>lmost</w:t>
      </w:r>
      <w:r w:rsidR="00A86B9F">
        <w:rPr>
          <w:sz w:val="24"/>
          <w:szCs w:val="24"/>
        </w:rPr>
        <w:t xml:space="preserve"> </w:t>
      </w:r>
      <w:r w:rsidR="00F317B3">
        <w:rPr>
          <w:sz w:val="24"/>
          <w:szCs w:val="24"/>
        </w:rPr>
        <w:t>t</w:t>
      </w:r>
      <w:r w:rsidR="00A86B9F">
        <w:rPr>
          <w:sz w:val="24"/>
          <w:szCs w:val="24"/>
        </w:rPr>
        <w:t xml:space="preserve">he entirety of south Wales </w:t>
      </w:r>
      <w:r w:rsidR="00F317B3">
        <w:rPr>
          <w:sz w:val="24"/>
          <w:szCs w:val="24"/>
        </w:rPr>
        <w:t>came to be given this designation</w:t>
      </w:r>
      <w:r w:rsidR="006840F0">
        <w:rPr>
          <w:sz w:val="24"/>
          <w:szCs w:val="24"/>
        </w:rPr>
        <w:t>;</w:t>
      </w:r>
      <w:r w:rsidR="00F317B3">
        <w:rPr>
          <w:rStyle w:val="FootnoteReference"/>
          <w:sz w:val="24"/>
          <w:szCs w:val="24"/>
        </w:rPr>
        <w:footnoteReference w:id="8"/>
      </w:r>
      <w:r w:rsidR="00F317B3">
        <w:rPr>
          <w:sz w:val="24"/>
          <w:szCs w:val="24"/>
        </w:rPr>
        <w:t xml:space="preserve"> </w:t>
      </w:r>
      <w:r>
        <w:rPr>
          <w:sz w:val="24"/>
          <w:szCs w:val="24"/>
        </w:rPr>
        <w:t>b</w:t>
      </w:r>
      <w:r w:rsidR="006840F0">
        <w:rPr>
          <w:sz w:val="24"/>
          <w:szCs w:val="24"/>
        </w:rPr>
        <w:t>y 1949, 179 new factories had been built here, 112 of which were ‘advance factories’ set up by the Board of Trade.</w:t>
      </w:r>
      <w:r w:rsidR="006840F0">
        <w:rPr>
          <w:rStyle w:val="FootnoteReference"/>
          <w:sz w:val="24"/>
          <w:szCs w:val="24"/>
        </w:rPr>
        <w:footnoteReference w:id="9"/>
      </w:r>
      <w:r w:rsidR="00044032">
        <w:rPr>
          <w:sz w:val="24"/>
          <w:szCs w:val="24"/>
        </w:rPr>
        <w:t xml:space="preserve"> </w:t>
      </w:r>
      <w:r w:rsidR="0040399C">
        <w:rPr>
          <w:sz w:val="24"/>
          <w:szCs w:val="24"/>
        </w:rPr>
        <w:t xml:space="preserve">The result was a diversification in areas of the south </w:t>
      </w:r>
      <w:r w:rsidR="000F42DC">
        <w:rPr>
          <w:sz w:val="24"/>
          <w:szCs w:val="24"/>
        </w:rPr>
        <w:t xml:space="preserve">of Wales that had </w:t>
      </w:r>
      <w:r w:rsidR="0040399C">
        <w:rPr>
          <w:sz w:val="24"/>
          <w:szCs w:val="24"/>
        </w:rPr>
        <w:t xml:space="preserve">previously </w:t>
      </w:r>
      <w:r w:rsidR="00BE1E24">
        <w:rPr>
          <w:sz w:val="24"/>
          <w:szCs w:val="24"/>
        </w:rPr>
        <w:t xml:space="preserve">been </w:t>
      </w:r>
      <w:r w:rsidR="0040399C">
        <w:rPr>
          <w:sz w:val="24"/>
          <w:szCs w:val="24"/>
        </w:rPr>
        <w:t>dominated by heavy industry.</w:t>
      </w:r>
      <w:r w:rsidR="0040399C">
        <w:rPr>
          <w:rStyle w:val="FootnoteReference"/>
          <w:sz w:val="24"/>
          <w:szCs w:val="24"/>
        </w:rPr>
        <w:footnoteReference w:id="10"/>
      </w:r>
      <w:r w:rsidR="003C23F0">
        <w:rPr>
          <w:sz w:val="24"/>
          <w:szCs w:val="24"/>
        </w:rPr>
        <w:t xml:space="preserve"> </w:t>
      </w:r>
      <w:r w:rsidR="00BE1E24">
        <w:rPr>
          <w:sz w:val="24"/>
          <w:szCs w:val="24"/>
        </w:rPr>
        <w:t>Economic prospects in Wales improved, thorough the centralised planning of the post-war UK governments and the UK-wide Board of Trade. As such, Wales’s economic boom during this ‘second Industrial Revolution’ was built upon closer ties with the Union.</w:t>
      </w:r>
      <w:r w:rsidR="002E0233" w:rsidRPr="002E0233">
        <w:rPr>
          <w:sz w:val="24"/>
          <w:szCs w:val="24"/>
        </w:rPr>
        <w:t xml:space="preserve"> </w:t>
      </w:r>
    </w:p>
    <w:p w:rsidR="009E7930" w:rsidRDefault="002E0233" w:rsidP="00470AA3">
      <w:pPr>
        <w:spacing w:line="360" w:lineRule="auto"/>
        <w:ind w:firstLine="720"/>
        <w:rPr>
          <w:sz w:val="24"/>
          <w:szCs w:val="24"/>
        </w:rPr>
      </w:pPr>
      <w:r>
        <w:rPr>
          <w:sz w:val="24"/>
          <w:szCs w:val="24"/>
        </w:rPr>
        <w:t>This was also the age of ‘consensus’ politics, to some degree, born from the Coalition Government during the war. Both major UK parties were committed to a policy of full employment, to be achieved through a combination of public and private investment: Labour’s 1945 manifesto had notably called for a Keynesian mixed economy to do this, and the post-war Labour government turned increasingly towards demand management rather than direct government control, meeting the position of the Conservatives.</w:t>
      </w:r>
      <w:r>
        <w:rPr>
          <w:rStyle w:val="FootnoteReference"/>
          <w:sz w:val="24"/>
          <w:szCs w:val="24"/>
        </w:rPr>
        <w:footnoteReference w:id="11"/>
      </w:r>
      <w:r>
        <w:rPr>
          <w:sz w:val="24"/>
          <w:szCs w:val="24"/>
        </w:rPr>
        <w:t xml:space="preserve"> As a result, when recession hit in 1957-8, Macmillan’s Conservative government chose to respond by boosting the </w:t>
      </w:r>
      <w:r w:rsidR="00AE5C65">
        <w:rPr>
          <w:sz w:val="24"/>
          <w:szCs w:val="24"/>
        </w:rPr>
        <w:t>D</w:t>
      </w:r>
      <w:r>
        <w:rPr>
          <w:sz w:val="24"/>
          <w:szCs w:val="24"/>
        </w:rPr>
        <w:t xml:space="preserve">evelopment </w:t>
      </w:r>
      <w:r w:rsidR="00AE5C65">
        <w:rPr>
          <w:sz w:val="24"/>
          <w:szCs w:val="24"/>
        </w:rPr>
        <w:t>A</w:t>
      </w:r>
      <w:r>
        <w:rPr>
          <w:sz w:val="24"/>
          <w:szCs w:val="24"/>
        </w:rPr>
        <w:t>rea policy</w:t>
      </w:r>
      <w:r w:rsidR="00AE5C65">
        <w:rPr>
          <w:sz w:val="24"/>
          <w:szCs w:val="24"/>
        </w:rPr>
        <w:t>.</w:t>
      </w:r>
      <w:r>
        <w:rPr>
          <w:rStyle w:val="FootnoteReference"/>
          <w:sz w:val="24"/>
          <w:szCs w:val="24"/>
        </w:rPr>
        <w:footnoteReference w:id="12"/>
      </w:r>
      <w:r w:rsidRPr="006C6C96">
        <w:rPr>
          <w:sz w:val="24"/>
          <w:szCs w:val="24"/>
        </w:rPr>
        <w:t xml:space="preserve"> </w:t>
      </w:r>
      <w:r w:rsidR="000F42DC">
        <w:rPr>
          <w:sz w:val="24"/>
          <w:szCs w:val="24"/>
        </w:rPr>
        <w:t>Such action was clearly necessary, as t</w:t>
      </w:r>
      <w:r w:rsidR="009955F2">
        <w:rPr>
          <w:sz w:val="24"/>
          <w:szCs w:val="24"/>
        </w:rPr>
        <w:t xml:space="preserve">he old Welsh heavy industries </w:t>
      </w:r>
      <w:r w:rsidR="003C23F0">
        <w:rPr>
          <w:sz w:val="24"/>
          <w:szCs w:val="24"/>
        </w:rPr>
        <w:t xml:space="preserve">either </w:t>
      </w:r>
      <w:r w:rsidR="009955F2">
        <w:rPr>
          <w:sz w:val="24"/>
          <w:szCs w:val="24"/>
        </w:rPr>
        <w:t>entered</w:t>
      </w:r>
      <w:r w:rsidR="009955F2">
        <w:rPr>
          <w:sz w:val="24"/>
          <w:szCs w:val="24"/>
        </w:rPr>
        <w:t xml:space="preserve"> or continued</w:t>
      </w:r>
      <w:r w:rsidR="009955F2">
        <w:rPr>
          <w:sz w:val="24"/>
          <w:szCs w:val="24"/>
        </w:rPr>
        <w:t xml:space="preserve"> a steady period of decline after the Second World War. Despite swift nationalisation and investment, coal-mining </w:t>
      </w:r>
      <w:r w:rsidR="009955F2">
        <w:rPr>
          <w:sz w:val="24"/>
          <w:szCs w:val="24"/>
        </w:rPr>
        <w:t xml:space="preserve">continued </w:t>
      </w:r>
      <w:r w:rsidR="000F42DC">
        <w:rPr>
          <w:sz w:val="24"/>
          <w:szCs w:val="24"/>
        </w:rPr>
        <w:t>pattern of decline that had been seen</w:t>
      </w:r>
      <w:r w:rsidR="009955F2">
        <w:rPr>
          <w:sz w:val="24"/>
          <w:szCs w:val="24"/>
        </w:rPr>
        <w:t xml:space="preserve"> 1921, </w:t>
      </w:r>
      <w:r w:rsidR="009955F2">
        <w:rPr>
          <w:sz w:val="24"/>
          <w:szCs w:val="24"/>
        </w:rPr>
        <w:t>march</w:t>
      </w:r>
      <w:r w:rsidR="009955F2">
        <w:rPr>
          <w:sz w:val="24"/>
          <w:szCs w:val="24"/>
        </w:rPr>
        <w:t>ing</w:t>
      </w:r>
      <w:r w:rsidR="009955F2">
        <w:rPr>
          <w:sz w:val="24"/>
          <w:szCs w:val="24"/>
        </w:rPr>
        <w:t xml:space="preserve"> steadily towards </w:t>
      </w:r>
      <w:r w:rsidR="000F42DC">
        <w:rPr>
          <w:sz w:val="24"/>
          <w:szCs w:val="24"/>
        </w:rPr>
        <w:t>a</w:t>
      </w:r>
      <w:r w:rsidR="009955F2">
        <w:rPr>
          <w:sz w:val="24"/>
          <w:szCs w:val="24"/>
        </w:rPr>
        <w:t xml:space="preserve"> demise: employment in Welsh pits fell from 106,000 to just over 30,000 between 1960 and 1979 as the National Coal Board steadily closed them down.</w:t>
      </w:r>
      <w:r w:rsidR="009955F2">
        <w:rPr>
          <w:rStyle w:val="FootnoteReference"/>
          <w:sz w:val="24"/>
          <w:szCs w:val="24"/>
        </w:rPr>
        <w:footnoteReference w:id="13"/>
      </w:r>
      <w:r w:rsidR="009955F2" w:rsidRPr="00933661">
        <w:rPr>
          <w:sz w:val="24"/>
          <w:szCs w:val="24"/>
        </w:rPr>
        <w:t xml:space="preserve"> </w:t>
      </w:r>
      <w:r w:rsidR="009955F2">
        <w:rPr>
          <w:sz w:val="24"/>
          <w:szCs w:val="24"/>
        </w:rPr>
        <w:t xml:space="preserve">The slate industry </w:t>
      </w:r>
      <w:r w:rsidR="003408CC">
        <w:rPr>
          <w:sz w:val="24"/>
          <w:szCs w:val="24"/>
        </w:rPr>
        <w:t xml:space="preserve">also began to shrink, </w:t>
      </w:r>
      <w:r w:rsidR="009955F2">
        <w:rPr>
          <w:sz w:val="24"/>
          <w:szCs w:val="24"/>
        </w:rPr>
        <w:t xml:space="preserve">hurt by </w:t>
      </w:r>
      <w:r w:rsidR="009955F2">
        <w:rPr>
          <w:sz w:val="24"/>
          <w:szCs w:val="24"/>
        </w:rPr>
        <w:lastRenderedPageBreak/>
        <w:t xml:space="preserve">competition from cheap imports and a </w:t>
      </w:r>
      <w:r w:rsidR="003408CC">
        <w:rPr>
          <w:sz w:val="24"/>
          <w:szCs w:val="24"/>
        </w:rPr>
        <w:t xml:space="preserve">struggling </w:t>
      </w:r>
      <w:r w:rsidR="009955F2">
        <w:rPr>
          <w:sz w:val="24"/>
          <w:szCs w:val="24"/>
        </w:rPr>
        <w:t>of the domestic construction industry.</w:t>
      </w:r>
      <w:r w:rsidR="009955F2">
        <w:rPr>
          <w:rStyle w:val="FootnoteReference"/>
          <w:sz w:val="24"/>
          <w:szCs w:val="24"/>
        </w:rPr>
        <w:footnoteReference w:id="14"/>
      </w:r>
      <w:r w:rsidR="009955F2" w:rsidRPr="00BD0DB5">
        <w:rPr>
          <w:sz w:val="24"/>
          <w:szCs w:val="24"/>
        </w:rPr>
        <w:t xml:space="preserve"> </w:t>
      </w:r>
      <w:r w:rsidR="009955F2">
        <w:rPr>
          <w:sz w:val="24"/>
          <w:szCs w:val="24"/>
        </w:rPr>
        <w:t>Welsh steel came to experience a similar contraction in the 1970s.</w:t>
      </w:r>
      <w:r w:rsidR="009955F2">
        <w:rPr>
          <w:rStyle w:val="FootnoteReference"/>
          <w:sz w:val="24"/>
          <w:szCs w:val="24"/>
        </w:rPr>
        <w:footnoteReference w:id="15"/>
      </w:r>
      <w:r w:rsidR="003408CC">
        <w:rPr>
          <w:sz w:val="24"/>
          <w:szCs w:val="24"/>
        </w:rPr>
        <w:t xml:space="preserve"> </w:t>
      </w:r>
      <w:r w:rsidR="009E7930">
        <w:rPr>
          <w:sz w:val="24"/>
          <w:szCs w:val="24"/>
        </w:rPr>
        <w:t>Notably</w:t>
      </w:r>
      <w:r w:rsidR="003C23F0">
        <w:rPr>
          <w:sz w:val="24"/>
          <w:szCs w:val="24"/>
        </w:rPr>
        <w:t>, a</w:t>
      </w:r>
      <w:r w:rsidR="003408CC">
        <w:rPr>
          <w:sz w:val="24"/>
          <w:szCs w:val="24"/>
        </w:rPr>
        <w:t xml:space="preserve">s heavy industry shrank, these areas often had limited new employment to fill the gap. </w:t>
      </w:r>
      <w:r w:rsidR="009955F2">
        <w:rPr>
          <w:sz w:val="24"/>
          <w:szCs w:val="24"/>
        </w:rPr>
        <w:t>Economic gains were centred on urban areas in the south and parts of the north; meanwhile, rural areas, particularly in mid-Wales, experienced decline and difficulty.</w:t>
      </w:r>
      <w:r w:rsidR="009955F2">
        <w:rPr>
          <w:rStyle w:val="FootnoteReference"/>
          <w:sz w:val="24"/>
          <w:szCs w:val="24"/>
        </w:rPr>
        <w:footnoteReference w:id="16"/>
      </w:r>
      <w:r w:rsidR="003C23F0">
        <w:rPr>
          <w:sz w:val="24"/>
          <w:szCs w:val="24"/>
        </w:rPr>
        <w:t xml:space="preserve"> </w:t>
      </w:r>
      <w:r w:rsidR="009E7930">
        <w:rPr>
          <w:sz w:val="24"/>
          <w:szCs w:val="24"/>
        </w:rPr>
        <w:t>Similarly</w:t>
      </w:r>
      <w:r w:rsidR="009955F2">
        <w:rPr>
          <w:sz w:val="24"/>
          <w:szCs w:val="24"/>
        </w:rPr>
        <w:t>, agriculture continued to see the growth that began during the Second World War;</w:t>
      </w:r>
      <w:r w:rsidR="009955F2">
        <w:rPr>
          <w:rStyle w:val="FootnoteReference"/>
          <w:sz w:val="24"/>
          <w:szCs w:val="24"/>
        </w:rPr>
        <w:footnoteReference w:id="17"/>
      </w:r>
      <w:r w:rsidR="009955F2">
        <w:rPr>
          <w:sz w:val="24"/>
          <w:szCs w:val="24"/>
        </w:rPr>
        <w:t xml:space="preserve"> production was up</w:t>
      </w:r>
      <w:r w:rsidR="009955F2" w:rsidRPr="00130ABD">
        <w:rPr>
          <w:sz w:val="24"/>
          <w:szCs w:val="24"/>
        </w:rPr>
        <w:t>—</w:t>
      </w:r>
      <w:r w:rsidR="009955F2">
        <w:rPr>
          <w:sz w:val="24"/>
          <w:szCs w:val="24"/>
        </w:rPr>
        <w:t>the years between 1947 and 1968 saw milk sales double, for instance</w:t>
      </w:r>
      <w:r w:rsidR="009955F2" w:rsidRPr="00130ABD">
        <w:rPr>
          <w:sz w:val="24"/>
          <w:szCs w:val="24"/>
        </w:rPr>
        <w:t>—</w:t>
      </w:r>
      <w:r w:rsidR="009955F2">
        <w:rPr>
          <w:sz w:val="24"/>
          <w:szCs w:val="24"/>
        </w:rPr>
        <w:t>and the guarantee of a government-subsidised minimum price introduced under the 1947 Agriculture Act meant that farmers were faring well. But mechanisation led to a falling need for farm labour.</w:t>
      </w:r>
      <w:r w:rsidR="009955F2">
        <w:rPr>
          <w:rStyle w:val="FootnoteReference"/>
          <w:sz w:val="24"/>
          <w:szCs w:val="24"/>
        </w:rPr>
        <w:footnoteReference w:id="18"/>
      </w:r>
      <w:r w:rsidR="009955F2">
        <w:rPr>
          <w:sz w:val="24"/>
          <w:szCs w:val="24"/>
        </w:rPr>
        <w:t xml:space="preserve"> As a result, employment in Welsh agriculture fell from 91,000 in 1931 to 77,000 in 1951.</w:t>
      </w:r>
      <w:r w:rsidR="009955F2">
        <w:rPr>
          <w:rStyle w:val="FootnoteReference"/>
          <w:sz w:val="24"/>
          <w:szCs w:val="24"/>
        </w:rPr>
        <w:footnoteReference w:id="19"/>
      </w:r>
      <w:r w:rsidR="009955F2">
        <w:rPr>
          <w:sz w:val="24"/>
          <w:szCs w:val="24"/>
        </w:rPr>
        <w:t xml:space="preserve"> </w:t>
      </w:r>
      <w:r w:rsidR="009E7930">
        <w:rPr>
          <w:sz w:val="24"/>
          <w:szCs w:val="24"/>
        </w:rPr>
        <w:t>Alongside this,</w:t>
      </w:r>
      <w:r w:rsidR="009955F2">
        <w:rPr>
          <w:sz w:val="24"/>
          <w:szCs w:val="24"/>
        </w:rPr>
        <w:t xml:space="preserve"> a newly-emerging oil-based economy was filling some of the gap left by the decline of King Coal,</w:t>
      </w:r>
      <w:r w:rsidR="009E7930">
        <w:rPr>
          <w:sz w:val="24"/>
          <w:szCs w:val="24"/>
        </w:rPr>
        <w:t xml:space="preserve"> but</w:t>
      </w:r>
      <w:r w:rsidR="009955F2">
        <w:rPr>
          <w:sz w:val="24"/>
          <w:szCs w:val="24"/>
        </w:rPr>
        <w:t xml:space="preserve"> gains were not necessarily widely felt. Precipitated by the Suez Crisis, Milford Haven developed as a new hub for the import of oil, with refineries springing up in the south</w:t>
      </w:r>
      <w:r w:rsidR="009955F2" w:rsidRPr="00130ABD">
        <w:rPr>
          <w:sz w:val="24"/>
          <w:szCs w:val="24"/>
        </w:rPr>
        <w:t>—</w:t>
      </w:r>
      <w:r w:rsidR="009955F2">
        <w:rPr>
          <w:sz w:val="24"/>
          <w:szCs w:val="24"/>
        </w:rPr>
        <w:t>particularly around Pembrokeshire</w:t>
      </w:r>
      <w:r w:rsidR="009955F2" w:rsidRPr="00130ABD">
        <w:rPr>
          <w:sz w:val="24"/>
          <w:szCs w:val="24"/>
        </w:rPr>
        <w:t>—</w:t>
      </w:r>
      <w:r w:rsidR="009955F2">
        <w:rPr>
          <w:sz w:val="24"/>
          <w:szCs w:val="24"/>
        </w:rPr>
        <w:t>throughout the nineteen-sixties and early seventies;</w:t>
      </w:r>
      <w:r w:rsidR="009955F2">
        <w:rPr>
          <w:rStyle w:val="FootnoteReference"/>
          <w:sz w:val="24"/>
          <w:szCs w:val="24"/>
        </w:rPr>
        <w:footnoteReference w:id="20"/>
      </w:r>
      <w:r w:rsidR="009955F2">
        <w:rPr>
          <w:sz w:val="24"/>
          <w:szCs w:val="24"/>
        </w:rPr>
        <w:t xml:space="preserve"> a petrochemicals industry also developed around Swansea Bay.</w:t>
      </w:r>
      <w:r w:rsidR="009955F2">
        <w:rPr>
          <w:rStyle w:val="FootnoteReference"/>
          <w:sz w:val="24"/>
          <w:szCs w:val="24"/>
        </w:rPr>
        <w:footnoteReference w:id="21"/>
      </w:r>
      <w:r w:rsidR="009955F2">
        <w:rPr>
          <w:sz w:val="24"/>
          <w:szCs w:val="24"/>
        </w:rPr>
        <w:t xml:space="preserve"> But these places relied on capital, rather than labour;</w:t>
      </w:r>
      <w:r w:rsidR="009955F2">
        <w:rPr>
          <w:rStyle w:val="FootnoteReference"/>
          <w:sz w:val="24"/>
          <w:szCs w:val="24"/>
        </w:rPr>
        <w:footnoteReference w:id="22"/>
      </w:r>
      <w:r w:rsidR="009955F2">
        <w:rPr>
          <w:sz w:val="24"/>
          <w:szCs w:val="24"/>
        </w:rPr>
        <w:t xml:space="preserve"> once built, they did little to absorb workers from the old heavy industries.</w:t>
      </w:r>
    </w:p>
    <w:p w:rsidR="00905827" w:rsidRDefault="009955F2" w:rsidP="007760DF">
      <w:pPr>
        <w:spacing w:line="360" w:lineRule="auto"/>
        <w:ind w:firstLine="720"/>
        <w:rPr>
          <w:sz w:val="24"/>
          <w:szCs w:val="24"/>
        </w:rPr>
      </w:pPr>
      <w:r>
        <w:rPr>
          <w:sz w:val="24"/>
          <w:szCs w:val="24"/>
        </w:rPr>
        <w:t xml:space="preserve"> </w:t>
      </w:r>
      <w:r w:rsidR="003C23F0">
        <w:rPr>
          <w:sz w:val="24"/>
          <w:szCs w:val="24"/>
        </w:rPr>
        <w:t xml:space="preserve">One should therefore be wary of overstating the recovery of Wales; it is very </w:t>
      </w:r>
      <w:r w:rsidR="009E7930">
        <w:rPr>
          <w:sz w:val="24"/>
          <w:szCs w:val="24"/>
        </w:rPr>
        <w:t xml:space="preserve">true </w:t>
      </w:r>
      <w:r w:rsidR="003C23F0">
        <w:rPr>
          <w:sz w:val="24"/>
          <w:szCs w:val="24"/>
        </w:rPr>
        <w:t xml:space="preserve">that the Welsh economy was recovering, especially compared to the nineteen-thirties, but prospects were not universally good for the </w:t>
      </w:r>
      <w:r w:rsidR="009E7930">
        <w:rPr>
          <w:sz w:val="24"/>
          <w:szCs w:val="24"/>
        </w:rPr>
        <w:t>people</w:t>
      </w:r>
      <w:r w:rsidR="00BE1E24">
        <w:rPr>
          <w:sz w:val="24"/>
          <w:szCs w:val="24"/>
        </w:rPr>
        <w:t xml:space="preserve">. </w:t>
      </w:r>
      <w:r w:rsidR="00D45715">
        <w:rPr>
          <w:sz w:val="24"/>
          <w:szCs w:val="24"/>
        </w:rPr>
        <w:t>The result of this uneven growth was that t</w:t>
      </w:r>
      <w:r w:rsidR="00D45715">
        <w:rPr>
          <w:sz w:val="24"/>
          <w:szCs w:val="24"/>
        </w:rPr>
        <w:t xml:space="preserve">he working population of rural Wales steadily moved </w:t>
      </w:r>
      <w:r w:rsidR="009E7930">
        <w:rPr>
          <w:sz w:val="24"/>
          <w:szCs w:val="24"/>
        </w:rPr>
        <w:t>away</w:t>
      </w:r>
      <w:r w:rsidR="001A2B46">
        <w:rPr>
          <w:sz w:val="24"/>
          <w:szCs w:val="24"/>
        </w:rPr>
        <w:t xml:space="preserve"> during this period</w:t>
      </w:r>
      <w:r w:rsidR="00D45715">
        <w:rPr>
          <w:sz w:val="24"/>
          <w:szCs w:val="24"/>
        </w:rPr>
        <w:t>.</w:t>
      </w:r>
      <w:r w:rsidR="00D45715">
        <w:rPr>
          <w:rStyle w:val="FootnoteReference"/>
          <w:sz w:val="24"/>
          <w:szCs w:val="24"/>
        </w:rPr>
        <w:footnoteReference w:id="23"/>
      </w:r>
      <w:r w:rsidR="00D45715">
        <w:rPr>
          <w:sz w:val="24"/>
          <w:szCs w:val="24"/>
        </w:rPr>
        <w:t xml:space="preserve"> </w:t>
      </w:r>
      <w:r w:rsidR="00D449B6">
        <w:rPr>
          <w:sz w:val="24"/>
          <w:szCs w:val="24"/>
        </w:rPr>
        <w:t>The overall population in these areas did not show drastic change, partly because of the inward migration of retirees from England</w:t>
      </w:r>
      <w:r w:rsidR="00605BFF">
        <w:rPr>
          <w:sz w:val="24"/>
          <w:szCs w:val="24"/>
        </w:rPr>
        <w:t xml:space="preserve">, but the younger generation moved out.  Problems were compounded following the </w:t>
      </w:r>
      <w:proofErr w:type="spellStart"/>
      <w:r w:rsidR="00605BFF">
        <w:rPr>
          <w:sz w:val="24"/>
          <w:szCs w:val="24"/>
        </w:rPr>
        <w:t>Beeching</w:t>
      </w:r>
      <w:proofErr w:type="spellEnd"/>
      <w:r w:rsidR="00605BFF">
        <w:rPr>
          <w:sz w:val="24"/>
          <w:szCs w:val="24"/>
        </w:rPr>
        <w:t xml:space="preserve"> Report of 1963, which led to drastic closures of rural </w:t>
      </w:r>
      <w:r w:rsidR="00605BFF">
        <w:rPr>
          <w:sz w:val="24"/>
          <w:szCs w:val="24"/>
        </w:rPr>
        <w:lastRenderedPageBreak/>
        <w:t>lines throughout Britain</w:t>
      </w:r>
      <w:r w:rsidR="00291E36">
        <w:rPr>
          <w:sz w:val="24"/>
          <w:szCs w:val="24"/>
        </w:rPr>
        <w:t>, cutting off many communities from easy access and inhibiting local industry</w:t>
      </w:r>
      <w:r w:rsidR="00605BFF">
        <w:rPr>
          <w:sz w:val="24"/>
          <w:szCs w:val="24"/>
        </w:rPr>
        <w:t>.</w:t>
      </w:r>
      <w:r w:rsidR="00291E36">
        <w:rPr>
          <w:rStyle w:val="FootnoteReference"/>
          <w:sz w:val="24"/>
          <w:szCs w:val="24"/>
        </w:rPr>
        <w:footnoteReference w:id="24"/>
      </w:r>
      <w:r w:rsidR="00261DB1" w:rsidRPr="00261DB1">
        <w:rPr>
          <w:sz w:val="24"/>
          <w:szCs w:val="24"/>
        </w:rPr>
        <w:t xml:space="preserve"> </w:t>
      </w:r>
      <w:r w:rsidR="00261DB1">
        <w:rPr>
          <w:sz w:val="24"/>
          <w:szCs w:val="24"/>
        </w:rPr>
        <w:t>Morgan relates that it was no longer possible to travel between north and south Wales by train</w:t>
      </w:r>
      <w:r w:rsidR="00BE1E24">
        <w:rPr>
          <w:sz w:val="24"/>
          <w:szCs w:val="24"/>
        </w:rPr>
        <w:t xml:space="preserve">, </w:t>
      </w:r>
      <w:r w:rsidR="00261DB1">
        <w:rPr>
          <w:sz w:val="24"/>
          <w:szCs w:val="24"/>
        </w:rPr>
        <w:t>except via Shrewsbury</w:t>
      </w:r>
      <w:r w:rsidR="00BE1E24" w:rsidRPr="00130ABD">
        <w:rPr>
          <w:sz w:val="24"/>
          <w:szCs w:val="24"/>
        </w:rPr>
        <w:t>—</w:t>
      </w:r>
      <w:r w:rsidR="00BE1E24">
        <w:rPr>
          <w:sz w:val="24"/>
          <w:szCs w:val="24"/>
        </w:rPr>
        <w:t>certainly one way of tying Wales and England together</w:t>
      </w:r>
      <w:r w:rsidR="00261DB1">
        <w:rPr>
          <w:sz w:val="24"/>
          <w:szCs w:val="24"/>
        </w:rPr>
        <w:t>.</w:t>
      </w:r>
      <w:r w:rsidR="003C23F0">
        <w:rPr>
          <w:rStyle w:val="FootnoteReference"/>
          <w:sz w:val="24"/>
          <w:szCs w:val="24"/>
        </w:rPr>
        <w:footnoteReference w:id="25"/>
      </w:r>
      <w:r w:rsidR="009E7930">
        <w:rPr>
          <w:sz w:val="24"/>
          <w:szCs w:val="24"/>
        </w:rPr>
        <w:t xml:space="preserve"> There was a substantial divide in prospects between the urbanised, anglicised areas of the country and the rural Welsh-speaking parts. That dissatisfaction with the Union should be centred more around the latter areas should therefore be no surprise.</w:t>
      </w:r>
      <w:r w:rsidR="00905827" w:rsidRPr="00905827">
        <w:rPr>
          <w:sz w:val="24"/>
          <w:szCs w:val="24"/>
        </w:rPr>
        <w:t xml:space="preserve"> </w:t>
      </w:r>
    </w:p>
    <w:p w:rsidR="00510564" w:rsidRDefault="00905827" w:rsidP="00510564">
      <w:pPr>
        <w:spacing w:line="360" w:lineRule="auto"/>
        <w:ind w:firstLine="720"/>
        <w:rPr>
          <w:sz w:val="24"/>
          <w:szCs w:val="24"/>
        </w:rPr>
      </w:pPr>
      <w:r>
        <w:rPr>
          <w:sz w:val="24"/>
          <w:szCs w:val="24"/>
        </w:rPr>
        <w:t xml:space="preserve">This </w:t>
      </w:r>
      <w:r w:rsidR="00470AA3">
        <w:rPr>
          <w:sz w:val="24"/>
          <w:szCs w:val="24"/>
        </w:rPr>
        <w:t>growth of dissatisfaction was in part due to the complacency on the part of successive UK governments.</w:t>
      </w:r>
      <w:r>
        <w:rPr>
          <w:sz w:val="24"/>
          <w:szCs w:val="24"/>
        </w:rPr>
        <w:t xml:space="preserve"> When </w:t>
      </w:r>
      <w:r w:rsidR="00942E4A">
        <w:rPr>
          <w:sz w:val="24"/>
          <w:szCs w:val="24"/>
        </w:rPr>
        <w:t>the post-war Labour government took to its programme of nationalisation, the</w:t>
      </w:r>
      <w:r>
        <w:rPr>
          <w:sz w:val="24"/>
          <w:szCs w:val="24"/>
        </w:rPr>
        <w:t xml:space="preserve"> Wales Gas Board </w:t>
      </w:r>
      <w:r w:rsidR="00942E4A">
        <w:rPr>
          <w:sz w:val="24"/>
          <w:szCs w:val="24"/>
        </w:rPr>
        <w:t>covered</w:t>
      </w:r>
      <w:r>
        <w:rPr>
          <w:sz w:val="24"/>
          <w:szCs w:val="24"/>
        </w:rPr>
        <w:t xml:space="preserve"> all of Wales</w:t>
      </w:r>
      <w:r w:rsidR="00942E4A">
        <w:rPr>
          <w:sz w:val="24"/>
          <w:szCs w:val="24"/>
        </w:rPr>
        <w:t xml:space="preserve">; yet </w:t>
      </w:r>
      <w:r>
        <w:rPr>
          <w:sz w:val="24"/>
          <w:szCs w:val="24"/>
        </w:rPr>
        <w:t xml:space="preserve">the now </w:t>
      </w:r>
      <w:proofErr w:type="spellStart"/>
      <w:r>
        <w:rPr>
          <w:sz w:val="24"/>
          <w:szCs w:val="24"/>
        </w:rPr>
        <w:t>publically</w:t>
      </w:r>
      <w:proofErr w:type="spellEnd"/>
      <w:r>
        <w:rPr>
          <w:sz w:val="24"/>
          <w:szCs w:val="24"/>
        </w:rPr>
        <w:t>-owned electricity industry was overseen by two separate boards: one for south Wales, and one for north Wales and Merseyside.</w:t>
      </w:r>
      <w:r>
        <w:rPr>
          <w:rStyle w:val="FootnoteReference"/>
          <w:sz w:val="24"/>
          <w:szCs w:val="24"/>
        </w:rPr>
        <w:footnoteReference w:id="26"/>
      </w:r>
      <w:r>
        <w:rPr>
          <w:sz w:val="24"/>
          <w:szCs w:val="24"/>
        </w:rPr>
        <w:t xml:space="preserve"> James Griffiths argued strongly against this, and he later suggested that some advisors among the civil service thought that linking north Wales with Merseyside was ‘the “natural” form of administration’ for the areas.</w:t>
      </w:r>
      <w:r>
        <w:rPr>
          <w:rStyle w:val="FootnoteReference"/>
          <w:sz w:val="24"/>
          <w:szCs w:val="24"/>
        </w:rPr>
        <w:footnoteReference w:id="27"/>
      </w:r>
      <w:r w:rsidR="00942E4A">
        <w:rPr>
          <w:sz w:val="24"/>
          <w:szCs w:val="24"/>
        </w:rPr>
        <w:t xml:space="preserve"> The argument that Wales constituted its own nation, with its own identity had lost out.</w:t>
      </w:r>
      <w:r w:rsidRPr="00CE645D">
        <w:rPr>
          <w:sz w:val="24"/>
          <w:szCs w:val="24"/>
          <w:lang w:val="en"/>
        </w:rPr>
        <w:t xml:space="preserve"> </w:t>
      </w:r>
      <w:r w:rsidR="00CE2DFB">
        <w:rPr>
          <w:sz w:val="24"/>
          <w:szCs w:val="24"/>
          <w:lang w:val="en"/>
        </w:rPr>
        <w:t>Similarly, while t</w:t>
      </w:r>
      <w:r w:rsidRPr="0057489C">
        <w:rPr>
          <w:sz w:val="24"/>
          <w:szCs w:val="24"/>
          <w:lang w:val="en"/>
        </w:rPr>
        <w:t>he Churchill government created a Ministry for Welsh Affairs on taking power in 1951</w:t>
      </w:r>
      <w:r w:rsidR="00CE2DFB">
        <w:rPr>
          <w:sz w:val="24"/>
          <w:szCs w:val="24"/>
        </w:rPr>
        <w:t xml:space="preserve">, it was </w:t>
      </w:r>
      <w:r w:rsidRPr="0057489C">
        <w:rPr>
          <w:sz w:val="24"/>
          <w:szCs w:val="24"/>
        </w:rPr>
        <w:t>at this time presided over by a junior minister within the Home Office</w:t>
      </w:r>
      <w:r w:rsidR="00CE2DFB" w:rsidRPr="00130ABD">
        <w:rPr>
          <w:sz w:val="24"/>
          <w:szCs w:val="24"/>
        </w:rPr>
        <w:t>—</w:t>
      </w:r>
      <w:r w:rsidR="00CE2DFB">
        <w:rPr>
          <w:sz w:val="24"/>
          <w:szCs w:val="24"/>
        </w:rPr>
        <w:t>effectively rendering it an appendage of the larger department.</w:t>
      </w:r>
      <w:r w:rsidRPr="0057489C">
        <w:rPr>
          <w:rStyle w:val="FootnoteReference"/>
          <w:sz w:val="24"/>
          <w:szCs w:val="24"/>
          <w:lang w:val="en"/>
        </w:rPr>
        <w:footnoteReference w:id="28"/>
      </w:r>
      <w:r w:rsidR="00510564">
        <w:rPr>
          <w:sz w:val="24"/>
          <w:szCs w:val="24"/>
          <w:lang w:val="en"/>
        </w:rPr>
        <w:t xml:space="preserve"> </w:t>
      </w:r>
    </w:p>
    <w:p w:rsidR="007760DF" w:rsidRDefault="007760DF" w:rsidP="00510564">
      <w:pPr>
        <w:spacing w:line="360" w:lineRule="auto"/>
        <w:ind w:firstLine="720"/>
        <w:rPr>
          <w:sz w:val="24"/>
          <w:szCs w:val="24"/>
        </w:rPr>
      </w:pPr>
      <w:r>
        <w:rPr>
          <w:sz w:val="24"/>
          <w:szCs w:val="24"/>
        </w:rPr>
        <w:t>The issue of the Welsh language proved to be a powerful rallying point for Welsh nationalist feeling</w:t>
      </w:r>
      <w:r w:rsidR="00470AA3">
        <w:rPr>
          <w:sz w:val="24"/>
          <w:szCs w:val="24"/>
        </w:rPr>
        <w:t>.</w:t>
      </w:r>
      <w:r>
        <w:rPr>
          <w:sz w:val="24"/>
          <w:szCs w:val="24"/>
        </w:rPr>
        <w:t xml:space="preserve"> The 1961 Welsh language census brought new concern for its future, and On 13 February 1962, Saunders Lewis gave his famous </w:t>
      </w:r>
      <w:proofErr w:type="spellStart"/>
      <w:r>
        <w:rPr>
          <w:i/>
          <w:sz w:val="24"/>
          <w:szCs w:val="24"/>
        </w:rPr>
        <w:t>Tynged</w:t>
      </w:r>
      <w:proofErr w:type="spellEnd"/>
      <w:r>
        <w:rPr>
          <w:i/>
          <w:sz w:val="24"/>
          <w:szCs w:val="24"/>
        </w:rPr>
        <w:t xml:space="preserve"> </w:t>
      </w:r>
      <w:proofErr w:type="spellStart"/>
      <w:r>
        <w:rPr>
          <w:i/>
          <w:sz w:val="24"/>
          <w:szCs w:val="24"/>
        </w:rPr>
        <w:t>yr</w:t>
      </w:r>
      <w:proofErr w:type="spellEnd"/>
      <w:r>
        <w:rPr>
          <w:i/>
          <w:sz w:val="24"/>
          <w:szCs w:val="24"/>
        </w:rPr>
        <w:t xml:space="preserve"> </w:t>
      </w:r>
      <w:proofErr w:type="spellStart"/>
      <w:r>
        <w:rPr>
          <w:i/>
          <w:sz w:val="24"/>
          <w:szCs w:val="24"/>
        </w:rPr>
        <w:t>Iaith</w:t>
      </w:r>
      <w:proofErr w:type="spellEnd"/>
      <w:r>
        <w:rPr>
          <w:sz w:val="24"/>
          <w:szCs w:val="24"/>
        </w:rPr>
        <w:t xml:space="preserve"> lecture on BBC radio, calling for ‘revolutionary methods’ to ensure its continued existence, and for giving it at least the same status as English in government and official use.</w:t>
      </w:r>
      <w:r w:rsidRPr="00EB2058">
        <w:rPr>
          <w:rStyle w:val="FootnoteReference"/>
          <w:sz w:val="24"/>
          <w:szCs w:val="24"/>
        </w:rPr>
        <w:t xml:space="preserve"> </w:t>
      </w:r>
      <w:r>
        <w:rPr>
          <w:rStyle w:val="FootnoteReference"/>
          <w:sz w:val="24"/>
          <w:szCs w:val="24"/>
        </w:rPr>
        <w:footnoteReference w:id="29"/>
      </w:r>
      <w:r>
        <w:rPr>
          <w:sz w:val="24"/>
          <w:szCs w:val="24"/>
        </w:rPr>
        <w:t xml:space="preserve"> One result of this was a period of frequent public demonstration, including sit-ins at government agencies and the destruction of signs with English place-names or, sometimes, safety messages. </w:t>
      </w:r>
      <w:r>
        <w:rPr>
          <w:rStyle w:val="FootnoteReference"/>
          <w:sz w:val="24"/>
          <w:szCs w:val="24"/>
        </w:rPr>
        <w:footnoteReference w:id="30"/>
      </w:r>
      <w:r>
        <w:rPr>
          <w:sz w:val="24"/>
          <w:szCs w:val="24"/>
        </w:rPr>
        <w:t xml:space="preserve"> Outcry was widespread enough that, in 1967, the first Welsh Language Act was </w:t>
      </w:r>
      <w:r w:rsidRPr="0057489C">
        <w:rPr>
          <w:sz w:val="24"/>
          <w:szCs w:val="24"/>
        </w:rPr>
        <w:t xml:space="preserve">passed, allowing people in Wales to hear legal proceedings in Welsh, and giving ‘the appropriate minister’ the right </w:t>
      </w:r>
      <w:r w:rsidRPr="0057489C">
        <w:rPr>
          <w:sz w:val="24"/>
          <w:szCs w:val="24"/>
        </w:rPr>
        <w:lastRenderedPageBreak/>
        <w:t>to issue official forms in the language</w:t>
      </w:r>
      <w:r>
        <w:rPr>
          <w:sz w:val="24"/>
          <w:szCs w:val="24"/>
        </w:rPr>
        <w:t>;</w:t>
      </w:r>
      <w:r w:rsidRPr="0057489C">
        <w:rPr>
          <w:rStyle w:val="FootnoteReference"/>
          <w:sz w:val="24"/>
          <w:szCs w:val="24"/>
        </w:rPr>
        <w:footnoteReference w:id="31"/>
      </w:r>
      <w:r w:rsidRPr="0057489C">
        <w:rPr>
          <w:sz w:val="24"/>
          <w:szCs w:val="24"/>
        </w:rPr>
        <w:t xml:space="preserve"> </w:t>
      </w:r>
      <w:r>
        <w:rPr>
          <w:sz w:val="24"/>
          <w:szCs w:val="24"/>
        </w:rPr>
        <w:t>continuing from this, t</w:t>
      </w:r>
      <w:r w:rsidRPr="0057489C">
        <w:rPr>
          <w:sz w:val="24"/>
          <w:szCs w:val="24"/>
        </w:rPr>
        <w:t>he 1967 Gittins Report led to pressure to further recognise the Welsh language in provision of education.</w:t>
      </w:r>
      <w:r w:rsidRPr="0057489C">
        <w:rPr>
          <w:rStyle w:val="FootnoteReference"/>
          <w:sz w:val="24"/>
          <w:szCs w:val="24"/>
        </w:rPr>
        <w:footnoteReference w:id="32"/>
      </w:r>
      <w:r>
        <w:rPr>
          <w:sz w:val="24"/>
          <w:szCs w:val="24"/>
        </w:rPr>
        <w:t xml:space="preserve"> The sense of national identity in Wales had become impossible for the government to ignore.</w:t>
      </w:r>
      <w:r w:rsidRPr="00905827">
        <w:rPr>
          <w:sz w:val="24"/>
          <w:szCs w:val="24"/>
        </w:rPr>
        <w:t xml:space="preserve"> </w:t>
      </w:r>
    </w:p>
    <w:p w:rsidR="00CE2DFB" w:rsidRPr="00510564" w:rsidRDefault="00CE2DFB" w:rsidP="00510564">
      <w:pPr>
        <w:spacing w:line="360" w:lineRule="auto"/>
        <w:ind w:firstLine="720"/>
        <w:rPr>
          <w:sz w:val="24"/>
          <w:szCs w:val="24"/>
          <w:lang w:val="en"/>
        </w:rPr>
      </w:pPr>
      <w:r>
        <w:rPr>
          <w:sz w:val="24"/>
          <w:szCs w:val="24"/>
        </w:rPr>
        <w:t xml:space="preserve">Expression of this dissatisfaction found further voice at the ballot box. In the 1945 general election, none of the eight standing Plaid </w:t>
      </w:r>
      <w:proofErr w:type="spellStart"/>
      <w:r>
        <w:rPr>
          <w:sz w:val="24"/>
          <w:szCs w:val="24"/>
        </w:rPr>
        <w:t>Cymru</w:t>
      </w:r>
      <w:proofErr w:type="spellEnd"/>
      <w:r>
        <w:rPr>
          <w:sz w:val="24"/>
          <w:szCs w:val="24"/>
        </w:rPr>
        <w:t xml:space="preserve"> candidates won, and seven lost their deposits;</w:t>
      </w:r>
      <w:r>
        <w:rPr>
          <w:rStyle w:val="FootnoteReference"/>
          <w:sz w:val="24"/>
          <w:szCs w:val="24"/>
        </w:rPr>
        <w:footnoteReference w:id="33"/>
      </w:r>
      <w:r>
        <w:rPr>
          <w:sz w:val="24"/>
          <w:szCs w:val="24"/>
        </w:rPr>
        <w:t xml:space="preserve"> in 1950, seven out of seven candidates lost their deposits.</w:t>
      </w:r>
      <w:r>
        <w:rPr>
          <w:rStyle w:val="FootnoteReference"/>
          <w:sz w:val="24"/>
          <w:szCs w:val="24"/>
        </w:rPr>
        <w:footnoteReference w:id="34"/>
      </w:r>
      <w:r>
        <w:rPr>
          <w:sz w:val="24"/>
          <w:szCs w:val="24"/>
        </w:rPr>
        <w:t xml:space="preserve"> By 1959, the party managed to field twenty candidates, and four managed to keep their deposits.</w:t>
      </w:r>
      <w:r>
        <w:rPr>
          <w:rStyle w:val="FootnoteReference"/>
          <w:sz w:val="24"/>
          <w:szCs w:val="24"/>
        </w:rPr>
        <w:footnoteReference w:id="35"/>
      </w:r>
      <w:r>
        <w:rPr>
          <w:sz w:val="24"/>
          <w:szCs w:val="24"/>
        </w:rPr>
        <w:t xml:space="preserve"> This suggests that desire for Welsh independence during the post-war years up through the nineteen-fifties was present, even growing, but not particularly agitated at this time. The first big sign change came in 1966, when party leader Gwynfor Evans won a by-election in Carmarthen, becoming the first Plaid </w:t>
      </w:r>
      <w:proofErr w:type="spellStart"/>
      <w:r>
        <w:rPr>
          <w:sz w:val="24"/>
          <w:szCs w:val="24"/>
        </w:rPr>
        <w:t>Cymru</w:t>
      </w:r>
      <w:proofErr w:type="spellEnd"/>
      <w:r>
        <w:rPr>
          <w:sz w:val="24"/>
          <w:szCs w:val="24"/>
        </w:rPr>
        <w:t xml:space="preserve"> MP.</w:t>
      </w:r>
      <w:r>
        <w:rPr>
          <w:rStyle w:val="FootnoteReference"/>
          <w:sz w:val="24"/>
          <w:szCs w:val="24"/>
        </w:rPr>
        <w:footnoteReference w:id="36"/>
      </w:r>
      <w:r>
        <w:rPr>
          <w:sz w:val="24"/>
          <w:szCs w:val="24"/>
        </w:rPr>
        <w:t xml:space="preserve"> </w:t>
      </w:r>
      <w:r>
        <w:rPr>
          <w:sz w:val="24"/>
          <w:szCs w:val="24"/>
        </w:rPr>
        <w:t xml:space="preserve">The former </w:t>
      </w:r>
      <w:r>
        <w:rPr>
          <w:sz w:val="24"/>
          <w:szCs w:val="24"/>
        </w:rPr>
        <w:t>Secretary of State, James Griffiths</w:t>
      </w:r>
      <w:r w:rsidR="00F4587B">
        <w:rPr>
          <w:sz w:val="24"/>
          <w:szCs w:val="24"/>
        </w:rPr>
        <w:t>,</w:t>
      </w:r>
      <w:r>
        <w:rPr>
          <w:sz w:val="24"/>
          <w:szCs w:val="24"/>
        </w:rPr>
        <w:t xml:space="preserve"> pointed to this election as a </w:t>
      </w:r>
      <w:r w:rsidR="00F4587B">
        <w:rPr>
          <w:sz w:val="24"/>
          <w:szCs w:val="24"/>
        </w:rPr>
        <w:t xml:space="preserve">real </w:t>
      </w:r>
      <w:r>
        <w:rPr>
          <w:sz w:val="24"/>
          <w:szCs w:val="24"/>
        </w:rPr>
        <w:t>turning point, being the time after which Plaid started to develop into a ‘serious challenge’ to Labour in Wales.</w:t>
      </w:r>
      <w:r>
        <w:rPr>
          <w:rStyle w:val="FootnoteReference"/>
          <w:sz w:val="24"/>
          <w:szCs w:val="24"/>
        </w:rPr>
        <w:footnoteReference w:id="37"/>
      </w:r>
      <w:r>
        <w:rPr>
          <w:sz w:val="24"/>
          <w:szCs w:val="24"/>
        </w:rPr>
        <w:t xml:space="preserve"> </w:t>
      </w:r>
      <w:r w:rsidR="00510564">
        <w:rPr>
          <w:sz w:val="24"/>
          <w:szCs w:val="24"/>
        </w:rPr>
        <w:t xml:space="preserve">The threat posed by Plaid </w:t>
      </w:r>
      <w:proofErr w:type="spellStart"/>
      <w:r w:rsidR="00510564">
        <w:rPr>
          <w:sz w:val="24"/>
          <w:szCs w:val="24"/>
        </w:rPr>
        <w:t>Cymru</w:t>
      </w:r>
      <w:proofErr w:type="spellEnd"/>
      <w:r w:rsidR="00510564">
        <w:rPr>
          <w:sz w:val="24"/>
          <w:szCs w:val="24"/>
        </w:rPr>
        <w:t xml:space="preserve"> extended to t</w:t>
      </w:r>
      <w:r>
        <w:rPr>
          <w:sz w:val="24"/>
          <w:szCs w:val="24"/>
        </w:rPr>
        <w:t>he Rhondda West by-election of Mach 1967 saw a 30 per cent swing from Labour to Plaid; at the Caerphilly election of the following year, the swing was 40 per cent.</w:t>
      </w:r>
      <w:r>
        <w:rPr>
          <w:rStyle w:val="FootnoteReference"/>
          <w:sz w:val="24"/>
          <w:szCs w:val="24"/>
        </w:rPr>
        <w:footnoteReference w:id="38"/>
      </w:r>
      <w:r>
        <w:rPr>
          <w:sz w:val="24"/>
          <w:szCs w:val="24"/>
        </w:rPr>
        <w:t xml:space="preserve"> By February 1974, Plaid managed to take two seats from Labour</w:t>
      </w:r>
      <w:r w:rsidRPr="00130ABD">
        <w:rPr>
          <w:sz w:val="24"/>
          <w:szCs w:val="24"/>
        </w:rPr>
        <w:t>—</w:t>
      </w:r>
      <w:r>
        <w:rPr>
          <w:sz w:val="24"/>
          <w:szCs w:val="24"/>
        </w:rPr>
        <w:t>this time in a general election</w:t>
      </w:r>
      <w:r w:rsidRPr="00130ABD">
        <w:rPr>
          <w:sz w:val="24"/>
          <w:szCs w:val="24"/>
        </w:rPr>
        <w:t>—</w:t>
      </w:r>
      <w:r>
        <w:rPr>
          <w:sz w:val="24"/>
          <w:szCs w:val="24"/>
        </w:rPr>
        <w:t>and only failed to take Carmarthen by three votes.</w:t>
      </w:r>
      <w:r>
        <w:rPr>
          <w:rStyle w:val="FootnoteReference"/>
          <w:sz w:val="24"/>
          <w:szCs w:val="24"/>
        </w:rPr>
        <w:footnoteReference w:id="39"/>
      </w:r>
      <w:r>
        <w:rPr>
          <w:sz w:val="24"/>
          <w:szCs w:val="24"/>
        </w:rPr>
        <w:t xml:space="preserve"> Labour’s dominance in Wales was looking increasingly under threat, and the party became ever more worried about nationalism.</w:t>
      </w:r>
      <w:r w:rsidRPr="00CE645D">
        <w:rPr>
          <w:sz w:val="24"/>
          <w:szCs w:val="24"/>
        </w:rPr>
        <w:t xml:space="preserve"> </w:t>
      </w:r>
    </w:p>
    <w:p w:rsidR="00905827" w:rsidRDefault="00CE2DFB" w:rsidP="00CE2DFB">
      <w:pPr>
        <w:spacing w:line="360" w:lineRule="auto"/>
        <w:ind w:firstLine="720"/>
        <w:rPr>
          <w:sz w:val="24"/>
          <w:szCs w:val="24"/>
          <w:lang w:val="en"/>
        </w:rPr>
      </w:pPr>
      <w:r>
        <w:rPr>
          <w:sz w:val="24"/>
          <w:szCs w:val="24"/>
          <w:lang w:val="en"/>
        </w:rPr>
        <w:t xml:space="preserve">This </w:t>
      </w:r>
      <w:r w:rsidR="00F4587B">
        <w:rPr>
          <w:sz w:val="24"/>
          <w:szCs w:val="24"/>
          <w:lang w:val="en"/>
        </w:rPr>
        <w:t>generally</w:t>
      </w:r>
      <w:r>
        <w:rPr>
          <w:sz w:val="24"/>
          <w:szCs w:val="24"/>
          <w:lang w:val="en"/>
        </w:rPr>
        <w:t xml:space="preserve"> increased </w:t>
      </w:r>
      <w:r w:rsidR="00F4587B">
        <w:rPr>
          <w:sz w:val="24"/>
          <w:szCs w:val="24"/>
          <w:lang w:val="en"/>
        </w:rPr>
        <w:t>going into the 1970s</w:t>
      </w:r>
      <w:r>
        <w:rPr>
          <w:sz w:val="24"/>
          <w:szCs w:val="24"/>
          <w:lang w:val="en"/>
        </w:rPr>
        <w:t xml:space="preserve">. </w:t>
      </w:r>
      <w:r w:rsidR="00905827">
        <w:rPr>
          <w:sz w:val="24"/>
          <w:szCs w:val="24"/>
          <w:lang w:val="en"/>
        </w:rPr>
        <w:t xml:space="preserve">In 1969, the Crowther (later </w:t>
      </w:r>
      <w:proofErr w:type="spellStart"/>
      <w:r w:rsidR="00905827">
        <w:rPr>
          <w:sz w:val="24"/>
          <w:szCs w:val="24"/>
          <w:lang w:val="en"/>
        </w:rPr>
        <w:t>Kilbrandon</w:t>
      </w:r>
      <w:proofErr w:type="spellEnd"/>
      <w:r w:rsidR="00905827">
        <w:rPr>
          <w:sz w:val="24"/>
          <w:szCs w:val="24"/>
          <w:lang w:val="en"/>
        </w:rPr>
        <w:t>) Commission was set up to investigate possible devolution of government to Scotland and Wales.</w:t>
      </w:r>
      <w:r w:rsidR="00905827">
        <w:rPr>
          <w:rStyle w:val="FootnoteReference"/>
          <w:sz w:val="24"/>
          <w:szCs w:val="24"/>
          <w:lang w:val="en"/>
        </w:rPr>
        <w:footnoteReference w:id="40"/>
      </w:r>
      <w:r w:rsidR="00905827">
        <w:rPr>
          <w:sz w:val="24"/>
          <w:szCs w:val="24"/>
          <w:lang w:val="en"/>
        </w:rPr>
        <w:t xml:space="preserve"> Morgan suggests that observers at the time considered it an attempt by the </w:t>
      </w:r>
      <w:proofErr w:type="spellStart"/>
      <w:r w:rsidR="00905827">
        <w:rPr>
          <w:sz w:val="24"/>
          <w:szCs w:val="24"/>
          <w:lang w:val="en"/>
        </w:rPr>
        <w:t>Labour</w:t>
      </w:r>
      <w:proofErr w:type="spellEnd"/>
      <w:r w:rsidR="00905827">
        <w:rPr>
          <w:sz w:val="24"/>
          <w:szCs w:val="24"/>
          <w:lang w:val="en"/>
        </w:rPr>
        <w:t xml:space="preserve"> Party to kick the issue into the long grass.</w:t>
      </w:r>
      <w:r w:rsidR="00905827">
        <w:rPr>
          <w:rStyle w:val="FootnoteReference"/>
          <w:sz w:val="24"/>
          <w:szCs w:val="24"/>
          <w:lang w:val="en"/>
        </w:rPr>
        <w:footnoteReference w:id="41"/>
      </w:r>
      <w:r w:rsidR="00905827">
        <w:rPr>
          <w:sz w:val="24"/>
          <w:szCs w:val="24"/>
          <w:lang w:val="en"/>
        </w:rPr>
        <w:t xml:space="preserve"> But, when the </w:t>
      </w:r>
      <w:proofErr w:type="spellStart"/>
      <w:r w:rsidR="00905827">
        <w:rPr>
          <w:sz w:val="24"/>
          <w:szCs w:val="24"/>
          <w:lang w:val="en"/>
        </w:rPr>
        <w:t>Kilbrandon</w:t>
      </w:r>
      <w:proofErr w:type="spellEnd"/>
      <w:r w:rsidR="00905827">
        <w:rPr>
          <w:sz w:val="24"/>
          <w:szCs w:val="24"/>
          <w:lang w:val="en"/>
        </w:rPr>
        <w:t xml:space="preserve"> Report </w:t>
      </w:r>
      <w:r w:rsidR="00905827">
        <w:rPr>
          <w:sz w:val="24"/>
          <w:szCs w:val="24"/>
          <w:lang w:val="en"/>
        </w:rPr>
        <w:lastRenderedPageBreak/>
        <w:t>was issued in October of 1973, eleven of its thirteen members recommended some form of elected assembly in Wales, albeit without legislative powers, claiming that the Scottish and Welsh Offices were insufficient</w:t>
      </w:r>
      <w:r w:rsidR="00905827" w:rsidRPr="00646875">
        <w:rPr>
          <w:sz w:val="24"/>
          <w:szCs w:val="24"/>
          <w:lang w:val="en"/>
        </w:rPr>
        <w:t xml:space="preserve"> </w:t>
      </w:r>
      <w:r w:rsidR="00905827">
        <w:rPr>
          <w:sz w:val="24"/>
          <w:szCs w:val="24"/>
          <w:lang w:val="en"/>
        </w:rPr>
        <w:t>in the form they existed;</w:t>
      </w:r>
      <w:r w:rsidR="00905827">
        <w:rPr>
          <w:rStyle w:val="FootnoteReference"/>
          <w:sz w:val="24"/>
          <w:szCs w:val="24"/>
          <w:lang w:val="en"/>
        </w:rPr>
        <w:footnoteReference w:id="42"/>
      </w:r>
      <w:r w:rsidR="00905827">
        <w:rPr>
          <w:sz w:val="24"/>
          <w:szCs w:val="24"/>
          <w:lang w:val="en"/>
        </w:rPr>
        <w:t xml:space="preserve"> six of its members went so far as to recommend a full legislative assembly with far-reaching powers. Notably, all thirteen commissioners rejected </w:t>
      </w:r>
      <w:proofErr w:type="spellStart"/>
      <w:r w:rsidR="00905827">
        <w:rPr>
          <w:sz w:val="24"/>
          <w:szCs w:val="24"/>
          <w:lang w:val="en"/>
        </w:rPr>
        <w:t>seperatism</w:t>
      </w:r>
      <w:proofErr w:type="spellEnd"/>
      <w:r w:rsidR="00905827">
        <w:rPr>
          <w:sz w:val="24"/>
          <w:szCs w:val="24"/>
          <w:lang w:val="en"/>
        </w:rPr>
        <w:t xml:space="preserve">. Morgan sees the recommendation for a Welsh assembly as having lodged itself in the public consciousness from this point on. </w:t>
      </w:r>
      <w:proofErr w:type="spellStart"/>
      <w:r w:rsidR="00905827">
        <w:rPr>
          <w:sz w:val="24"/>
          <w:szCs w:val="24"/>
          <w:lang w:val="en"/>
        </w:rPr>
        <w:t>Labour’s</w:t>
      </w:r>
      <w:proofErr w:type="spellEnd"/>
      <w:r w:rsidR="00905827">
        <w:rPr>
          <w:sz w:val="24"/>
          <w:szCs w:val="24"/>
          <w:lang w:val="en"/>
        </w:rPr>
        <w:t xml:space="preserve"> 1974 white paper, </w:t>
      </w:r>
      <w:r w:rsidR="00905827">
        <w:rPr>
          <w:i/>
          <w:sz w:val="24"/>
          <w:szCs w:val="24"/>
          <w:lang w:val="en"/>
        </w:rPr>
        <w:t>Democracy and Devolution</w:t>
      </w:r>
      <w:r w:rsidR="00905827">
        <w:rPr>
          <w:sz w:val="24"/>
          <w:szCs w:val="24"/>
          <w:lang w:val="en"/>
        </w:rPr>
        <w:t>, called for an elected Welsh assembly with executive rather than legislative powers, funded by block grant;</w:t>
      </w:r>
      <w:r w:rsidR="00905827">
        <w:rPr>
          <w:rStyle w:val="FootnoteReference"/>
          <w:sz w:val="24"/>
          <w:szCs w:val="24"/>
          <w:lang w:val="en"/>
        </w:rPr>
        <w:footnoteReference w:id="43"/>
      </w:r>
      <w:r w:rsidR="00905827">
        <w:rPr>
          <w:sz w:val="24"/>
          <w:szCs w:val="24"/>
          <w:lang w:val="en"/>
        </w:rPr>
        <w:t xml:space="preserve"> the overriding opinion within the Cabinet was that doing nothing in the face of Scottish and Welsh nationalism would lead to disaster, and so James Callaghan introduced the </w:t>
      </w:r>
      <w:r w:rsidR="00905827">
        <w:rPr>
          <w:i/>
          <w:sz w:val="24"/>
          <w:szCs w:val="24"/>
          <w:lang w:val="en"/>
        </w:rPr>
        <w:t>Scotland and Wales Bill</w:t>
      </w:r>
      <w:r w:rsidR="00905827">
        <w:rPr>
          <w:sz w:val="24"/>
          <w:szCs w:val="24"/>
          <w:lang w:val="en"/>
        </w:rPr>
        <w:t xml:space="preserve"> to bring about the assembly.</w:t>
      </w:r>
      <w:r w:rsidR="00905827">
        <w:rPr>
          <w:rStyle w:val="FootnoteReference"/>
          <w:sz w:val="24"/>
          <w:szCs w:val="24"/>
          <w:lang w:val="en"/>
        </w:rPr>
        <w:footnoteReference w:id="44"/>
      </w:r>
      <w:r w:rsidR="00905827">
        <w:rPr>
          <w:sz w:val="24"/>
          <w:szCs w:val="24"/>
          <w:lang w:val="en"/>
        </w:rPr>
        <w:t xml:space="preserve"> Difficulty in getting the Bill through parliament amid a background of 30 per cent inflation and rising unemployment led it being split into separate bills for Scotland and Wales, but these both successfully passed in 1978 and referenda prepared for the following year.</w:t>
      </w:r>
      <w:r w:rsidR="00905827">
        <w:rPr>
          <w:rStyle w:val="FootnoteReference"/>
          <w:sz w:val="24"/>
          <w:szCs w:val="24"/>
          <w:lang w:val="en"/>
        </w:rPr>
        <w:footnoteReference w:id="45"/>
      </w:r>
    </w:p>
    <w:p w:rsidR="00470AA3" w:rsidRPr="00470AA3" w:rsidRDefault="005200B0" w:rsidP="00CE2DFB">
      <w:pPr>
        <w:spacing w:line="360" w:lineRule="auto"/>
        <w:ind w:firstLine="720"/>
        <w:rPr>
          <w:sz w:val="24"/>
          <w:szCs w:val="24"/>
        </w:rPr>
      </w:pPr>
      <w:r>
        <w:rPr>
          <w:sz w:val="24"/>
          <w:szCs w:val="24"/>
          <w:lang w:val="en"/>
        </w:rPr>
        <w:t>In</w:t>
      </w:r>
      <w:r w:rsidR="00470AA3">
        <w:rPr>
          <w:sz w:val="24"/>
          <w:szCs w:val="24"/>
          <w:lang w:val="en"/>
        </w:rPr>
        <w:t xml:space="preserve"> the post-war years, Wales’s economy indeed re-found its footing. However, this was not felt equally everywhere. Similarly, Morgan’s contention that a spirit of optimism came to diminish public desire for separatism is broadly true</w:t>
      </w:r>
      <w:r w:rsidRPr="00130ABD">
        <w:rPr>
          <w:sz w:val="24"/>
          <w:szCs w:val="24"/>
        </w:rPr>
        <w:t>—</w:t>
      </w:r>
      <w:r>
        <w:rPr>
          <w:sz w:val="24"/>
          <w:szCs w:val="24"/>
        </w:rPr>
        <w:t>but this was not true everywhere. Pockets of rural Wales continued to feel dissatisfaction with the state of the Union. The voices of such people only grew louder as the economic situation worsened, and as political recognition was withheld. Therefore, while Morgan’s contention that economic and political ties between Wales and the rest of the UK meant that the overall public desire was for the maintenance of the Union over the period he covers is largely true, this desire for Unionism was heavily contingent on the economic and political situation working in favour of Wales. The 1979 referendum did not settle the issue permanently, and nor did the 1997 one. It is something that will continue to be up for negotiation.</w:t>
      </w:r>
    </w:p>
    <w:p w:rsidR="00CE645D" w:rsidRDefault="00CE645D" w:rsidP="00CE645D">
      <w:pPr>
        <w:spacing w:line="360" w:lineRule="auto"/>
        <w:ind w:firstLine="720"/>
        <w:rPr>
          <w:sz w:val="24"/>
          <w:szCs w:val="24"/>
        </w:rPr>
      </w:pPr>
    </w:p>
    <w:p w:rsidR="00E9063A" w:rsidRPr="00E9063A" w:rsidRDefault="00E9063A" w:rsidP="00E9063A">
      <w:pPr>
        <w:rPr>
          <w:lang w:val="en"/>
        </w:rPr>
      </w:pPr>
    </w:p>
    <w:p w:rsidR="00E9063A" w:rsidRPr="00E9063A" w:rsidRDefault="00E9063A" w:rsidP="00E9063A">
      <w:pPr>
        <w:rPr>
          <w:lang w:val="en"/>
        </w:rPr>
      </w:pPr>
    </w:p>
    <w:p w:rsidR="00DB5879" w:rsidRDefault="00DB5879">
      <w:pPr>
        <w:spacing w:after="160" w:line="259" w:lineRule="auto"/>
        <w:rPr>
          <w:lang w:val="en"/>
        </w:rPr>
      </w:pPr>
    </w:p>
    <w:p w:rsidR="00E9063A" w:rsidRPr="00374503" w:rsidRDefault="00DB5879" w:rsidP="00DB5879">
      <w:pPr>
        <w:jc w:val="center"/>
        <w:rPr>
          <w:sz w:val="28"/>
          <w:szCs w:val="28"/>
          <w:lang w:val="en"/>
        </w:rPr>
      </w:pPr>
      <w:r w:rsidRPr="00374503">
        <w:rPr>
          <w:b/>
          <w:sz w:val="28"/>
          <w:szCs w:val="28"/>
          <w:lang w:val="en"/>
        </w:rPr>
        <w:t>Bibliography</w:t>
      </w:r>
    </w:p>
    <w:p w:rsidR="00DB5879" w:rsidRPr="00374503" w:rsidRDefault="00DB5879" w:rsidP="00374503">
      <w:pPr>
        <w:ind w:left="567" w:hanging="567"/>
        <w:rPr>
          <w:sz w:val="28"/>
          <w:szCs w:val="28"/>
          <w:lang w:val="en"/>
        </w:rPr>
      </w:pPr>
      <w:r w:rsidRPr="00374503">
        <w:rPr>
          <w:b/>
          <w:sz w:val="28"/>
          <w:szCs w:val="28"/>
          <w:lang w:val="en"/>
        </w:rPr>
        <w:t>Primary Sources</w:t>
      </w:r>
    </w:p>
    <w:p w:rsidR="004A71FD" w:rsidRPr="00374503" w:rsidRDefault="004A71FD" w:rsidP="00374503">
      <w:pPr>
        <w:spacing w:line="360" w:lineRule="auto"/>
        <w:ind w:left="567" w:hanging="567"/>
        <w:rPr>
          <w:rFonts w:cstheme="minorHAnsi"/>
          <w:sz w:val="24"/>
          <w:szCs w:val="24"/>
        </w:rPr>
      </w:pPr>
      <w:r w:rsidRPr="00374503">
        <w:rPr>
          <w:rFonts w:cstheme="minorHAnsi"/>
          <w:i/>
          <w:sz w:val="24"/>
          <w:szCs w:val="24"/>
        </w:rPr>
        <w:t>Agriculture Act 1947</w:t>
      </w:r>
      <w:r w:rsidRPr="00374503">
        <w:rPr>
          <w:rFonts w:cstheme="minorHAnsi"/>
          <w:sz w:val="24"/>
          <w:szCs w:val="24"/>
        </w:rPr>
        <w:t xml:space="preserve"> (10 and 11 Geo 6 Part 1). [Online]. Available: </w:t>
      </w:r>
      <w:hyperlink r:id="rId8" w:history="1">
        <w:r w:rsidRPr="00374503">
          <w:rPr>
            <w:rStyle w:val="Hyperlink"/>
            <w:rFonts w:cstheme="minorHAnsi"/>
            <w:sz w:val="24"/>
            <w:szCs w:val="24"/>
          </w:rPr>
          <w:t>http://www.legislation.gov.uk/ukpga/Geo6/10-11/48/part/I/enacted/</w:t>
        </w:r>
      </w:hyperlink>
      <w:r w:rsidRPr="00374503">
        <w:rPr>
          <w:rFonts w:cstheme="minorHAnsi"/>
          <w:sz w:val="24"/>
          <w:szCs w:val="24"/>
        </w:rPr>
        <w:t xml:space="preserve"> [Accessed on 4 May 2018].</w:t>
      </w:r>
    </w:p>
    <w:p w:rsidR="00DB5879" w:rsidRPr="00374503" w:rsidRDefault="00FB4BD5" w:rsidP="00374503">
      <w:pPr>
        <w:spacing w:line="360" w:lineRule="auto"/>
        <w:ind w:left="567" w:hanging="567"/>
        <w:rPr>
          <w:rFonts w:cstheme="minorHAnsi"/>
          <w:sz w:val="24"/>
          <w:szCs w:val="24"/>
        </w:rPr>
      </w:pPr>
      <w:r w:rsidRPr="00374503">
        <w:rPr>
          <w:rFonts w:cstheme="minorHAnsi"/>
          <w:sz w:val="24"/>
          <w:szCs w:val="24"/>
        </w:rPr>
        <w:t xml:space="preserve">Brooke, S., (ed), </w:t>
      </w:r>
      <w:r w:rsidRPr="00374503">
        <w:rPr>
          <w:rFonts w:cstheme="minorHAnsi"/>
          <w:i/>
          <w:sz w:val="24"/>
          <w:szCs w:val="24"/>
        </w:rPr>
        <w:t>Reform and Reconstruction: Britain after the War, 1945-51</w:t>
      </w:r>
      <w:r w:rsidRPr="00374503">
        <w:rPr>
          <w:rFonts w:cstheme="minorHAnsi"/>
          <w:sz w:val="24"/>
          <w:szCs w:val="24"/>
        </w:rPr>
        <w:t xml:space="preserve"> (Manchester: Manchester University Press, 1995).</w:t>
      </w:r>
    </w:p>
    <w:p w:rsidR="0011088A" w:rsidRPr="00374503" w:rsidRDefault="0011088A" w:rsidP="00374503">
      <w:pPr>
        <w:spacing w:line="360" w:lineRule="auto"/>
        <w:ind w:left="567" w:hanging="567"/>
        <w:rPr>
          <w:rFonts w:cstheme="minorHAnsi"/>
          <w:sz w:val="24"/>
          <w:szCs w:val="24"/>
        </w:rPr>
      </w:pPr>
      <w:r w:rsidRPr="00374503">
        <w:rPr>
          <w:sz w:val="24"/>
          <w:szCs w:val="24"/>
        </w:rPr>
        <w:t xml:space="preserve">Office for National Statistics, </w:t>
      </w:r>
      <w:r w:rsidRPr="00374503">
        <w:rPr>
          <w:i/>
          <w:sz w:val="24"/>
          <w:szCs w:val="24"/>
        </w:rPr>
        <w:t xml:space="preserve">200 Years of the Census in Wales </w:t>
      </w:r>
      <w:r w:rsidRPr="00374503">
        <w:rPr>
          <w:sz w:val="24"/>
          <w:szCs w:val="24"/>
        </w:rPr>
        <w:t xml:space="preserve">(2001) [Online]. Available: </w:t>
      </w:r>
      <w:hyperlink r:id="rId9" w:history="1">
        <w:r w:rsidRPr="00374503">
          <w:rPr>
            <w:rStyle w:val="Hyperlink"/>
            <w:sz w:val="24"/>
            <w:szCs w:val="24"/>
          </w:rPr>
          <w:t>https://www.ons.gov.uk/ons/guide-method/census/1991-and-earlier-censuses/census-bicentenary/area-monitors/regions/wales/wales-area-monitor.pdf/</w:t>
        </w:r>
      </w:hyperlink>
      <w:r w:rsidRPr="00374503">
        <w:rPr>
          <w:sz w:val="24"/>
          <w:szCs w:val="24"/>
        </w:rPr>
        <w:t xml:space="preserve"> [Accessed on 4 May 2018].</w:t>
      </w:r>
    </w:p>
    <w:p w:rsidR="00FB4BD5" w:rsidRDefault="00FA717E" w:rsidP="00374503">
      <w:pPr>
        <w:spacing w:line="360" w:lineRule="auto"/>
        <w:ind w:left="567" w:hanging="567"/>
        <w:rPr>
          <w:rFonts w:cstheme="minorHAnsi"/>
          <w:sz w:val="24"/>
          <w:szCs w:val="24"/>
        </w:rPr>
      </w:pPr>
      <w:r w:rsidRPr="00374503">
        <w:rPr>
          <w:rFonts w:cstheme="minorHAnsi"/>
          <w:i/>
          <w:sz w:val="24"/>
          <w:szCs w:val="24"/>
        </w:rPr>
        <w:t>Welsh Language Act 1967</w:t>
      </w:r>
      <w:r w:rsidRPr="00374503">
        <w:rPr>
          <w:rFonts w:cstheme="minorHAnsi"/>
          <w:sz w:val="24"/>
          <w:szCs w:val="24"/>
        </w:rPr>
        <w:t xml:space="preserve"> (1967 Chapter 66). [Online]. Available: </w:t>
      </w:r>
      <w:hyperlink r:id="rId10" w:history="1">
        <w:r w:rsidR="004A71FD" w:rsidRPr="00374503">
          <w:rPr>
            <w:rStyle w:val="Hyperlink"/>
            <w:rFonts w:cstheme="minorHAnsi"/>
            <w:sz w:val="24"/>
            <w:szCs w:val="24"/>
          </w:rPr>
          <w:t>http://www.legislation.gov.uk/ukpga/1967/66/enacted/</w:t>
        </w:r>
      </w:hyperlink>
      <w:r w:rsidR="004A71FD" w:rsidRPr="00374503">
        <w:rPr>
          <w:rFonts w:cstheme="minorHAnsi"/>
          <w:sz w:val="24"/>
          <w:szCs w:val="24"/>
        </w:rPr>
        <w:t xml:space="preserve"> </w:t>
      </w:r>
      <w:r w:rsidRPr="00374503">
        <w:rPr>
          <w:rFonts w:cstheme="minorHAnsi"/>
          <w:sz w:val="24"/>
          <w:szCs w:val="24"/>
        </w:rPr>
        <w:t>[Accessed on 4 May 2018].</w:t>
      </w:r>
    </w:p>
    <w:p w:rsidR="00374503" w:rsidRPr="00374503" w:rsidRDefault="00374503" w:rsidP="00374503">
      <w:pPr>
        <w:spacing w:line="360" w:lineRule="auto"/>
        <w:ind w:left="567" w:hanging="567"/>
        <w:rPr>
          <w:rFonts w:cstheme="minorHAnsi"/>
          <w:sz w:val="24"/>
          <w:szCs w:val="24"/>
        </w:rPr>
      </w:pPr>
    </w:p>
    <w:p w:rsidR="00DB5879" w:rsidRPr="00374503" w:rsidRDefault="00DB5879" w:rsidP="00374503">
      <w:pPr>
        <w:ind w:left="567" w:hanging="567"/>
        <w:rPr>
          <w:b/>
          <w:sz w:val="28"/>
          <w:szCs w:val="28"/>
          <w:lang w:val="en"/>
        </w:rPr>
      </w:pPr>
      <w:r w:rsidRPr="00374503">
        <w:rPr>
          <w:b/>
          <w:sz w:val="28"/>
          <w:szCs w:val="28"/>
          <w:lang w:val="en"/>
        </w:rPr>
        <w:t>Secondary Sources</w:t>
      </w:r>
    </w:p>
    <w:p w:rsidR="00041427" w:rsidRPr="00374503" w:rsidRDefault="00041427" w:rsidP="00374503">
      <w:pPr>
        <w:ind w:left="567" w:hanging="567"/>
        <w:rPr>
          <w:sz w:val="24"/>
          <w:szCs w:val="24"/>
          <w:lang w:val="en"/>
        </w:rPr>
      </w:pPr>
      <w:proofErr w:type="spellStart"/>
      <w:r w:rsidRPr="00374503">
        <w:rPr>
          <w:sz w:val="24"/>
          <w:szCs w:val="24"/>
          <w:lang w:val="en"/>
        </w:rPr>
        <w:t>Cullingworth</w:t>
      </w:r>
      <w:proofErr w:type="spellEnd"/>
      <w:r w:rsidRPr="00374503">
        <w:rPr>
          <w:sz w:val="24"/>
          <w:szCs w:val="24"/>
          <w:lang w:val="en"/>
        </w:rPr>
        <w:t xml:space="preserve">, J., D., and </w:t>
      </w:r>
      <w:proofErr w:type="spellStart"/>
      <w:r w:rsidRPr="00374503">
        <w:rPr>
          <w:sz w:val="24"/>
          <w:szCs w:val="24"/>
          <w:lang w:val="en"/>
        </w:rPr>
        <w:t>Nadin</w:t>
      </w:r>
      <w:proofErr w:type="spellEnd"/>
      <w:r w:rsidRPr="00374503">
        <w:rPr>
          <w:sz w:val="24"/>
          <w:szCs w:val="24"/>
          <w:lang w:val="en"/>
        </w:rPr>
        <w:t xml:space="preserve">, V., </w:t>
      </w:r>
      <w:r w:rsidRPr="00374503">
        <w:rPr>
          <w:i/>
          <w:sz w:val="24"/>
          <w:szCs w:val="24"/>
          <w:lang w:val="en"/>
        </w:rPr>
        <w:t>Town and Country Planning in the UK</w:t>
      </w:r>
      <w:r w:rsidRPr="00374503">
        <w:rPr>
          <w:sz w:val="24"/>
          <w:szCs w:val="24"/>
          <w:lang w:val="en"/>
        </w:rPr>
        <w:t xml:space="preserve"> (London: Routledge, 2006).</w:t>
      </w:r>
    </w:p>
    <w:p w:rsidR="002C6B55" w:rsidRPr="00374503" w:rsidRDefault="002C6B55" w:rsidP="00374503">
      <w:pPr>
        <w:ind w:left="567" w:hanging="567"/>
        <w:rPr>
          <w:sz w:val="24"/>
          <w:szCs w:val="24"/>
          <w:lang w:val="en"/>
        </w:rPr>
      </w:pPr>
      <w:r w:rsidRPr="00374503">
        <w:rPr>
          <w:sz w:val="24"/>
          <w:szCs w:val="24"/>
          <w:lang w:val="en"/>
        </w:rPr>
        <w:t xml:space="preserve">Davies, J., </w:t>
      </w:r>
      <w:r w:rsidRPr="00374503">
        <w:rPr>
          <w:i/>
          <w:sz w:val="24"/>
          <w:szCs w:val="24"/>
          <w:lang w:val="en"/>
        </w:rPr>
        <w:t xml:space="preserve">A History of Wales </w:t>
      </w:r>
      <w:r w:rsidRPr="00374503">
        <w:rPr>
          <w:sz w:val="24"/>
          <w:szCs w:val="24"/>
          <w:lang w:val="en"/>
        </w:rPr>
        <w:t>(London: Penguin Books, 1990).</w:t>
      </w:r>
    </w:p>
    <w:p w:rsidR="004A71FD" w:rsidRPr="00374503" w:rsidRDefault="004A71FD" w:rsidP="00374503">
      <w:pPr>
        <w:ind w:left="567" w:hanging="567"/>
        <w:rPr>
          <w:sz w:val="24"/>
          <w:szCs w:val="24"/>
        </w:rPr>
      </w:pPr>
      <w:r w:rsidRPr="00374503">
        <w:rPr>
          <w:sz w:val="24"/>
          <w:szCs w:val="24"/>
          <w:lang w:val="en"/>
        </w:rPr>
        <w:t xml:space="preserve">Jones, E., </w:t>
      </w:r>
      <w:r w:rsidRPr="00374503">
        <w:rPr>
          <w:i/>
          <w:sz w:val="24"/>
          <w:szCs w:val="24"/>
          <w:lang w:val="en"/>
        </w:rPr>
        <w:t>James Griffiths and his Times</w:t>
      </w:r>
      <w:r w:rsidRPr="00374503">
        <w:rPr>
          <w:sz w:val="24"/>
          <w:szCs w:val="24"/>
        </w:rPr>
        <w:t xml:space="preserve"> (Rhondda: W. T. Maddock &amp; Co., 1978).</w:t>
      </w:r>
    </w:p>
    <w:p w:rsidR="00DB5879" w:rsidRPr="00374503" w:rsidRDefault="00FB4BD5" w:rsidP="00374503">
      <w:pPr>
        <w:ind w:left="567" w:hanging="567"/>
        <w:rPr>
          <w:sz w:val="24"/>
          <w:szCs w:val="24"/>
          <w:lang w:val="en"/>
        </w:rPr>
      </w:pPr>
      <w:r w:rsidRPr="00374503">
        <w:rPr>
          <w:sz w:val="24"/>
          <w:szCs w:val="24"/>
          <w:lang w:val="en"/>
        </w:rPr>
        <w:t xml:space="preserve">Morgan, K., O., </w:t>
      </w:r>
      <w:r w:rsidRPr="00374503">
        <w:rPr>
          <w:i/>
          <w:sz w:val="24"/>
          <w:szCs w:val="24"/>
          <w:lang w:val="en"/>
        </w:rPr>
        <w:t>Rebirth of a Nation: Wales 1880-1980</w:t>
      </w:r>
      <w:r w:rsidRPr="00374503">
        <w:rPr>
          <w:sz w:val="24"/>
          <w:szCs w:val="24"/>
          <w:lang w:val="en"/>
        </w:rPr>
        <w:t xml:space="preserve"> (Oxford: Oxford University Press, 1982).</w:t>
      </w:r>
    </w:p>
    <w:p w:rsidR="00E9063A" w:rsidRPr="00E9063A" w:rsidRDefault="00E9063A" w:rsidP="00E9063A">
      <w:pPr>
        <w:rPr>
          <w:lang w:val="en"/>
        </w:rPr>
      </w:pPr>
    </w:p>
    <w:p w:rsidR="00E9063A" w:rsidRPr="00E9063A" w:rsidRDefault="00E9063A" w:rsidP="00E9063A">
      <w:pPr>
        <w:rPr>
          <w:lang w:val="en"/>
        </w:rPr>
      </w:pPr>
    </w:p>
    <w:p w:rsidR="00E9063A" w:rsidRPr="00E9063A" w:rsidRDefault="00E9063A" w:rsidP="00E9063A">
      <w:pPr>
        <w:rPr>
          <w:lang w:val="en"/>
        </w:rPr>
      </w:pPr>
      <w:bookmarkStart w:id="0" w:name="_GoBack"/>
      <w:bookmarkEnd w:id="0"/>
    </w:p>
    <w:p w:rsidR="00E9063A" w:rsidRDefault="00E9063A" w:rsidP="00E9063A">
      <w:pPr>
        <w:rPr>
          <w:lang w:val="en"/>
        </w:rPr>
      </w:pPr>
    </w:p>
    <w:p w:rsidR="00DF60F8" w:rsidRPr="00E9063A" w:rsidRDefault="00DF60F8" w:rsidP="00E9063A">
      <w:pPr>
        <w:jc w:val="right"/>
        <w:rPr>
          <w:lang w:val="en"/>
        </w:rPr>
      </w:pPr>
    </w:p>
    <w:sectPr w:rsidR="00DF60F8" w:rsidRPr="00E906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1A61" w:rsidRDefault="00151A61" w:rsidP="00130ABD">
      <w:pPr>
        <w:spacing w:after="0" w:line="240" w:lineRule="auto"/>
      </w:pPr>
      <w:r>
        <w:separator/>
      </w:r>
    </w:p>
  </w:endnote>
  <w:endnote w:type="continuationSeparator" w:id="0">
    <w:p w:rsidR="00151A61" w:rsidRDefault="00151A61" w:rsidP="00130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1A61" w:rsidRDefault="00151A61" w:rsidP="00130ABD">
      <w:pPr>
        <w:spacing w:after="0" w:line="240" w:lineRule="auto"/>
      </w:pPr>
      <w:r>
        <w:separator/>
      </w:r>
    </w:p>
  </w:footnote>
  <w:footnote w:type="continuationSeparator" w:id="0">
    <w:p w:rsidR="00151A61" w:rsidRDefault="00151A61" w:rsidP="00130ABD">
      <w:pPr>
        <w:spacing w:after="0" w:line="240" w:lineRule="auto"/>
      </w:pPr>
      <w:r>
        <w:continuationSeparator/>
      </w:r>
    </w:p>
  </w:footnote>
  <w:footnote w:id="1">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7760DF" w:rsidRPr="008F0CD9">
        <w:rPr>
          <w:sz w:val="20"/>
          <w:szCs w:val="20"/>
        </w:rPr>
        <w:t xml:space="preserve">K. </w:t>
      </w:r>
      <w:r w:rsidRPr="008F0CD9">
        <w:rPr>
          <w:sz w:val="20"/>
          <w:szCs w:val="20"/>
        </w:rPr>
        <w:t xml:space="preserve">Morgan, </w:t>
      </w:r>
      <w:r w:rsidR="007760DF" w:rsidRPr="008F0CD9">
        <w:rPr>
          <w:i/>
          <w:sz w:val="20"/>
          <w:szCs w:val="20"/>
          <w:lang w:val="en"/>
        </w:rPr>
        <w:t>Rebirth of a Nation: Wales 1880-1980</w:t>
      </w:r>
      <w:r w:rsidR="007760DF" w:rsidRPr="008F0CD9">
        <w:rPr>
          <w:sz w:val="20"/>
          <w:szCs w:val="20"/>
          <w:lang w:val="en"/>
        </w:rPr>
        <w:t xml:space="preserve"> (Oxford: Oxford University Press, 1982)</w:t>
      </w:r>
      <w:r w:rsidR="007760DF" w:rsidRPr="008F0CD9">
        <w:rPr>
          <w:sz w:val="20"/>
          <w:szCs w:val="20"/>
          <w:lang w:val="en"/>
        </w:rPr>
        <w:t xml:space="preserve">, </w:t>
      </w:r>
      <w:r w:rsidRPr="008F0CD9">
        <w:rPr>
          <w:sz w:val="20"/>
          <w:szCs w:val="20"/>
        </w:rPr>
        <w:t>308-9.</w:t>
      </w:r>
    </w:p>
  </w:footnote>
  <w:footnote w:id="2">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7760DF" w:rsidRPr="008F0CD9">
        <w:rPr>
          <w:sz w:val="20"/>
          <w:szCs w:val="20"/>
        </w:rPr>
        <w:t xml:space="preserve">J. </w:t>
      </w:r>
      <w:r w:rsidR="003A68E6" w:rsidRPr="008F0CD9">
        <w:rPr>
          <w:sz w:val="20"/>
          <w:szCs w:val="20"/>
        </w:rPr>
        <w:t>Davies</w:t>
      </w:r>
      <w:r w:rsidR="007760DF" w:rsidRPr="008F0CD9">
        <w:rPr>
          <w:sz w:val="20"/>
          <w:szCs w:val="20"/>
        </w:rPr>
        <w:t>,</w:t>
      </w:r>
      <w:r w:rsidR="007760DF" w:rsidRPr="008F0CD9">
        <w:rPr>
          <w:i/>
          <w:sz w:val="20"/>
          <w:szCs w:val="20"/>
          <w:lang w:val="en"/>
        </w:rPr>
        <w:t xml:space="preserve"> </w:t>
      </w:r>
      <w:r w:rsidR="007760DF" w:rsidRPr="008F0CD9">
        <w:rPr>
          <w:i/>
          <w:sz w:val="20"/>
          <w:szCs w:val="20"/>
          <w:lang w:val="en"/>
        </w:rPr>
        <w:t xml:space="preserve">A History of Wales </w:t>
      </w:r>
      <w:r w:rsidR="007760DF" w:rsidRPr="008F0CD9">
        <w:rPr>
          <w:sz w:val="20"/>
          <w:szCs w:val="20"/>
          <w:lang w:val="en"/>
        </w:rPr>
        <w:t>(London: Penguin Books, 1990)</w:t>
      </w:r>
      <w:r w:rsidR="003A68E6" w:rsidRPr="008F0CD9">
        <w:rPr>
          <w:sz w:val="20"/>
          <w:szCs w:val="20"/>
        </w:rPr>
        <w:t xml:space="preserve">, 614, 625. </w:t>
      </w:r>
      <w:r w:rsidRPr="008F0CD9">
        <w:rPr>
          <w:sz w:val="20"/>
          <w:szCs w:val="20"/>
        </w:rPr>
        <w:t xml:space="preserve">Morgan, </w:t>
      </w:r>
      <w:r w:rsidR="007760DF" w:rsidRPr="008F0CD9">
        <w:rPr>
          <w:i/>
          <w:sz w:val="20"/>
          <w:szCs w:val="20"/>
        </w:rPr>
        <w:t>Rebirth</w:t>
      </w:r>
      <w:r w:rsidR="007760DF" w:rsidRPr="008F0CD9">
        <w:rPr>
          <w:sz w:val="20"/>
          <w:szCs w:val="20"/>
        </w:rPr>
        <w:t xml:space="preserve">, </w:t>
      </w:r>
      <w:r w:rsidRPr="008F0CD9">
        <w:rPr>
          <w:sz w:val="20"/>
          <w:szCs w:val="20"/>
        </w:rPr>
        <w:t>308-9.</w:t>
      </w:r>
    </w:p>
  </w:footnote>
  <w:footnote w:id="3">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 </w:t>
      </w:r>
      <w:r w:rsidR="007760DF" w:rsidRPr="008F0CD9">
        <w:rPr>
          <w:i/>
          <w:sz w:val="20"/>
          <w:szCs w:val="20"/>
        </w:rPr>
        <w:t>Rebirth</w:t>
      </w:r>
      <w:r w:rsidR="007760DF" w:rsidRPr="008F0CD9">
        <w:rPr>
          <w:sz w:val="20"/>
          <w:szCs w:val="20"/>
        </w:rPr>
        <w:t xml:space="preserve">, </w:t>
      </w:r>
      <w:r w:rsidRPr="008F0CD9">
        <w:rPr>
          <w:sz w:val="20"/>
          <w:szCs w:val="20"/>
        </w:rPr>
        <w:t>325.</w:t>
      </w:r>
    </w:p>
  </w:footnote>
  <w:footnote w:id="4">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7760DF" w:rsidRPr="008F0CD9">
        <w:rPr>
          <w:i/>
          <w:sz w:val="20"/>
          <w:szCs w:val="20"/>
        </w:rPr>
        <w:t>Ibid.</w:t>
      </w:r>
    </w:p>
  </w:footnote>
  <w:footnote w:id="5">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3A68E6" w:rsidRPr="008F0CD9">
        <w:rPr>
          <w:sz w:val="20"/>
          <w:szCs w:val="20"/>
        </w:rPr>
        <w:t xml:space="preserve">Davies, </w:t>
      </w:r>
      <w:r w:rsidR="008F0CD9" w:rsidRPr="008F0CD9">
        <w:rPr>
          <w:i/>
          <w:sz w:val="20"/>
          <w:szCs w:val="20"/>
        </w:rPr>
        <w:t xml:space="preserve">History, </w:t>
      </w:r>
      <w:r w:rsidR="003A68E6" w:rsidRPr="008F0CD9">
        <w:rPr>
          <w:sz w:val="20"/>
          <w:szCs w:val="20"/>
        </w:rPr>
        <w:t xml:space="preserve">614-5. </w:t>
      </w:r>
      <w:r w:rsidRPr="008F0CD9">
        <w:rPr>
          <w:sz w:val="20"/>
          <w:szCs w:val="20"/>
        </w:rPr>
        <w:t xml:space="preserve">Morgan, </w:t>
      </w:r>
      <w:r w:rsidR="008F0CD9" w:rsidRPr="008F0CD9">
        <w:rPr>
          <w:i/>
          <w:sz w:val="20"/>
          <w:szCs w:val="20"/>
        </w:rPr>
        <w:t xml:space="preserve">Rebirth, </w:t>
      </w:r>
      <w:r w:rsidRPr="008F0CD9">
        <w:rPr>
          <w:sz w:val="20"/>
          <w:szCs w:val="20"/>
        </w:rPr>
        <w:t>299-312.</w:t>
      </w:r>
    </w:p>
  </w:footnote>
  <w:footnote w:id="6">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sz w:val="20"/>
          <w:szCs w:val="20"/>
        </w:rPr>
        <w:t xml:space="preserve">J. </w:t>
      </w:r>
      <w:proofErr w:type="spellStart"/>
      <w:r w:rsidR="008F0CD9" w:rsidRPr="008F0CD9">
        <w:rPr>
          <w:sz w:val="20"/>
          <w:szCs w:val="20"/>
        </w:rPr>
        <w:t>Cullingworth</w:t>
      </w:r>
      <w:proofErr w:type="spellEnd"/>
      <w:r w:rsidR="008F0CD9" w:rsidRPr="008F0CD9">
        <w:rPr>
          <w:sz w:val="20"/>
          <w:szCs w:val="20"/>
        </w:rPr>
        <w:t xml:space="preserve"> and V. </w:t>
      </w:r>
      <w:proofErr w:type="spellStart"/>
      <w:r w:rsidRPr="008F0CD9">
        <w:rPr>
          <w:sz w:val="20"/>
          <w:szCs w:val="20"/>
        </w:rPr>
        <w:t>Nadin</w:t>
      </w:r>
      <w:proofErr w:type="spellEnd"/>
      <w:r w:rsidRPr="008F0CD9">
        <w:rPr>
          <w:sz w:val="20"/>
          <w:szCs w:val="20"/>
        </w:rPr>
        <w:t>,</w:t>
      </w:r>
      <w:r w:rsidR="008F0CD9" w:rsidRPr="008F0CD9">
        <w:rPr>
          <w:i/>
          <w:sz w:val="20"/>
          <w:szCs w:val="20"/>
          <w:lang w:val="en"/>
        </w:rPr>
        <w:t xml:space="preserve"> </w:t>
      </w:r>
      <w:r w:rsidR="008F0CD9" w:rsidRPr="008F0CD9">
        <w:rPr>
          <w:i/>
          <w:sz w:val="20"/>
          <w:szCs w:val="20"/>
          <w:lang w:val="en"/>
        </w:rPr>
        <w:t>Town and Country Planning in the UK</w:t>
      </w:r>
      <w:r w:rsidR="008F0CD9" w:rsidRPr="008F0CD9">
        <w:rPr>
          <w:sz w:val="20"/>
          <w:szCs w:val="20"/>
          <w:lang w:val="en"/>
        </w:rPr>
        <w:t xml:space="preserve"> (London: Routledge, 2006)</w:t>
      </w:r>
      <w:r w:rsidR="008F0CD9" w:rsidRPr="008F0CD9">
        <w:rPr>
          <w:sz w:val="20"/>
          <w:szCs w:val="20"/>
          <w:lang w:val="en"/>
        </w:rPr>
        <w:t>,</w:t>
      </w:r>
      <w:r w:rsidRPr="008F0CD9">
        <w:rPr>
          <w:sz w:val="20"/>
          <w:szCs w:val="20"/>
        </w:rPr>
        <w:t xml:space="preserve"> 19-21.</w:t>
      </w:r>
    </w:p>
  </w:footnote>
  <w:footnote w:id="7">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23.</w:t>
      </w:r>
    </w:p>
  </w:footnote>
  <w:footnote w:id="8">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 </w:t>
      </w:r>
      <w:r w:rsidR="008F0CD9" w:rsidRPr="008F0CD9">
        <w:rPr>
          <w:i/>
          <w:sz w:val="20"/>
          <w:szCs w:val="20"/>
        </w:rPr>
        <w:t xml:space="preserve">Rebirth, </w:t>
      </w:r>
      <w:r w:rsidRPr="008F0CD9">
        <w:rPr>
          <w:sz w:val="20"/>
          <w:szCs w:val="20"/>
        </w:rPr>
        <w:t>312.</w:t>
      </w:r>
      <w:r w:rsidR="000F42DC" w:rsidRPr="008F0CD9">
        <w:rPr>
          <w:sz w:val="20"/>
          <w:szCs w:val="20"/>
        </w:rPr>
        <w:t xml:space="preserve"> Davies, </w:t>
      </w:r>
      <w:r w:rsidR="008F0CD9" w:rsidRPr="008F0CD9">
        <w:rPr>
          <w:i/>
          <w:sz w:val="20"/>
          <w:szCs w:val="20"/>
        </w:rPr>
        <w:t xml:space="preserve">History, </w:t>
      </w:r>
      <w:r w:rsidR="000F42DC" w:rsidRPr="008F0CD9">
        <w:rPr>
          <w:sz w:val="20"/>
          <w:szCs w:val="20"/>
        </w:rPr>
        <w:t>61</w:t>
      </w:r>
      <w:r w:rsidR="00BE1E24" w:rsidRPr="008F0CD9">
        <w:rPr>
          <w:sz w:val="20"/>
          <w:szCs w:val="20"/>
        </w:rPr>
        <w:t>4-</w:t>
      </w:r>
      <w:r w:rsidR="000F42DC" w:rsidRPr="008F0CD9">
        <w:rPr>
          <w:sz w:val="20"/>
          <w:szCs w:val="20"/>
        </w:rPr>
        <w:t>5.</w:t>
      </w:r>
    </w:p>
  </w:footnote>
  <w:footnote w:id="9">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 </w:t>
      </w:r>
      <w:r w:rsidR="008F0CD9" w:rsidRPr="008F0CD9">
        <w:rPr>
          <w:i/>
          <w:sz w:val="20"/>
          <w:szCs w:val="20"/>
        </w:rPr>
        <w:t xml:space="preserve">Rebirth, </w:t>
      </w:r>
      <w:r w:rsidRPr="008F0CD9">
        <w:rPr>
          <w:sz w:val="20"/>
          <w:szCs w:val="20"/>
        </w:rPr>
        <w:t>312.</w:t>
      </w:r>
      <w:r w:rsidR="00BE1E24" w:rsidRPr="008F0CD9">
        <w:rPr>
          <w:sz w:val="20"/>
          <w:szCs w:val="20"/>
        </w:rPr>
        <w:t xml:space="preserve"> Davies, </w:t>
      </w:r>
      <w:r w:rsidR="008F0CD9" w:rsidRPr="008F0CD9">
        <w:rPr>
          <w:i/>
          <w:sz w:val="20"/>
          <w:szCs w:val="20"/>
        </w:rPr>
        <w:t xml:space="preserve">History, </w:t>
      </w:r>
      <w:r w:rsidR="00BE1E24" w:rsidRPr="008F0CD9">
        <w:rPr>
          <w:sz w:val="20"/>
          <w:szCs w:val="20"/>
        </w:rPr>
        <w:t>615.</w:t>
      </w:r>
    </w:p>
  </w:footnote>
  <w:footnote w:id="10">
    <w:p w:rsidR="00B41468" w:rsidRPr="008F0CD9" w:rsidRDefault="00B41468"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w:t>
      </w:r>
      <w:r w:rsidR="008F0CD9" w:rsidRPr="008F0CD9">
        <w:rPr>
          <w:i/>
          <w:sz w:val="20"/>
          <w:szCs w:val="20"/>
        </w:rPr>
        <w:t xml:space="preserve"> Rebirth,</w:t>
      </w:r>
      <w:r w:rsidRPr="008F0CD9">
        <w:rPr>
          <w:sz w:val="20"/>
          <w:szCs w:val="20"/>
        </w:rPr>
        <w:t xml:space="preserve"> 312.</w:t>
      </w:r>
    </w:p>
  </w:footnote>
  <w:footnote w:id="11">
    <w:p w:rsidR="002E0233" w:rsidRPr="008F0CD9" w:rsidRDefault="002E0233"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Labour Party, </w:t>
      </w:r>
      <w:r w:rsidRPr="008F0CD9">
        <w:rPr>
          <w:i/>
          <w:sz w:val="20"/>
          <w:szCs w:val="20"/>
        </w:rPr>
        <w:t>Let Us Face the Future</w:t>
      </w:r>
      <w:r w:rsidRPr="008F0CD9">
        <w:rPr>
          <w:sz w:val="20"/>
          <w:szCs w:val="20"/>
        </w:rPr>
        <w:t xml:space="preserve"> (1945), in Brooke (ed), </w:t>
      </w:r>
      <w:r w:rsidR="008F0CD9" w:rsidRPr="008F0CD9">
        <w:rPr>
          <w:rFonts w:cstheme="minorHAnsi"/>
          <w:i/>
          <w:sz w:val="20"/>
          <w:szCs w:val="20"/>
        </w:rPr>
        <w:t>Reform and Reconstruction: Britain after the War, 1945-51</w:t>
      </w:r>
      <w:r w:rsidR="008F0CD9" w:rsidRPr="008F0CD9">
        <w:rPr>
          <w:rFonts w:cstheme="minorHAnsi"/>
          <w:sz w:val="20"/>
          <w:szCs w:val="20"/>
        </w:rPr>
        <w:t xml:space="preserve"> (Manchester: Manchester University Press, 1995)</w:t>
      </w:r>
      <w:r w:rsidR="008F0CD9" w:rsidRPr="008F0CD9">
        <w:rPr>
          <w:rFonts w:cstheme="minorHAnsi"/>
          <w:sz w:val="20"/>
          <w:szCs w:val="20"/>
        </w:rPr>
        <w:t xml:space="preserve">, </w:t>
      </w:r>
      <w:r w:rsidRPr="008F0CD9">
        <w:rPr>
          <w:sz w:val="20"/>
          <w:szCs w:val="20"/>
        </w:rPr>
        <w:t xml:space="preserve">36-7. Stafford Cripps, </w:t>
      </w:r>
      <w:r w:rsidRPr="008F0CD9">
        <w:rPr>
          <w:i/>
          <w:sz w:val="20"/>
          <w:szCs w:val="20"/>
        </w:rPr>
        <w:t xml:space="preserve">Parliamentary Debates </w:t>
      </w:r>
      <w:r w:rsidRPr="008F0CD9">
        <w:rPr>
          <w:sz w:val="20"/>
          <w:szCs w:val="20"/>
        </w:rPr>
        <w:t xml:space="preserve">(Commons), 47, 18 April 1950, in Brooke (ed), </w:t>
      </w:r>
      <w:r w:rsidRPr="008F0CD9">
        <w:rPr>
          <w:i/>
          <w:sz w:val="20"/>
          <w:szCs w:val="20"/>
        </w:rPr>
        <w:t>Reform</w:t>
      </w:r>
      <w:r w:rsidRPr="008F0CD9">
        <w:rPr>
          <w:sz w:val="20"/>
          <w:szCs w:val="20"/>
        </w:rPr>
        <w:t>, 50-51.</w:t>
      </w:r>
    </w:p>
  </w:footnote>
  <w:footnote w:id="12">
    <w:p w:rsidR="002E0233" w:rsidRPr="008F0CD9" w:rsidRDefault="002E0233"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w:t>
      </w:r>
      <w:r w:rsidR="008F0CD9" w:rsidRPr="008F0CD9">
        <w:rPr>
          <w:sz w:val="20"/>
          <w:szCs w:val="20"/>
        </w:rPr>
        <w:t xml:space="preserve"> </w:t>
      </w:r>
      <w:r w:rsidR="008F0CD9" w:rsidRPr="008F0CD9">
        <w:rPr>
          <w:i/>
          <w:sz w:val="20"/>
          <w:szCs w:val="20"/>
        </w:rPr>
        <w:t>Rebirth,</w:t>
      </w:r>
      <w:r w:rsidRPr="008F0CD9">
        <w:rPr>
          <w:sz w:val="20"/>
          <w:szCs w:val="20"/>
        </w:rPr>
        <w:t xml:space="preserve"> 314-5.</w:t>
      </w:r>
    </w:p>
  </w:footnote>
  <w:footnote w:id="13">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Pr="008F0CD9">
        <w:rPr>
          <w:sz w:val="20"/>
          <w:szCs w:val="20"/>
        </w:rPr>
        <w:t xml:space="preserve">Office for National Statistics, </w:t>
      </w:r>
      <w:r w:rsidRPr="008F0CD9">
        <w:rPr>
          <w:i/>
          <w:sz w:val="20"/>
          <w:szCs w:val="20"/>
        </w:rPr>
        <w:t xml:space="preserve">200 Years of the Census in Wales </w:t>
      </w:r>
      <w:r w:rsidRPr="008F0CD9">
        <w:rPr>
          <w:sz w:val="20"/>
          <w:szCs w:val="20"/>
        </w:rPr>
        <w:t>(2001)</w:t>
      </w:r>
      <w:r w:rsidR="0011088A" w:rsidRPr="008F0CD9">
        <w:rPr>
          <w:sz w:val="20"/>
          <w:szCs w:val="20"/>
        </w:rPr>
        <w:t xml:space="preserve"> [Online]. Available: </w:t>
      </w:r>
      <w:hyperlink r:id="rId1" w:history="1">
        <w:r w:rsidR="0011088A" w:rsidRPr="008F0CD9">
          <w:rPr>
            <w:rStyle w:val="Hyperlink"/>
            <w:sz w:val="20"/>
            <w:szCs w:val="20"/>
          </w:rPr>
          <w:t>https://www.ons.gov.uk/ons/guide-method/census/1991-and-earlier-censuses/census-bicentenary/area-monitors/regions/wales/wales-area-monitor.pdf/</w:t>
        </w:r>
      </w:hyperlink>
      <w:r w:rsidR="0011088A" w:rsidRPr="008F0CD9">
        <w:rPr>
          <w:sz w:val="20"/>
          <w:szCs w:val="20"/>
        </w:rPr>
        <w:t xml:space="preserve"> [Accessed on 4 May 2018]. </w:t>
      </w:r>
      <w:r w:rsidRPr="008F0CD9">
        <w:rPr>
          <w:sz w:val="20"/>
          <w:szCs w:val="20"/>
        </w:rPr>
        <w:t>Morgan, 311, 317-8.</w:t>
      </w:r>
    </w:p>
  </w:footnote>
  <w:footnote w:id="14">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 </w:t>
      </w:r>
      <w:r w:rsidR="008F0CD9" w:rsidRPr="008F0CD9">
        <w:rPr>
          <w:i/>
          <w:sz w:val="20"/>
          <w:szCs w:val="20"/>
        </w:rPr>
        <w:t xml:space="preserve">Rebirth, </w:t>
      </w:r>
      <w:r w:rsidRPr="008F0CD9">
        <w:rPr>
          <w:sz w:val="20"/>
          <w:szCs w:val="20"/>
        </w:rPr>
        <w:t>326-7.</w:t>
      </w:r>
    </w:p>
  </w:footnote>
  <w:footnote w:id="15">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321.</w:t>
      </w:r>
    </w:p>
  </w:footnote>
  <w:footnote w:id="16">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326.</w:t>
      </w:r>
    </w:p>
  </w:footnote>
  <w:footnote w:id="17">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326.</w:t>
      </w:r>
    </w:p>
  </w:footnote>
  <w:footnote w:id="18">
    <w:p w:rsidR="009955F2" w:rsidRPr="008F0CD9" w:rsidRDefault="009955F2" w:rsidP="008F0CD9">
      <w:pPr>
        <w:pStyle w:val="NoSpacing"/>
        <w:ind w:left="142" w:hanging="142"/>
        <w:rPr>
          <w:rFonts w:cstheme="minorHAnsi"/>
          <w:sz w:val="20"/>
          <w:szCs w:val="20"/>
        </w:rPr>
      </w:pPr>
      <w:r w:rsidRPr="008F0CD9">
        <w:rPr>
          <w:rStyle w:val="FootnoteReference"/>
          <w:sz w:val="20"/>
          <w:szCs w:val="20"/>
        </w:rPr>
        <w:footnoteRef/>
      </w:r>
      <w:r w:rsidRPr="008F0CD9">
        <w:rPr>
          <w:sz w:val="20"/>
          <w:szCs w:val="20"/>
        </w:rPr>
        <w:t xml:space="preserve"> </w:t>
      </w:r>
      <w:r w:rsidR="008F0CD9" w:rsidRPr="008F0CD9">
        <w:rPr>
          <w:rFonts w:cstheme="minorHAnsi"/>
          <w:i/>
          <w:sz w:val="20"/>
          <w:szCs w:val="20"/>
        </w:rPr>
        <w:t>Agriculture Act 1947</w:t>
      </w:r>
      <w:r w:rsidR="008F0CD9" w:rsidRPr="008F0CD9">
        <w:rPr>
          <w:rFonts w:cstheme="minorHAnsi"/>
          <w:sz w:val="20"/>
          <w:szCs w:val="20"/>
        </w:rPr>
        <w:t xml:space="preserve"> (10 and 11 Geo 6 Part 1). [Online]. Available: </w:t>
      </w:r>
      <w:hyperlink r:id="rId2" w:history="1">
        <w:r w:rsidR="008F0CD9" w:rsidRPr="008F0CD9">
          <w:rPr>
            <w:rStyle w:val="Hyperlink"/>
            <w:rFonts w:cstheme="minorHAnsi"/>
            <w:sz w:val="20"/>
            <w:szCs w:val="20"/>
          </w:rPr>
          <w:t>http://www.legislation.gov.uk/ukpga/Geo6/10-11/48/part/I/enacted/</w:t>
        </w:r>
      </w:hyperlink>
      <w:r w:rsidR="008F0CD9" w:rsidRPr="008F0CD9">
        <w:rPr>
          <w:rFonts w:cstheme="minorHAnsi"/>
          <w:sz w:val="20"/>
          <w:szCs w:val="20"/>
        </w:rPr>
        <w:t xml:space="preserve"> [Accessed on 4 May 2018].</w:t>
      </w:r>
      <w:r w:rsidRPr="008F0CD9">
        <w:rPr>
          <w:sz w:val="20"/>
          <w:szCs w:val="20"/>
        </w:rPr>
        <w:t xml:space="preserve"> Morgan, </w:t>
      </w:r>
      <w:r w:rsidR="008F0CD9" w:rsidRPr="008F0CD9">
        <w:rPr>
          <w:i/>
          <w:sz w:val="20"/>
          <w:szCs w:val="20"/>
        </w:rPr>
        <w:t xml:space="preserve">Rebirth, </w:t>
      </w:r>
      <w:r w:rsidRPr="008F0CD9">
        <w:rPr>
          <w:sz w:val="20"/>
          <w:szCs w:val="20"/>
        </w:rPr>
        <w:t xml:space="preserve">326. </w:t>
      </w:r>
    </w:p>
  </w:footnote>
  <w:footnote w:id="19">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 </w:t>
      </w:r>
      <w:r w:rsidR="008F0CD9" w:rsidRPr="008F0CD9">
        <w:rPr>
          <w:i/>
          <w:sz w:val="20"/>
          <w:szCs w:val="20"/>
        </w:rPr>
        <w:t xml:space="preserve">Rebirth, </w:t>
      </w:r>
      <w:r w:rsidRPr="008F0CD9">
        <w:rPr>
          <w:sz w:val="20"/>
          <w:szCs w:val="20"/>
        </w:rPr>
        <w:t>326.</w:t>
      </w:r>
    </w:p>
  </w:footnote>
  <w:footnote w:id="20">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315.</w:t>
      </w:r>
    </w:p>
  </w:footnote>
  <w:footnote w:id="21">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310.</w:t>
      </w:r>
    </w:p>
  </w:footnote>
  <w:footnote w:id="22">
    <w:p w:rsidR="009955F2" w:rsidRPr="008F0CD9" w:rsidRDefault="009955F2"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336.</w:t>
      </w:r>
    </w:p>
  </w:footnote>
  <w:footnote w:id="23">
    <w:p w:rsidR="00D45715" w:rsidRPr="008F0CD9" w:rsidRDefault="00D45715"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322.</w:t>
      </w:r>
    </w:p>
  </w:footnote>
  <w:footnote w:id="24">
    <w:p w:rsidR="00291E36" w:rsidRPr="008F0CD9" w:rsidRDefault="00291E36"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322, 329.</w:t>
      </w:r>
    </w:p>
  </w:footnote>
  <w:footnote w:id="25">
    <w:p w:rsidR="003C23F0" w:rsidRPr="008F0CD9" w:rsidRDefault="003C23F0"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322.</w:t>
      </w:r>
    </w:p>
  </w:footnote>
  <w:footnote w:id="26">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377.</w:t>
      </w:r>
    </w:p>
  </w:footnote>
  <w:footnote w:id="27">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sz w:val="20"/>
          <w:szCs w:val="20"/>
        </w:rPr>
        <w:t xml:space="preserve">E. Jones (ed), </w:t>
      </w:r>
      <w:r w:rsidR="008F0CD9" w:rsidRPr="008F0CD9">
        <w:rPr>
          <w:i/>
          <w:sz w:val="20"/>
          <w:szCs w:val="20"/>
          <w:lang w:val="en"/>
        </w:rPr>
        <w:t>James Griffiths and his Times</w:t>
      </w:r>
      <w:r w:rsidR="008F0CD9" w:rsidRPr="008F0CD9">
        <w:rPr>
          <w:sz w:val="20"/>
          <w:szCs w:val="20"/>
        </w:rPr>
        <w:t xml:space="preserve"> (Rhondda: W. T. Maddock &amp; Co., 1978)</w:t>
      </w:r>
      <w:r w:rsidR="008F0CD9" w:rsidRPr="008F0CD9">
        <w:rPr>
          <w:sz w:val="20"/>
          <w:szCs w:val="20"/>
        </w:rPr>
        <w:t>,</w:t>
      </w:r>
      <w:r w:rsidRPr="008F0CD9">
        <w:rPr>
          <w:sz w:val="20"/>
          <w:szCs w:val="20"/>
        </w:rPr>
        <w:t xml:space="preserve"> 40-41.</w:t>
      </w:r>
    </w:p>
  </w:footnote>
  <w:footnote w:id="28">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w:t>
      </w:r>
      <w:r w:rsidR="008F0CD9" w:rsidRPr="008F0CD9">
        <w:rPr>
          <w:sz w:val="20"/>
          <w:szCs w:val="20"/>
        </w:rPr>
        <w:t xml:space="preserve"> </w:t>
      </w:r>
      <w:r w:rsidR="008F0CD9" w:rsidRPr="008F0CD9">
        <w:rPr>
          <w:i/>
          <w:sz w:val="20"/>
          <w:szCs w:val="20"/>
        </w:rPr>
        <w:t>Rebirth,</w:t>
      </w:r>
      <w:r w:rsidRPr="008F0CD9">
        <w:rPr>
          <w:sz w:val="20"/>
          <w:szCs w:val="20"/>
        </w:rPr>
        <w:t xml:space="preserve"> 378-9.</w:t>
      </w:r>
    </w:p>
  </w:footnote>
  <w:footnote w:id="29">
    <w:p w:rsidR="007760DF" w:rsidRPr="008F0CD9" w:rsidRDefault="007760DF"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381-3.</w:t>
      </w:r>
    </w:p>
  </w:footnote>
  <w:footnote w:id="30">
    <w:p w:rsidR="007760DF" w:rsidRPr="008F0CD9" w:rsidRDefault="007760DF"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382-3.</w:t>
      </w:r>
    </w:p>
  </w:footnote>
  <w:footnote w:id="31">
    <w:p w:rsidR="007760DF" w:rsidRPr="008F0CD9" w:rsidRDefault="007760DF" w:rsidP="008F0CD9">
      <w:pPr>
        <w:pStyle w:val="NoSpacing"/>
        <w:ind w:left="142" w:hanging="142"/>
        <w:rPr>
          <w:rFonts w:cstheme="minorHAnsi"/>
          <w:sz w:val="20"/>
          <w:szCs w:val="20"/>
        </w:rPr>
      </w:pPr>
      <w:r w:rsidRPr="008F0CD9">
        <w:rPr>
          <w:rStyle w:val="FootnoteReference"/>
          <w:sz w:val="20"/>
          <w:szCs w:val="20"/>
        </w:rPr>
        <w:footnoteRef/>
      </w:r>
      <w:r w:rsidRPr="008F0CD9">
        <w:rPr>
          <w:sz w:val="20"/>
          <w:szCs w:val="20"/>
        </w:rPr>
        <w:t xml:space="preserve"> </w:t>
      </w:r>
      <w:r w:rsidR="008F0CD9" w:rsidRPr="008F0CD9">
        <w:rPr>
          <w:rFonts w:cstheme="minorHAnsi"/>
          <w:i/>
          <w:sz w:val="20"/>
          <w:szCs w:val="20"/>
        </w:rPr>
        <w:t>Welsh Language Act 1967</w:t>
      </w:r>
      <w:r w:rsidR="008F0CD9" w:rsidRPr="008F0CD9">
        <w:rPr>
          <w:rFonts w:cstheme="minorHAnsi"/>
          <w:sz w:val="20"/>
          <w:szCs w:val="20"/>
        </w:rPr>
        <w:t xml:space="preserve"> (1967 Chapter 66). [Online]. Available: </w:t>
      </w:r>
      <w:hyperlink r:id="rId3" w:history="1">
        <w:r w:rsidR="008F0CD9" w:rsidRPr="008F0CD9">
          <w:rPr>
            <w:rStyle w:val="Hyperlink"/>
            <w:rFonts w:cstheme="minorHAnsi"/>
            <w:sz w:val="20"/>
            <w:szCs w:val="20"/>
          </w:rPr>
          <w:t>http://www.legislation.gov.uk/ukpga/1967/66/enacted/</w:t>
        </w:r>
      </w:hyperlink>
      <w:r w:rsidR="008F0CD9" w:rsidRPr="008F0CD9">
        <w:rPr>
          <w:rFonts w:cstheme="minorHAnsi"/>
          <w:sz w:val="20"/>
          <w:szCs w:val="20"/>
        </w:rPr>
        <w:t xml:space="preserve"> [Accessed on 4 May 2018].</w:t>
      </w:r>
    </w:p>
  </w:footnote>
  <w:footnote w:id="32">
    <w:p w:rsidR="007760DF" w:rsidRPr="008F0CD9" w:rsidRDefault="007760DF"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w:t>
      </w:r>
      <w:r w:rsidR="008F0CD9" w:rsidRPr="008F0CD9">
        <w:rPr>
          <w:sz w:val="20"/>
          <w:szCs w:val="20"/>
        </w:rPr>
        <w:t xml:space="preserve"> </w:t>
      </w:r>
      <w:r w:rsidR="008F0CD9" w:rsidRPr="008F0CD9">
        <w:rPr>
          <w:i/>
          <w:sz w:val="20"/>
          <w:szCs w:val="20"/>
        </w:rPr>
        <w:t>Rebirth</w:t>
      </w:r>
      <w:r w:rsidR="008F0CD9" w:rsidRPr="008F0CD9">
        <w:rPr>
          <w:sz w:val="20"/>
          <w:szCs w:val="20"/>
        </w:rPr>
        <w:t>,</w:t>
      </w:r>
      <w:r w:rsidRPr="008F0CD9">
        <w:rPr>
          <w:sz w:val="20"/>
          <w:szCs w:val="20"/>
        </w:rPr>
        <w:t xml:space="preserve"> 394.</w:t>
      </w:r>
    </w:p>
  </w:footnote>
  <w:footnote w:id="33">
    <w:p w:rsidR="00CE2DFB" w:rsidRPr="008F0CD9" w:rsidRDefault="00CE2DFB"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376.</w:t>
      </w:r>
    </w:p>
  </w:footnote>
  <w:footnote w:id="34">
    <w:p w:rsidR="00CE2DFB" w:rsidRPr="008F0CD9" w:rsidRDefault="00CE2DFB"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381.</w:t>
      </w:r>
    </w:p>
  </w:footnote>
  <w:footnote w:id="35">
    <w:p w:rsidR="00CE2DFB" w:rsidRPr="008F0CD9" w:rsidRDefault="00CE2DFB"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381.</w:t>
      </w:r>
    </w:p>
  </w:footnote>
  <w:footnote w:id="36">
    <w:p w:rsidR="00CE2DFB" w:rsidRPr="008F0CD9" w:rsidRDefault="00CE2DFB"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386.</w:t>
      </w:r>
    </w:p>
  </w:footnote>
  <w:footnote w:id="37">
    <w:p w:rsidR="00CE2DFB" w:rsidRPr="008F0CD9" w:rsidRDefault="00CE2DFB"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sz w:val="20"/>
          <w:szCs w:val="20"/>
        </w:rPr>
        <w:t xml:space="preserve">Jones, </w:t>
      </w:r>
      <w:r w:rsidRPr="008F0CD9">
        <w:rPr>
          <w:i/>
          <w:sz w:val="20"/>
          <w:szCs w:val="20"/>
        </w:rPr>
        <w:t>Griffiths</w:t>
      </w:r>
      <w:r w:rsidRPr="008F0CD9">
        <w:rPr>
          <w:sz w:val="20"/>
          <w:szCs w:val="20"/>
        </w:rPr>
        <w:t>, 53-4.</w:t>
      </w:r>
    </w:p>
  </w:footnote>
  <w:footnote w:id="38">
    <w:p w:rsidR="00CE2DFB" w:rsidRPr="008F0CD9" w:rsidRDefault="00CE2DFB"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Morgan, </w:t>
      </w:r>
      <w:r w:rsidR="008F0CD9" w:rsidRPr="008F0CD9">
        <w:rPr>
          <w:i/>
          <w:sz w:val="20"/>
          <w:szCs w:val="20"/>
        </w:rPr>
        <w:t xml:space="preserve">Rebirth, </w:t>
      </w:r>
      <w:r w:rsidRPr="008F0CD9">
        <w:rPr>
          <w:sz w:val="20"/>
          <w:szCs w:val="20"/>
        </w:rPr>
        <w:t>387.</w:t>
      </w:r>
    </w:p>
  </w:footnote>
  <w:footnote w:id="39">
    <w:p w:rsidR="00CE2DFB" w:rsidRPr="008F0CD9" w:rsidRDefault="00CE2DFB"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396.</w:t>
      </w:r>
    </w:p>
  </w:footnote>
  <w:footnote w:id="40">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392.</w:t>
      </w:r>
    </w:p>
  </w:footnote>
  <w:footnote w:id="41">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w:t>
      </w:r>
      <w:r w:rsidR="008F0CD9" w:rsidRPr="008F0CD9">
        <w:rPr>
          <w:i/>
          <w:sz w:val="20"/>
          <w:szCs w:val="20"/>
        </w:rPr>
        <w:t>d</w:t>
      </w:r>
      <w:r w:rsidRPr="008F0CD9">
        <w:rPr>
          <w:sz w:val="20"/>
          <w:szCs w:val="20"/>
        </w:rPr>
        <w:t>, 393.</w:t>
      </w:r>
    </w:p>
  </w:footnote>
  <w:footnote w:id="42">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395-6.</w:t>
      </w:r>
    </w:p>
  </w:footnote>
  <w:footnote w:id="43">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397.</w:t>
      </w:r>
    </w:p>
  </w:footnote>
  <w:footnote w:id="44">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399-400.</w:t>
      </w:r>
    </w:p>
  </w:footnote>
  <w:footnote w:id="45">
    <w:p w:rsidR="00905827" w:rsidRPr="008F0CD9" w:rsidRDefault="00905827" w:rsidP="008F0CD9">
      <w:pPr>
        <w:pStyle w:val="NoSpacing"/>
        <w:ind w:left="142" w:hanging="142"/>
        <w:rPr>
          <w:sz w:val="20"/>
          <w:szCs w:val="20"/>
        </w:rPr>
      </w:pPr>
      <w:r w:rsidRPr="008F0CD9">
        <w:rPr>
          <w:rStyle w:val="FootnoteReference"/>
          <w:sz w:val="20"/>
          <w:szCs w:val="20"/>
        </w:rPr>
        <w:footnoteRef/>
      </w:r>
      <w:r w:rsidRPr="008F0CD9">
        <w:rPr>
          <w:sz w:val="20"/>
          <w:szCs w:val="20"/>
        </w:rPr>
        <w:t xml:space="preserve"> </w:t>
      </w:r>
      <w:r w:rsidR="008F0CD9" w:rsidRPr="008F0CD9">
        <w:rPr>
          <w:i/>
          <w:sz w:val="20"/>
          <w:szCs w:val="20"/>
        </w:rPr>
        <w:t>Ibid</w:t>
      </w:r>
      <w:r w:rsidRPr="008F0CD9">
        <w:rPr>
          <w:sz w:val="20"/>
          <w:szCs w:val="20"/>
        </w:rPr>
        <w:t>, 401-402.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A62FFF"/>
    <w:multiLevelType w:val="hybridMultilevel"/>
    <w:tmpl w:val="2438DA7A"/>
    <w:lvl w:ilvl="0" w:tplc="3D567A98">
      <w:start w:val="1"/>
      <w:numFmt w:val="decimal"/>
      <w:lvlText w:val="%1."/>
      <w:lvlJc w:val="left"/>
      <w:pPr>
        <w:ind w:left="501" w:hanging="360"/>
      </w:pPr>
      <w:rPr>
        <w:b/>
      </w:rPr>
    </w:lvl>
    <w:lvl w:ilvl="1" w:tplc="08090019">
      <w:start w:val="1"/>
      <w:numFmt w:val="lowerLetter"/>
      <w:lvlText w:val="%2."/>
      <w:lvlJc w:val="left"/>
      <w:pPr>
        <w:ind w:left="1221" w:hanging="360"/>
      </w:pPr>
    </w:lvl>
    <w:lvl w:ilvl="2" w:tplc="0809001B">
      <w:start w:val="1"/>
      <w:numFmt w:val="lowerRoman"/>
      <w:lvlText w:val="%3."/>
      <w:lvlJc w:val="right"/>
      <w:pPr>
        <w:ind w:left="1941" w:hanging="180"/>
      </w:pPr>
    </w:lvl>
    <w:lvl w:ilvl="3" w:tplc="0809000F">
      <w:start w:val="1"/>
      <w:numFmt w:val="decimal"/>
      <w:lvlText w:val="%4."/>
      <w:lvlJc w:val="left"/>
      <w:pPr>
        <w:ind w:left="2661" w:hanging="360"/>
      </w:pPr>
    </w:lvl>
    <w:lvl w:ilvl="4" w:tplc="08090019">
      <w:start w:val="1"/>
      <w:numFmt w:val="lowerLetter"/>
      <w:lvlText w:val="%5."/>
      <w:lvlJc w:val="left"/>
      <w:pPr>
        <w:ind w:left="3381" w:hanging="360"/>
      </w:pPr>
    </w:lvl>
    <w:lvl w:ilvl="5" w:tplc="0809001B">
      <w:start w:val="1"/>
      <w:numFmt w:val="lowerRoman"/>
      <w:lvlText w:val="%6."/>
      <w:lvlJc w:val="right"/>
      <w:pPr>
        <w:ind w:left="4101" w:hanging="180"/>
      </w:pPr>
    </w:lvl>
    <w:lvl w:ilvl="6" w:tplc="0809000F">
      <w:start w:val="1"/>
      <w:numFmt w:val="decimal"/>
      <w:lvlText w:val="%7."/>
      <w:lvlJc w:val="left"/>
      <w:pPr>
        <w:ind w:left="4821" w:hanging="360"/>
      </w:pPr>
    </w:lvl>
    <w:lvl w:ilvl="7" w:tplc="08090019">
      <w:start w:val="1"/>
      <w:numFmt w:val="lowerLetter"/>
      <w:lvlText w:val="%8."/>
      <w:lvlJc w:val="left"/>
      <w:pPr>
        <w:ind w:left="5541" w:hanging="360"/>
      </w:pPr>
    </w:lvl>
    <w:lvl w:ilvl="8" w:tplc="0809001B">
      <w:start w:val="1"/>
      <w:numFmt w:val="lowerRoman"/>
      <w:lvlText w:val="%9."/>
      <w:lvlJc w:val="right"/>
      <w:pPr>
        <w:ind w:left="626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43B"/>
    <w:rsid w:val="00033E9A"/>
    <w:rsid w:val="00041427"/>
    <w:rsid w:val="00044032"/>
    <w:rsid w:val="00046433"/>
    <w:rsid w:val="000B1F4F"/>
    <w:rsid w:val="000B415E"/>
    <w:rsid w:val="000B59BC"/>
    <w:rsid w:val="000C68F1"/>
    <w:rsid w:val="000C77A0"/>
    <w:rsid w:val="000E3129"/>
    <w:rsid w:val="000F42DC"/>
    <w:rsid w:val="0011088A"/>
    <w:rsid w:val="001228B9"/>
    <w:rsid w:val="00130783"/>
    <w:rsid w:val="00130ABD"/>
    <w:rsid w:val="00151A61"/>
    <w:rsid w:val="00161BE3"/>
    <w:rsid w:val="001A2B46"/>
    <w:rsid w:val="001B243B"/>
    <w:rsid w:val="001D029D"/>
    <w:rsid w:val="001F3B1E"/>
    <w:rsid w:val="00213982"/>
    <w:rsid w:val="00231733"/>
    <w:rsid w:val="00247676"/>
    <w:rsid w:val="002513D8"/>
    <w:rsid w:val="00261DB1"/>
    <w:rsid w:val="00291E36"/>
    <w:rsid w:val="002A033B"/>
    <w:rsid w:val="002A4022"/>
    <w:rsid w:val="002C6B55"/>
    <w:rsid w:val="002D2206"/>
    <w:rsid w:val="002E0233"/>
    <w:rsid w:val="002F1BCD"/>
    <w:rsid w:val="002F23CB"/>
    <w:rsid w:val="00305B73"/>
    <w:rsid w:val="003408CC"/>
    <w:rsid w:val="00357974"/>
    <w:rsid w:val="00374503"/>
    <w:rsid w:val="0038236B"/>
    <w:rsid w:val="00396712"/>
    <w:rsid w:val="003A68E6"/>
    <w:rsid w:val="003C23F0"/>
    <w:rsid w:val="003F5C29"/>
    <w:rsid w:val="0040399C"/>
    <w:rsid w:val="0042215E"/>
    <w:rsid w:val="00422781"/>
    <w:rsid w:val="004437C1"/>
    <w:rsid w:val="00470AA3"/>
    <w:rsid w:val="00491946"/>
    <w:rsid w:val="004A71FD"/>
    <w:rsid w:val="004E63E0"/>
    <w:rsid w:val="00510564"/>
    <w:rsid w:val="005127FC"/>
    <w:rsid w:val="005200B0"/>
    <w:rsid w:val="00560B9F"/>
    <w:rsid w:val="0057489C"/>
    <w:rsid w:val="005876F1"/>
    <w:rsid w:val="005A7A6F"/>
    <w:rsid w:val="005E2070"/>
    <w:rsid w:val="00605BFF"/>
    <w:rsid w:val="006165E5"/>
    <w:rsid w:val="00625699"/>
    <w:rsid w:val="00645A0F"/>
    <w:rsid w:val="00646875"/>
    <w:rsid w:val="00681562"/>
    <w:rsid w:val="006840F0"/>
    <w:rsid w:val="00684339"/>
    <w:rsid w:val="00694BD2"/>
    <w:rsid w:val="006C6C96"/>
    <w:rsid w:val="006D03FD"/>
    <w:rsid w:val="006F7800"/>
    <w:rsid w:val="00712705"/>
    <w:rsid w:val="007249CC"/>
    <w:rsid w:val="007760DF"/>
    <w:rsid w:val="00782F99"/>
    <w:rsid w:val="007E66E2"/>
    <w:rsid w:val="00821C75"/>
    <w:rsid w:val="00833A22"/>
    <w:rsid w:val="00835BFD"/>
    <w:rsid w:val="00861C6A"/>
    <w:rsid w:val="00892565"/>
    <w:rsid w:val="008C7206"/>
    <w:rsid w:val="008D2A5F"/>
    <w:rsid w:val="008F0CD9"/>
    <w:rsid w:val="00901BC5"/>
    <w:rsid w:val="00905827"/>
    <w:rsid w:val="009142C6"/>
    <w:rsid w:val="009202E7"/>
    <w:rsid w:val="00933661"/>
    <w:rsid w:val="00942E4A"/>
    <w:rsid w:val="00956D70"/>
    <w:rsid w:val="00962C42"/>
    <w:rsid w:val="009955F2"/>
    <w:rsid w:val="009E2E58"/>
    <w:rsid w:val="009E7930"/>
    <w:rsid w:val="009F6691"/>
    <w:rsid w:val="00A031D4"/>
    <w:rsid w:val="00A0330F"/>
    <w:rsid w:val="00A102B9"/>
    <w:rsid w:val="00A44497"/>
    <w:rsid w:val="00A638B1"/>
    <w:rsid w:val="00A77BAE"/>
    <w:rsid w:val="00A86B9F"/>
    <w:rsid w:val="00A977D2"/>
    <w:rsid w:val="00AD5124"/>
    <w:rsid w:val="00AE5C65"/>
    <w:rsid w:val="00B32370"/>
    <w:rsid w:val="00B41468"/>
    <w:rsid w:val="00B92371"/>
    <w:rsid w:val="00BA4E52"/>
    <w:rsid w:val="00BB3AE5"/>
    <w:rsid w:val="00BC6A1C"/>
    <w:rsid w:val="00BD0DB5"/>
    <w:rsid w:val="00BD5EC8"/>
    <w:rsid w:val="00BE1E24"/>
    <w:rsid w:val="00C01A4F"/>
    <w:rsid w:val="00CE2DFB"/>
    <w:rsid w:val="00CE645D"/>
    <w:rsid w:val="00D102E2"/>
    <w:rsid w:val="00D21FE1"/>
    <w:rsid w:val="00D4162C"/>
    <w:rsid w:val="00D449B6"/>
    <w:rsid w:val="00D45715"/>
    <w:rsid w:val="00D62D68"/>
    <w:rsid w:val="00D649D1"/>
    <w:rsid w:val="00DA53F2"/>
    <w:rsid w:val="00DB5879"/>
    <w:rsid w:val="00DC21A8"/>
    <w:rsid w:val="00DF60F8"/>
    <w:rsid w:val="00E43481"/>
    <w:rsid w:val="00E9063A"/>
    <w:rsid w:val="00E925E1"/>
    <w:rsid w:val="00E9535E"/>
    <w:rsid w:val="00EB0296"/>
    <w:rsid w:val="00EB2058"/>
    <w:rsid w:val="00EB6EB3"/>
    <w:rsid w:val="00EC14B5"/>
    <w:rsid w:val="00EF0A4E"/>
    <w:rsid w:val="00F136E4"/>
    <w:rsid w:val="00F317B3"/>
    <w:rsid w:val="00F4587B"/>
    <w:rsid w:val="00F53C77"/>
    <w:rsid w:val="00F5558F"/>
    <w:rsid w:val="00F91A4B"/>
    <w:rsid w:val="00FA717E"/>
    <w:rsid w:val="00FB4BD5"/>
    <w:rsid w:val="00FE7A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9F1EE"/>
  <w15:chartTrackingRefBased/>
  <w15:docId w15:val="{2BCEA65A-D134-4F5C-A63F-544627082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243B"/>
    <w:pPr>
      <w:spacing w:after="200" w:line="276" w:lineRule="auto"/>
    </w:pPr>
    <w:rPr>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43B"/>
    <w:pPr>
      <w:ind w:left="720"/>
      <w:contextualSpacing/>
    </w:pPr>
  </w:style>
  <w:style w:type="paragraph" w:styleId="FootnoteText">
    <w:name w:val="footnote text"/>
    <w:basedOn w:val="Normal"/>
    <w:link w:val="FootnoteTextChar"/>
    <w:uiPriority w:val="99"/>
    <w:semiHidden/>
    <w:unhideWhenUsed/>
    <w:rsid w:val="00130A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0ABD"/>
    <w:rPr>
      <w:sz w:val="20"/>
      <w:szCs w:val="20"/>
      <w:lang w:eastAsia="en-GB"/>
    </w:rPr>
  </w:style>
  <w:style w:type="character" w:styleId="FootnoteReference">
    <w:name w:val="footnote reference"/>
    <w:basedOn w:val="DefaultParagraphFont"/>
    <w:uiPriority w:val="99"/>
    <w:semiHidden/>
    <w:unhideWhenUsed/>
    <w:rsid w:val="00130ABD"/>
    <w:rPr>
      <w:vertAlign w:val="superscript"/>
    </w:rPr>
  </w:style>
  <w:style w:type="character" w:styleId="Hyperlink">
    <w:name w:val="Hyperlink"/>
    <w:basedOn w:val="DefaultParagraphFont"/>
    <w:uiPriority w:val="99"/>
    <w:unhideWhenUsed/>
    <w:rsid w:val="006165E5"/>
    <w:rPr>
      <w:color w:val="0563C1" w:themeColor="hyperlink"/>
      <w:u w:val="single"/>
    </w:rPr>
  </w:style>
  <w:style w:type="character" w:styleId="UnresolvedMention">
    <w:name w:val="Unresolved Mention"/>
    <w:basedOn w:val="DefaultParagraphFont"/>
    <w:uiPriority w:val="99"/>
    <w:semiHidden/>
    <w:unhideWhenUsed/>
    <w:rsid w:val="006165E5"/>
    <w:rPr>
      <w:color w:val="808080"/>
      <w:shd w:val="clear" w:color="auto" w:fill="E6E6E6"/>
    </w:rPr>
  </w:style>
  <w:style w:type="paragraph" w:styleId="NoSpacing">
    <w:name w:val="No Spacing"/>
    <w:uiPriority w:val="1"/>
    <w:qFormat/>
    <w:rsid w:val="008F0CD9"/>
    <w:pPr>
      <w:spacing w:after="0" w:line="240" w:lineRule="auto"/>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512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Geo6/10-11/48/part/I/enact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egislation.gov.uk/ukpga/1967/66/enacted/" TargetMode="External"/><Relationship Id="rId4" Type="http://schemas.openxmlformats.org/officeDocument/2006/relationships/settings" Target="settings.xml"/><Relationship Id="rId9" Type="http://schemas.openxmlformats.org/officeDocument/2006/relationships/hyperlink" Target="https://www.ons.gov.uk/ons/guide-method/census/1991-and-earlier-censuses/census-bicentenary/area-monitors/regions/wales/wales-area-monitor.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ukpga/1967/66/enacted/" TargetMode="External"/><Relationship Id="rId2" Type="http://schemas.openxmlformats.org/officeDocument/2006/relationships/hyperlink" Target="http://www.legislation.gov.uk/ukpga/Geo6/10-11/48/part/I/enacted/" TargetMode="External"/><Relationship Id="rId1" Type="http://schemas.openxmlformats.org/officeDocument/2006/relationships/hyperlink" Target="https://www.ons.gov.uk/ons/guide-method/census/1991-and-earlier-censuses/census-bicentenary/area-monitors/regions/wales/wales-area-monit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00F52-7CDD-4BC3-BECB-1598C9B79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8</Pages>
  <Words>2257</Words>
  <Characters>11536</Characters>
  <Application>Microsoft Office Word</Application>
  <DocSecurity>0</DocSecurity>
  <Lines>295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dc:creator>
  <cp:keywords/>
  <dc:description/>
  <cp:lastModifiedBy>Steven -</cp:lastModifiedBy>
  <cp:revision>93</cp:revision>
  <dcterms:created xsi:type="dcterms:W3CDTF">2018-05-04T10:48:00Z</dcterms:created>
  <dcterms:modified xsi:type="dcterms:W3CDTF">2018-05-04T22:26:00Z</dcterms:modified>
</cp:coreProperties>
</file>