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25B08" w14:textId="77777777" w:rsidR="0054367B" w:rsidRDefault="0054367B" w:rsidP="0054367B">
      <w:pPr>
        <w:jc w:val="center"/>
        <w:rPr>
          <w:lang w:val="en-US"/>
        </w:rPr>
      </w:pPr>
    </w:p>
    <w:p w14:paraId="66CB35AB" w14:textId="77777777" w:rsidR="0054367B" w:rsidRDefault="0054367B" w:rsidP="0054367B">
      <w:pPr>
        <w:jc w:val="center"/>
        <w:rPr>
          <w:lang w:val="en-US"/>
        </w:rPr>
      </w:pPr>
    </w:p>
    <w:p w14:paraId="1CD6D350" w14:textId="77777777" w:rsidR="0054367B" w:rsidRDefault="0054367B" w:rsidP="0054367B">
      <w:pPr>
        <w:jc w:val="center"/>
        <w:rPr>
          <w:lang w:val="en-US"/>
        </w:rPr>
      </w:pPr>
    </w:p>
    <w:p w14:paraId="78757701" w14:textId="77777777" w:rsidR="0054367B" w:rsidRDefault="0054367B" w:rsidP="0054367B">
      <w:pPr>
        <w:jc w:val="center"/>
        <w:rPr>
          <w:lang w:val="en-US"/>
        </w:rPr>
      </w:pPr>
    </w:p>
    <w:p w14:paraId="4D63647D" w14:textId="77777777" w:rsidR="0054367B" w:rsidRDefault="0054367B" w:rsidP="0054367B">
      <w:pPr>
        <w:jc w:val="center"/>
        <w:rPr>
          <w:lang w:val="en-US"/>
        </w:rPr>
      </w:pPr>
    </w:p>
    <w:p w14:paraId="7912E473" w14:textId="77777777" w:rsidR="0054367B" w:rsidRDefault="0054367B" w:rsidP="0054367B">
      <w:pPr>
        <w:jc w:val="center"/>
        <w:rPr>
          <w:lang w:val="en-US"/>
        </w:rPr>
      </w:pPr>
    </w:p>
    <w:p w14:paraId="64D31632" w14:textId="77777777" w:rsidR="0054367B" w:rsidRDefault="0054367B" w:rsidP="0054367B">
      <w:pPr>
        <w:spacing w:line="360" w:lineRule="auto"/>
        <w:jc w:val="center"/>
        <w:rPr>
          <w:lang w:val="en-US"/>
        </w:rPr>
      </w:pPr>
      <w:r>
        <w:rPr>
          <w:lang w:val="en-US"/>
        </w:rPr>
        <w:t>CIPD Diploma In Applied Human Resources (CIPDL5-PTCIPD-IDA)</w:t>
      </w:r>
    </w:p>
    <w:p w14:paraId="11077746" w14:textId="77777777" w:rsidR="0054367B" w:rsidRDefault="0054367B" w:rsidP="0054367B">
      <w:pPr>
        <w:spacing w:line="360" w:lineRule="auto"/>
        <w:jc w:val="center"/>
        <w:rPr>
          <w:lang w:val="en-US"/>
        </w:rPr>
      </w:pPr>
    </w:p>
    <w:p w14:paraId="66777C9D" w14:textId="77A5AB03" w:rsidR="0054367B" w:rsidRDefault="0054367B" w:rsidP="0054367B">
      <w:pPr>
        <w:spacing w:line="360" w:lineRule="auto"/>
        <w:jc w:val="center"/>
        <w:rPr>
          <w:lang w:val="en-US"/>
        </w:rPr>
      </w:pPr>
      <w:r>
        <w:rPr>
          <w:lang w:val="en-US"/>
        </w:rPr>
        <w:t>Understanding Employment Law</w:t>
      </w:r>
    </w:p>
    <w:p w14:paraId="10F4781E" w14:textId="42B599F6" w:rsidR="0054367B" w:rsidRDefault="0054367B" w:rsidP="0054367B">
      <w:pPr>
        <w:spacing w:line="360" w:lineRule="auto"/>
        <w:jc w:val="center"/>
        <w:rPr>
          <w:lang w:val="en-US"/>
        </w:rPr>
      </w:pPr>
      <w:r>
        <w:rPr>
          <w:lang w:val="en-US"/>
        </w:rPr>
        <w:t>5CELW – Activity 1 – 6</w:t>
      </w:r>
    </w:p>
    <w:p w14:paraId="14D5A49C" w14:textId="1779213F" w:rsidR="0054367B" w:rsidRDefault="0054367B" w:rsidP="0054367B">
      <w:pPr>
        <w:spacing w:line="360" w:lineRule="auto"/>
        <w:jc w:val="center"/>
        <w:rPr>
          <w:lang w:val="en-US"/>
        </w:rPr>
      </w:pPr>
      <w:r>
        <w:rPr>
          <w:lang w:val="en-US"/>
        </w:rPr>
        <w:t>500/700 Words Per Task</w:t>
      </w:r>
    </w:p>
    <w:p w14:paraId="0DB0CBA7" w14:textId="66B2B296" w:rsidR="0054367B" w:rsidRDefault="0054367B" w:rsidP="0054367B">
      <w:pPr>
        <w:spacing w:line="360" w:lineRule="auto"/>
        <w:jc w:val="center"/>
        <w:rPr>
          <w:lang w:val="en-US"/>
        </w:rPr>
      </w:pPr>
      <w:r>
        <w:rPr>
          <w:lang w:val="en-US"/>
        </w:rPr>
        <w:t>April 2020</w:t>
      </w:r>
    </w:p>
    <w:p w14:paraId="20B95FAD" w14:textId="68682868" w:rsidR="0054367B" w:rsidRDefault="0054367B" w:rsidP="0054367B">
      <w:pPr>
        <w:spacing w:line="360" w:lineRule="auto"/>
        <w:jc w:val="center"/>
        <w:rPr>
          <w:lang w:val="en-US"/>
        </w:rPr>
      </w:pPr>
      <w:r>
        <w:rPr>
          <w:lang w:val="en-US"/>
        </w:rPr>
        <w:t>Antonia Brown – 1708085</w:t>
      </w:r>
    </w:p>
    <w:p w14:paraId="7EE30315" w14:textId="65FA2CA5" w:rsidR="0054367B" w:rsidRDefault="0054367B">
      <w:pPr>
        <w:rPr>
          <w:lang w:val="en-US"/>
        </w:rPr>
      </w:pPr>
      <w:r>
        <w:rPr>
          <w:lang w:val="en-US"/>
        </w:rPr>
        <w:br w:type="page"/>
      </w:r>
    </w:p>
    <w:p w14:paraId="498FA50F" w14:textId="4ED77BBB" w:rsidR="0054367B" w:rsidRDefault="0054367B" w:rsidP="0054367B">
      <w:pPr>
        <w:pStyle w:val="Heading2"/>
      </w:pPr>
      <w:r>
        <w:lastRenderedPageBreak/>
        <w:t>Activity 1</w:t>
      </w:r>
    </w:p>
    <w:p w14:paraId="69E0E344" w14:textId="5D66490A" w:rsidR="00734263" w:rsidRDefault="00B34B6D" w:rsidP="00734263">
      <w:pPr>
        <w:spacing w:line="360" w:lineRule="auto"/>
        <w:rPr>
          <w:rFonts w:ascii="Calibri" w:hAnsi="Calibri" w:cs="Calibri"/>
          <w:i/>
          <w:iCs/>
        </w:rPr>
      </w:pPr>
      <w:r>
        <w:rPr>
          <w:rFonts w:ascii="Calibri" w:hAnsi="Calibri" w:cs="Calibri"/>
          <w:i/>
          <w:iCs/>
        </w:rPr>
        <w:t>'</w:t>
      </w:r>
      <w:r w:rsidR="0054367B" w:rsidRPr="00EA50D6">
        <w:rPr>
          <w:rFonts w:ascii="Calibri" w:hAnsi="Calibri" w:cs="Calibri"/>
          <w:i/>
          <w:iCs/>
        </w:rPr>
        <w:t>Explain the purpose of employment law and outline the role played by the tribunal and courts system in enforcing employment law</w:t>
      </w:r>
      <w:r>
        <w:rPr>
          <w:rFonts w:ascii="Calibri" w:hAnsi="Calibri" w:cs="Calibri"/>
          <w:i/>
          <w:iCs/>
        </w:rPr>
        <w:t>'</w:t>
      </w:r>
      <w:r w:rsidR="00734263" w:rsidRPr="00EA50D6">
        <w:rPr>
          <w:rFonts w:ascii="Calibri" w:hAnsi="Calibri" w:cs="Calibri"/>
          <w:i/>
          <w:iCs/>
        </w:rPr>
        <w:t>.</w:t>
      </w:r>
    </w:p>
    <w:p w14:paraId="25DD4F59" w14:textId="56E018F8" w:rsidR="00B34B6D" w:rsidRDefault="00B34B6D" w:rsidP="00734263">
      <w:pPr>
        <w:spacing w:line="360" w:lineRule="auto"/>
        <w:rPr>
          <w:rFonts w:ascii="Calibri" w:hAnsi="Calibri" w:cs="Calibri"/>
        </w:rPr>
      </w:pPr>
      <w:r>
        <w:rPr>
          <w:rFonts w:ascii="Calibri" w:hAnsi="Calibri" w:cs="Calibri"/>
        </w:rPr>
        <w:t xml:space="preserve">Employment law refers to everything from the employee contract through to safeguarding laws against </w:t>
      </w:r>
      <w:r w:rsidR="00A27CD3">
        <w:rPr>
          <w:rFonts w:ascii="Calibri" w:hAnsi="Calibri" w:cs="Calibri"/>
        </w:rPr>
        <w:t>D</w:t>
      </w:r>
      <w:r>
        <w:rPr>
          <w:rFonts w:ascii="Calibri" w:hAnsi="Calibri" w:cs="Calibri"/>
        </w:rPr>
        <w:t xml:space="preserve">iscrimination and unfair dismissal. The purpose of employment law is to regulate the relationship between employers and employees. It sets out the employer's expectations </w:t>
      </w:r>
      <w:r w:rsidR="006C40A8">
        <w:rPr>
          <w:rFonts w:ascii="Calibri" w:hAnsi="Calibri" w:cs="Calibri"/>
        </w:rPr>
        <w:t xml:space="preserve">for their </w:t>
      </w:r>
      <w:proofErr w:type="spellStart"/>
      <w:r w:rsidR="006C40A8">
        <w:rPr>
          <w:rFonts w:ascii="Calibri" w:hAnsi="Calibri" w:cs="Calibri"/>
        </w:rPr>
        <w:t>employee's</w:t>
      </w:r>
      <w:proofErr w:type="spellEnd"/>
      <w:r w:rsidR="006C40A8">
        <w:rPr>
          <w:rFonts w:ascii="Calibri" w:hAnsi="Calibri" w:cs="Calibri"/>
        </w:rPr>
        <w:t xml:space="preserve"> </w:t>
      </w:r>
      <w:r>
        <w:rPr>
          <w:rFonts w:ascii="Calibri" w:hAnsi="Calibri" w:cs="Calibri"/>
        </w:rPr>
        <w:t xml:space="preserve">and their rights at work (CIPD, 2021). </w:t>
      </w:r>
    </w:p>
    <w:p w14:paraId="2FA371F8" w14:textId="7A38FD51" w:rsidR="00C12BC8" w:rsidRDefault="00B75581" w:rsidP="00734263">
      <w:pPr>
        <w:spacing w:line="360" w:lineRule="auto"/>
        <w:rPr>
          <w:rFonts w:ascii="Calibri" w:hAnsi="Calibri" w:cs="Calibri"/>
        </w:rPr>
      </w:pPr>
      <w:r>
        <w:rPr>
          <w:rFonts w:ascii="Calibri" w:hAnsi="Calibri" w:cs="Calibri"/>
        </w:rPr>
        <w:t xml:space="preserve">Employment tribunals came about in 1964 but were known as Industrial Tribunals up until 1998. They were designed to be an informal and speedy way of resolving employment disputes with also being inexpensive. Employment tribunals are there to deal with claims that come about from employees against employers. A few factors can be brought to an Employment Tribunal; this includes unfair and wrongful dismissals, equal pay and deductions from wages and </w:t>
      </w:r>
      <w:r w:rsidR="00A27CD3">
        <w:rPr>
          <w:rFonts w:ascii="Calibri" w:hAnsi="Calibri" w:cs="Calibri"/>
        </w:rPr>
        <w:t>D</w:t>
      </w:r>
      <w:r>
        <w:rPr>
          <w:rFonts w:ascii="Calibri" w:hAnsi="Calibri" w:cs="Calibri"/>
        </w:rPr>
        <w:t>iscrimination</w:t>
      </w:r>
      <w:r w:rsidR="00C12BC8">
        <w:rPr>
          <w:rFonts w:ascii="Calibri" w:hAnsi="Calibri" w:cs="Calibri"/>
        </w:rPr>
        <w:t xml:space="preserve"> (CIPD, 2021)</w:t>
      </w:r>
      <w:r>
        <w:rPr>
          <w:rFonts w:ascii="Calibri" w:hAnsi="Calibri" w:cs="Calibri"/>
        </w:rPr>
        <w:t xml:space="preserve">. </w:t>
      </w:r>
    </w:p>
    <w:p w14:paraId="26F64381" w14:textId="7C593EB6" w:rsidR="00C12BC8" w:rsidRDefault="00B75581" w:rsidP="00734263">
      <w:pPr>
        <w:spacing w:line="360" w:lineRule="auto"/>
        <w:rPr>
          <w:rFonts w:ascii="Calibri" w:hAnsi="Calibri" w:cs="Calibri"/>
        </w:rPr>
      </w:pPr>
      <w:r>
        <w:rPr>
          <w:rFonts w:ascii="Calibri" w:hAnsi="Calibri" w:cs="Calibri"/>
        </w:rPr>
        <w:t xml:space="preserve">For an employee to go through an Employment Tribunal route, they must first contact </w:t>
      </w:r>
      <w:proofErr w:type="spellStart"/>
      <w:r>
        <w:rPr>
          <w:rFonts w:ascii="Calibri" w:hAnsi="Calibri" w:cs="Calibri"/>
        </w:rPr>
        <w:t>Acas</w:t>
      </w:r>
      <w:proofErr w:type="spellEnd"/>
      <w:r>
        <w:rPr>
          <w:rFonts w:ascii="Calibri" w:hAnsi="Calibri" w:cs="Calibri"/>
        </w:rPr>
        <w:t xml:space="preserve"> to resolve the dispute through early conciliation</w:t>
      </w:r>
      <w:r w:rsidR="00C12BC8">
        <w:rPr>
          <w:rFonts w:ascii="Calibri" w:hAnsi="Calibri" w:cs="Calibri"/>
        </w:rPr>
        <w:t>. If the claim goes to an employment tribunal, the employment judge usually decides the tribunal claim. Employees do not have any fees to pay to start an employment tribunal</w:t>
      </w:r>
      <w:r>
        <w:rPr>
          <w:rFonts w:ascii="Calibri" w:hAnsi="Calibri" w:cs="Calibri"/>
        </w:rPr>
        <w:t xml:space="preserve"> (CIPD, 2021). </w:t>
      </w:r>
      <w:r w:rsidR="00C12BC8">
        <w:rPr>
          <w:rFonts w:ascii="Calibri" w:hAnsi="Calibri" w:cs="Calibri"/>
        </w:rPr>
        <w:t xml:space="preserve">If an employee decides to go down the </w:t>
      </w:r>
      <w:r w:rsidR="00911F00">
        <w:rPr>
          <w:rFonts w:ascii="Calibri" w:hAnsi="Calibri" w:cs="Calibri"/>
        </w:rPr>
        <w:t>employment tribunal route</w:t>
      </w:r>
      <w:r w:rsidR="00C12BC8">
        <w:rPr>
          <w:rFonts w:ascii="Calibri" w:hAnsi="Calibri" w:cs="Calibri"/>
        </w:rPr>
        <w:t xml:space="preserve">, they must claim within three months of the employment termination date. If the claim is down to </w:t>
      </w:r>
      <w:r w:rsidR="00A27CD3">
        <w:rPr>
          <w:rFonts w:ascii="Calibri" w:hAnsi="Calibri" w:cs="Calibri"/>
        </w:rPr>
        <w:t>D</w:t>
      </w:r>
      <w:r w:rsidR="00C12BC8">
        <w:rPr>
          <w:rFonts w:ascii="Calibri" w:hAnsi="Calibri" w:cs="Calibri"/>
        </w:rPr>
        <w:t xml:space="preserve">iscrimination, this must also be within three months. A redundancy payment is the only case with a six-month time limit for an employment tribunal (CIPD, 2021). </w:t>
      </w:r>
    </w:p>
    <w:p w14:paraId="1BA6EEBE" w14:textId="187DD04B" w:rsidR="00911F00" w:rsidRDefault="00911F00" w:rsidP="00734263">
      <w:pPr>
        <w:spacing w:line="360" w:lineRule="auto"/>
        <w:rPr>
          <w:rFonts w:ascii="Calibri" w:hAnsi="Calibri" w:cs="Calibri"/>
        </w:rPr>
      </w:pPr>
      <w:r>
        <w:rPr>
          <w:rFonts w:ascii="Calibri" w:hAnsi="Calibri" w:cs="Calibri"/>
        </w:rPr>
        <w:t xml:space="preserve">One of the main issues dealt with in an employment tribunal is discrimination claims. This is considered to be a minor issue to people but is, in fact, the opposite. Discrimination claims matter to the ones who were victims of it and those who had allegations of </w:t>
      </w:r>
      <w:r w:rsidR="00A27CD3">
        <w:rPr>
          <w:rFonts w:ascii="Calibri" w:hAnsi="Calibri" w:cs="Calibri"/>
        </w:rPr>
        <w:t>D</w:t>
      </w:r>
      <w:r>
        <w:rPr>
          <w:rFonts w:ascii="Calibri" w:hAnsi="Calibri" w:cs="Calibri"/>
        </w:rPr>
        <w:t xml:space="preserve">iscrimination made against them (Tough Nickel, 2020). An authoritative body regulates employment law, which means that employers are fearful of being sued and fined. This ensures that the employers make every effort possible to reduce </w:t>
      </w:r>
      <w:r w:rsidR="00A27CD3">
        <w:rPr>
          <w:rFonts w:ascii="Calibri" w:hAnsi="Calibri" w:cs="Calibri"/>
        </w:rPr>
        <w:t>D</w:t>
      </w:r>
      <w:r>
        <w:rPr>
          <w:rFonts w:ascii="Calibri" w:hAnsi="Calibri" w:cs="Calibri"/>
        </w:rPr>
        <w:t xml:space="preserve">iscrimination and unlawful dismissals of employees. Each case that moves into an employment tribunal is dealt with seriously to help protect the employee (Tough Nickel, 2020). Although they treat each case seriously, they must also treat each case individually to prevent any bias. </w:t>
      </w:r>
    </w:p>
    <w:p w14:paraId="0394758D" w14:textId="3153505C" w:rsidR="00916A30" w:rsidRDefault="00911F00" w:rsidP="00734263">
      <w:pPr>
        <w:spacing w:line="360" w:lineRule="auto"/>
        <w:rPr>
          <w:rFonts w:ascii="Calibri" w:hAnsi="Calibri" w:cs="Calibri"/>
        </w:rPr>
      </w:pPr>
      <w:r>
        <w:rPr>
          <w:rFonts w:ascii="Calibri" w:hAnsi="Calibri" w:cs="Calibri"/>
        </w:rPr>
        <w:t>It is the employmen</w:t>
      </w:r>
      <w:r w:rsidR="00B97C84">
        <w:rPr>
          <w:rFonts w:ascii="Calibri" w:hAnsi="Calibri" w:cs="Calibri"/>
        </w:rPr>
        <w:t>t</w:t>
      </w:r>
      <w:r>
        <w:rPr>
          <w:rFonts w:ascii="Calibri" w:hAnsi="Calibri" w:cs="Calibri"/>
        </w:rPr>
        <w:t xml:space="preserve"> tribunal's responsibility to hold the actual hearing that involves the claimant and defendant. There are three types of hearings that employment tribunals can hold. </w:t>
      </w:r>
      <w:r>
        <w:rPr>
          <w:rFonts w:ascii="Calibri" w:hAnsi="Calibri" w:cs="Calibri"/>
        </w:rPr>
        <w:br/>
        <w:t xml:space="preserve">The first type is known as a case management discussion. This is a short hearing where both parties discuss their concern and are informed of </w:t>
      </w:r>
      <w:r w:rsidR="00916A30">
        <w:rPr>
          <w:rFonts w:ascii="Calibri" w:hAnsi="Calibri" w:cs="Calibri"/>
        </w:rPr>
        <w:t>a</w:t>
      </w:r>
      <w:r>
        <w:rPr>
          <w:rFonts w:ascii="Calibri" w:hAnsi="Calibri" w:cs="Calibri"/>
        </w:rPr>
        <w:t xml:space="preserve">ny evidence that will need to be produced. </w:t>
      </w:r>
      <w:r>
        <w:rPr>
          <w:rFonts w:ascii="Calibri" w:hAnsi="Calibri" w:cs="Calibri"/>
        </w:rPr>
        <w:br/>
      </w:r>
      <w:r>
        <w:rPr>
          <w:rFonts w:ascii="Calibri" w:hAnsi="Calibri" w:cs="Calibri"/>
        </w:rPr>
        <w:lastRenderedPageBreak/>
        <w:t xml:space="preserve">The second type is pre-hearing review. </w:t>
      </w:r>
      <w:r w:rsidR="00916A30">
        <w:rPr>
          <w:rFonts w:ascii="Calibri" w:hAnsi="Calibri" w:cs="Calibri"/>
        </w:rPr>
        <w:t>This is to clarify any of the issues, for example, to check the employee was an employee when making a claim.</w:t>
      </w:r>
      <w:r w:rsidR="00916A30">
        <w:rPr>
          <w:rFonts w:ascii="Calibri" w:hAnsi="Calibri" w:cs="Calibri"/>
        </w:rPr>
        <w:br/>
        <w:t xml:space="preserve">The third type is the entire hearing. This is where all evidence is produced in front of the court. </w:t>
      </w:r>
      <w:r w:rsidR="00916A30">
        <w:rPr>
          <w:rFonts w:ascii="Calibri" w:hAnsi="Calibri" w:cs="Calibri"/>
        </w:rPr>
        <w:br/>
        <w:t xml:space="preserve">Since 2013, the first two hearings have been combined and are now known as the preliminary hearing (Tough Nickel, 2020). </w:t>
      </w:r>
    </w:p>
    <w:p w14:paraId="014E6B6E" w14:textId="3F02CED0" w:rsidR="00911F00" w:rsidRPr="00911F00" w:rsidRDefault="00EC12DB" w:rsidP="00734263">
      <w:pPr>
        <w:spacing w:line="360" w:lineRule="auto"/>
        <w:rPr>
          <w:rFonts w:ascii="Calibri" w:hAnsi="Calibri" w:cs="Calibri"/>
        </w:rPr>
      </w:pPr>
      <w:r>
        <w:rPr>
          <w:rFonts w:ascii="Calibri" w:hAnsi="Calibri" w:cs="Calibri"/>
        </w:rPr>
        <w:t>An employment tribunal is a way to resolve employment disputes in a less formal, expensive and significantly faster way (Tough Nickel, 2020).</w:t>
      </w:r>
    </w:p>
    <w:p w14:paraId="1C1175C8" w14:textId="77777777" w:rsidR="00C12BC8" w:rsidRDefault="00C12BC8" w:rsidP="00734263">
      <w:pPr>
        <w:spacing w:line="360" w:lineRule="auto"/>
        <w:rPr>
          <w:rFonts w:ascii="Calibri" w:hAnsi="Calibri" w:cs="Calibri"/>
        </w:rPr>
      </w:pPr>
    </w:p>
    <w:p w14:paraId="0424313E" w14:textId="77777777" w:rsidR="006C40A8" w:rsidRDefault="006C40A8" w:rsidP="00734263">
      <w:pPr>
        <w:spacing w:line="360" w:lineRule="auto"/>
        <w:rPr>
          <w:rFonts w:ascii="Calibri" w:hAnsi="Calibri" w:cs="Calibri"/>
        </w:rPr>
      </w:pPr>
    </w:p>
    <w:p w14:paraId="758B7D1B" w14:textId="034B7CF5" w:rsidR="006C40A8" w:rsidRDefault="006C40A8" w:rsidP="00734263">
      <w:pPr>
        <w:spacing w:line="360" w:lineRule="auto"/>
        <w:rPr>
          <w:rFonts w:ascii="Calibri" w:hAnsi="Calibri" w:cs="Calibri"/>
        </w:rPr>
      </w:pPr>
    </w:p>
    <w:p w14:paraId="3B69930B" w14:textId="5C3AD2C1" w:rsidR="006C40A8" w:rsidRDefault="006C40A8" w:rsidP="00734263">
      <w:pPr>
        <w:spacing w:line="360" w:lineRule="auto"/>
        <w:rPr>
          <w:rFonts w:ascii="Calibri" w:hAnsi="Calibri" w:cs="Calibri"/>
        </w:rPr>
      </w:pPr>
    </w:p>
    <w:p w14:paraId="57B41412" w14:textId="3272EE33" w:rsidR="006C40A8" w:rsidRDefault="006C40A8" w:rsidP="00734263">
      <w:pPr>
        <w:spacing w:line="360" w:lineRule="auto"/>
        <w:rPr>
          <w:rFonts w:ascii="Calibri" w:hAnsi="Calibri" w:cs="Calibri"/>
        </w:rPr>
      </w:pPr>
    </w:p>
    <w:p w14:paraId="426DC792" w14:textId="2D305673" w:rsidR="0054367B" w:rsidRPr="00734263" w:rsidRDefault="0054367B" w:rsidP="00734263">
      <w:pPr>
        <w:spacing w:line="360" w:lineRule="auto"/>
        <w:rPr>
          <w:rFonts w:ascii="Arial" w:hAnsi="Arial" w:cs="Arial"/>
          <w:i/>
          <w:iCs/>
          <w:sz w:val="20"/>
          <w:szCs w:val="20"/>
        </w:rPr>
      </w:pPr>
    </w:p>
    <w:p w14:paraId="31FFC582" w14:textId="64A808EA" w:rsidR="0054367B" w:rsidRDefault="0054367B">
      <w:pPr>
        <w:rPr>
          <w:rFonts w:ascii="Arial" w:eastAsia="Calibri" w:hAnsi="Arial" w:cs="Arial"/>
          <w:sz w:val="20"/>
          <w:szCs w:val="20"/>
        </w:rPr>
      </w:pPr>
      <w:r>
        <w:rPr>
          <w:rFonts w:cs="Arial"/>
          <w:sz w:val="20"/>
          <w:szCs w:val="20"/>
        </w:rPr>
        <w:br w:type="page"/>
      </w:r>
    </w:p>
    <w:p w14:paraId="296C6D58" w14:textId="7A75DB8A" w:rsidR="0054367B" w:rsidRDefault="0054367B" w:rsidP="0054367B">
      <w:pPr>
        <w:pStyle w:val="Heading2"/>
      </w:pPr>
      <w:r>
        <w:lastRenderedPageBreak/>
        <w:t>Activity 2</w:t>
      </w:r>
    </w:p>
    <w:p w14:paraId="4FED2C5F" w14:textId="77777777" w:rsidR="00EC12DB" w:rsidRDefault="00B34B6D" w:rsidP="00EC12DB">
      <w:pPr>
        <w:spacing w:line="360" w:lineRule="auto"/>
        <w:rPr>
          <w:rFonts w:ascii="Calibri" w:hAnsi="Calibri" w:cs="Calibri"/>
          <w:i/>
          <w:iCs/>
        </w:rPr>
      </w:pPr>
      <w:r>
        <w:rPr>
          <w:rFonts w:ascii="Calibri" w:hAnsi="Calibri" w:cs="Calibri"/>
          <w:i/>
          <w:iCs/>
        </w:rPr>
        <w:t>'</w:t>
      </w:r>
      <w:r w:rsidR="0054367B" w:rsidRPr="00EA50D6">
        <w:rPr>
          <w:rFonts w:ascii="Calibri" w:hAnsi="Calibri" w:cs="Calibri"/>
          <w:i/>
          <w:iCs/>
        </w:rPr>
        <w:t>Summarise the main principles of discrimination law in relation to recruitment and selection and explain how contracts of employment are established</w:t>
      </w:r>
      <w:r>
        <w:rPr>
          <w:rFonts w:ascii="Calibri" w:hAnsi="Calibri" w:cs="Calibri"/>
          <w:i/>
          <w:iCs/>
        </w:rPr>
        <w:t>'</w:t>
      </w:r>
      <w:r w:rsidR="0054367B" w:rsidRPr="00EA50D6">
        <w:rPr>
          <w:rFonts w:ascii="Calibri" w:hAnsi="Calibri" w:cs="Calibri"/>
          <w:i/>
          <w:iCs/>
        </w:rPr>
        <w:t>.</w:t>
      </w:r>
    </w:p>
    <w:p w14:paraId="243965FD" w14:textId="26FC31FC" w:rsidR="00B97C84" w:rsidRDefault="00B97C84" w:rsidP="00EC12DB">
      <w:pPr>
        <w:spacing w:line="360" w:lineRule="auto"/>
      </w:pPr>
      <w:r>
        <w:t>A single Act does not govern recruitment and Selection. The most significant example is the Equality Act 2010. This Act makes it unlawful for employers to discriminate against any job applicants or existing workers due to their protected characteristics (CIPD, 2021).  The protected characteristics under the Equality Act 2010 include age, disability, gender reassignment, race, religion or belief, sex, sexual orientation, marriage and civil partnership, pre</w:t>
      </w:r>
      <w:r w:rsidR="00A27CD3">
        <w:t>gnan</w:t>
      </w:r>
      <w:r>
        <w:t xml:space="preserve">cy and maternity. </w:t>
      </w:r>
    </w:p>
    <w:p w14:paraId="02941B07" w14:textId="2A03B2F9" w:rsidR="00B97C84" w:rsidRDefault="00B97C84" w:rsidP="00EC12DB">
      <w:pPr>
        <w:spacing w:line="360" w:lineRule="auto"/>
      </w:pPr>
      <w:r>
        <w:t xml:space="preserve">When it comes to </w:t>
      </w:r>
      <w:r w:rsidR="00A27CD3">
        <w:t>D</w:t>
      </w:r>
      <w:r>
        <w:t>iscrimination, it is unfair and unequal to treat individuals less fa</w:t>
      </w:r>
      <w:r w:rsidR="00A27CD3">
        <w:t>v</w:t>
      </w:r>
      <w:r>
        <w:t xml:space="preserve">ourable due to their protected characteristics (People Management, 2019). Discrimination occurs in terms of recruitment when an employer selects a candidate for any reason other than their qualifications or experience. There are three main types of </w:t>
      </w:r>
      <w:r w:rsidR="00A27CD3">
        <w:t>D</w:t>
      </w:r>
      <w:r>
        <w:t xml:space="preserve">iscrimination: </w:t>
      </w:r>
    </w:p>
    <w:p w14:paraId="253707F3" w14:textId="514C805F" w:rsidR="00B97C84" w:rsidRPr="00B97C84" w:rsidRDefault="00B97C84" w:rsidP="00B97C84">
      <w:pPr>
        <w:pStyle w:val="ListParagraph"/>
        <w:numPr>
          <w:ilvl w:val="0"/>
          <w:numId w:val="8"/>
        </w:numPr>
        <w:spacing w:line="360" w:lineRule="auto"/>
        <w:rPr>
          <w:rFonts w:ascii="Calibri" w:hAnsi="Calibri" w:cs="Calibri"/>
        </w:rPr>
      </w:pPr>
      <w:r w:rsidRPr="00B97C84">
        <w:rPr>
          <w:rFonts w:ascii="Calibri" w:hAnsi="Calibri" w:cs="Calibri"/>
        </w:rPr>
        <w:t xml:space="preserve">Direct Discrimination – treating someone less favourable due to a specific trait. </w:t>
      </w:r>
    </w:p>
    <w:p w14:paraId="7541A1ED" w14:textId="729967E4" w:rsidR="00B97C84" w:rsidRPr="00B97C84" w:rsidRDefault="00B97C84" w:rsidP="00B97C84">
      <w:pPr>
        <w:pStyle w:val="ListParagraph"/>
        <w:numPr>
          <w:ilvl w:val="0"/>
          <w:numId w:val="8"/>
        </w:numPr>
        <w:spacing w:line="360" w:lineRule="auto"/>
        <w:rPr>
          <w:rFonts w:ascii="Calibri" w:hAnsi="Calibri" w:cs="Calibri"/>
        </w:rPr>
      </w:pPr>
      <w:r w:rsidRPr="00B97C84">
        <w:rPr>
          <w:rFonts w:ascii="Calibri" w:hAnsi="Calibri" w:cs="Calibri"/>
        </w:rPr>
        <w:t>Indirect Discrimination – implementing policies that ha</w:t>
      </w:r>
      <w:r w:rsidR="00A27CD3">
        <w:rPr>
          <w:rFonts w:ascii="Calibri" w:hAnsi="Calibri" w:cs="Calibri"/>
        </w:rPr>
        <w:t>rm</w:t>
      </w:r>
      <w:r w:rsidRPr="00B97C84">
        <w:rPr>
          <w:rFonts w:ascii="Calibri" w:hAnsi="Calibri" w:cs="Calibri"/>
        </w:rPr>
        <w:t xml:space="preserve"> someone due to their traits</w:t>
      </w:r>
    </w:p>
    <w:p w14:paraId="000F468D" w14:textId="5DB9312C" w:rsidR="00B97C84" w:rsidRDefault="00B97C84" w:rsidP="00B97C84">
      <w:pPr>
        <w:pStyle w:val="ListParagraph"/>
        <w:numPr>
          <w:ilvl w:val="0"/>
          <w:numId w:val="8"/>
        </w:numPr>
        <w:spacing w:line="360" w:lineRule="auto"/>
        <w:rPr>
          <w:rFonts w:ascii="Calibri" w:hAnsi="Calibri" w:cs="Calibri"/>
        </w:rPr>
      </w:pPr>
      <w:r w:rsidRPr="00B97C84">
        <w:rPr>
          <w:rFonts w:ascii="Calibri" w:hAnsi="Calibri" w:cs="Calibri"/>
        </w:rPr>
        <w:t>Harassment – intentionally creating a hostile environment for someone, targeting their traits specifically</w:t>
      </w:r>
    </w:p>
    <w:p w14:paraId="6F055214" w14:textId="0397056A" w:rsidR="00A27CD3" w:rsidRDefault="00A27CD3" w:rsidP="00B97C84">
      <w:pPr>
        <w:spacing w:line="360" w:lineRule="auto"/>
        <w:rPr>
          <w:rFonts w:ascii="Calibri" w:hAnsi="Calibri" w:cs="Calibri"/>
        </w:rPr>
      </w:pPr>
      <w:r>
        <w:rPr>
          <w:rFonts w:ascii="Calibri" w:hAnsi="Calibri" w:cs="Calibri"/>
        </w:rPr>
        <w:t>When an employer is undergoing recruitment, they must ensure they describe the necessary skills or experience for the role available and be critical of the language that they are using. Using an application form is the best procedure as all candidates are dealt with in the same way and prevent discrimination (People Management, 2019).</w:t>
      </w:r>
    </w:p>
    <w:p w14:paraId="17320A53" w14:textId="5722EDF4" w:rsidR="00A27CD3" w:rsidRDefault="00A27CD3" w:rsidP="00B97C84">
      <w:pPr>
        <w:spacing w:line="360" w:lineRule="auto"/>
        <w:rPr>
          <w:rFonts w:ascii="Calibri" w:hAnsi="Calibri" w:cs="Calibri"/>
        </w:rPr>
      </w:pPr>
      <w:r>
        <w:rPr>
          <w:rFonts w:ascii="Calibri" w:hAnsi="Calibri" w:cs="Calibri"/>
        </w:rPr>
        <w:t xml:space="preserve">Contracts of employment are legally binding agreement between the employer and employee. Under the Employment Rights Act 1996, an 'employee' is defined as an individual who works under a service contract (CIPD, 2020). A contract of employment is created using a mixture of express and implied terms. </w:t>
      </w:r>
    </w:p>
    <w:p w14:paraId="720F9097" w14:textId="7AC57143" w:rsidR="00A27CD3" w:rsidRDefault="00A27CD3" w:rsidP="00B97C84">
      <w:pPr>
        <w:spacing w:line="360" w:lineRule="auto"/>
        <w:rPr>
          <w:rFonts w:ascii="Calibri" w:hAnsi="Calibri" w:cs="Calibri"/>
        </w:rPr>
      </w:pPr>
      <w:r>
        <w:rPr>
          <w:rFonts w:ascii="Calibri" w:hAnsi="Calibri" w:cs="Calibri"/>
        </w:rPr>
        <w:t>Express terms are not restricted to written employment contract but are included in other organisational documents such as the employee handbook (CIPD, 2020). Employers must ensure they understand fundamental relevant law such as equal pay, minimum wage, fixed-term working, parental leave and working hours before drafting us any express terms. Express terms must always comply with legal standards (CIPD, 2020).</w:t>
      </w:r>
    </w:p>
    <w:p w14:paraId="6451A4A7" w14:textId="0B798902" w:rsidR="00A27CD3" w:rsidRDefault="00A27CD3" w:rsidP="00B97C84">
      <w:pPr>
        <w:spacing w:line="360" w:lineRule="auto"/>
        <w:rPr>
          <w:rFonts w:ascii="Calibri" w:hAnsi="Calibri" w:cs="Calibri"/>
        </w:rPr>
      </w:pPr>
      <w:r>
        <w:rPr>
          <w:rFonts w:ascii="Calibri" w:hAnsi="Calibri" w:cs="Calibri"/>
        </w:rPr>
        <w:t xml:space="preserve">Implied terms are terms that can be implied into employee contracts. This can be due to term including collective agreements, workforce agreements, incorporated by statute, incorporated into individual contracts. When implied terms are implied into an employment contract, they typically </w:t>
      </w:r>
      <w:r>
        <w:rPr>
          <w:rFonts w:ascii="Calibri" w:hAnsi="Calibri" w:cs="Calibri"/>
        </w:rPr>
        <w:lastRenderedPageBreak/>
        <w:t xml:space="preserve">include mutual trust and confidence between both the employer and the employee, the employer's duty to provide a safe working environment, the right to receive at least the national minimum wage and equality between men and women's pay (CIPD, 2020). </w:t>
      </w:r>
    </w:p>
    <w:p w14:paraId="5089C880" w14:textId="1C76E2EB" w:rsidR="00A27CD3" w:rsidRDefault="00A27CD3" w:rsidP="00B97C84">
      <w:pPr>
        <w:spacing w:line="360" w:lineRule="auto"/>
        <w:rPr>
          <w:rFonts w:ascii="Calibri" w:hAnsi="Calibri" w:cs="Calibri"/>
        </w:rPr>
      </w:pPr>
      <w:r>
        <w:rPr>
          <w:rFonts w:ascii="Calibri" w:hAnsi="Calibri" w:cs="Calibri"/>
        </w:rPr>
        <w:t xml:space="preserve">Both express and implied terms should be written out and given to the employee before they commence employment to avoid any uncertainty between the employer and the employee. </w:t>
      </w:r>
    </w:p>
    <w:p w14:paraId="17EC2392" w14:textId="3E24E13E" w:rsidR="00A27CD3" w:rsidRDefault="00A27CD3" w:rsidP="00B97C84">
      <w:pPr>
        <w:spacing w:line="360" w:lineRule="auto"/>
        <w:rPr>
          <w:rFonts w:ascii="Calibri" w:hAnsi="Calibri" w:cs="Calibri"/>
        </w:rPr>
      </w:pPr>
      <w:r>
        <w:rPr>
          <w:rFonts w:ascii="Calibri" w:hAnsi="Calibri" w:cs="Calibri"/>
        </w:rPr>
        <w:t>An employee contract is no different from any other legal binding document. It is governed by contract law which means it needs to comply with the following:</w:t>
      </w:r>
    </w:p>
    <w:p w14:paraId="27E1ECC1" w14:textId="2893B126" w:rsidR="00A27CD3" w:rsidRDefault="00A27CD3" w:rsidP="00A27CD3">
      <w:pPr>
        <w:pStyle w:val="ListParagraph"/>
        <w:numPr>
          <w:ilvl w:val="0"/>
          <w:numId w:val="8"/>
        </w:numPr>
        <w:spacing w:line="360" w:lineRule="auto"/>
        <w:rPr>
          <w:rFonts w:ascii="Calibri" w:hAnsi="Calibri" w:cs="Calibri"/>
        </w:rPr>
      </w:pPr>
      <w:r>
        <w:rPr>
          <w:rFonts w:ascii="Calibri" w:hAnsi="Calibri" w:cs="Calibri"/>
        </w:rPr>
        <w:t>Clear and unambiguous offer of employment by the employer that may be conditional</w:t>
      </w:r>
    </w:p>
    <w:p w14:paraId="44FFCF34" w14:textId="11EBA781" w:rsidR="00A27CD3" w:rsidRDefault="00A27CD3" w:rsidP="00A27CD3">
      <w:pPr>
        <w:pStyle w:val="ListParagraph"/>
        <w:numPr>
          <w:ilvl w:val="0"/>
          <w:numId w:val="8"/>
        </w:numPr>
        <w:spacing w:line="360" w:lineRule="auto"/>
        <w:rPr>
          <w:rFonts w:ascii="Calibri" w:hAnsi="Calibri" w:cs="Calibri"/>
        </w:rPr>
      </w:pPr>
      <w:r>
        <w:rPr>
          <w:rFonts w:ascii="Calibri" w:hAnsi="Calibri" w:cs="Calibri"/>
        </w:rPr>
        <w:t>The employe</w:t>
      </w:r>
      <w:r w:rsidR="008D4CF7">
        <w:rPr>
          <w:rFonts w:ascii="Calibri" w:hAnsi="Calibri" w:cs="Calibri"/>
        </w:rPr>
        <w:t>e</w:t>
      </w:r>
      <w:r>
        <w:rPr>
          <w:rFonts w:ascii="Calibri" w:hAnsi="Calibri" w:cs="Calibri"/>
        </w:rPr>
        <w:t xml:space="preserve"> must accept the offer</w:t>
      </w:r>
      <w:r w:rsidR="008D4CF7">
        <w:rPr>
          <w:rFonts w:ascii="Calibri" w:hAnsi="Calibri" w:cs="Calibri"/>
        </w:rPr>
        <w:t xml:space="preserve"> as above</w:t>
      </w:r>
    </w:p>
    <w:p w14:paraId="5D07257F" w14:textId="2B2367D9" w:rsidR="00A27CD3" w:rsidRDefault="008D4CF7" w:rsidP="00A27CD3">
      <w:pPr>
        <w:pStyle w:val="ListParagraph"/>
        <w:numPr>
          <w:ilvl w:val="0"/>
          <w:numId w:val="8"/>
        </w:numPr>
        <w:spacing w:line="360" w:lineRule="auto"/>
        <w:rPr>
          <w:rFonts w:ascii="Calibri" w:hAnsi="Calibri" w:cs="Calibri"/>
        </w:rPr>
      </w:pPr>
      <w:r>
        <w:rPr>
          <w:rFonts w:ascii="Calibri" w:hAnsi="Calibri" w:cs="Calibri"/>
        </w:rPr>
        <w:t>There must be consideration between the employer and the employee of the work that is required to be completed in return for their pay</w:t>
      </w:r>
    </w:p>
    <w:p w14:paraId="608A6C31" w14:textId="0853C208" w:rsidR="008D4CF7" w:rsidRDefault="008D4CF7" w:rsidP="00A27CD3">
      <w:pPr>
        <w:pStyle w:val="ListParagraph"/>
        <w:numPr>
          <w:ilvl w:val="0"/>
          <w:numId w:val="8"/>
        </w:numPr>
        <w:spacing w:line="360" w:lineRule="auto"/>
        <w:rPr>
          <w:rFonts w:ascii="Calibri" w:hAnsi="Calibri" w:cs="Calibri"/>
        </w:rPr>
      </w:pPr>
      <w:r>
        <w:rPr>
          <w:rFonts w:ascii="Calibri" w:hAnsi="Calibri" w:cs="Calibri"/>
        </w:rPr>
        <w:t>an intention to create a legally binding agreement between the employer and employee</w:t>
      </w:r>
    </w:p>
    <w:p w14:paraId="7058EDAA" w14:textId="77777777" w:rsidR="008D4CF7" w:rsidRDefault="008D4CF7" w:rsidP="008D4CF7">
      <w:pPr>
        <w:spacing w:line="360" w:lineRule="auto"/>
        <w:rPr>
          <w:rFonts w:ascii="Calibri" w:hAnsi="Calibri" w:cs="Calibri"/>
        </w:rPr>
      </w:pPr>
    </w:p>
    <w:p w14:paraId="2461695C" w14:textId="23CF1E39" w:rsidR="008D4CF7" w:rsidRDefault="008D4CF7" w:rsidP="008D4CF7">
      <w:pPr>
        <w:spacing w:line="360" w:lineRule="auto"/>
        <w:rPr>
          <w:rFonts w:ascii="Calibri" w:hAnsi="Calibri" w:cs="Calibri"/>
        </w:rPr>
      </w:pPr>
      <w:r>
        <w:rPr>
          <w:rFonts w:ascii="Calibri" w:hAnsi="Calibri" w:cs="Calibri"/>
        </w:rPr>
        <w:t xml:space="preserve">There is now more than one type of employment status. Employee, Worker and self-employed are recognised as the three main types of employment statuses. Employment rights are dependent on whether the individual is an employer or a Worker. If an individual is self-employed, they have very few employment rights (CIPD, 2020). An employee contract only applies to both an employee and employer. </w:t>
      </w:r>
    </w:p>
    <w:p w14:paraId="1BFA85E3" w14:textId="74EF18BF" w:rsidR="008D4CF7" w:rsidRDefault="008D4CF7" w:rsidP="008D4CF7">
      <w:pPr>
        <w:spacing w:line="360" w:lineRule="auto"/>
        <w:rPr>
          <w:rFonts w:ascii="Calibri" w:hAnsi="Calibri" w:cs="Calibri"/>
        </w:rPr>
      </w:pPr>
    </w:p>
    <w:p w14:paraId="4060AAF6" w14:textId="77777777" w:rsidR="008D4CF7" w:rsidRPr="008D4CF7" w:rsidRDefault="008D4CF7" w:rsidP="008D4CF7">
      <w:pPr>
        <w:spacing w:line="360" w:lineRule="auto"/>
        <w:rPr>
          <w:rFonts w:ascii="Calibri" w:hAnsi="Calibri" w:cs="Calibri"/>
        </w:rPr>
      </w:pPr>
    </w:p>
    <w:p w14:paraId="7CB32432" w14:textId="7F809D4D" w:rsidR="00A27CD3" w:rsidRDefault="00A27CD3" w:rsidP="00B97C84">
      <w:pPr>
        <w:spacing w:line="360" w:lineRule="auto"/>
        <w:rPr>
          <w:rFonts w:ascii="Calibri" w:hAnsi="Calibri" w:cs="Calibri"/>
        </w:rPr>
      </w:pPr>
    </w:p>
    <w:p w14:paraId="041F9F05" w14:textId="4C2422A9" w:rsidR="00A27CD3" w:rsidRDefault="00A27CD3" w:rsidP="00B97C84">
      <w:pPr>
        <w:spacing w:line="360" w:lineRule="auto"/>
        <w:rPr>
          <w:rFonts w:ascii="Calibri" w:hAnsi="Calibri" w:cs="Calibri"/>
        </w:rPr>
      </w:pPr>
    </w:p>
    <w:p w14:paraId="6CD9776C" w14:textId="77777777" w:rsidR="00A27CD3" w:rsidRDefault="00A27CD3" w:rsidP="00B97C84">
      <w:pPr>
        <w:spacing w:line="360" w:lineRule="auto"/>
        <w:rPr>
          <w:rFonts w:ascii="Calibri" w:hAnsi="Calibri" w:cs="Calibri"/>
        </w:rPr>
      </w:pPr>
    </w:p>
    <w:p w14:paraId="6144B41A" w14:textId="23BE345F" w:rsidR="00A27CD3" w:rsidRDefault="00A27CD3" w:rsidP="00B97C84">
      <w:pPr>
        <w:spacing w:line="360" w:lineRule="auto"/>
        <w:rPr>
          <w:rFonts w:ascii="Calibri" w:hAnsi="Calibri" w:cs="Calibri"/>
        </w:rPr>
      </w:pPr>
    </w:p>
    <w:p w14:paraId="589B7BDA" w14:textId="77777777" w:rsidR="00B97C84" w:rsidRDefault="00B97C84" w:rsidP="00EC12DB">
      <w:pPr>
        <w:spacing w:line="360" w:lineRule="auto"/>
      </w:pPr>
    </w:p>
    <w:p w14:paraId="2CC5D707" w14:textId="61AD770E" w:rsidR="00B97C84" w:rsidRPr="00B97C84" w:rsidRDefault="00B97C84" w:rsidP="00A27CD3">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p>
    <w:p w14:paraId="2C653284" w14:textId="11131C1A" w:rsidR="00B97C84" w:rsidRDefault="00B97C84" w:rsidP="00EC12DB">
      <w:pPr>
        <w:spacing w:line="360" w:lineRule="auto"/>
      </w:pPr>
    </w:p>
    <w:p w14:paraId="4994E790" w14:textId="77777777" w:rsidR="00A27CD3" w:rsidRDefault="00A27CD3">
      <w:pPr>
        <w:rPr>
          <w:rFonts w:asciiTheme="majorHAnsi" w:eastAsiaTheme="majorEastAsia" w:hAnsiTheme="majorHAnsi" w:cstheme="majorBidi"/>
          <w:color w:val="2F5496" w:themeColor="accent1" w:themeShade="BF"/>
          <w:sz w:val="26"/>
          <w:szCs w:val="26"/>
        </w:rPr>
      </w:pPr>
      <w:r>
        <w:br w:type="page"/>
      </w:r>
    </w:p>
    <w:p w14:paraId="1BAD0676" w14:textId="79A1A71C" w:rsidR="0054367B" w:rsidRDefault="0054367B" w:rsidP="0054367B">
      <w:pPr>
        <w:pStyle w:val="Heading2"/>
      </w:pPr>
      <w:r>
        <w:lastRenderedPageBreak/>
        <w:t>Activity 3</w:t>
      </w:r>
    </w:p>
    <w:p w14:paraId="5792632F" w14:textId="05AB0603" w:rsidR="0054367B" w:rsidRDefault="0054367B" w:rsidP="008F0043">
      <w:pPr>
        <w:spacing w:line="360" w:lineRule="auto"/>
        <w:rPr>
          <w:rFonts w:ascii="Calibri" w:hAnsi="Calibri" w:cs="Calibri"/>
          <w:i/>
          <w:iCs/>
          <w:sz w:val="20"/>
          <w:szCs w:val="20"/>
        </w:rPr>
      </w:pPr>
      <w:r w:rsidRPr="00EA50D6">
        <w:rPr>
          <w:rFonts w:ascii="Calibri" w:hAnsi="Calibri" w:cs="Calibri"/>
          <w:i/>
          <w:iCs/>
        </w:rPr>
        <w:t xml:space="preserve">An organisation is planning a major reorganisation which will involve moving some staff to other sites and outsourcing a major function to a sub-contractor. </w:t>
      </w:r>
      <w:r w:rsidRPr="00EA50D6">
        <w:rPr>
          <w:rFonts w:ascii="Calibri" w:hAnsi="Calibri" w:cs="Calibri"/>
          <w:i/>
          <w:iCs/>
        </w:rPr>
        <w:br/>
        <w:t xml:space="preserve">(a) Outline when and how contracts can be changed lawfully </w:t>
      </w:r>
      <w:r w:rsidRPr="00EA50D6">
        <w:rPr>
          <w:rFonts w:ascii="Calibri" w:hAnsi="Calibri" w:cs="Calibri"/>
          <w:i/>
          <w:iCs/>
        </w:rPr>
        <w:br/>
        <w:t>(b) Explain briefly the main requirements of redundancy law</w:t>
      </w:r>
      <w:r w:rsidRPr="00EA50D6">
        <w:rPr>
          <w:rFonts w:ascii="Calibri" w:hAnsi="Calibri" w:cs="Calibri"/>
          <w:i/>
          <w:iCs/>
        </w:rPr>
        <w:br/>
        <w:t>(c) Summarise the main requirements of the law on business transfers.</w:t>
      </w:r>
      <w:r w:rsidRPr="00EA50D6">
        <w:rPr>
          <w:rFonts w:ascii="Calibri" w:hAnsi="Calibri" w:cs="Calibri"/>
          <w:i/>
          <w:iCs/>
          <w:sz w:val="20"/>
          <w:szCs w:val="20"/>
        </w:rPr>
        <w:br/>
      </w:r>
    </w:p>
    <w:p w14:paraId="491EA643" w14:textId="2C9388D1" w:rsidR="008B6D2C" w:rsidRDefault="008B6D2C" w:rsidP="008B6D2C">
      <w:pPr>
        <w:spacing w:line="360" w:lineRule="auto"/>
        <w:rPr>
          <w:rFonts w:ascii="Calibri" w:hAnsi="Calibri" w:cs="Calibri"/>
        </w:rPr>
      </w:pPr>
      <w:r w:rsidRPr="008B6D2C">
        <w:rPr>
          <w:rFonts w:ascii="Calibri" w:hAnsi="Calibri" w:cs="Calibri"/>
        </w:rPr>
        <w:t xml:space="preserve">A - When </w:t>
      </w:r>
      <w:r>
        <w:rPr>
          <w:rFonts w:ascii="Calibri" w:hAnsi="Calibri" w:cs="Calibri"/>
        </w:rPr>
        <w:t xml:space="preserve">any changes are being made to a contract, this has to be agreed both by the employer and the employee. An employee is able to insist on a change if they have a legal right </w:t>
      </w:r>
      <w:proofErr w:type="spellStart"/>
      <w:r>
        <w:rPr>
          <w:rFonts w:ascii="Calibri" w:hAnsi="Calibri" w:cs="Calibri"/>
        </w:rPr>
        <w:t>too</w:t>
      </w:r>
      <w:proofErr w:type="spellEnd"/>
      <w:r>
        <w:rPr>
          <w:rFonts w:ascii="Calibri" w:hAnsi="Calibri" w:cs="Calibri"/>
        </w:rPr>
        <w:t xml:space="preserve"> (GOV, 2021). An employer must always consult or negotiate with the employee, explain the reasons for the changes and also listen to alternative ideas from the employee. An employer is able to request a change if it’s covered by a statutory right (Gov, 2021). When the changes have been agreed, the terms of their employees conditions of employment need to be updates, and the employer must write to the employee within a month of the change outlining what has exactly been changed. However, if an employer changes any policies or procedures within the employee handbook the employees must be informed of this change and shown where to find the correct information. Flexibility clauses give employers the right to amend and change some conditions of employment. His can only be used to make reasonable changes (Gov, 2021). </w:t>
      </w:r>
    </w:p>
    <w:p w14:paraId="06127A0A" w14:textId="05CA6384" w:rsidR="00C47C36" w:rsidRDefault="008B6D2C" w:rsidP="00C47C36">
      <w:pPr>
        <w:spacing w:line="360" w:lineRule="auto"/>
        <w:rPr>
          <w:rFonts w:ascii="Calibri" w:hAnsi="Calibri" w:cs="Calibri"/>
        </w:rPr>
      </w:pPr>
      <w:r>
        <w:rPr>
          <w:rFonts w:ascii="Calibri" w:hAnsi="Calibri" w:cs="Calibri"/>
        </w:rPr>
        <w:t xml:space="preserve">B – Redundancy can be one of the most distressing events an employee can experience during their working time so this should always be a last resort (CIPD, 2020). </w:t>
      </w:r>
      <w:r w:rsidR="00C47C36">
        <w:rPr>
          <w:rFonts w:ascii="Calibri" w:hAnsi="Calibri" w:cs="Calibri"/>
        </w:rPr>
        <w:t xml:space="preserve">Redundancies need to be handled sensitively to ensure fair treatment of the redundant employees and to ensure that it does not disrupt the remaining workforce. When an employer needs to reduce the size of their workforce, this is when redundancies may come into play. The employee is only dismissed for redundancy is they have ceased or intends to cease working for the business, or the requirements for employees to perform work of a specific type changes. There are steps for employers to follow when making redundancies, and even when these are followed it still has the potential to damage the culture of the organisation (CIPD, 2020). All employees should be given a written notice if they have been selected for redundancy with an invite to a meeting to discuss this. Once this meeting has taken place its then for the employer to decide if that employee is to be made redundant and issues with either the statutory minimum notice or the contractual notice, whichever is greater. Employees are allowed to appeal against the redundancy decision (CIPD, 2020). </w:t>
      </w:r>
    </w:p>
    <w:p w14:paraId="40587CEB" w14:textId="3349C42A" w:rsidR="00B67170" w:rsidRDefault="00B67170" w:rsidP="00C47C36">
      <w:pPr>
        <w:spacing w:line="360" w:lineRule="auto"/>
        <w:rPr>
          <w:rFonts w:ascii="Calibri" w:hAnsi="Calibri" w:cs="Calibri"/>
        </w:rPr>
      </w:pPr>
      <w:r>
        <w:rPr>
          <w:rFonts w:ascii="Calibri" w:hAnsi="Calibri" w:cs="Calibri"/>
        </w:rPr>
        <w:t xml:space="preserve">C - </w:t>
      </w:r>
    </w:p>
    <w:p w14:paraId="66F5FD11" w14:textId="77777777" w:rsidR="00C47C36" w:rsidRDefault="00C47C36" w:rsidP="00C47C36">
      <w:pPr>
        <w:spacing w:line="360" w:lineRule="auto"/>
        <w:rPr>
          <w:rFonts w:ascii="Calibri" w:hAnsi="Calibri" w:cs="Calibri"/>
        </w:rPr>
      </w:pPr>
    </w:p>
    <w:p w14:paraId="0719E46D" w14:textId="1A43D9FC" w:rsidR="0054367B" w:rsidRDefault="0054367B" w:rsidP="0054367B">
      <w:pPr>
        <w:pStyle w:val="Heading2"/>
      </w:pPr>
      <w:r>
        <w:lastRenderedPageBreak/>
        <w:t>Activity 4</w:t>
      </w:r>
    </w:p>
    <w:p w14:paraId="0B388C50" w14:textId="24E56703" w:rsidR="0054367B" w:rsidRDefault="0054367B" w:rsidP="008F0043">
      <w:pPr>
        <w:spacing w:line="360" w:lineRule="auto"/>
        <w:rPr>
          <w:rFonts w:ascii="Calibri" w:hAnsi="Calibri" w:cs="Calibri"/>
          <w:i/>
          <w:iCs/>
        </w:rPr>
      </w:pPr>
      <w:r w:rsidRPr="00EA50D6">
        <w:rPr>
          <w:rFonts w:ascii="Calibri" w:hAnsi="Calibri" w:cs="Calibri"/>
          <w:i/>
          <w:iCs/>
        </w:rPr>
        <w:t xml:space="preserve">Summarise: </w:t>
      </w:r>
      <w:r w:rsidRPr="00EA50D6">
        <w:rPr>
          <w:rFonts w:ascii="Calibri" w:hAnsi="Calibri" w:cs="Calibri"/>
          <w:i/>
          <w:iCs/>
        </w:rPr>
        <w:br/>
        <w:t xml:space="preserve">(a) the major statutory rights employees have in relation to pay, holidays and </w:t>
      </w:r>
      <w:r w:rsidRPr="00EA50D6">
        <w:rPr>
          <w:rFonts w:ascii="Calibri" w:hAnsi="Calibri" w:cs="Calibri"/>
          <w:i/>
          <w:iCs/>
        </w:rPr>
        <w:br/>
        <w:t xml:space="preserve">     working time and, </w:t>
      </w:r>
      <w:r w:rsidRPr="00EA50D6">
        <w:rPr>
          <w:rFonts w:ascii="Calibri" w:hAnsi="Calibri" w:cs="Calibri"/>
          <w:i/>
          <w:iCs/>
        </w:rPr>
        <w:br/>
        <w:t>(b) the major maternity, paternity and other family-friendly employment rights.</w:t>
      </w:r>
      <w:r w:rsidRPr="00EA50D6">
        <w:rPr>
          <w:rFonts w:ascii="Calibri" w:hAnsi="Calibri" w:cs="Calibri"/>
          <w:i/>
          <w:iCs/>
        </w:rPr>
        <w:br/>
      </w:r>
    </w:p>
    <w:p w14:paraId="7C526856" w14:textId="35C1B946" w:rsidR="00217507" w:rsidRDefault="001A3913" w:rsidP="008F0043">
      <w:pPr>
        <w:spacing w:line="360" w:lineRule="auto"/>
        <w:rPr>
          <w:rFonts w:ascii="Calibri" w:hAnsi="Calibri" w:cs="Calibri"/>
        </w:rPr>
      </w:pPr>
      <w:r>
        <w:rPr>
          <w:rFonts w:ascii="Calibri" w:hAnsi="Calibri" w:cs="Calibri"/>
        </w:rPr>
        <w:t>All workers by law have several rights to ensure they are treated fairly by their employers. These rights are known as statutory rights. These rights form the basis for fair treatment within the workplace, set out your agreements with your employer, and contain a few other variables. These rights will be laid out in your employee contract.</w:t>
      </w:r>
    </w:p>
    <w:p w14:paraId="63ED83A6" w14:textId="6D4CF7E5" w:rsidR="00217507" w:rsidRDefault="00217507" w:rsidP="008F0043">
      <w:pPr>
        <w:spacing w:line="360" w:lineRule="auto"/>
        <w:rPr>
          <w:rFonts w:ascii="Calibri" w:hAnsi="Calibri" w:cs="Calibri"/>
        </w:rPr>
      </w:pPr>
      <w:r>
        <w:rPr>
          <w:rFonts w:ascii="Calibri" w:hAnsi="Calibri" w:cs="Calibri"/>
        </w:rPr>
        <w:t>Concerning pay, employees reserve the right to be paid for the work that they have done. Employees should receive at least the National Minimum Wage for the correct tax year. An employee may choose to pay you more than the National Minimum wage, and this will be set out in your Employee Contract and how you will be paid (DAS Law, 2019).</w:t>
      </w:r>
    </w:p>
    <w:p w14:paraId="3CCF013B" w14:textId="50F6DE4B" w:rsidR="00855AF0" w:rsidRDefault="00855AF0" w:rsidP="008F0043">
      <w:pPr>
        <w:spacing w:line="360" w:lineRule="auto"/>
        <w:rPr>
          <w:rFonts w:ascii="Calibri" w:hAnsi="Calibri" w:cs="Calibri"/>
        </w:rPr>
      </w:pPr>
      <w:r>
        <w:rPr>
          <w:rFonts w:ascii="Calibri" w:hAnsi="Calibri" w:cs="Calibri"/>
        </w:rPr>
        <w:t>About holidays, employees are entitled to 28 days, including bank holidays paid holiday each year. Some employers will offer more than this entitlement, which will be stated within your employment contract. Employees can take holidays when it is convenient for them to do so with their employers to minimise disruption. There is no right to take the holiday time the employee is choosing (</w:t>
      </w:r>
      <w:proofErr w:type="spellStart"/>
      <w:r>
        <w:rPr>
          <w:rFonts w:ascii="Calibri" w:hAnsi="Calibri" w:cs="Calibri"/>
        </w:rPr>
        <w:t>Llandau</w:t>
      </w:r>
      <w:proofErr w:type="spellEnd"/>
      <w:r>
        <w:rPr>
          <w:rFonts w:ascii="Calibri" w:hAnsi="Calibri" w:cs="Calibri"/>
        </w:rPr>
        <w:t xml:space="preserve"> Law, 2020). If you are a part-time worker you will be entitled to fewer than 28 days and will accrue holidays based on the hours worked each week. Employers from their very first day of employment are entitled to holidays. The only way you can take payment in lieu of holidays is if your employment has been terminated, and any untaken accrued holiday allowance will be paid to you on your final pay (Start Ups, 2020).</w:t>
      </w:r>
    </w:p>
    <w:p w14:paraId="29BAB871" w14:textId="1110A565" w:rsidR="001E4405" w:rsidRDefault="001E4405" w:rsidP="008F0043">
      <w:pPr>
        <w:spacing w:line="360" w:lineRule="auto"/>
        <w:rPr>
          <w:rFonts w:ascii="Calibri" w:hAnsi="Calibri" w:cs="Calibri"/>
        </w:rPr>
      </w:pPr>
      <w:r>
        <w:rPr>
          <w:rFonts w:ascii="Calibri" w:hAnsi="Calibri" w:cs="Calibri"/>
        </w:rPr>
        <w:t>Working tim</w:t>
      </w:r>
      <w:r w:rsidR="00CA2AFA">
        <w:rPr>
          <w:rFonts w:ascii="Calibri" w:hAnsi="Calibri" w:cs="Calibri"/>
        </w:rPr>
        <w:t>e statutory rights as an employee include working no more than 48 hours per week unless you opt out to work more, have a 20 minute rest when working any period over 6 hours or more and also must have 11 hours rest in a period of 24 hours (CIPD, 2020).</w:t>
      </w:r>
    </w:p>
    <w:p w14:paraId="02B10761" w14:textId="50B1DDEC" w:rsidR="001E4405" w:rsidRDefault="001E4405" w:rsidP="008F0043">
      <w:pPr>
        <w:spacing w:line="360" w:lineRule="auto"/>
        <w:rPr>
          <w:rFonts w:ascii="Calibri" w:hAnsi="Calibri" w:cs="Calibri"/>
        </w:rPr>
      </w:pPr>
      <w:r>
        <w:rPr>
          <w:rFonts w:ascii="Calibri" w:hAnsi="Calibri" w:cs="Calibri"/>
        </w:rPr>
        <w:t>Maternity, Paternity &amp; Family Friendly employment</w:t>
      </w:r>
      <w:r w:rsidR="001B686B">
        <w:rPr>
          <w:rFonts w:ascii="Calibri" w:hAnsi="Calibri" w:cs="Calibri"/>
        </w:rPr>
        <w:t xml:space="preserve"> rights cover a few sections of the employment rights laws that employers must adopt and follow. These are listed below:</w:t>
      </w:r>
    </w:p>
    <w:p w14:paraId="71A83211" w14:textId="724B7F12" w:rsidR="001B686B" w:rsidRDefault="00CA2AFA" w:rsidP="008F0043">
      <w:pPr>
        <w:spacing w:line="360" w:lineRule="auto"/>
        <w:rPr>
          <w:rFonts w:ascii="Calibri" w:hAnsi="Calibri" w:cs="Calibri"/>
        </w:rPr>
      </w:pPr>
      <w:r>
        <w:rPr>
          <w:rFonts w:ascii="Calibri" w:hAnsi="Calibri" w:cs="Calibri"/>
        </w:rPr>
        <w:t>All pregnant employees have the right to take up to a maximum of 52 weeks maternity leave regardless their length of service within the company</w:t>
      </w:r>
      <w:r w:rsidR="001B686B">
        <w:rPr>
          <w:rFonts w:ascii="Calibri" w:hAnsi="Calibri" w:cs="Calibri"/>
        </w:rPr>
        <w:t xml:space="preserve">. The employee may also then quality for up to 39 weeks statutory maternity pay or maternity allowance (HR Inform, 2021). All employees are eligible to take up to two weeks ordinary paternity leave with full pay around the time of the bird or </w:t>
      </w:r>
      <w:r w:rsidR="001B686B">
        <w:rPr>
          <w:rFonts w:ascii="Calibri" w:hAnsi="Calibri" w:cs="Calibri"/>
        </w:rPr>
        <w:lastRenderedPageBreak/>
        <w:t xml:space="preserve">adoption of their child. All eligible </w:t>
      </w:r>
      <w:proofErr w:type="spellStart"/>
      <w:r w:rsidR="001B686B">
        <w:rPr>
          <w:rFonts w:ascii="Calibri" w:hAnsi="Calibri" w:cs="Calibri"/>
        </w:rPr>
        <w:t>employes</w:t>
      </w:r>
      <w:proofErr w:type="spellEnd"/>
      <w:r w:rsidR="001B686B">
        <w:rPr>
          <w:rFonts w:ascii="Calibri" w:hAnsi="Calibri" w:cs="Calibri"/>
        </w:rPr>
        <w:t xml:space="preserve"> have a statutory right to have up to 52 weeks adoption leave and 39 weeks adoption pay when adopting a newly placed child. Employees now have the option to share the parental leave between both parents. Shared parental leave is able to be taken in a more </w:t>
      </w:r>
      <w:proofErr w:type="spellStart"/>
      <w:r w:rsidR="001B686B">
        <w:rPr>
          <w:rFonts w:ascii="Calibri" w:hAnsi="Calibri" w:cs="Calibri"/>
        </w:rPr>
        <w:t>flecible</w:t>
      </w:r>
      <w:proofErr w:type="spellEnd"/>
      <w:r w:rsidR="001B686B">
        <w:rPr>
          <w:rFonts w:ascii="Calibri" w:hAnsi="Calibri" w:cs="Calibri"/>
        </w:rPr>
        <w:t xml:space="preserve"> way than maternity leave. Finally the part of the family friendly policies includes Parental leave, employees area able to take unpaid leave for any needs the child may have (HR Inform, 2021).</w:t>
      </w:r>
    </w:p>
    <w:p w14:paraId="69C6FE72" w14:textId="121C504E" w:rsidR="001B686B" w:rsidRDefault="001B686B" w:rsidP="008F0043">
      <w:pPr>
        <w:spacing w:line="360" w:lineRule="auto"/>
        <w:rPr>
          <w:rFonts w:ascii="Calibri" w:hAnsi="Calibri" w:cs="Calibri"/>
        </w:rPr>
      </w:pPr>
    </w:p>
    <w:p w14:paraId="5E451166" w14:textId="3C1EA00C" w:rsidR="001B686B" w:rsidRDefault="001B686B" w:rsidP="001B686B">
      <w:pPr>
        <w:spacing w:line="360" w:lineRule="auto"/>
        <w:rPr>
          <w:rFonts w:ascii="Open Sans" w:hAnsi="Open Sans" w:cs="Open Sans"/>
          <w:color w:val="383B3E"/>
          <w:sz w:val="21"/>
          <w:szCs w:val="21"/>
        </w:rPr>
      </w:pPr>
      <w:r>
        <w:br/>
      </w:r>
    </w:p>
    <w:p w14:paraId="49187B4A" w14:textId="0FA7B5AE" w:rsidR="001B686B" w:rsidRPr="001B686B" w:rsidRDefault="001B686B" w:rsidP="001B686B">
      <w:pPr>
        <w:shd w:val="clear" w:color="auto" w:fill="FFFFFF"/>
        <w:spacing w:after="0" w:line="240" w:lineRule="auto"/>
        <w:rPr>
          <w:rFonts w:ascii="Open Sans" w:eastAsia="Times New Roman" w:hAnsi="Open Sans" w:cs="Open Sans"/>
          <w:color w:val="1B1B1B"/>
          <w:sz w:val="21"/>
          <w:szCs w:val="21"/>
          <w:lang w:eastAsia="en-GB"/>
        </w:rPr>
      </w:pPr>
      <w:r w:rsidRPr="001B686B">
        <w:rPr>
          <w:rFonts w:ascii="Open Sans" w:eastAsia="Times New Roman" w:hAnsi="Open Sans" w:cs="Open Sans"/>
          <w:color w:val="1B1B1B"/>
          <w:sz w:val="21"/>
          <w:szCs w:val="21"/>
          <w:lang w:eastAsia="en-GB"/>
        </w:rPr>
        <w:t> </w:t>
      </w:r>
    </w:p>
    <w:p w14:paraId="446259AD" w14:textId="77777777" w:rsidR="00CA2AFA" w:rsidRDefault="00CA2AFA" w:rsidP="008F0043">
      <w:pPr>
        <w:spacing w:line="360" w:lineRule="auto"/>
        <w:rPr>
          <w:rFonts w:ascii="Calibri" w:hAnsi="Calibri" w:cs="Calibri"/>
        </w:rPr>
      </w:pPr>
    </w:p>
    <w:p w14:paraId="79F0F734" w14:textId="2C48874B" w:rsidR="00855AF0" w:rsidRDefault="00855AF0" w:rsidP="008F0043">
      <w:pPr>
        <w:spacing w:line="360" w:lineRule="auto"/>
        <w:rPr>
          <w:rFonts w:ascii="Calibri" w:hAnsi="Calibri" w:cs="Calibri"/>
        </w:rPr>
      </w:pPr>
    </w:p>
    <w:p w14:paraId="7890A3F2" w14:textId="2F9BA87D" w:rsidR="001E4405" w:rsidRDefault="001E4405">
      <w:pPr>
        <w:rPr>
          <w:rFonts w:ascii="Calibri" w:hAnsi="Calibri" w:cs="Calibri"/>
        </w:rPr>
      </w:pPr>
      <w:r>
        <w:rPr>
          <w:rFonts w:ascii="Calibri" w:hAnsi="Calibri" w:cs="Calibri"/>
        </w:rPr>
        <w:br w:type="page"/>
      </w:r>
    </w:p>
    <w:p w14:paraId="59F90B06" w14:textId="42B4C017" w:rsidR="0054367B" w:rsidRDefault="0054367B" w:rsidP="0054367B">
      <w:pPr>
        <w:pStyle w:val="Heading2"/>
      </w:pPr>
      <w:r>
        <w:lastRenderedPageBreak/>
        <w:t>Activity 5</w:t>
      </w:r>
    </w:p>
    <w:p w14:paraId="2E797885" w14:textId="77777777" w:rsidR="0054367B" w:rsidRPr="00EA50D6" w:rsidRDefault="0054367B" w:rsidP="008F0043">
      <w:pPr>
        <w:spacing w:line="360" w:lineRule="auto"/>
        <w:rPr>
          <w:rFonts w:ascii="Calibri" w:hAnsi="Calibri" w:cs="Calibri"/>
          <w:i/>
          <w:iCs/>
        </w:rPr>
      </w:pPr>
      <w:r w:rsidRPr="00EA50D6">
        <w:rPr>
          <w:rFonts w:ascii="Calibri" w:hAnsi="Calibri" w:cs="Calibri"/>
          <w:i/>
          <w:iCs/>
        </w:rPr>
        <w:t>Summarise:</w:t>
      </w:r>
      <w:r w:rsidRPr="00EA50D6">
        <w:rPr>
          <w:rFonts w:ascii="Calibri" w:hAnsi="Calibri" w:cs="Calibri"/>
          <w:i/>
          <w:iCs/>
        </w:rPr>
        <w:br/>
        <w:t>(a) the major requirements of health and safety law</w:t>
      </w:r>
      <w:r w:rsidRPr="00EA50D6">
        <w:rPr>
          <w:rFonts w:ascii="Calibri" w:hAnsi="Calibri" w:cs="Calibri"/>
          <w:i/>
          <w:iCs/>
        </w:rPr>
        <w:br/>
        <w:t>(b) key legislation supporting equality and diversity in the workplace</w:t>
      </w:r>
      <w:r w:rsidRPr="00EA50D6">
        <w:rPr>
          <w:rFonts w:ascii="Calibri" w:hAnsi="Calibri" w:cs="Calibri"/>
          <w:i/>
          <w:iCs/>
        </w:rPr>
        <w:br/>
        <w:t>(c) the concept of implied duties in relation to employee management at work</w:t>
      </w:r>
      <w:r w:rsidRPr="00EA50D6">
        <w:rPr>
          <w:rFonts w:ascii="Calibri" w:hAnsi="Calibri" w:cs="Calibri"/>
          <w:i/>
          <w:iCs/>
        </w:rPr>
        <w:br/>
      </w:r>
    </w:p>
    <w:p w14:paraId="19E625CC" w14:textId="547DC806" w:rsidR="00C47C36" w:rsidRPr="00B67170" w:rsidRDefault="00C47C36" w:rsidP="00B67170">
      <w:pPr>
        <w:spacing w:line="360" w:lineRule="auto"/>
        <w:rPr>
          <w:rFonts w:ascii="Calibri" w:hAnsi="Calibri" w:cs="Calibri"/>
        </w:rPr>
      </w:pPr>
      <w:r>
        <w:t xml:space="preserve">A – Every employer must be aware of health and safety within their organisation. </w:t>
      </w:r>
      <w:r w:rsidR="00B67170">
        <w:t xml:space="preserve">There are various </w:t>
      </w:r>
      <w:r w:rsidR="00B67170" w:rsidRPr="00B67170">
        <w:rPr>
          <w:rFonts w:ascii="Calibri" w:hAnsi="Calibri" w:cs="Calibri"/>
        </w:rPr>
        <w:t>regulations in place that fall under health and safety</w:t>
      </w:r>
      <w:r w:rsidR="00B67170">
        <w:rPr>
          <w:rFonts w:ascii="Calibri" w:hAnsi="Calibri" w:cs="Calibri"/>
        </w:rPr>
        <w:t xml:space="preserve"> (</w:t>
      </w:r>
      <w:proofErr w:type="spellStart"/>
      <w:r w:rsidR="00B67170">
        <w:rPr>
          <w:rFonts w:ascii="Calibri" w:hAnsi="Calibri" w:cs="Calibri"/>
        </w:rPr>
        <w:t>Worksmart</w:t>
      </w:r>
      <w:proofErr w:type="spellEnd"/>
      <w:r w:rsidR="00B67170">
        <w:rPr>
          <w:rFonts w:ascii="Calibri" w:hAnsi="Calibri" w:cs="Calibri"/>
        </w:rPr>
        <w:t>, 2021)</w:t>
      </w:r>
      <w:r w:rsidR="00B67170" w:rsidRPr="00B67170">
        <w:rPr>
          <w:rFonts w:ascii="Calibri" w:hAnsi="Calibri" w:cs="Calibri"/>
        </w:rPr>
        <w:t>. A few are:</w:t>
      </w:r>
    </w:p>
    <w:p w14:paraId="71113754" w14:textId="428E8453" w:rsidR="00B67170" w:rsidRPr="00B67170" w:rsidRDefault="00B67170" w:rsidP="00B67170">
      <w:pPr>
        <w:pStyle w:val="ListParagraph"/>
        <w:numPr>
          <w:ilvl w:val="0"/>
          <w:numId w:val="8"/>
        </w:numPr>
        <w:spacing w:line="360" w:lineRule="auto"/>
        <w:rPr>
          <w:rFonts w:ascii="Calibri" w:hAnsi="Calibri" w:cs="Calibri"/>
        </w:rPr>
      </w:pPr>
      <w:r w:rsidRPr="00B67170">
        <w:rPr>
          <w:rFonts w:ascii="Calibri" w:hAnsi="Calibri" w:cs="Calibri"/>
        </w:rPr>
        <w:t xml:space="preserve">The Management of Health and Safety at Work Regulations 1999. This policy includes making risk assessments and proving workers with the </w:t>
      </w:r>
      <w:proofErr w:type="spellStart"/>
      <w:r w:rsidRPr="00B67170">
        <w:rPr>
          <w:rFonts w:ascii="Calibri" w:hAnsi="Calibri" w:cs="Calibri"/>
        </w:rPr>
        <w:t>nformation</w:t>
      </w:r>
      <w:proofErr w:type="spellEnd"/>
      <w:r w:rsidRPr="00B67170">
        <w:rPr>
          <w:rFonts w:ascii="Calibri" w:hAnsi="Calibri" w:cs="Calibri"/>
        </w:rPr>
        <w:t xml:space="preserve"> and training they require and operating a written health and </w:t>
      </w:r>
      <w:proofErr w:type="spellStart"/>
      <w:r w:rsidRPr="00B67170">
        <w:rPr>
          <w:rFonts w:ascii="Calibri" w:hAnsi="Calibri" w:cs="Calibri"/>
        </w:rPr>
        <w:t>safey</w:t>
      </w:r>
      <w:proofErr w:type="spellEnd"/>
      <w:r w:rsidRPr="00B67170">
        <w:rPr>
          <w:rFonts w:ascii="Calibri" w:hAnsi="Calibri" w:cs="Calibri"/>
        </w:rPr>
        <w:t xml:space="preserve"> policy. </w:t>
      </w:r>
    </w:p>
    <w:p w14:paraId="2BF3EF56" w14:textId="284CB403" w:rsidR="00B67170" w:rsidRPr="00B67170" w:rsidRDefault="00B67170" w:rsidP="00B67170">
      <w:pPr>
        <w:pStyle w:val="ListParagraph"/>
        <w:numPr>
          <w:ilvl w:val="0"/>
          <w:numId w:val="8"/>
        </w:numPr>
        <w:spacing w:line="360" w:lineRule="auto"/>
        <w:rPr>
          <w:rFonts w:ascii="Calibri" w:hAnsi="Calibri" w:cs="Calibri"/>
        </w:rPr>
      </w:pPr>
      <w:r w:rsidRPr="00B67170">
        <w:rPr>
          <w:rFonts w:ascii="Calibri" w:hAnsi="Calibri" w:cs="Calibri"/>
        </w:rPr>
        <w:t xml:space="preserve">The Workplace (Health, Safety and Welfare) Regulations 1992. This policy requires employers to have adequate lighting, heating and </w:t>
      </w:r>
      <w:proofErr w:type="spellStart"/>
      <w:r w:rsidRPr="00B67170">
        <w:rPr>
          <w:rFonts w:ascii="Calibri" w:hAnsi="Calibri" w:cs="Calibri"/>
        </w:rPr>
        <w:t>ventiliation</w:t>
      </w:r>
      <w:proofErr w:type="spellEnd"/>
      <w:r w:rsidRPr="00B67170">
        <w:rPr>
          <w:rFonts w:ascii="Calibri" w:hAnsi="Calibri" w:cs="Calibri"/>
        </w:rPr>
        <w:t xml:space="preserve"> within </w:t>
      </w:r>
      <w:proofErr w:type="spellStart"/>
      <w:r w:rsidRPr="00B67170">
        <w:rPr>
          <w:rFonts w:ascii="Calibri" w:hAnsi="Calibri" w:cs="Calibri"/>
        </w:rPr>
        <w:t>te</w:t>
      </w:r>
      <w:proofErr w:type="spellEnd"/>
      <w:r w:rsidRPr="00B67170">
        <w:rPr>
          <w:rFonts w:ascii="Calibri" w:hAnsi="Calibri" w:cs="Calibri"/>
        </w:rPr>
        <w:t xml:space="preserve"> workplace and provide staff </w:t>
      </w:r>
      <w:proofErr w:type="spellStart"/>
      <w:r w:rsidRPr="00B67170">
        <w:rPr>
          <w:rFonts w:ascii="Calibri" w:hAnsi="Calibri" w:cs="Calibri"/>
        </w:rPr>
        <w:t>facilitis</w:t>
      </w:r>
      <w:proofErr w:type="spellEnd"/>
      <w:r w:rsidRPr="00B67170">
        <w:rPr>
          <w:rFonts w:ascii="Calibri" w:hAnsi="Calibri" w:cs="Calibri"/>
        </w:rPr>
        <w:t xml:space="preserve"> such as toilets and refreshment areas. </w:t>
      </w:r>
    </w:p>
    <w:p w14:paraId="21A295CF" w14:textId="649C3875" w:rsidR="00B67170" w:rsidRPr="00B67170" w:rsidRDefault="00B67170" w:rsidP="00B67170">
      <w:pPr>
        <w:pStyle w:val="ListParagraph"/>
        <w:numPr>
          <w:ilvl w:val="0"/>
          <w:numId w:val="8"/>
        </w:numPr>
        <w:spacing w:line="360" w:lineRule="auto"/>
        <w:rPr>
          <w:rFonts w:ascii="Calibri" w:hAnsi="Calibri" w:cs="Calibri"/>
        </w:rPr>
      </w:pPr>
      <w:r w:rsidRPr="00B67170">
        <w:rPr>
          <w:rFonts w:ascii="Calibri" w:hAnsi="Calibri" w:cs="Calibri"/>
        </w:rPr>
        <w:t>The Health and Safety (Display Screen Equipment) Regulations 1992. This policy is for employees who use a computer as a significant part of their normal work. Employers must follow this policy and risk assess each workstation, provide health and safety information,  provide adjustable furniture and ensure that the employees take adequate breaks.</w:t>
      </w:r>
    </w:p>
    <w:p w14:paraId="3B742E4E" w14:textId="6FAFE156" w:rsidR="00B67170" w:rsidRPr="00B67170" w:rsidRDefault="00B67170" w:rsidP="00B67170">
      <w:pPr>
        <w:pStyle w:val="ListParagraph"/>
        <w:numPr>
          <w:ilvl w:val="0"/>
          <w:numId w:val="8"/>
        </w:numPr>
        <w:spacing w:line="360" w:lineRule="auto"/>
        <w:rPr>
          <w:rFonts w:ascii="Calibri" w:hAnsi="Calibri" w:cs="Calibri"/>
        </w:rPr>
      </w:pPr>
      <w:r w:rsidRPr="00B67170">
        <w:rPr>
          <w:rFonts w:ascii="Calibri" w:hAnsi="Calibri" w:cs="Calibri"/>
        </w:rPr>
        <w:t xml:space="preserve">The Personal Protective Equipment at Work Regulations 1992. </w:t>
      </w:r>
      <w:proofErr w:type="spellStart"/>
      <w:r w:rsidRPr="00B67170">
        <w:rPr>
          <w:rFonts w:ascii="Calibri" w:hAnsi="Calibri" w:cs="Calibri"/>
        </w:rPr>
        <w:t>Emplyers</w:t>
      </w:r>
      <w:proofErr w:type="spellEnd"/>
      <w:r w:rsidRPr="00B67170">
        <w:rPr>
          <w:rFonts w:ascii="Calibri" w:hAnsi="Calibri" w:cs="Calibri"/>
        </w:rPr>
        <w:t xml:space="preserve"> must provide all relevant PPE to their staff to </w:t>
      </w:r>
      <w:proofErr w:type="spellStart"/>
      <w:r w:rsidRPr="00B67170">
        <w:rPr>
          <w:rFonts w:ascii="Calibri" w:hAnsi="Calibri" w:cs="Calibri"/>
        </w:rPr>
        <w:t>supor</w:t>
      </w:r>
      <w:proofErr w:type="spellEnd"/>
      <w:r w:rsidRPr="00B67170">
        <w:rPr>
          <w:rFonts w:ascii="Calibri" w:hAnsi="Calibri" w:cs="Calibri"/>
        </w:rPr>
        <w:t xml:space="preserve"> them within their job. This can include safety footwear, goggles, helmets, gloves and ear defenders. All employees must also be given training and shown how to operate the equipment they are using. </w:t>
      </w:r>
    </w:p>
    <w:p w14:paraId="00D1D699" w14:textId="674C7973" w:rsidR="00B67170" w:rsidRDefault="00B67170" w:rsidP="00B67170">
      <w:pPr>
        <w:pStyle w:val="ListParagraph"/>
        <w:numPr>
          <w:ilvl w:val="0"/>
          <w:numId w:val="8"/>
        </w:numPr>
        <w:spacing w:line="360" w:lineRule="auto"/>
        <w:rPr>
          <w:rFonts w:ascii="Calibri" w:hAnsi="Calibri" w:cs="Calibri"/>
        </w:rPr>
      </w:pPr>
      <w:r w:rsidRPr="00B67170">
        <w:rPr>
          <w:rFonts w:ascii="Calibri" w:hAnsi="Calibri" w:cs="Calibri"/>
        </w:rPr>
        <w:t xml:space="preserve">The Manual Handling Operation Regulations 1992. This policy requires employers to avoid any of their employees undertaking any manual handling </w:t>
      </w:r>
      <w:proofErr w:type="spellStart"/>
      <w:r w:rsidRPr="00B67170">
        <w:rPr>
          <w:rFonts w:ascii="Calibri" w:hAnsi="Calibri" w:cs="Calibri"/>
        </w:rPr>
        <w:t>actiiies</w:t>
      </w:r>
      <w:proofErr w:type="spellEnd"/>
      <w:r w:rsidRPr="00B67170">
        <w:rPr>
          <w:rFonts w:ascii="Calibri" w:hAnsi="Calibri" w:cs="Calibri"/>
        </w:rPr>
        <w:t xml:space="preserve"> involving risk or injury and complete any risk assessments required.</w:t>
      </w:r>
    </w:p>
    <w:p w14:paraId="7BDC27FC" w14:textId="7E0E5CF5" w:rsidR="00B352B8" w:rsidRDefault="00B352B8" w:rsidP="00B352B8">
      <w:pPr>
        <w:spacing w:line="360" w:lineRule="auto"/>
        <w:rPr>
          <w:rFonts w:ascii="Calibri" w:hAnsi="Calibri" w:cs="Calibri"/>
        </w:rPr>
      </w:pPr>
    </w:p>
    <w:p w14:paraId="431FC781" w14:textId="47507C09" w:rsidR="00C47C36" w:rsidRDefault="00B352B8" w:rsidP="00B352B8">
      <w:pPr>
        <w:spacing w:line="360" w:lineRule="auto"/>
      </w:pPr>
      <w:r>
        <w:rPr>
          <w:rFonts w:ascii="Calibri" w:hAnsi="Calibri" w:cs="Calibri"/>
        </w:rPr>
        <w:t xml:space="preserve">B – Equality and Diversity within the workplace is becoming more of a talked </w:t>
      </w:r>
      <w:proofErr w:type="spellStart"/>
      <w:r>
        <w:rPr>
          <w:rFonts w:ascii="Calibri" w:hAnsi="Calibri" w:cs="Calibri"/>
        </w:rPr>
        <w:t>abou</w:t>
      </w:r>
      <w:proofErr w:type="spellEnd"/>
      <w:r>
        <w:rPr>
          <w:rFonts w:ascii="Calibri" w:hAnsi="Calibri" w:cs="Calibri"/>
        </w:rPr>
        <w:t xml:space="preserve"> subject daily. There are just two laws that fall under this category those being, Equality Act 2010 and Human Rights Act 1998. The Equality Act 2010 is made up of 116 </w:t>
      </w:r>
      <w:proofErr w:type="spellStart"/>
      <w:r>
        <w:rPr>
          <w:rFonts w:ascii="Calibri" w:hAnsi="Calibri" w:cs="Calibri"/>
        </w:rPr>
        <w:t>seperte</w:t>
      </w:r>
      <w:proofErr w:type="spellEnd"/>
      <w:r>
        <w:rPr>
          <w:rFonts w:ascii="Calibri" w:hAnsi="Calibri" w:cs="Calibri"/>
        </w:rPr>
        <w:t xml:space="preserve"> pieces of legislation, to try and simplify the legislation. This policy provides legal framework to protect individuals from being discrimination and having equal opportunities for all. This act covers the 9 protected characteristics to not unlawfully discriminate within the workplace (Delta, 2020). </w:t>
      </w:r>
    </w:p>
    <w:p w14:paraId="11C75616" w14:textId="428031BA" w:rsidR="002D75FA" w:rsidRDefault="002D75FA">
      <w:pPr>
        <w:rPr>
          <w:rFonts w:asciiTheme="majorHAnsi" w:eastAsiaTheme="majorEastAsia" w:hAnsiTheme="majorHAnsi" w:cstheme="majorBidi"/>
          <w:color w:val="2F5496" w:themeColor="accent1" w:themeShade="BF"/>
          <w:sz w:val="26"/>
          <w:szCs w:val="26"/>
        </w:rPr>
      </w:pPr>
      <w:r>
        <w:br w:type="page"/>
      </w:r>
    </w:p>
    <w:p w14:paraId="328F1DAA" w14:textId="273E4629" w:rsidR="0054367B" w:rsidRDefault="0054367B" w:rsidP="0054367B">
      <w:pPr>
        <w:pStyle w:val="Heading2"/>
      </w:pPr>
      <w:r>
        <w:lastRenderedPageBreak/>
        <w:t>Activity 6</w:t>
      </w:r>
    </w:p>
    <w:p w14:paraId="1B6A22C7" w14:textId="0E16424E" w:rsidR="0054367B" w:rsidRPr="00EA50D6" w:rsidRDefault="0054367B" w:rsidP="008F0043">
      <w:pPr>
        <w:spacing w:line="360" w:lineRule="auto"/>
        <w:rPr>
          <w:rFonts w:ascii="Calibri" w:hAnsi="Calibri" w:cs="Calibri"/>
          <w:i/>
          <w:iCs/>
        </w:rPr>
      </w:pPr>
      <w:r w:rsidRPr="00EA50D6">
        <w:rPr>
          <w:rFonts w:ascii="Calibri" w:hAnsi="Calibri" w:cs="Calibri"/>
          <w:i/>
          <w:iCs/>
        </w:rPr>
        <w:t>Explain briefly the main requirements of unfair dismissal law in respect of:</w:t>
      </w:r>
      <w:r w:rsidRPr="00EA50D6">
        <w:rPr>
          <w:rFonts w:ascii="Calibri" w:hAnsi="Calibri" w:cs="Calibri"/>
          <w:i/>
          <w:iCs/>
        </w:rPr>
        <w:br/>
        <w:t>(a) capability</w:t>
      </w:r>
      <w:r w:rsidRPr="00EA50D6">
        <w:rPr>
          <w:rFonts w:ascii="Calibri" w:hAnsi="Calibri" w:cs="Calibri"/>
          <w:i/>
          <w:iCs/>
        </w:rPr>
        <w:br/>
        <w:t>(b) misconduct</w:t>
      </w:r>
      <w:r w:rsidRPr="00EA50D6">
        <w:rPr>
          <w:rFonts w:ascii="Calibri" w:hAnsi="Calibri" w:cs="Calibri"/>
          <w:i/>
          <w:iCs/>
        </w:rPr>
        <w:br/>
        <w:t>(c) grievance</w:t>
      </w:r>
    </w:p>
    <w:p w14:paraId="06FA5F2A" w14:textId="00F0E9A1" w:rsidR="0054367B" w:rsidRDefault="00EC12DB" w:rsidP="00EC12DB">
      <w:pPr>
        <w:spacing w:line="360" w:lineRule="auto"/>
        <w:rPr>
          <w:rFonts w:cs="Arial"/>
        </w:rPr>
      </w:pPr>
      <w:r w:rsidRPr="00EC12DB">
        <w:rPr>
          <w:rFonts w:cs="Arial"/>
        </w:rPr>
        <w:t xml:space="preserve">An employee is dismissed </w:t>
      </w:r>
      <w:r>
        <w:rPr>
          <w:rFonts w:cs="Arial"/>
        </w:rPr>
        <w:t>when:</w:t>
      </w:r>
    </w:p>
    <w:p w14:paraId="353F742B" w14:textId="4B061564" w:rsidR="00EC12DB" w:rsidRPr="00EC12DB" w:rsidRDefault="00EC12DB" w:rsidP="00EC12DB">
      <w:pPr>
        <w:pStyle w:val="ListParagraph"/>
        <w:numPr>
          <w:ilvl w:val="0"/>
          <w:numId w:val="6"/>
        </w:numPr>
        <w:spacing w:line="360" w:lineRule="auto"/>
        <w:rPr>
          <w:rFonts w:ascii="Calibri" w:hAnsi="Calibri" w:cs="Calibri"/>
        </w:rPr>
      </w:pPr>
      <w:r w:rsidRPr="00EC12DB">
        <w:rPr>
          <w:rFonts w:ascii="Calibri" w:hAnsi="Calibri" w:cs="Calibri"/>
        </w:rPr>
        <w:t>The employer terminates the contract with or without notice</w:t>
      </w:r>
    </w:p>
    <w:p w14:paraId="436F7F09" w14:textId="744145B4" w:rsidR="00EC12DB" w:rsidRPr="00EC12DB" w:rsidRDefault="00EC12DB" w:rsidP="00EC12DB">
      <w:pPr>
        <w:pStyle w:val="ListParagraph"/>
        <w:numPr>
          <w:ilvl w:val="0"/>
          <w:numId w:val="6"/>
        </w:numPr>
        <w:spacing w:line="360" w:lineRule="auto"/>
        <w:rPr>
          <w:rFonts w:ascii="Calibri" w:hAnsi="Calibri" w:cs="Calibri"/>
        </w:rPr>
      </w:pPr>
      <w:r w:rsidRPr="00EC12DB">
        <w:rPr>
          <w:rFonts w:ascii="Calibri" w:hAnsi="Calibri" w:cs="Calibri"/>
        </w:rPr>
        <w:t>The fixed term contract ends</w:t>
      </w:r>
    </w:p>
    <w:p w14:paraId="071C04AD" w14:textId="606EE453" w:rsidR="00EC12DB" w:rsidRDefault="00EC12DB" w:rsidP="00EC12DB">
      <w:pPr>
        <w:pStyle w:val="ListParagraph"/>
        <w:numPr>
          <w:ilvl w:val="0"/>
          <w:numId w:val="6"/>
        </w:numPr>
        <w:spacing w:line="360" w:lineRule="auto"/>
        <w:rPr>
          <w:rFonts w:ascii="Calibri" w:hAnsi="Calibri" w:cs="Calibri"/>
        </w:rPr>
      </w:pPr>
      <w:r w:rsidRPr="00EC12DB">
        <w:rPr>
          <w:rFonts w:ascii="Calibri" w:hAnsi="Calibri" w:cs="Calibri"/>
        </w:rPr>
        <w:t>The employee leaves with or without giving notice</w:t>
      </w:r>
    </w:p>
    <w:p w14:paraId="16C86F8C" w14:textId="77777777" w:rsidR="00EC12DB" w:rsidRDefault="00EC12DB" w:rsidP="00EC12DB">
      <w:pPr>
        <w:spacing w:line="360" w:lineRule="auto"/>
        <w:rPr>
          <w:rFonts w:ascii="Calibri" w:hAnsi="Calibri" w:cs="Calibri"/>
        </w:rPr>
      </w:pPr>
    </w:p>
    <w:p w14:paraId="2925B152" w14:textId="5770A7F4" w:rsidR="00EC12DB" w:rsidRDefault="00EC12DB" w:rsidP="00EC12DB">
      <w:pPr>
        <w:spacing w:line="360" w:lineRule="auto"/>
        <w:rPr>
          <w:rFonts w:ascii="Calibri" w:hAnsi="Calibri" w:cs="Calibri"/>
        </w:rPr>
      </w:pPr>
      <w:r>
        <w:rPr>
          <w:rFonts w:ascii="Calibri" w:hAnsi="Calibri" w:cs="Calibri"/>
        </w:rPr>
        <w:t xml:space="preserve">The most common reasons for dismissal are capability, misconduct, redundancy and grievance. For a dismissal to be fair, the employer must act reasonably. If the employer does not act reasonably then this is known as unfair dismissal which is mainly contained in the Employment Rights Act 1996 (CIPD, 2020). Wrongful and unfair dismissal occur when termination in breach of a contract which is usually notice period, damages to put the employee in the position they would have been in and </w:t>
      </w:r>
      <w:proofErr w:type="spellStart"/>
      <w:r>
        <w:rPr>
          <w:rFonts w:ascii="Calibri" w:hAnsi="Calibri" w:cs="Calibri"/>
        </w:rPr>
        <w:t>staturoy</w:t>
      </w:r>
      <w:proofErr w:type="spellEnd"/>
      <w:r>
        <w:rPr>
          <w:rFonts w:ascii="Calibri" w:hAnsi="Calibri" w:cs="Calibri"/>
        </w:rPr>
        <w:t xml:space="preserve"> notice including contractual notice. </w:t>
      </w:r>
    </w:p>
    <w:p w14:paraId="17E81555" w14:textId="2F913B86" w:rsidR="00EC12DB" w:rsidRDefault="00EC12DB" w:rsidP="00EC12DB">
      <w:pPr>
        <w:spacing w:line="360" w:lineRule="auto"/>
        <w:rPr>
          <w:rFonts w:ascii="Calibri" w:hAnsi="Calibri" w:cs="Calibri"/>
        </w:rPr>
      </w:pPr>
      <w:r>
        <w:rPr>
          <w:rFonts w:ascii="Calibri" w:hAnsi="Calibri" w:cs="Calibri"/>
        </w:rPr>
        <w:t xml:space="preserve">Capability – </w:t>
      </w:r>
    </w:p>
    <w:p w14:paraId="78A8CC22" w14:textId="1580D16E" w:rsidR="00EC12DB" w:rsidRDefault="00EC12DB" w:rsidP="00EC12DB">
      <w:pPr>
        <w:spacing w:line="360" w:lineRule="auto"/>
        <w:rPr>
          <w:rFonts w:ascii="Calibri" w:hAnsi="Calibri" w:cs="Calibri"/>
        </w:rPr>
      </w:pPr>
      <w:r>
        <w:rPr>
          <w:rFonts w:ascii="Calibri" w:hAnsi="Calibri" w:cs="Calibri"/>
        </w:rPr>
        <w:t xml:space="preserve">If an employer believes that the employee is not performing in their job then their contract could be terminated on the grounds of capability. The employer must feel that the employee is unable to do their job, does not have the right aptitude or skills needed for that position or they are unwilling to </w:t>
      </w:r>
      <w:proofErr w:type="spellStart"/>
      <w:r>
        <w:rPr>
          <w:rFonts w:ascii="Calibri" w:hAnsi="Calibri" w:cs="Calibri"/>
        </w:rPr>
        <w:t>to</w:t>
      </w:r>
      <w:proofErr w:type="spellEnd"/>
      <w:r>
        <w:rPr>
          <w:rFonts w:ascii="Calibri" w:hAnsi="Calibri" w:cs="Calibri"/>
        </w:rPr>
        <w:t xml:space="preserve"> do their job correctly (Tribunal Claim, 2019). Following the Employment Law in the UK capability dismissal can be broken down into the following </w:t>
      </w:r>
      <w:proofErr w:type="spellStart"/>
      <w:r>
        <w:rPr>
          <w:rFonts w:ascii="Calibri" w:hAnsi="Calibri" w:cs="Calibri"/>
        </w:rPr>
        <w:t>caterogies</w:t>
      </w:r>
      <w:proofErr w:type="spellEnd"/>
      <w:r>
        <w:rPr>
          <w:rFonts w:ascii="Calibri" w:hAnsi="Calibri" w:cs="Calibri"/>
        </w:rPr>
        <w:t xml:space="preserve">, Qualifications, Incompetence and Ill Health (CIPD, 2020). </w:t>
      </w:r>
    </w:p>
    <w:p w14:paraId="09EF1AA4" w14:textId="4B61E15C" w:rsidR="00EC12DB" w:rsidRDefault="00EC12DB" w:rsidP="00EC12DB">
      <w:pPr>
        <w:spacing w:line="360" w:lineRule="auto"/>
        <w:rPr>
          <w:rFonts w:ascii="Calibri" w:hAnsi="Calibri" w:cs="Calibri"/>
        </w:rPr>
      </w:pPr>
      <w:r>
        <w:rPr>
          <w:rFonts w:ascii="Calibri" w:hAnsi="Calibri" w:cs="Calibri"/>
        </w:rPr>
        <w:t xml:space="preserve">Misconduct – </w:t>
      </w:r>
    </w:p>
    <w:p w14:paraId="4C7AF70F" w14:textId="45846369" w:rsidR="00EC12DB" w:rsidRDefault="00EC12DB" w:rsidP="00EC12DB">
      <w:pPr>
        <w:spacing w:line="360" w:lineRule="auto"/>
        <w:rPr>
          <w:rFonts w:ascii="Calibri" w:hAnsi="Calibri" w:cs="Calibri"/>
        </w:rPr>
      </w:pPr>
      <w:r>
        <w:rPr>
          <w:rFonts w:ascii="Calibri" w:hAnsi="Calibri" w:cs="Calibri"/>
        </w:rPr>
        <w:t xml:space="preserve">Misconduct includes issues such as persistent lateness or unauthorised absence from work. </w:t>
      </w:r>
    </w:p>
    <w:p w14:paraId="02E68678" w14:textId="78E1B42F" w:rsidR="00B67170" w:rsidRDefault="00B67170" w:rsidP="00EC12DB">
      <w:pPr>
        <w:spacing w:line="360" w:lineRule="auto"/>
        <w:rPr>
          <w:rFonts w:ascii="Calibri" w:hAnsi="Calibri" w:cs="Calibri"/>
        </w:rPr>
      </w:pPr>
      <w:r>
        <w:rPr>
          <w:rFonts w:ascii="Calibri" w:hAnsi="Calibri" w:cs="Calibri"/>
        </w:rPr>
        <w:t xml:space="preserve">Grievance – </w:t>
      </w:r>
    </w:p>
    <w:p w14:paraId="2ECE39E4" w14:textId="77777777" w:rsidR="00B67170" w:rsidRDefault="00B67170" w:rsidP="00EC12DB">
      <w:pPr>
        <w:spacing w:line="360" w:lineRule="auto"/>
        <w:rPr>
          <w:rFonts w:ascii="Calibri" w:hAnsi="Calibri" w:cs="Calibri"/>
        </w:rPr>
      </w:pPr>
    </w:p>
    <w:p w14:paraId="3C7FA701" w14:textId="77777777" w:rsidR="00EC12DB" w:rsidRPr="00EC12DB" w:rsidRDefault="00EC12DB" w:rsidP="00EC12DB">
      <w:pPr>
        <w:spacing w:line="360" w:lineRule="auto"/>
        <w:rPr>
          <w:rFonts w:ascii="Calibri" w:hAnsi="Calibri" w:cs="Calibri"/>
        </w:rPr>
      </w:pPr>
    </w:p>
    <w:p w14:paraId="22BD0B52" w14:textId="77777777" w:rsidR="00EC12DB" w:rsidRDefault="00EC12DB">
      <w:pPr>
        <w:rPr>
          <w:rFonts w:cs="Arial"/>
          <w:sz w:val="20"/>
          <w:szCs w:val="20"/>
        </w:rPr>
      </w:pPr>
    </w:p>
    <w:p w14:paraId="37595673" w14:textId="77777777" w:rsidR="00EC12DB" w:rsidRDefault="00EC12DB">
      <w:pPr>
        <w:rPr>
          <w:rFonts w:cs="Arial"/>
          <w:sz w:val="20"/>
          <w:szCs w:val="20"/>
        </w:rPr>
      </w:pPr>
    </w:p>
    <w:p w14:paraId="27C8BA4E" w14:textId="490C5529" w:rsidR="0054367B" w:rsidRDefault="0054367B" w:rsidP="0054367B">
      <w:pPr>
        <w:pStyle w:val="Heading2"/>
      </w:pPr>
      <w:r>
        <w:lastRenderedPageBreak/>
        <w:t>Bibliography</w:t>
      </w:r>
    </w:p>
    <w:p w14:paraId="792BF1B7" w14:textId="413B7A6B" w:rsidR="0054367B" w:rsidRDefault="0054367B" w:rsidP="0054367B"/>
    <w:p w14:paraId="21D42E0B" w14:textId="05298C2F" w:rsidR="00B34B6D" w:rsidRDefault="00B34B6D" w:rsidP="0054367B">
      <w:r w:rsidRPr="00B34B6D">
        <w:rPr>
          <w:rFonts w:cs="Arial"/>
          <w:sz w:val="20"/>
          <w:szCs w:val="20"/>
        </w:rPr>
        <w:t>https://www.cipd.co.uk/knowledge/fundamentals/emp-law#gref</w:t>
      </w:r>
    </w:p>
    <w:p w14:paraId="1BAB7D81" w14:textId="1CFA911C" w:rsidR="00B34B6D" w:rsidRDefault="00B34B6D" w:rsidP="0054367B"/>
    <w:p w14:paraId="539DB171" w14:textId="50405185" w:rsidR="00B34B6D" w:rsidRDefault="00911F00" w:rsidP="0054367B">
      <w:r w:rsidRPr="00911F00">
        <w:t>https://toughnickel.com/business/Roles-and-Responsibilities-of-an-Employment-Tribunal</w:t>
      </w:r>
    </w:p>
    <w:p w14:paraId="04B74047" w14:textId="77777777" w:rsidR="00B34B6D" w:rsidRDefault="00B34B6D" w:rsidP="0054367B"/>
    <w:p w14:paraId="2DA1822C" w14:textId="77777777" w:rsidR="0054367B" w:rsidRDefault="0054367B" w:rsidP="0054367B">
      <w:pPr>
        <w:pStyle w:val="Heading2"/>
        <w:shd w:val="clear" w:color="auto" w:fill="FFFFFF"/>
        <w:spacing w:after="150"/>
      </w:pPr>
      <w:r>
        <w:rPr>
          <w:rFonts w:ascii="Arial" w:hAnsi="Arial" w:cs="Arial"/>
          <w:bCs/>
          <w:noProof/>
          <w:color w:val="auto"/>
          <w:sz w:val="22"/>
        </w:rPr>
        <w:t>Daniels, K. (2019)</w:t>
      </w:r>
      <w:r>
        <w:rPr>
          <w:color w:val="auto"/>
        </w:rPr>
        <w:t xml:space="preserve"> </w:t>
      </w:r>
      <w:r>
        <w:rPr>
          <w:rFonts w:ascii="Arial" w:hAnsi="Arial" w:cs="Arial"/>
          <w:bCs/>
          <w:i/>
          <w:iCs/>
          <w:noProof/>
          <w:color w:val="auto"/>
          <w:sz w:val="22"/>
        </w:rPr>
        <w:t>Introduction to Employment Law. Fundamentals for HR and Business Students</w:t>
      </w:r>
      <w:r>
        <w:rPr>
          <w:rFonts w:ascii="Open Sans" w:hAnsi="Open Sans" w:cs="Open Sans"/>
          <w:color w:val="333333"/>
        </w:rPr>
        <w:t xml:space="preserve"> </w:t>
      </w:r>
      <w:r>
        <w:rPr>
          <w:rFonts w:ascii="Arial" w:hAnsi="Arial" w:cs="Arial"/>
          <w:bCs/>
          <w:noProof/>
          <w:color w:val="auto"/>
          <w:sz w:val="22"/>
        </w:rPr>
        <w:t xml:space="preserve">(5 ed.). London: CIPD – </w:t>
      </w:r>
      <w:r>
        <w:rPr>
          <w:rFonts w:ascii="Arial" w:hAnsi="Arial" w:cs="Arial"/>
          <w:color w:val="auto"/>
          <w:sz w:val="22"/>
        </w:rPr>
        <w:t xml:space="preserve">Specifically </w:t>
      </w:r>
      <w:r>
        <w:rPr>
          <w:rFonts w:ascii="Arial" w:hAnsi="Arial" w:cs="Arial"/>
          <w:bCs/>
          <w:noProof/>
          <w:color w:val="auto"/>
          <w:sz w:val="22"/>
        </w:rPr>
        <w:t>chapters 1, 2, 3, 4.3, 5, 6, 7, 8, 9 and 12.</w:t>
      </w:r>
    </w:p>
    <w:p w14:paraId="280B9E30" w14:textId="77777777" w:rsidR="0054367B" w:rsidRDefault="0054367B" w:rsidP="0054367B"/>
    <w:p w14:paraId="60C066DC" w14:textId="77777777" w:rsidR="0054367B" w:rsidRDefault="0054367B" w:rsidP="0054367B">
      <w:pPr>
        <w:pStyle w:val="Bibliography"/>
        <w:ind w:left="720" w:hanging="720"/>
        <w:rPr>
          <w:rFonts w:ascii="Arial" w:hAnsi="Arial" w:cs="Arial"/>
          <w:noProof/>
          <w:sz w:val="22"/>
        </w:rPr>
      </w:pPr>
      <w:r>
        <w:rPr>
          <w:rFonts w:ascii="Arial" w:hAnsi="Arial" w:cs="Arial"/>
          <w:noProof/>
          <w:sz w:val="22"/>
        </w:rPr>
        <w:t xml:space="preserve">Taylor, S., &amp; Woodhams, C. (2016). </w:t>
      </w:r>
      <w:r>
        <w:rPr>
          <w:rFonts w:ascii="Arial" w:hAnsi="Arial" w:cs="Arial"/>
          <w:i/>
          <w:iCs/>
          <w:noProof/>
          <w:sz w:val="22"/>
        </w:rPr>
        <w:t>Human Resource Management. People and Organisations</w:t>
      </w:r>
      <w:r>
        <w:rPr>
          <w:rFonts w:ascii="Arial" w:hAnsi="Arial" w:cs="Arial"/>
          <w:noProof/>
          <w:sz w:val="22"/>
        </w:rPr>
        <w:t xml:space="preserve"> (2 ed.). London: CIPD.</w:t>
      </w:r>
    </w:p>
    <w:p w14:paraId="5036F471" w14:textId="77777777" w:rsidR="0054367B" w:rsidRDefault="0054367B" w:rsidP="0054367B">
      <w:pPr>
        <w:rPr>
          <w:rFonts w:ascii="Arial" w:hAnsi="Arial" w:cs="Arial"/>
        </w:rPr>
      </w:pPr>
    </w:p>
    <w:p w14:paraId="674C69D1" w14:textId="77777777" w:rsidR="0054367B" w:rsidRDefault="0054367B" w:rsidP="0054367B">
      <w:pPr>
        <w:rPr>
          <w:rFonts w:ascii="Arial" w:hAnsi="Arial" w:cs="Arial"/>
        </w:rPr>
      </w:pPr>
      <w:r>
        <w:rPr>
          <w:rFonts w:ascii="Arial" w:hAnsi="Arial" w:cs="Arial"/>
        </w:rPr>
        <w:t>Specifically chapter 2: Employment Law</w:t>
      </w:r>
    </w:p>
    <w:p w14:paraId="0A0BD893" w14:textId="69C22B10" w:rsidR="008B6D2C" w:rsidRDefault="00B352B8" w:rsidP="0054367B">
      <w:hyperlink r:id="rId5" w:history="1">
        <w:r w:rsidRPr="00162460">
          <w:rPr>
            <w:rStyle w:val="Hyperlink"/>
          </w:rPr>
          <w:t>https://www.gov.uk/your-employment-contract-how-it-can-be-changed</w:t>
        </w:r>
      </w:hyperlink>
    </w:p>
    <w:p w14:paraId="24BFBE62" w14:textId="2E7B38F7" w:rsidR="00B352B8" w:rsidRDefault="00B352B8" w:rsidP="0054367B">
      <w:r w:rsidRPr="00B352B8">
        <w:t>https://www.delta-net.com/compliance/equality-and-diversity/faqs/what-is-the-uk-legislation-around-equality-and-diversity</w:t>
      </w:r>
    </w:p>
    <w:p w14:paraId="791F7083" w14:textId="2BFD397F" w:rsidR="008B6D2C" w:rsidRDefault="008B6D2C" w:rsidP="0054367B">
      <w:r w:rsidRPr="008B6D2C">
        <w:t>https://www.cipd.co.uk/knowledge/fundamentals/emp-law/redundancy/factsheet#gref</w:t>
      </w:r>
    </w:p>
    <w:p w14:paraId="58BC4964" w14:textId="22C4F609" w:rsidR="0054367B" w:rsidRDefault="00EC12DB" w:rsidP="0054367B">
      <w:r w:rsidRPr="00EC12DB">
        <w:t>https://www.cipd.co.uk/knowledge/fundamentals/emp-law/dismissal/factsheet#gref</w:t>
      </w:r>
    </w:p>
    <w:p w14:paraId="289A4450" w14:textId="3EBB891D" w:rsidR="00B34B6D" w:rsidRPr="0054367B" w:rsidRDefault="001B686B" w:rsidP="0054367B">
      <w:r w:rsidRPr="001B686B">
        <w:t>https://www.hr-inform.co.uk/employment_law/maternity-leave-and-pay</w:t>
      </w:r>
    </w:p>
    <w:p w14:paraId="3BB2984A" w14:textId="3358F838" w:rsidR="0054367B" w:rsidRDefault="00B352B8" w:rsidP="0054367B">
      <w:hyperlink r:id="rId6" w:anchor="gref" w:history="1">
        <w:r w:rsidR="00EC12DB" w:rsidRPr="000C4280">
          <w:rPr>
            <w:rStyle w:val="Hyperlink"/>
          </w:rPr>
          <w:t>https://www.cipd.co.uk/knowledge/fundamentals/emp-law/dismissal/unfair-dismissal-questions#gref</w:t>
        </w:r>
      </w:hyperlink>
    </w:p>
    <w:p w14:paraId="7A3FC247" w14:textId="1C3760CC" w:rsidR="00EC12DB" w:rsidRDefault="00855AF0" w:rsidP="0054367B">
      <w:r w:rsidRPr="00855AF0">
        <w:t>https://startups.co.uk/people/employment-law/employment-law-holidays/</w:t>
      </w:r>
    </w:p>
    <w:p w14:paraId="40D32797" w14:textId="3F67ED8A" w:rsidR="00855AF0" w:rsidRDefault="00CA2AFA" w:rsidP="0054367B">
      <w:r w:rsidRPr="00CA2AFA">
        <w:t>https://www.cipd.co.uk/knowledge/fundamentals/emp-law/working-time#gref</w:t>
      </w:r>
    </w:p>
    <w:p w14:paraId="22EDF7A1" w14:textId="77777777" w:rsidR="00CA2AFA" w:rsidRDefault="00CA2AFA" w:rsidP="0054367B"/>
    <w:p w14:paraId="7A36D37E" w14:textId="59FE3E40" w:rsidR="00855AF0" w:rsidRDefault="00855AF0" w:rsidP="0054367B">
      <w:r w:rsidRPr="00855AF0">
        <w:t>https://landaulaw.co.uk/holidays/#:~:text=You%20are%20entitled%20to%20a,holiday%20times%20of%20your%20choosing.</w:t>
      </w:r>
    </w:p>
    <w:p w14:paraId="28E06751" w14:textId="45CB26B9" w:rsidR="00EC12DB" w:rsidRDefault="00B352B8" w:rsidP="0054367B">
      <w:hyperlink r:id="rId7" w:history="1">
        <w:r w:rsidR="00B97C84" w:rsidRPr="000C4280">
          <w:rPr>
            <w:rStyle w:val="Hyperlink"/>
          </w:rPr>
          <w:t>https://www.tribunalclaim.com/unfair-dismissal/dismissal-due-to-capability/</w:t>
        </w:r>
      </w:hyperlink>
    </w:p>
    <w:p w14:paraId="7F3BE9BE" w14:textId="3908315E" w:rsidR="00B97C84" w:rsidRDefault="00B97C84" w:rsidP="0054367B"/>
    <w:p w14:paraId="0A5AAA1C" w14:textId="66F22F96" w:rsidR="00B97C84" w:rsidRDefault="00B352B8" w:rsidP="0054367B">
      <w:hyperlink r:id="rId8" w:history="1">
        <w:r w:rsidR="00B97C84" w:rsidRPr="000C4280">
          <w:rPr>
            <w:rStyle w:val="Hyperlink"/>
          </w:rPr>
          <w:t>https://www.cipd.co.uk/knowledge/fundamentals/emp-law/recruitment/questions</w:t>
        </w:r>
      </w:hyperlink>
    </w:p>
    <w:p w14:paraId="26F52C60" w14:textId="4C491A9F" w:rsidR="00B97C84" w:rsidRDefault="00B352B8" w:rsidP="0054367B">
      <w:hyperlink r:id="rId9" w:anchor="gref" w:history="1">
        <w:r w:rsidR="00A27CD3" w:rsidRPr="000C4280">
          <w:rPr>
            <w:rStyle w:val="Hyperlink"/>
          </w:rPr>
          <w:t>https://www.peoplemanagement.co.uk/experts/legal/avoiding-discrimination-during-recruitment-process#gref</w:t>
        </w:r>
      </w:hyperlink>
    </w:p>
    <w:p w14:paraId="2FE05D87" w14:textId="52B988AE" w:rsidR="00A27CD3" w:rsidRDefault="00A27CD3" w:rsidP="0054367B"/>
    <w:p w14:paraId="32BD5799" w14:textId="599DAC81" w:rsidR="00A27CD3" w:rsidRDefault="00B352B8" w:rsidP="0054367B">
      <w:hyperlink r:id="rId10" w:anchor="gref" w:history="1">
        <w:r w:rsidR="00217507" w:rsidRPr="000C4280">
          <w:rPr>
            <w:rStyle w:val="Hyperlink"/>
          </w:rPr>
          <w:t>https://www.cipd.co.uk/knowledge/fundamentals/emp-law/terms-conditions/contracts-factsheet#gref</w:t>
        </w:r>
      </w:hyperlink>
    </w:p>
    <w:p w14:paraId="049067FB" w14:textId="6F1D53FA" w:rsidR="00217507" w:rsidRDefault="00217507" w:rsidP="0054367B"/>
    <w:p w14:paraId="532B9A46" w14:textId="401B3CF9" w:rsidR="00217507" w:rsidRDefault="00B67170" w:rsidP="0054367B">
      <w:hyperlink r:id="rId11" w:history="1">
        <w:r w:rsidRPr="00162460">
          <w:rPr>
            <w:rStyle w:val="Hyperlink"/>
          </w:rPr>
          <w:t>https://www.daslaw.co.uk/blog/what-you-need-to-know-about-pay-and-wages#:~:text=Your%20pay%20rights%20as%20an,rate%20at%20the%20very%20least</w:t>
        </w:r>
      </w:hyperlink>
      <w:r w:rsidR="00217507" w:rsidRPr="00217507">
        <w:t>.</w:t>
      </w:r>
    </w:p>
    <w:p w14:paraId="671880EA" w14:textId="6F2990B8" w:rsidR="00B67170" w:rsidRPr="0054367B" w:rsidRDefault="00B67170" w:rsidP="0054367B">
      <w:r w:rsidRPr="00B67170">
        <w:t>https://worksmart.org.uk/health-advice/health-and-safety/employer-duties/what-are-main-health-and-safety-regulations#:~:text=The%20main%20provisions%20of%20these,prevent%20slipping%20and%20tripping%20hazards.</w:t>
      </w:r>
    </w:p>
    <w:sectPr w:rsidR="00B67170" w:rsidRPr="005436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02CB"/>
    <w:multiLevelType w:val="multilevel"/>
    <w:tmpl w:val="CBEA6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92DBB"/>
    <w:multiLevelType w:val="multilevel"/>
    <w:tmpl w:val="413A9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8F6906"/>
    <w:multiLevelType w:val="multilevel"/>
    <w:tmpl w:val="AD226D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352367"/>
    <w:multiLevelType w:val="multilevel"/>
    <w:tmpl w:val="A482A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E1531A"/>
    <w:multiLevelType w:val="hybridMultilevel"/>
    <w:tmpl w:val="5616ECA2"/>
    <w:lvl w:ilvl="0" w:tplc="DA28AC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40D74"/>
    <w:multiLevelType w:val="multilevel"/>
    <w:tmpl w:val="BA724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733C03"/>
    <w:multiLevelType w:val="multilevel"/>
    <w:tmpl w:val="E7147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A31942"/>
    <w:multiLevelType w:val="multilevel"/>
    <w:tmpl w:val="55D4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3A4B02"/>
    <w:multiLevelType w:val="multilevel"/>
    <w:tmpl w:val="869C8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3E4065"/>
    <w:multiLevelType w:val="multilevel"/>
    <w:tmpl w:val="50BEE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294F6E"/>
    <w:multiLevelType w:val="hybridMultilevel"/>
    <w:tmpl w:val="65784192"/>
    <w:lvl w:ilvl="0" w:tplc="7A3A85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FD509E"/>
    <w:multiLevelType w:val="multilevel"/>
    <w:tmpl w:val="22AED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267141"/>
    <w:multiLevelType w:val="multilevel"/>
    <w:tmpl w:val="13B09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BE30AC"/>
    <w:multiLevelType w:val="multilevel"/>
    <w:tmpl w:val="C0922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0B0F8D"/>
    <w:multiLevelType w:val="multilevel"/>
    <w:tmpl w:val="A4387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F348CC"/>
    <w:multiLevelType w:val="multilevel"/>
    <w:tmpl w:val="FED85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D258C5"/>
    <w:multiLevelType w:val="hybridMultilevel"/>
    <w:tmpl w:val="7090A6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5A8D2ED2"/>
    <w:multiLevelType w:val="multilevel"/>
    <w:tmpl w:val="E70E8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340CAA"/>
    <w:multiLevelType w:val="hybridMultilevel"/>
    <w:tmpl w:val="BC5A498E"/>
    <w:lvl w:ilvl="0" w:tplc="7CA688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A43EC"/>
    <w:multiLevelType w:val="multilevel"/>
    <w:tmpl w:val="D5500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45A2583"/>
    <w:multiLevelType w:val="multilevel"/>
    <w:tmpl w:val="B0F08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BF2470"/>
    <w:multiLevelType w:val="multilevel"/>
    <w:tmpl w:val="2236D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E12A39"/>
    <w:multiLevelType w:val="multilevel"/>
    <w:tmpl w:val="1AF0E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6E166A"/>
    <w:multiLevelType w:val="multilevel"/>
    <w:tmpl w:val="4F083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5D6D1F"/>
    <w:multiLevelType w:val="multilevel"/>
    <w:tmpl w:val="04B29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8800AFE"/>
    <w:multiLevelType w:val="multilevel"/>
    <w:tmpl w:val="BCCA0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6B22FF"/>
    <w:multiLevelType w:val="multilevel"/>
    <w:tmpl w:val="784C6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F2E6E5F"/>
    <w:multiLevelType w:val="multilevel"/>
    <w:tmpl w:val="E9FE4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7"/>
  </w:num>
  <w:num w:numId="4">
    <w:abstractNumId w:val="20"/>
  </w:num>
  <w:num w:numId="5">
    <w:abstractNumId w:val="6"/>
  </w:num>
  <w:num w:numId="6">
    <w:abstractNumId w:val="18"/>
  </w:num>
  <w:num w:numId="7">
    <w:abstractNumId w:val="9"/>
  </w:num>
  <w:num w:numId="8">
    <w:abstractNumId w:val="4"/>
  </w:num>
  <w:num w:numId="9">
    <w:abstractNumId w:val="17"/>
  </w:num>
  <w:num w:numId="10">
    <w:abstractNumId w:val="11"/>
  </w:num>
  <w:num w:numId="11">
    <w:abstractNumId w:val="21"/>
  </w:num>
  <w:num w:numId="12">
    <w:abstractNumId w:val="24"/>
  </w:num>
  <w:num w:numId="13">
    <w:abstractNumId w:val="5"/>
  </w:num>
  <w:num w:numId="14">
    <w:abstractNumId w:val="26"/>
  </w:num>
  <w:num w:numId="15">
    <w:abstractNumId w:val="10"/>
  </w:num>
  <w:num w:numId="16">
    <w:abstractNumId w:val="7"/>
  </w:num>
  <w:num w:numId="17">
    <w:abstractNumId w:val="3"/>
  </w:num>
  <w:num w:numId="18">
    <w:abstractNumId w:val="15"/>
  </w:num>
  <w:num w:numId="19">
    <w:abstractNumId w:val="22"/>
  </w:num>
  <w:num w:numId="20">
    <w:abstractNumId w:val="12"/>
  </w:num>
  <w:num w:numId="21">
    <w:abstractNumId w:val="13"/>
  </w:num>
  <w:num w:numId="22">
    <w:abstractNumId w:val="14"/>
  </w:num>
  <w:num w:numId="23">
    <w:abstractNumId w:val="0"/>
  </w:num>
  <w:num w:numId="24">
    <w:abstractNumId w:val="2"/>
  </w:num>
  <w:num w:numId="25">
    <w:abstractNumId w:val="8"/>
  </w:num>
  <w:num w:numId="26">
    <w:abstractNumId w:val="23"/>
  </w:num>
  <w:num w:numId="27">
    <w:abstractNumId w:val="25"/>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3MDA1NDcyNTc2NTVQ0lEKTi0uzszPAykwrQUADz1M7SwAAAA="/>
  </w:docVars>
  <w:rsids>
    <w:rsidRoot w:val="0054367B"/>
    <w:rsid w:val="001A3913"/>
    <w:rsid w:val="001B686B"/>
    <w:rsid w:val="001E4405"/>
    <w:rsid w:val="00217507"/>
    <w:rsid w:val="002D75FA"/>
    <w:rsid w:val="00321BDA"/>
    <w:rsid w:val="0054367B"/>
    <w:rsid w:val="005F5143"/>
    <w:rsid w:val="006C40A8"/>
    <w:rsid w:val="00734263"/>
    <w:rsid w:val="007C1EF8"/>
    <w:rsid w:val="00855AF0"/>
    <w:rsid w:val="008A624A"/>
    <w:rsid w:val="008B6D2C"/>
    <w:rsid w:val="008D4CF7"/>
    <w:rsid w:val="008F0043"/>
    <w:rsid w:val="00911F00"/>
    <w:rsid w:val="00916A30"/>
    <w:rsid w:val="00A27CD3"/>
    <w:rsid w:val="00B34B6D"/>
    <w:rsid w:val="00B352B8"/>
    <w:rsid w:val="00B67170"/>
    <w:rsid w:val="00B75581"/>
    <w:rsid w:val="00B97C84"/>
    <w:rsid w:val="00C12BC8"/>
    <w:rsid w:val="00C47C36"/>
    <w:rsid w:val="00CA2AFA"/>
    <w:rsid w:val="00EA50D6"/>
    <w:rsid w:val="00EC1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965B0"/>
  <w15:chartTrackingRefBased/>
  <w15:docId w15:val="{B750D2A7-3006-47FE-B1D3-ED9D648F5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67B"/>
  </w:style>
  <w:style w:type="paragraph" w:styleId="Heading1">
    <w:name w:val="heading 1"/>
    <w:basedOn w:val="Normal"/>
    <w:next w:val="Normal"/>
    <w:link w:val="Heading1Char"/>
    <w:uiPriority w:val="9"/>
    <w:qFormat/>
    <w:rsid w:val="00C47C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36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27C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367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4367B"/>
    <w:pPr>
      <w:spacing w:after="0" w:line="240" w:lineRule="auto"/>
      <w:ind w:left="720"/>
      <w:contextualSpacing/>
    </w:pPr>
    <w:rPr>
      <w:rFonts w:ascii="Arial" w:eastAsia="Calibri" w:hAnsi="Arial" w:cs="Times New Roman"/>
    </w:rPr>
  </w:style>
  <w:style w:type="paragraph" w:styleId="Bibliography">
    <w:name w:val="Bibliography"/>
    <w:basedOn w:val="Normal"/>
    <w:next w:val="Normal"/>
    <w:uiPriority w:val="37"/>
    <w:semiHidden/>
    <w:unhideWhenUsed/>
    <w:rsid w:val="0054367B"/>
    <w:pPr>
      <w:spacing w:after="0" w:line="240" w:lineRule="auto"/>
    </w:pPr>
    <w:rPr>
      <w:rFonts w:ascii="Times New Roman" w:eastAsia="Times New Roman" w:hAnsi="Times New Roman" w:cs="Times New Roman"/>
      <w:sz w:val="20"/>
      <w:szCs w:val="20"/>
    </w:rPr>
  </w:style>
  <w:style w:type="paragraph" w:styleId="NormalWeb">
    <w:name w:val="Normal (Web)"/>
    <w:basedOn w:val="Normal"/>
    <w:uiPriority w:val="99"/>
    <w:unhideWhenUsed/>
    <w:rsid w:val="00B34B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4B6D"/>
    <w:rPr>
      <w:b/>
      <w:bCs/>
    </w:rPr>
  </w:style>
  <w:style w:type="character" w:styleId="Hyperlink">
    <w:name w:val="Hyperlink"/>
    <w:basedOn w:val="DefaultParagraphFont"/>
    <w:uiPriority w:val="99"/>
    <w:unhideWhenUsed/>
    <w:rsid w:val="00C12BC8"/>
    <w:rPr>
      <w:color w:val="0000FF"/>
      <w:u w:val="single"/>
    </w:rPr>
  </w:style>
  <w:style w:type="character" w:styleId="UnresolvedMention">
    <w:name w:val="Unresolved Mention"/>
    <w:basedOn w:val="DefaultParagraphFont"/>
    <w:uiPriority w:val="99"/>
    <w:semiHidden/>
    <w:unhideWhenUsed/>
    <w:rsid w:val="00EC12DB"/>
    <w:rPr>
      <w:color w:val="605E5C"/>
      <w:shd w:val="clear" w:color="auto" w:fill="E1DFDD"/>
    </w:rPr>
  </w:style>
  <w:style w:type="character" w:customStyle="1" w:styleId="Heading3Char">
    <w:name w:val="Heading 3 Char"/>
    <w:basedOn w:val="DefaultParagraphFont"/>
    <w:link w:val="Heading3"/>
    <w:uiPriority w:val="9"/>
    <w:semiHidden/>
    <w:rsid w:val="00A27CD3"/>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47C3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C47C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966">
      <w:bodyDiv w:val="1"/>
      <w:marLeft w:val="0"/>
      <w:marRight w:val="0"/>
      <w:marTop w:val="0"/>
      <w:marBottom w:val="0"/>
      <w:divBdr>
        <w:top w:val="none" w:sz="0" w:space="0" w:color="auto"/>
        <w:left w:val="none" w:sz="0" w:space="0" w:color="auto"/>
        <w:bottom w:val="none" w:sz="0" w:space="0" w:color="auto"/>
        <w:right w:val="none" w:sz="0" w:space="0" w:color="auto"/>
      </w:divBdr>
    </w:div>
    <w:div w:id="12732358">
      <w:bodyDiv w:val="1"/>
      <w:marLeft w:val="0"/>
      <w:marRight w:val="0"/>
      <w:marTop w:val="0"/>
      <w:marBottom w:val="0"/>
      <w:divBdr>
        <w:top w:val="none" w:sz="0" w:space="0" w:color="auto"/>
        <w:left w:val="none" w:sz="0" w:space="0" w:color="auto"/>
        <w:bottom w:val="none" w:sz="0" w:space="0" w:color="auto"/>
        <w:right w:val="none" w:sz="0" w:space="0" w:color="auto"/>
      </w:divBdr>
    </w:div>
    <w:div w:id="137067558">
      <w:bodyDiv w:val="1"/>
      <w:marLeft w:val="0"/>
      <w:marRight w:val="0"/>
      <w:marTop w:val="0"/>
      <w:marBottom w:val="0"/>
      <w:divBdr>
        <w:top w:val="none" w:sz="0" w:space="0" w:color="auto"/>
        <w:left w:val="none" w:sz="0" w:space="0" w:color="auto"/>
        <w:bottom w:val="none" w:sz="0" w:space="0" w:color="auto"/>
        <w:right w:val="none" w:sz="0" w:space="0" w:color="auto"/>
      </w:divBdr>
      <w:divsChild>
        <w:div w:id="1470855744">
          <w:marLeft w:val="0"/>
          <w:marRight w:val="0"/>
          <w:marTop w:val="0"/>
          <w:marBottom w:val="0"/>
          <w:divBdr>
            <w:top w:val="none" w:sz="0" w:space="0" w:color="auto"/>
            <w:left w:val="none" w:sz="0" w:space="0" w:color="auto"/>
            <w:bottom w:val="none" w:sz="0" w:space="0" w:color="auto"/>
            <w:right w:val="none" w:sz="0" w:space="0" w:color="auto"/>
          </w:divBdr>
        </w:div>
        <w:div w:id="383456563">
          <w:marLeft w:val="0"/>
          <w:marRight w:val="0"/>
          <w:marTop w:val="0"/>
          <w:marBottom w:val="0"/>
          <w:divBdr>
            <w:top w:val="none" w:sz="0" w:space="0" w:color="auto"/>
            <w:left w:val="none" w:sz="0" w:space="0" w:color="auto"/>
            <w:bottom w:val="none" w:sz="0" w:space="0" w:color="auto"/>
            <w:right w:val="none" w:sz="0" w:space="0" w:color="auto"/>
          </w:divBdr>
        </w:div>
        <w:div w:id="1600484871">
          <w:marLeft w:val="0"/>
          <w:marRight w:val="0"/>
          <w:marTop w:val="0"/>
          <w:marBottom w:val="0"/>
          <w:divBdr>
            <w:top w:val="none" w:sz="0" w:space="0" w:color="auto"/>
            <w:left w:val="none" w:sz="0" w:space="0" w:color="auto"/>
            <w:bottom w:val="none" w:sz="0" w:space="0" w:color="auto"/>
            <w:right w:val="none" w:sz="0" w:space="0" w:color="auto"/>
          </w:divBdr>
        </w:div>
      </w:divsChild>
    </w:div>
    <w:div w:id="237791559">
      <w:bodyDiv w:val="1"/>
      <w:marLeft w:val="0"/>
      <w:marRight w:val="0"/>
      <w:marTop w:val="0"/>
      <w:marBottom w:val="0"/>
      <w:divBdr>
        <w:top w:val="none" w:sz="0" w:space="0" w:color="auto"/>
        <w:left w:val="none" w:sz="0" w:space="0" w:color="auto"/>
        <w:bottom w:val="none" w:sz="0" w:space="0" w:color="auto"/>
        <w:right w:val="none" w:sz="0" w:space="0" w:color="auto"/>
      </w:divBdr>
    </w:div>
    <w:div w:id="291062323">
      <w:bodyDiv w:val="1"/>
      <w:marLeft w:val="0"/>
      <w:marRight w:val="0"/>
      <w:marTop w:val="0"/>
      <w:marBottom w:val="0"/>
      <w:divBdr>
        <w:top w:val="none" w:sz="0" w:space="0" w:color="auto"/>
        <w:left w:val="none" w:sz="0" w:space="0" w:color="auto"/>
        <w:bottom w:val="none" w:sz="0" w:space="0" w:color="auto"/>
        <w:right w:val="none" w:sz="0" w:space="0" w:color="auto"/>
      </w:divBdr>
    </w:div>
    <w:div w:id="321783370">
      <w:bodyDiv w:val="1"/>
      <w:marLeft w:val="0"/>
      <w:marRight w:val="0"/>
      <w:marTop w:val="0"/>
      <w:marBottom w:val="0"/>
      <w:divBdr>
        <w:top w:val="none" w:sz="0" w:space="0" w:color="auto"/>
        <w:left w:val="none" w:sz="0" w:space="0" w:color="auto"/>
        <w:bottom w:val="none" w:sz="0" w:space="0" w:color="auto"/>
        <w:right w:val="none" w:sz="0" w:space="0" w:color="auto"/>
      </w:divBdr>
    </w:div>
    <w:div w:id="367534943">
      <w:bodyDiv w:val="1"/>
      <w:marLeft w:val="0"/>
      <w:marRight w:val="0"/>
      <w:marTop w:val="0"/>
      <w:marBottom w:val="0"/>
      <w:divBdr>
        <w:top w:val="none" w:sz="0" w:space="0" w:color="auto"/>
        <w:left w:val="none" w:sz="0" w:space="0" w:color="auto"/>
        <w:bottom w:val="none" w:sz="0" w:space="0" w:color="auto"/>
        <w:right w:val="none" w:sz="0" w:space="0" w:color="auto"/>
      </w:divBdr>
    </w:div>
    <w:div w:id="514270815">
      <w:bodyDiv w:val="1"/>
      <w:marLeft w:val="0"/>
      <w:marRight w:val="0"/>
      <w:marTop w:val="0"/>
      <w:marBottom w:val="0"/>
      <w:divBdr>
        <w:top w:val="none" w:sz="0" w:space="0" w:color="auto"/>
        <w:left w:val="none" w:sz="0" w:space="0" w:color="auto"/>
        <w:bottom w:val="none" w:sz="0" w:space="0" w:color="auto"/>
        <w:right w:val="none" w:sz="0" w:space="0" w:color="auto"/>
      </w:divBdr>
    </w:div>
    <w:div w:id="529729623">
      <w:bodyDiv w:val="1"/>
      <w:marLeft w:val="0"/>
      <w:marRight w:val="0"/>
      <w:marTop w:val="0"/>
      <w:marBottom w:val="0"/>
      <w:divBdr>
        <w:top w:val="none" w:sz="0" w:space="0" w:color="auto"/>
        <w:left w:val="none" w:sz="0" w:space="0" w:color="auto"/>
        <w:bottom w:val="none" w:sz="0" w:space="0" w:color="auto"/>
        <w:right w:val="none" w:sz="0" w:space="0" w:color="auto"/>
      </w:divBdr>
    </w:div>
    <w:div w:id="537864245">
      <w:bodyDiv w:val="1"/>
      <w:marLeft w:val="0"/>
      <w:marRight w:val="0"/>
      <w:marTop w:val="0"/>
      <w:marBottom w:val="0"/>
      <w:divBdr>
        <w:top w:val="none" w:sz="0" w:space="0" w:color="auto"/>
        <w:left w:val="none" w:sz="0" w:space="0" w:color="auto"/>
        <w:bottom w:val="none" w:sz="0" w:space="0" w:color="auto"/>
        <w:right w:val="none" w:sz="0" w:space="0" w:color="auto"/>
      </w:divBdr>
    </w:div>
    <w:div w:id="542835084">
      <w:bodyDiv w:val="1"/>
      <w:marLeft w:val="0"/>
      <w:marRight w:val="0"/>
      <w:marTop w:val="0"/>
      <w:marBottom w:val="0"/>
      <w:divBdr>
        <w:top w:val="none" w:sz="0" w:space="0" w:color="auto"/>
        <w:left w:val="none" w:sz="0" w:space="0" w:color="auto"/>
        <w:bottom w:val="none" w:sz="0" w:space="0" w:color="auto"/>
        <w:right w:val="none" w:sz="0" w:space="0" w:color="auto"/>
      </w:divBdr>
      <w:divsChild>
        <w:div w:id="855198271">
          <w:marLeft w:val="0"/>
          <w:marRight w:val="0"/>
          <w:marTop w:val="0"/>
          <w:marBottom w:val="0"/>
          <w:divBdr>
            <w:top w:val="none" w:sz="0" w:space="0" w:color="auto"/>
            <w:left w:val="none" w:sz="0" w:space="0" w:color="auto"/>
            <w:bottom w:val="none" w:sz="0" w:space="0" w:color="auto"/>
            <w:right w:val="none" w:sz="0" w:space="0" w:color="auto"/>
          </w:divBdr>
          <w:divsChild>
            <w:div w:id="1022050543">
              <w:marLeft w:val="0"/>
              <w:marRight w:val="0"/>
              <w:marTop w:val="0"/>
              <w:marBottom w:val="0"/>
              <w:divBdr>
                <w:top w:val="none" w:sz="0" w:space="0" w:color="auto"/>
                <w:left w:val="none" w:sz="0" w:space="0" w:color="auto"/>
                <w:bottom w:val="none" w:sz="0" w:space="0" w:color="auto"/>
                <w:right w:val="none" w:sz="0" w:space="0" w:color="auto"/>
              </w:divBdr>
            </w:div>
          </w:divsChild>
        </w:div>
        <w:div w:id="400637270">
          <w:marLeft w:val="0"/>
          <w:marRight w:val="0"/>
          <w:marTop w:val="0"/>
          <w:marBottom w:val="0"/>
          <w:divBdr>
            <w:top w:val="none" w:sz="0" w:space="0" w:color="auto"/>
            <w:left w:val="none" w:sz="0" w:space="0" w:color="auto"/>
            <w:bottom w:val="none" w:sz="0" w:space="0" w:color="auto"/>
            <w:right w:val="none" w:sz="0" w:space="0" w:color="auto"/>
          </w:divBdr>
          <w:divsChild>
            <w:div w:id="1832595750">
              <w:marLeft w:val="0"/>
              <w:marRight w:val="0"/>
              <w:marTop w:val="0"/>
              <w:marBottom w:val="0"/>
              <w:divBdr>
                <w:top w:val="none" w:sz="0" w:space="0" w:color="auto"/>
                <w:left w:val="none" w:sz="0" w:space="0" w:color="auto"/>
                <w:bottom w:val="none" w:sz="0" w:space="0" w:color="auto"/>
                <w:right w:val="none" w:sz="0" w:space="0" w:color="auto"/>
              </w:divBdr>
            </w:div>
          </w:divsChild>
        </w:div>
        <w:div w:id="2091923699">
          <w:marLeft w:val="0"/>
          <w:marRight w:val="0"/>
          <w:marTop w:val="0"/>
          <w:marBottom w:val="0"/>
          <w:divBdr>
            <w:top w:val="none" w:sz="0" w:space="0" w:color="auto"/>
            <w:left w:val="none" w:sz="0" w:space="0" w:color="auto"/>
            <w:bottom w:val="none" w:sz="0" w:space="0" w:color="auto"/>
            <w:right w:val="none" w:sz="0" w:space="0" w:color="auto"/>
          </w:divBdr>
          <w:divsChild>
            <w:div w:id="348413758">
              <w:marLeft w:val="0"/>
              <w:marRight w:val="0"/>
              <w:marTop w:val="0"/>
              <w:marBottom w:val="0"/>
              <w:divBdr>
                <w:top w:val="none" w:sz="0" w:space="0" w:color="auto"/>
                <w:left w:val="none" w:sz="0" w:space="0" w:color="auto"/>
                <w:bottom w:val="none" w:sz="0" w:space="0" w:color="auto"/>
                <w:right w:val="none" w:sz="0" w:space="0" w:color="auto"/>
              </w:divBdr>
            </w:div>
          </w:divsChild>
        </w:div>
        <w:div w:id="1192763306">
          <w:marLeft w:val="0"/>
          <w:marRight w:val="0"/>
          <w:marTop w:val="0"/>
          <w:marBottom w:val="0"/>
          <w:divBdr>
            <w:top w:val="none" w:sz="0" w:space="0" w:color="auto"/>
            <w:left w:val="none" w:sz="0" w:space="0" w:color="auto"/>
            <w:bottom w:val="none" w:sz="0" w:space="0" w:color="auto"/>
            <w:right w:val="none" w:sz="0" w:space="0" w:color="auto"/>
          </w:divBdr>
          <w:divsChild>
            <w:div w:id="1543327771">
              <w:marLeft w:val="0"/>
              <w:marRight w:val="0"/>
              <w:marTop w:val="0"/>
              <w:marBottom w:val="0"/>
              <w:divBdr>
                <w:top w:val="none" w:sz="0" w:space="0" w:color="auto"/>
                <w:left w:val="none" w:sz="0" w:space="0" w:color="auto"/>
                <w:bottom w:val="none" w:sz="0" w:space="0" w:color="auto"/>
                <w:right w:val="none" w:sz="0" w:space="0" w:color="auto"/>
              </w:divBdr>
            </w:div>
          </w:divsChild>
        </w:div>
        <w:div w:id="871109097">
          <w:marLeft w:val="0"/>
          <w:marRight w:val="0"/>
          <w:marTop w:val="0"/>
          <w:marBottom w:val="0"/>
          <w:divBdr>
            <w:top w:val="none" w:sz="0" w:space="0" w:color="auto"/>
            <w:left w:val="none" w:sz="0" w:space="0" w:color="auto"/>
            <w:bottom w:val="none" w:sz="0" w:space="0" w:color="auto"/>
            <w:right w:val="none" w:sz="0" w:space="0" w:color="auto"/>
          </w:divBdr>
          <w:divsChild>
            <w:div w:id="1567304551">
              <w:marLeft w:val="0"/>
              <w:marRight w:val="0"/>
              <w:marTop w:val="0"/>
              <w:marBottom w:val="0"/>
              <w:divBdr>
                <w:top w:val="none" w:sz="0" w:space="0" w:color="auto"/>
                <w:left w:val="none" w:sz="0" w:space="0" w:color="auto"/>
                <w:bottom w:val="none" w:sz="0" w:space="0" w:color="auto"/>
                <w:right w:val="none" w:sz="0" w:space="0" w:color="auto"/>
              </w:divBdr>
            </w:div>
          </w:divsChild>
        </w:div>
        <w:div w:id="439688710">
          <w:marLeft w:val="0"/>
          <w:marRight w:val="0"/>
          <w:marTop w:val="0"/>
          <w:marBottom w:val="0"/>
          <w:divBdr>
            <w:top w:val="none" w:sz="0" w:space="0" w:color="auto"/>
            <w:left w:val="none" w:sz="0" w:space="0" w:color="auto"/>
            <w:bottom w:val="none" w:sz="0" w:space="0" w:color="auto"/>
            <w:right w:val="none" w:sz="0" w:space="0" w:color="auto"/>
          </w:divBdr>
          <w:divsChild>
            <w:div w:id="711462737">
              <w:marLeft w:val="0"/>
              <w:marRight w:val="0"/>
              <w:marTop w:val="0"/>
              <w:marBottom w:val="0"/>
              <w:divBdr>
                <w:top w:val="none" w:sz="0" w:space="0" w:color="auto"/>
                <w:left w:val="none" w:sz="0" w:space="0" w:color="auto"/>
                <w:bottom w:val="none" w:sz="0" w:space="0" w:color="auto"/>
                <w:right w:val="none" w:sz="0" w:space="0" w:color="auto"/>
              </w:divBdr>
            </w:div>
          </w:divsChild>
        </w:div>
        <w:div w:id="437988782">
          <w:marLeft w:val="0"/>
          <w:marRight w:val="0"/>
          <w:marTop w:val="0"/>
          <w:marBottom w:val="0"/>
          <w:divBdr>
            <w:top w:val="none" w:sz="0" w:space="0" w:color="auto"/>
            <w:left w:val="none" w:sz="0" w:space="0" w:color="auto"/>
            <w:bottom w:val="none" w:sz="0" w:space="0" w:color="auto"/>
            <w:right w:val="none" w:sz="0" w:space="0" w:color="auto"/>
          </w:divBdr>
          <w:divsChild>
            <w:div w:id="1854102528">
              <w:marLeft w:val="0"/>
              <w:marRight w:val="0"/>
              <w:marTop w:val="0"/>
              <w:marBottom w:val="0"/>
              <w:divBdr>
                <w:top w:val="none" w:sz="0" w:space="0" w:color="auto"/>
                <w:left w:val="none" w:sz="0" w:space="0" w:color="auto"/>
                <w:bottom w:val="none" w:sz="0" w:space="0" w:color="auto"/>
                <w:right w:val="none" w:sz="0" w:space="0" w:color="auto"/>
              </w:divBdr>
            </w:div>
          </w:divsChild>
        </w:div>
        <w:div w:id="1789472735">
          <w:marLeft w:val="0"/>
          <w:marRight w:val="0"/>
          <w:marTop w:val="0"/>
          <w:marBottom w:val="0"/>
          <w:divBdr>
            <w:top w:val="none" w:sz="0" w:space="0" w:color="auto"/>
            <w:left w:val="none" w:sz="0" w:space="0" w:color="auto"/>
            <w:bottom w:val="none" w:sz="0" w:space="0" w:color="auto"/>
            <w:right w:val="none" w:sz="0" w:space="0" w:color="auto"/>
          </w:divBdr>
          <w:divsChild>
            <w:div w:id="212187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819259">
      <w:bodyDiv w:val="1"/>
      <w:marLeft w:val="0"/>
      <w:marRight w:val="0"/>
      <w:marTop w:val="0"/>
      <w:marBottom w:val="0"/>
      <w:divBdr>
        <w:top w:val="none" w:sz="0" w:space="0" w:color="auto"/>
        <w:left w:val="none" w:sz="0" w:space="0" w:color="auto"/>
        <w:bottom w:val="none" w:sz="0" w:space="0" w:color="auto"/>
        <w:right w:val="none" w:sz="0" w:space="0" w:color="auto"/>
      </w:divBdr>
    </w:div>
    <w:div w:id="580530985">
      <w:bodyDiv w:val="1"/>
      <w:marLeft w:val="0"/>
      <w:marRight w:val="0"/>
      <w:marTop w:val="0"/>
      <w:marBottom w:val="0"/>
      <w:divBdr>
        <w:top w:val="none" w:sz="0" w:space="0" w:color="auto"/>
        <w:left w:val="none" w:sz="0" w:space="0" w:color="auto"/>
        <w:bottom w:val="none" w:sz="0" w:space="0" w:color="auto"/>
        <w:right w:val="none" w:sz="0" w:space="0" w:color="auto"/>
      </w:divBdr>
    </w:div>
    <w:div w:id="741220476">
      <w:bodyDiv w:val="1"/>
      <w:marLeft w:val="0"/>
      <w:marRight w:val="0"/>
      <w:marTop w:val="0"/>
      <w:marBottom w:val="0"/>
      <w:divBdr>
        <w:top w:val="none" w:sz="0" w:space="0" w:color="auto"/>
        <w:left w:val="none" w:sz="0" w:space="0" w:color="auto"/>
        <w:bottom w:val="none" w:sz="0" w:space="0" w:color="auto"/>
        <w:right w:val="none" w:sz="0" w:space="0" w:color="auto"/>
      </w:divBdr>
    </w:div>
    <w:div w:id="890657624">
      <w:bodyDiv w:val="1"/>
      <w:marLeft w:val="0"/>
      <w:marRight w:val="0"/>
      <w:marTop w:val="0"/>
      <w:marBottom w:val="0"/>
      <w:divBdr>
        <w:top w:val="none" w:sz="0" w:space="0" w:color="auto"/>
        <w:left w:val="none" w:sz="0" w:space="0" w:color="auto"/>
        <w:bottom w:val="none" w:sz="0" w:space="0" w:color="auto"/>
        <w:right w:val="none" w:sz="0" w:space="0" w:color="auto"/>
      </w:divBdr>
    </w:div>
    <w:div w:id="910654998">
      <w:bodyDiv w:val="1"/>
      <w:marLeft w:val="0"/>
      <w:marRight w:val="0"/>
      <w:marTop w:val="0"/>
      <w:marBottom w:val="0"/>
      <w:divBdr>
        <w:top w:val="none" w:sz="0" w:space="0" w:color="auto"/>
        <w:left w:val="none" w:sz="0" w:space="0" w:color="auto"/>
        <w:bottom w:val="none" w:sz="0" w:space="0" w:color="auto"/>
        <w:right w:val="none" w:sz="0" w:space="0" w:color="auto"/>
      </w:divBdr>
    </w:div>
    <w:div w:id="1004362050">
      <w:bodyDiv w:val="1"/>
      <w:marLeft w:val="0"/>
      <w:marRight w:val="0"/>
      <w:marTop w:val="0"/>
      <w:marBottom w:val="0"/>
      <w:divBdr>
        <w:top w:val="none" w:sz="0" w:space="0" w:color="auto"/>
        <w:left w:val="none" w:sz="0" w:space="0" w:color="auto"/>
        <w:bottom w:val="none" w:sz="0" w:space="0" w:color="auto"/>
        <w:right w:val="none" w:sz="0" w:space="0" w:color="auto"/>
      </w:divBdr>
    </w:div>
    <w:div w:id="1276910734">
      <w:bodyDiv w:val="1"/>
      <w:marLeft w:val="0"/>
      <w:marRight w:val="0"/>
      <w:marTop w:val="0"/>
      <w:marBottom w:val="0"/>
      <w:divBdr>
        <w:top w:val="none" w:sz="0" w:space="0" w:color="auto"/>
        <w:left w:val="none" w:sz="0" w:space="0" w:color="auto"/>
        <w:bottom w:val="none" w:sz="0" w:space="0" w:color="auto"/>
        <w:right w:val="none" w:sz="0" w:space="0" w:color="auto"/>
      </w:divBdr>
    </w:div>
    <w:div w:id="1281568658">
      <w:bodyDiv w:val="1"/>
      <w:marLeft w:val="0"/>
      <w:marRight w:val="0"/>
      <w:marTop w:val="0"/>
      <w:marBottom w:val="0"/>
      <w:divBdr>
        <w:top w:val="none" w:sz="0" w:space="0" w:color="auto"/>
        <w:left w:val="none" w:sz="0" w:space="0" w:color="auto"/>
        <w:bottom w:val="none" w:sz="0" w:space="0" w:color="auto"/>
        <w:right w:val="none" w:sz="0" w:space="0" w:color="auto"/>
      </w:divBdr>
      <w:divsChild>
        <w:div w:id="1276714638">
          <w:marLeft w:val="0"/>
          <w:marRight w:val="0"/>
          <w:marTop w:val="480"/>
          <w:marBottom w:val="480"/>
          <w:divBdr>
            <w:top w:val="none" w:sz="0" w:space="0" w:color="auto"/>
            <w:left w:val="single" w:sz="48" w:space="12" w:color="B1B4B6"/>
            <w:bottom w:val="none" w:sz="0" w:space="0" w:color="auto"/>
            <w:right w:val="none" w:sz="0" w:space="0" w:color="auto"/>
          </w:divBdr>
        </w:div>
      </w:divsChild>
    </w:div>
    <w:div w:id="1321540725">
      <w:bodyDiv w:val="1"/>
      <w:marLeft w:val="0"/>
      <w:marRight w:val="0"/>
      <w:marTop w:val="0"/>
      <w:marBottom w:val="0"/>
      <w:divBdr>
        <w:top w:val="none" w:sz="0" w:space="0" w:color="auto"/>
        <w:left w:val="none" w:sz="0" w:space="0" w:color="auto"/>
        <w:bottom w:val="none" w:sz="0" w:space="0" w:color="auto"/>
        <w:right w:val="none" w:sz="0" w:space="0" w:color="auto"/>
      </w:divBdr>
    </w:div>
    <w:div w:id="1448115061">
      <w:bodyDiv w:val="1"/>
      <w:marLeft w:val="0"/>
      <w:marRight w:val="0"/>
      <w:marTop w:val="0"/>
      <w:marBottom w:val="0"/>
      <w:divBdr>
        <w:top w:val="none" w:sz="0" w:space="0" w:color="auto"/>
        <w:left w:val="none" w:sz="0" w:space="0" w:color="auto"/>
        <w:bottom w:val="none" w:sz="0" w:space="0" w:color="auto"/>
        <w:right w:val="none" w:sz="0" w:space="0" w:color="auto"/>
      </w:divBdr>
    </w:div>
    <w:div w:id="1591234481">
      <w:bodyDiv w:val="1"/>
      <w:marLeft w:val="0"/>
      <w:marRight w:val="0"/>
      <w:marTop w:val="0"/>
      <w:marBottom w:val="0"/>
      <w:divBdr>
        <w:top w:val="none" w:sz="0" w:space="0" w:color="auto"/>
        <w:left w:val="none" w:sz="0" w:space="0" w:color="auto"/>
        <w:bottom w:val="none" w:sz="0" w:space="0" w:color="auto"/>
        <w:right w:val="none" w:sz="0" w:space="0" w:color="auto"/>
      </w:divBdr>
    </w:div>
    <w:div w:id="1662006963">
      <w:bodyDiv w:val="1"/>
      <w:marLeft w:val="0"/>
      <w:marRight w:val="0"/>
      <w:marTop w:val="0"/>
      <w:marBottom w:val="0"/>
      <w:divBdr>
        <w:top w:val="none" w:sz="0" w:space="0" w:color="auto"/>
        <w:left w:val="none" w:sz="0" w:space="0" w:color="auto"/>
        <w:bottom w:val="none" w:sz="0" w:space="0" w:color="auto"/>
        <w:right w:val="none" w:sz="0" w:space="0" w:color="auto"/>
      </w:divBdr>
    </w:div>
    <w:div w:id="1665206142">
      <w:bodyDiv w:val="1"/>
      <w:marLeft w:val="0"/>
      <w:marRight w:val="0"/>
      <w:marTop w:val="0"/>
      <w:marBottom w:val="0"/>
      <w:divBdr>
        <w:top w:val="none" w:sz="0" w:space="0" w:color="auto"/>
        <w:left w:val="none" w:sz="0" w:space="0" w:color="auto"/>
        <w:bottom w:val="none" w:sz="0" w:space="0" w:color="auto"/>
        <w:right w:val="none" w:sz="0" w:space="0" w:color="auto"/>
      </w:divBdr>
    </w:div>
    <w:div w:id="1696732974">
      <w:bodyDiv w:val="1"/>
      <w:marLeft w:val="0"/>
      <w:marRight w:val="0"/>
      <w:marTop w:val="0"/>
      <w:marBottom w:val="0"/>
      <w:divBdr>
        <w:top w:val="none" w:sz="0" w:space="0" w:color="auto"/>
        <w:left w:val="none" w:sz="0" w:space="0" w:color="auto"/>
        <w:bottom w:val="none" w:sz="0" w:space="0" w:color="auto"/>
        <w:right w:val="none" w:sz="0" w:space="0" w:color="auto"/>
      </w:divBdr>
    </w:div>
    <w:div w:id="1756508997">
      <w:bodyDiv w:val="1"/>
      <w:marLeft w:val="0"/>
      <w:marRight w:val="0"/>
      <w:marTop w:val="0"/>
      <w:marBottom w:val="0"/>
      <w:divBdr>
        <w:top w:val="none" w:sz="0" w:space="0" w:color="auto"/>
        <w:left w:val="none" w:sz="0" w:space="0" w:color="auto"/>
        <w:bottom w:val="none" w:sz="0" w:space="0" w:color="auto"/>
        <w:right w:val="none" w:sz="0" w:space="0" w:color="auto"/>
      </w:divBdr>
      <w:divsChild>
        <w:div w:id="95833632">
          <w:marLeft w:val="0"/>
          <w:marRight w:val="0"/>
          <w:marTop w:val="0"/>
          <w:marBottom w:val="0"/>
          <w:divBdr>
            <w:top w:val="none" w:sz="0" w:space="0" w:color="auto"/>
            <w:left w:val="none" w:sz="0" w:space="0" w:color="auto"/>
            <w:bottom w:val="none" w:sz="0" w:space="0" w:color="auto"/>
            <w:right w:val="none" w:sz="0" w:space="0" w:color="auto"/>
          </w:divBdr>
        </w:div>
        <w:div w:id="1747723863">
          <w:marLeft w:val="0"/>
          <w:marRight w:val="0"/>
          <w:marTop w:val="0"/>
          <w:marBottom w:val="0"/>
          <w:divBdr>
            <w:top w:val="none" w:sz="0" w:space="0" w:color="auto"/>
            <w:left w:val="none" w:sz="0" w:space="0" w:color="auto"/>
            <w:bottom w:val="none" w:sz="0" w:space="0" w:color="auto"/>
            <w:right w:val="none" w:sz="0" w:space="0" w:color="auto"/>
          </w:divBdr>
          <w:divsChild>
            <w:div w:id="1612273456">
              <w:marLeft w:val="0"/>
              <w:marRight w:val="0"/>
              <w:marTop w:val="0"/>
              <w:marBottom w:val="0"/>
              <w:divBdr>
                <w:top w:val="none" w:sz="0" w:space="0" w:color="auto"/>
                <w:left w:val="none" w:sz="0" w:space="0" w:color="auto"/>
                <w:bottom w:val="none" w:sz="0" w:space="0" w:color="auto"/>
                <w:right w:val="none" w:sz="0" w:space="0" w:color="auto"/>
              </w:divBdr>
              <w:divsChild>
                <w:div w:id="1526558266">
                  <w:marLeft w:val="0"/>
                  <w:marRight w:val="0"/>
                  <w:marTop w:val="0"/>
                  <w:marBottom w:val="0"/>
                  <w:divBdr>
                    <w:top w:val="none" w:sz="0" w:space="0" w:color="auto"/>
                    <w:left w:val="none" w:sz="0" w:space="0" w:color="auto"/>
                    <w:bottom w:val="none" w:sz="0" w:space="0" w:color="auto"/>
                    <w:right w:val="none" w:sz="0" w:space="0" w:color="auto"/>
                  </w:divBdr>
                  <w:divsChild>
                    <w:div w:id="1114135050">
                      <w:marLeft w:val="3000"/>
                      <w:marRight w:val="0"/>
                      <w:marTop w:val="0"/>
                      <w:marBottom w:val="0"/>
                      <w:divBdr>
                        <w:top w:val="none" w:sz="0" w:space="0" w:color="auto"/>
                        <w:left w:val="none" w:sz="0" w:space="0" w:color="auto"/>
                        <w:bottom w:val="none" w:sz="0" w:space="0" w:color="auto"/>
                        <w:right w:val="none" w:sz="0" w:space="0" w:color="auto"/>
                      </w:divBdr>
                      <w:divsChild>
                        <w:div w:id="7644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135011">
      <w:bodyDiv w:val="1"/>
      <w:marLeft w:val="0"/>
      <w:marRight w:val="0"/>
      <w:marTop w:val="0"/>
      <w:marBottom w:val="0"/>
      <w:divBdr>
        <w:top w:val="none" w:sz="0" w:space="0" w:color="auto"/>
        <w:left w:val="none" w:sz="0" w:space="0" w:color="auto"/>
        <w:bottom w:val="none" w:sz="0" w:space="0" w:color="auto"/>
        <w:right w:val="none" w:sz="0" w:space="0" w:color="auto"/>
      </w:divBdr>
    </w:div>
    <w:div w:id="1855026915">
      <w:bodyDiv w:val="1"/>
      <w:marLeft w:val="0"/>
      <w:marRight w:val="0"/>
      <w:marTop w:val="0"/>
      <w:marBottom w:val="0"/>
      <w:divBdr>
        <w:top w:val="none" w:sz="0" w:space="0" w:color="auto"/>
        <w:left w:val="none" w:sz="0" w:space="0" w:color="auto"/>
        <w:bottom w:val="none" w:sz="0" w:space="0" w:color="auto"/>
        <w:right w:val="none" w:sz="0" w:space="0" w:color="auto"/>
      </w:divBdr>
    </w:div>
    <w:div w:id="1867599237">
      <w:bodyDiv w:val="1"/>
      <w:marLeft w:val="0"/>
      <w:marRight w:val="0"/>
      <w:marTop w:val="0"/>
      <w:marBottom w:val="0"/>
      <w:divBdr>
        <w:top w:val="none" w:sz="0" w:space="0" w:color="auto"/>
        <w:left w:val="none" w:sz="0" w:space="0" w:color="auto"/>
        <w:bottom w:val="none" w:sz="0" w:space="0" w:color="auto"/>
        <w:right w:val="none" w:sz="0" w:space="0" w:color="auto"/>
      </w:divBdr>
    </w:div>
    <w:div w:id="2005279815">
      <w:bodyDiv w:val="1"/>
      <w:marLeft w:val="0"/>
      <w:marRight w:val="0"/>
      <w:marTop w:val="0"/>
      <w:marBottom w:val="0"/>
      <w:divBdr>
        <w:top w:val="none" w:sz="0" w:space="0" w:color="auto"/>
        <w:left w:val="none" w:sz="0" w:space="0" w:color="auto"/>
        <w:bottom w:val="none" w:sz="0" w:space="0" w:color="auto"/>
        <w:right w:val="none" w:sz="0" w:space="0" w:color="auto"/>
      </w:divBdr>
    </w:div>
    <w:div w:id="2024629115">
      <w:bodyDiv w:val="1"/>
      <w:marLeft w:val="0"/>
      <w:marRight w:val="0"/>
      <w:marTop w:val="0"/>
      <w:marBottom w:val="0"/>
      <w:divBdr>
        <w:top w:val="none" w:sz="0" w:space="0" w:color="auto"/>
        <w:left w:val="none" w:sz="0" w:space="0" w:color="auto"/>
        <w:bottom w:val="none" w:sz="0" w:space="0" w:color="auto"/>
        <w:right w:val="none" w:sz="0" w:space="0" w:color="auto"/>
      </w:divBdr>
    </w:div>
    <w:div w:id="2084571079">
      <w:bodyDiv w:val="1"/>
      <w:marLeft w:val="0"/>
      <w:marRight w:val="0"/>
      <w:marTop w:val="0"/>
      <w:marBottom w:val="0"/>
      <w:divBdr>
        <w:top w:val="none" w:sz="0" w:space="0" w:color="auto"/>
        <w:left w:val="none" w:sz="0" w:space="0" w:color="auto"/>
        <w:bottom w:val="none" w:sz="0" w:space="0" w:color="auto"/>
        <w:right w:val="none" w:sz="0" w:space="0" w:color="auto"/>
      </w:divBdr>
    </w:div>
    <w:div w:id="2121340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recruitment/ques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ribunalclaim.com/unfair-dismissal/dismissal-due-to-capabil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fundamentals/emp-law/dismissal/unfair-dismissal-questions" TargetMode="External"/><Relationship Id="rId11" Type="http://schemas.openxmlformats.org/officeDocument/2006/relationships/hyperlink" Target="https://www.daslaw.co.uk/blog/what-you-need-to-know-about-pay-and-wages#:~:text=Your%20pay%20rights%20as%20an,rate%20at%20the%20very%20least" TargetMode="External"/><Relationship Id="rId5" Type="http://schemas.openxmlformats.org/officeDocument/2006/relationships/hyperlink" Target="https://www.gov.uk/your-employment-contract-how-it-can-be-changed" TargetMode="External"/><Relationship Id="rId10" Type="http://schemas.openxmlformats.org/officeDocument/2006/relationships/hyperlink" Target="https://www.cipd.co.uk/knowledge/fundamentals/emp-law/terms-conditions/contracts-factsheet" TargetMode="External"/><Relationship Id="rId4" Type="http://schemas.openxmlformats.org/officeDocument/2006/relationships/webSettings" Target="webSettings.xml"/><Relationship Id="rId9" Type="http://schemas.openxmlformats.org/officeDocument/2006/relationships/hyperlink" Target="https://www.peoplemanagement.co.uk/experts/legal/avoiding-discrimination-during-recruitment-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2926</Words>
  <Characters>16681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36</cp:revision>
  <dcterms:created xsi:type="dcterms:W3CDTF">2021-04-12T14:03:00Z</dcterms:created>
  <dcterms:modified xsi:type="dcterms:W3CDTF">2021-04-19T21:41:00Z</dcterms:modified>
</cp:coreProperties>
</file>