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5632" w:rsidRDefault="00EF5632" w:rsidP="00EF5632">
      <w:pPr>
        <w:jc w:val="center"/>
        <w:rPr>
          <w:b/>
          <w:sz w:val="32"/>
          <w:szCs w:val="32"/>
        </w:rPr>
      </w:pPr>
      <w:r w:rsidRPr="00EF5632">
        <w:rPr>
          <w:b/>
          <w:sz w:val="32"/>
          <w:szCs w:val="32"/>
        </w:rPr>
        <w:t>In what ways can touring theatre affect its audience in terms of addressing social, political and cultural issues? Base your response on your specific piece of theatre you are creating.</w:t>
      </w:r>
    </w:p>
    <w:p w:rsidR="003610A5" w:rsidRDefault="003610A5" w:rsidP="003610A5">
      <w:pPr>
        <w:rPr>
          <w:sz w:val="24"/>
          <w:szCs w:val="24"/>
        </w:rPr>
      </w:pPr>
    </w:p>
    <w:p w:rsidR="003610A5" w:rsidRPr="002F5F10" w:rsidRDefault="00F47D60" w:rsidP="003610A5">
      <w:r>
        <w:rPr>
          <w:sz w:val="24"/>
          <w:szCs w:val="24"/>
        </w:rPr>
        <w:t xml:space="preserve">  </w:t>
      </w:r>
      <w:r w:rsidR="003610A5">
        <w:rPr>
          <w:sz w:val="24"/>
          <w:szCs w:val="24"/>
        </w:rPr>
        <w:t>Touring theatre is, and has always been “</w:t>
      </w:r>
      <w:r w:rsidR="003610A5">
        <w:t>the Arts Council’s vision of widening access to artistic excellence, of providing, in Jennie Lee’s words ‘the best for the most’ (</w:t>
      </w:r>
      <w:r w:rsidR="003610A5">
        <w:rPr>
          <w:i/>
        </w:rPr>
        <w:t xml:space="preserve">Jennie Lee, A Life </w:t>
      </w:r>
      <w:r w:rsidR="003610A5">
        <w:t>by Patricia Hollis, Oxford University Press 1997)”</w:t>
      </w:r>
      <w:r>
        <w:t xml:space="preserve"> (1</w:t>
      </w:r>
      <w:r w:rsidR="003610A5">
        <w:t xml:space="preserve">). There are many social, political and cultural benefits from touring theatre that can’t be gained from a </w:t>
      </w:r>
      <w:proofErr w:type="spellStart"/>
      <w:r w:rsidR="003610A5">
        <w:t>mainhouse</w:t>
      </w:r>
      <w:proofErr w:type="spellEnd"/>
      <w:r w:rsidR="003610A5">
        <w:t xml:space="preserve"> company. For example, it provides access to theatre for areas that otherwise wouldn’t be able to experience it, whether because the population is generally too poor to afford to go to the West End (or local equivalent), or because they’re too rural for a theatre to establish itself and be maintained, with or without the Arts Council’s help.</w:t>
      </w:r>
      <w:r>
        <w:t xml:space="preserve"> As John McGrath, the founder of Scottish company 7:48 said “theatre must use all possible means to reach every citizen in the demos, and not itself act as an excluding agency, whether by the price of its tickets […] its location or its impenetrability” (2).</w:t>
      </w:r>
    </w:p>
    <w:p w:rsidR="00C94C96" w:rsidRDefault="002F5F10" w:rsidP="003610A5">
      <w:r>
        <w:t xml:space="preserve">  </w:t>
      </w:r>
      <w:r w:rsidR="003610A5">
        <w:t xml:space="preserve">Touring theatre can have a huge impact on social issues, whether it’s through producing region-based plays that explores the history and stories of the area, like the company East Angles, or by bringing plays to places that wouldn’t otherwise come into contact with those issues, like </w:t>
      </w:r>
      <w:r w:rsidR="0086799A">
        <w:t xml:space="preserve">when a production of </w:t>
      </w:r>
      <w:r w:rsidR="0086799A">
        <w:rPr>
          <w:i/>
        </w:rPr>
        <w:t>The Mountaintop</w:t>
      </w:r>
      <w:r w:rsidR="0086799A">
        <w:t xml:space="preserve"> came to the Trinity St David campus – a predominantly white community that isn’t particularly in touch with black issues.</w:t>
      </w:r>
      <w:r w:rsidR="00C94C96">
        <w:t xml:space="preserve"> It can also sometimes be more than just bringing new perspectives to areas and communities, but also just about making said communities feel included. For example, Scotland “</w:t>
      </w:r>
      <w:r w:rsidR="00C94C96">
        <w:t xml:space="preserve">is a highly rural nation, with rural areas accounting for nearly 90 per cent of its land and housing 30 per cent of its people (Donald </w:t>
      </w:r>
      <w:proofErr w:type="spellStart"/>
      <w:r w:rsidR="00C94C96">
        <w:t>Dewer</w:t>
      </w:r>
      <w:proofErr w:type="spellEnd"/>
      <w:r w:rsidR="00C94C96">
        <w:t>, cited in Scullion 2004)</w:t>
      </w:r>
      <w:r w:rsidR="00C94C96">
        <w:t>” (3), and therefore a lot of the population misses out because the theatres are mostly in the urban areas like Edinburgh and Glasgow. Touring theatre is important here, because it becomes an incredibly useful tool in getting the plays to those areas, wh</w:t>
      </w:r>
      <w:r w:rsidR="00082102">
        <w:t>ere there was an “</w:t>
      </w:r>
      <w:r w:rsidR="00082102">
        <w:t>unanticipated mood of collective gratitude, almost as if the local community did not feel worthy to host their national theatre company</w:t>
      </w:r>
      <w:r w:rsidR="00082102">
        <w:t>” (3), going as far as being amazed that the company would even bother with them, where the company saw it as an obvious stop on their tour.</w:t>
      </w:r>
    </w:p>
    <w:p w:rsidR="009A7B12" w:rsidRPr="00F222E2" w:rsidRDefault="009A7B12" w:rsidP="003610A5">
      <w:r>
        <w:t xml:space="preserve">  Touring theatre is also a powerful tool for teaching children important lessons, like when The Play House created a piece called </w:t>
      </w:r>
      <w:r>
        <w:rPr>
          <w:i/>
        </w:rPr>
        <w:t>Mosaic</w:t>
      </w:r>
      <w:r>
        <w:t xml:space="preserve"> in Birmingham to teach the EAL (English as an Additional Language) students that it was okay, and in fact encouraged, to use their first languages in daily life, fighting against the fact that “home languages are banned in [the] classroom” (</w:t>
      </w:r>
      <w:r w:rsidR="00C94C96">
        <w:t>4</w:t>
      </w:r>
      <w:r>
        <w:t>). This was done through creating a piece that not only allowed the children to laugh at and correct the play’s characters (two “</w:t>
      </w:r>
      <w:r w:rsidR="00F47D60">
        <w:t>buffoons</w:t>
      </w:r>
      <w:r>
        <w:t>”)’s language, but also b</w:t>
      </w:r>
      <w:r w:rsidR="002F5F10">
        <w:t>ecause</w:t>
      </w:r>
      <w:r>
        <w:t xml:space="preserve"> “</w:t>
      </w:r>
      <w:r w:rsidRPr="009A7B12">
        <w:rPr>
          <w:rFonts w:cstheme="minorHAnsi"/>
        </w:rPr>
        <w:t>in every performance the children played along with the spell-making task contributing vocabulary from their own diverse linguistic repertoires to activate the magic”</w:t>
      </w:r>
      <w:r w:rsidR="00F47D60">
        <w:rPr>
          <w:rFonts w:cstheme="minorHAnsi"/>
        </w:rPr>
        <w:t xml:space="preserve"> </w:t>
      </w:r>
      <w:r w:rsidR="00C94C96">
        <w:rPr>
          <w:rFonts w:cstheme="minorHAnsi"/>
        </w:rPr>
        <w:t>(4</w:t>
      </w:r>
      <w:r w:rsidR="002F5F10">
        <w:rPr>
          <w:rFonts w:cstheme="minorHAnsi"/>
        </w:rPr>
        <w:t>). As their own languages were usually banned in that environment, and doubtless there aren’t many theatres in Birmingham that speak exclusively Somali, Arabic, etc, this gave the children a chance to be proud of who they were and encourage their bilingualism.</w:t>
      </w:r>
      <w:r w:rsidR="00F222E2">
        <w:rPr>
          <w:rFonts w:cstheme="minorHAnsi"/>
        </w:rPr>
        <w:t xml:space="preserve"> It was an experience unique to touring theatre, and went around several schools. Similarly, our own piece </w:t>
      </w:r>
      <w:r w:rsidR="00F222E2">
        <w:rPr>
          <w:rFonts w:cstheme="minorHAnsi"/>
          <w:i/>
        </w:rPr>
        <w:t>Me, Me, Me</w:t>
      </w:r>
      <w:r w:rsidR="00F222E2">
        <w:rPr>
          <w:rFonts w:cstheme="minorHAnsi"/>
        </w:rPr>
        <w:t xml:space="preserve"> will allow children to explore several parts of their identity, and think about what makes them who they are. </w:t>
      </w:r>
      <w:r w:rsidR="00A3785F">
        <w:rPr>
          <w:rFonts w:cstheme="minorHAnsi"/>
        </w:rPr>
        <w:t>It’s</w:t>
      </w:r>
      <w:r w:rsidR="00F222E2">
        <w:rPr>
          <w:rFonts w:cstheme="minorHAnsi"/>
        </w:rPr>
        <w:t xml:space="preserve"> an important topic</w:t>
      </w:r>
      <w:r w:rsidR="00A3785F">
        <w:rPr>
          <w:rFonts w:cstheme="minorHAnsi"/>
        </w:rPr>
        <w:t xml:space="preserve">, especially in an age where our identities are becoming more defined by materialistic things and less who we </w:t>
      </w:r>
      <w:r w:rsidR="00A3785F">
        <w:rPr>
          <w:rFonts w:cstheme="minorHAnsi"/>
          <w:i/>
        </w:rPr>
        <w:t>are</w:t>
      </w:r>
      <w:r w:rsidR="00F222E2">
        <w:rPr>
          <w:rFonts w:cstheme="minorHAnsi"/>
        </w:rPr>
        <w:t>, and the touring aspect gives us the opportunity to</w:t>
      </w:r>
      <w:r w:rsidR="00A3785F">
        <w:rPr>
          <w:rFonts w:cstheme="minorHAnsi"/>
        </w:rPr>
        <w:t xml:space="preserve"> take our</w:t>
      </w:r>
      <w:r w:rsidR="00F222E2">
        <w:rPr>
          <w:rFonts w:cstheme="minorHAnsi"/>
        </w:rPr>
        <w:t xml:space="preserve"> </w:t>
      </w:r>
      <w:r w:rsidR="00A3785F">
        <w:rPr>
          <w:rFonts w:cstheme="minorHAnsi"/>
        </w:rPr>
        <w:t>thoughts and ideas across the UK and talk to children of all different cultures and backgrounds about who they are and who they could be.</w:t>
      </w:r>
    </w:p>
    <w:p w:rsidR="00CF1F1A" w:rsidRPr="00B87C70" w:rsidRDefault="00CF1F1A" w:rsidP="00B87C70">
      <w:pPr>
        <w:rPr>
          <w:sz w:val="32"/>
          <w:szCs w:val="32"/>
          <w:u w:val="single"/>
        </w:rPr>
      </w:pPr>
      <w:bookmarkStart w:id="0" w:name="_GoBack"/>
      <w:bookmarkEnd w:id="0"/>
      <w:r w:rsidRPr="00B87C70">
        <w:rPr>
          <w:sz w:val="32"/>
          <w:szCs w:val="32"/>
          <w:u w:val="single"/>
        </w:rPr>
        <w:lastRenderedPageBreak/>
        <w:t>Bibliography</w:t>
      </w:r>
    </w:p>
    <w:p w:rsidR="00CF1F1A" w:rsidRDefault="00CF1F1A" w:rsidP="00CF1F1A">
      <w:pPr>
        <w:pStyle w:val="ListParagraph"/>
        <w:ind w:left="360"/>
        <w:rPr>
          <w:sz w:val="32"/>
          <w:szCs w:val="32"/>
          <w:u w:val="single"/>
        </w:rPr>
      </w:pPr>
    </w:p>
    <w:p w:rsidR="00F47D60" w:rsidRPr="00F47D60" w:rsidRDefault="00F47D60" w:rsidP="00F47D60">
      <w:pPr>
        <w:pStyle w:val="ListParagraph"/>
        <w:numPr>
          <w:ilvl w:val="0"/>
          <w:numId w:val="3"/>
        </w:numPr>
        <w:shd w:val="clear" w:color="auto" w:fill="FFFFFF" w:themeFill="background1"/>
        <w:rPr>
          <w:sz w:val="24"/>
          <w:szCs w:val="32"/>
        </w:rPr>
      </w:pPr>
      <w:r>
        <w:rPr>
          <w:sz w:val="24"/>
          <w:szCs w:val="32"/>
        </w:rPr>
        <w:t xml:space="preserve">Dorney, K. and </w:t>
      </w:r>
      <w:proofErr w:type="spellStart"/>
      <w:r>
        <w:rPr>
          <w:sz w:val="24"/>
          <w:szCs w:val="32"/>
        </w:rPr>
        <w:t>Merkin</w:t>
      </w:r>
      <w:proofErr w:type="spellEnd"/>
      <w:r>
        <w:rPr>
          <w:sz w:val="24"/>
          <w:szCs w:val="32"/>
        </w:rPr>
        <w:t xml:space="preserve">, R. (2010). </w:t>
      </w:r>
      <w:r>
        <w:rPr>
          <w:i/>
          <w:sz w:val="24"/>
          <w:szCs w:val="32"/>
        </w:rPr>
        <w:t>The Glory of the Garden English Regional Theatre and the Arts Council 1984-2009</w:t>
      </w:r>
    </w:p>
    <w:p w:rsidR="00A3785F" w:rsidRPr="00A3785F" w:rsidRDefault="00A3785F" w:rsidP="003610A5">
      <w:pPr>
        <w:pStyle w:val="ListParagraph"/>
        <w:numPr>
          <w:ilvl w:val="0"/>
          <w:numId w:val="3"/>
        </w:numPr>
        <w:shd w:val="clear" w:color="auto" w:fill="FFFFFF" w:themeFill="background1"/>
        <w:rPr>
          <w:rFonts w:cstheme="minorHAnsi"/>
          <w:sz w:val="24"/>
          <w:szCs w:val="24"/>
        </w:rPr>
      </w:pPr>
      <w:r w:rsidRPr="00A3785F">
        <w:rPr>
          <w:rFonts w:cstheme="minorHAnsi"/>
          <w:sz w:val="24"/>
          <w:szCs w:val="24"/>
          <w:shd w:val="clear" w:color="auto" w:fill="FFFFFF"/>
        </w:rPr>
        <w:t>McGrath, J. (2002). Theatre and Democracy. </w:t>
      </w:r>
      <w:r w:rsidRPr="00A3785F">
        <w:rPr>
          <w:rFonts w:cstheme="minorHAnsi"/>
          <w:i/>
          <w:iCs/>
          <w:sz w:val="24"/>
          <w:szCs w:val="24"/>
          <w:shd w:val="clear" w:color="auto" w:fill="FFFFFF"/>
        </w:rPr>
        <w:t>New Theatre Quarterly</w:t>
      </w:r>
      <w:r w:rsidRPr="00A3785F">
        <w:rPr>
          <w:rFonts w:cstheme="minorHAnsi"/>
          <w:sz w:val="24"/>
          <w:szCs w:val="24"/>
          <w:shd w:val="clear" w:color="auto" w:fill="FFFFFF"/>
        </w:rPr>
        <w:t>, 18(2), pp.133-139.</w:t>
      </w:r>
    </w:p>
    <w:p w:rsidR="00C94C96" w:rsidRPr="00C94C96" w:rsidRDefault="00C94C96" w:rsidP="002F5F10">
      <w:pPr>
        <w:pStyle w:val="ListParagraph"/>
        <w:numPr>
          <w:ilvl w:val="0"/>
          <w:numId w:val="3"/>
        </w:numPr>
        <w:rPr>
          <w:rFonts w:cstheme="minorHAnsi"/>
          <w:sz w:val="24"/>
          <w:szCs w:val="24"/>
        </w:rPr>
      </w:pPr>
      <w:proofErr w:type="spellStart"/>
      <w:r w:rsidRPr="00C94C96">
        <w:rPr>
          <w:rFonts w:cstheme="minorHAnsi"/>
          <w:sz w:val="24"/>
          <w:szCs w:val="24"/>
          <w:shd w:val="clear" w:color="auto" w:fill="FFFFFF"/>
        </w:rPr>
        <w:t>Walmsley</w:t>
      </w:r>
      <w:proofErr w:type="spellEnd"/>
      <w:r w:rsidRPr="00C94C96">
        <w:rPr>
          <w:rFonts w:cstheme="minorHAnsi"/>
          <w:sz w:val="24"/>
          <w:szCs w:val="24"/>
          <w:shd w:val="clear" w:color="auto" w:fill="FFFFFF"/>
        </w:rPr>
        <w:t>, B. (2012). Redefining Rural Marketing: Insights from Touring Theatre. </w:t>
      </w:r>
      <w:r w:rsidRPr="00C94C96">
        <w:rPr>
          <w:rFonts w:cstheme="minorHAnsi"/>
          <w:i/>
          <w:iCs/>
          <w:sz w:val="24"/>
          <w:szCs w:val="24"/>
          <w:shd w:val="clear" w:color="auto" w:fill="FFFFFF"/>
        </w:rPr>
        <w:t>International Journal of Rural Management</w:t>
      </w:r>
      <w:r w:rsidRPr="00C94C96">
        <w:rPr>
          <w:rFonts w:cstheme="minorHAnsi"/>
          <w:sz w:val="24"/>
          <w:szCs w:val="24"/>
          <w:shd w:val="clear" w:color="auto" w:fill="FFFFFF"/>
        </w:rPr>
        <w:t>, 8(1-2), pp.49-62.</w:t>
      </w:r>
    </w:p>
    <w:p w:rsidR="003610A5" w:rsidRPr="00C94C96" w:rsidRDefault="002F5F10" w:rsidP="00C94C96">
      <w:pPr>
        <w:pStyle w:val="ListParagraph"/>
        <w:numPr>
          <w:ilvl w:val="0"/>
          <w:numId w:val="3"/>
        </w:numPr>
        <w:rPr>
          <w:rFonts w:cstheme="minorHAnsi"/>
          <w:sz w:val="24"/>
        </w:rPr>
      </w:pPr>
      <w:proofErr w:type="spellStart"/>
      <w:r w:rsidRPr="002F5F10">
        <w:rPr>
          <w:rFonts w:cstheme="minorHAnsi"/>
          <w:sz w:val="24"/>
          <w:shd w:val="clear" w:color="auto" w:fill="FFFFFF"/>
        </w:rPr>
        <w:t>Pakkar</w:t>
      </w:r>
      <w:proofErr w:type="spellEnd"/>
      <w:r w:rsidRPr="002F5F10">
        <w:rPr>
          <w:rFonts w:cstheme="minorHAnsi"/>
          <w:sz w:val="24"/>
          <w:shd w:val="clear" w:color="auto" w:fill="FFFFFF"/>
        </w:rPr>
        <w:t>-Hull, D. (2014). Mosaic: re-imagining the monolingual classroom through theatre-in-education. </w:t>
      </w:r>
      <w:r w:rsidRPr="002F5F10">
        <w:rPr>
          <w:rFonts w:cstheme="minorHAnsi"/>
          <w:i/>
          <w:iCs/>
          <w:sz w:val="24"/>
          <w:shd w:val="clear" w:color="auto" w:fill="FFFFFF"/>
        </w:rPr>
        <w:t>Research in Drama Education: The Journal of Applied Theatre and Performance</w:t>
      </w:r>
      <w:r w:rsidRPr="002F5F10">
        <w:rPr>
          <w:rFonts w:cstheme="minorHAnsi"/>
          <w:sz w:val="24"/>
          <w:shd w:val="clear" w:color="auto" w:fill="FFFFFF"/>
        </w:rPr>
        <w:t>, pp.243-254.</w:t>
      </w:r>
    </w:p>
    <w:sectPr w:rsidR="003610A5" w:rsidRPr="00C94C9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05BA" w:rsidRDefault="004705BA" w:rsidP="00311F57">
      <w:pPr>
        <w:spacing w:after="0" w:line="240" w:lineRule="auto"/>
      </w:pPr>
      <w:r>
        <w:separator/>
      </w:r>
    </w:p>
  </w:endnote>
  <w:endnote w:type="continuationSeparator" w:id="0">
    <w:p w:rsidR="004705BA" w:rsidRDefault="004705BA" w:rsidP="00311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05BA" w:rsidRDefault="004705BA" w:rsidP="00311F57">
      <w:pPr>
        <w:spacing w:after="0" w:line="240" w:lineRule="auto"/>
      </w:pPr>
      <w:r>
        <w:separator/>
      </w:r>
    </w:p>
  </w:footnote>
  <w:footnote w:type="continuationSeparator" w:id="0">
    <w:p w:rsidR="004705BA" w:rsidRDefault="004705BA" w:rsidP="00311F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1F57" w:rsidRDefault="00311F57" w:rsidP="00311F57">
    <w:pPr>
      <w:pStyle w:val="Header"/>
      <w:jc w:val="right"/>
    </w:pPr>
    <w:r>
      <w:t>Olivia Grace McDonagh</w:t>
    </w:r>
  </w:p>
  <w:p w:rsidR="00311F57" w:rsidRDefault="00311F57" w:rsidP="00311F57">
    <w:pPr>
      <w:pStyle w:val="Header"/>
      <w:jc w:val="right"/>
    </w:pPr>
    <w:r>
      <w:t>1301056</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1E3A3B"/>
    <w:multiLevelType w:val="hybridMultilevel"/>
    <w:tmpl w:val="420428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72970"/>
    <w:multiLevelType w:val="hybridMultilevel"/>
    <w:tmpl w:val="AD646D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BBF1B62"/>
    <w:multiLevelType w:val="hybridMultilevel"/>
    <w:tmpl w:val="73A065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632"/>
    <w:rsid w:val="00082102"/>
    <w:rsid w:val="002F5F10"/>
    <w:rsid w:val="00311F57"/>
    <w:rsid w:val="003610A5"/>
    <w:rsid w:val="004705BA"/>
    <w:rsid w:val="00493AFA"/>
    <w:rsid w:val="00586032"/>
    <w:rsid w:val="0086799A"/>
    <w:rsid w:val="009A7B12"/>
    <w:rsid w:val="00A3785F"/>
    <w:rsid w:val="00B87C70"/>
    <w:rsid w:val="00C94C96"/>
    <w:rsid w:val="00CD66EB"/>
    <w:rsid w:val="00CF1F1A"/>
    <w:rsid w:val="00D9313D"/>
    <w:rsid w:val="00EF5632"/>
    <w:rsid w:val="00F222E2"/>
    <w:rsid w:val="00F47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252D2"/>
  <w15:chartTrackingRefBased/>
  <w15:docId w15:val="{75B8E70D-B96E-4F7A-B4CE-C08FBB63F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5632"/>
    <w:pPr>
      <w:ind w:left="720"/>
      <w:contextualSpacing/>
    </w:pPr>
  </w:style>
  <w:style w:type="paragraph" w:styleId="Header">
    <w:name w:val="header"/>
    <w:basedOn w:val="Normal"/>
    <w:link w:val="HeaderChar"/>
    <w:uiPriority w:val="99"/>
    <w:unhideWhenUsed/>
    <w:rsid w:val="00311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F57"/>
  </w:style>
  <w:style w:type="paragraph" w:styleId="Footer">
    <w:name w:val="footer"/>
    <w:basedOn w:val="Normal"/>
    <w:link w:val="FooterChar"/>
    <w:uiPriority w:val="99"/>
    <w:unhideWhenUsed/>
    <w:rsid w:val="00311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Pages>
  <Words>682</Words>
  <Characters>3888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McDonagh</dc:creator>
  <cp:keywords/>
  <dc:description/>
  <cp:lastModifiedBy>Olivia Mcdonagh (1301056)</cp:lastModifiedBy>
  <cp:revision>10</cp:revision>
  <dcterms:created xsi:type="dcterms:W3CDTF">2017-10-27T09:20:00Z</dcterms:created>
  <dcterms:modified xsi:type="dcterms:W3CDTF">2017-10-27T10:29:00Z</dcterms:modified>
</cp:coreProperties>
</file>