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93CCB" w:rsidRDefault="00A6646F" w:rsidP="001E60CE">
      <w:pPr>
        <w:jc w:val="both"/>
      </w:pPr>
      <w:r>
        <w:t xml:space="preserve">Although the </w:t>
      </w:r>
      <w:r w:rsidR="00662A3F">
        <w:t xml:space="preserve">legend of the Three Living and the Three Dead shows that the </w:t>
      </w:r>
      <w:r>
        <w:rPr>
          <w:i/>
        </w:rPr>
        <w:t>memento mori</w:t>
      </w:r>
      <w:r>
        <w:t xml:space="preserve"> was a core aspect of Christian belief</w:t>
      </w:r>
      <w:r w:rsidR="00662A3F">
        <w:t>s in connection to death and funerary culture</w:t>
      </w:r>
      <w:r>
        <w:t xml:space="preserve"> during the late medieval period</w:t>
      </w:r>
      <w:r w:rsidR="00A939C8">
        <w:t>, the</w:t>
      </w:r>
      <w:r w:rsidR="00E66BCC">
        <w:t xml:space="preserve"> </w:t>
      </w:r>
      <w:r>
        <w:t>reason as to how, and more importantly – why – must be discussed in rel</w:t>
      </w:r>
      <w:r w:rsidR="00341164">
        <w:t xml:space="preserve">ation to both its performativity, and within the context to which it functioned. </w:t>
      </w:r>
      <w:r w:rsidR="00E66BCC">
        <w:t xml:space="preserve"> This therefore requires an approach that is different to earlier studies of the legend (such as that by</w:t>
      </w:r>
      <w:r w:rsidR="005B181E">
        <w:t xml:space="preserve"> Willy Rotzeler</w:t>
      </w:r>
      <w:r w:rsidR="008C5882">
        <w:t>) which tended to focus on creating a chronology or categorising ‘archetypes’ of the style, as opposed examining its performativity and/or transmission in relation to its native context</w:t>
      </w:r>
      <w:r w:rsidR="000D2C20">
        <w:t>.</w:t>
      </w:r>
      <w:r w:rsidR="00A939C8">
        <w:rPr>
          <w:rStyle w:val="FootnoteReference"/>
        </w:rPr>
        <w:footnoteReference w:id="1"/>
      </w:r>
      <w:r w:rsidR="000D2C20">
        <w:t xml:space="preserve"> From there, one can gain an understanding into how the legend reflected the ever-changing attitudes towards death in Christianity during this period – in order to do so,  this requires discussion of the legend’s origins,  the specific elements at play (such as the dialogue b</w:t>
      </w:r>
      <w:r w:rsidR="00AB0917">
        <w:t>etween the living and the dead)</w:t>
      </w:r>
      <w:r w:rsidR="00BF764F">
        <w:t>, and the adaptability of these elements.</w:t>
      </w:r>
      <w:r w:rsidR="000742AC">
        <w:t xml:space="preserve"> This also requires discussion of the relevant context, namely the factors that either increased, or at least renewed interest in the legend in its entirety</w:t>
      </w:r>
      <w:r w:rsidR="00B4760B">
        <w:t xml:space="preserve"> – including the Black Death, but more importantly its origins in the late t</w:t>
      </w:r>
      <w:r w:rsidR="00BD3EBF">
        <w:t>hirteenth century (c. 1270 – 129</w:t>
      </w:r>
      <w:r w:rsidR="00B4760B">
        <w:t>5).</w:t>
      </w:r>
      <w:r w:rsidR="009C288C">
        <w:rPr>
          <w:rStyle w:val="FootnoteReference"/>
        </w:rPr>
        <w:footnoteReference w:id="2"/>
      </w:r>
    </w:p>
    <w:p w:rsidR="00B37776" w:rsidRDefault="00921126" w:rsidP="001E60CE">
      <w:pPr>
        <w:jc w:val="both"/>
      </w:pPr>
      <w:r>
        <w:t xml:space="preserve">Discussion however should begin by deconstructing the concept of the </w:t>
      </w:r>
      <w:r>
        <w:rPr>
          <w:i/>
        </w:rPr>
        <w:t>memento mori</w:t>
      </w:r>
      <w:r w:rsidR="006F7A6F">
        <w:t xml:space="preserve"> within the context of the high middle ages,</w:t>
      </w:r>
      <w:r>
        <w:t xml:space="preserve"> with particular focus on how the Three Living and the Three Dead fits into the bigger p</w:t>
      </w:r>
      <w:r w:rsidR="006F7A6F">
        <w:t>icture that i</w:t>
      </w:r>
      <w:r w:rsidR="00E037E4">
        <w:t>s its development. This</w:t>
      </w:r>
      <w:r w:rsidR="00F144F2">
        <w:t xml:space="preserve"> of whic</w:t>
      </w:r>
      <w:r w:rsidR="00B60A65">
        <w:t>h can be explained through its origins in the mid-late thirteenth century, and by examining the earliest extant version of the legend that exists from this period</w:t>
      </w:r>
      <w:r w:rsidR="00BD3EBF">
        <w:t xml:space="preserve"> (c. 1285 – 1292)</w:t>
      </w:r>
      <w:r w:rsidR="00B60A65">
        <w:t xml:space="preserve"> – </w:t>
      </w:r>
      <w:r w:rsidR="004D73AA">
        <w:rPr>
          <w:i/>
        </w:rPr>
        <w:t>The Encounter of the Three Dead and the Three Living</w:t>
      </w:r>
      <w:r w:rsidR="004D73AA">
        <w:t xml:space="preserve"> </w:t>
      </w:r>
      <w:r w:rsidR="00371ED3">
        <w:t xml:space="preserve">[MS. 132] </w:t>
      </w:r>
      <w:r w:rsidR="001325C9">
        <w:t xml:space="preserve">an illustrated poem </w:t>
      </w:r>
      <w:r w:rsidR="004D73AA">
        <w:t>written by poet Baudouin De Condé, and illustrated by Jean De Papele</w:t>
      </w:r>
      <w:r w:rsidR="00BD3EBF">
        <w:t>u.</w:t>
      </w:r>
      <w:r w:rsidR="00457345">
        <w:rPr>
          <w:rStyle w:val="FootnoteReference"/>
        </w:rPr>
        <w:footnoteReference w:id="3"/>
      </w:r>
      <w:r w:rsidR="00EB567D">
        <w:t xml:space="preserve"> Although originally commissioned as part of a larger manuscript for Marie of Brabant (1260 –</w:t>
      </w:r>
      <w:r w:rsidR="001C58F2">
        <w:t xml:space="preserve"> 1321), this version of the legend would become highly circulate</w:t>
      </w:r>
      <w:r w:rsidR="00E86743">
        <w:t xml:space="preserve">d (or reproduced) across France in the late </w:t>
      </w:r>
      <w:r w:rsidR="00216C7E">
        <w:t xml:space="preserve">thirteenth </w:t>
      </w:r>
      <w:r w:rsidR="00EC53C8">
        <w:t>and early fourteenth centuries – despite being unusual in composition c</w:t>
      </w:r>
      <w:r w:rsidR="00307E71">
        <w:t>ompared to other forms o</w:t>
      </w:r>
      <w:r w:rsidR="0000653F">
        <w:t>f macabre art from this period</w:t>
      </w:r>
      <w:r w:rsidR="008F251C">
        <w:t xml:space="preserve"> – as it goes against the principle of </w:t>
      </w:r>
      <w:r w:rsidR="008F251C">
        <w:rPr>
          <w:i/>
        </w:rPr>
        <w:t xml:space="preserve">horror vacui </w:t>
      </w:r>
      <w:r w:rsidR="008F251C">
        <w:t xml:space="preserve">(fear of </w:t>
      </w:r>
      <w:r w:rsidR="00FA1798">
        <w:t xml:space="preserve">empty space </w:t>
      </w:r>
      <w:r w:rsidR="008F251C">
        <w:t>or vacancy</w:t>
      </w:r>
      <w:r w:rsidR="0035133A">
        <w:t>) through its use of empty space in order to convey the void, and therefore the separation between life and death</w:t>
      </w:r>
      <w:r w:rsidR="00B95CF9">
        <w:t>.</w:t>
      </w:r>
      <w:r w:rsidR="00372671">
        <w:rPr>
          <w:rStyle w:val="FootnoteReference"/>
        </w:rPr>
        <w:footnoteReference w:id="4"/>
      </w:r>
      <w:r w:rsidR="00FA1798">
        <w:t xml:space="preserve">  This illustrates a departure from the need to create a sense of immediacy or urgency on the part of De Papeleu</w:t>
      </w:r>
      <w:r w:rsidR="00BA3096">
        <w:t>, and in turn create a scene that is far more passi</w:t>
      </w:r>
      <w:r w:rsidR="00A30284">
        <w:t>ve in nature to accompany the pensive message</w:t>
      </w:r>
      <w:r w:rsidR="00E037E4">
        <w:t xml:space="preserve"> in</w:t>
      </w:r>
      <w:r w:rsidR="00A30284">
        <w:t xml:space="preserve"> </w:t>
      </w:r>
      <w:r w:rsidR="00C918C0">
        <w:t>Baudouin’s poem</w:t>
      </w:r>
      <w:r w:rsidR="00AE3DA4">
        <w:t>.</w:t>
      </w:r>
      <w:r w:rsidR="007A3398">
        <w:t xml:space="preserve"> The overall intent as such is to shift focus away figurative to the literal – and therefore to the devotional.</w:t>
      </w:r>
      <w:r w:rsidR="007A3398">
        <w:rPr>
          <w:rStyle w:val="FootnoteReference"/>
        </w:rPr>
        <w:footnoteReference w:id="5"/>
      </w:r>
      <w:r w:rsidR="007A3398">
        <w:t xml:space="preserve"> </w:t>
      </w:r>
      <w:r w:rsidR="001E75EB">
        <w:t xml:space="preserve"> </w:t>
      </w:r>
      <w:r w:rsidR="00BF5723">
        <w:t>It is this single moment, independent of time or space that is important for as Death in this context is speculative force as opposed to an interventionist one, in contrast to the violence of later depictions from the fifteenth century onwards.</w:t>
      </w:r>
      <w:r w:rsidR="005F45E5">
        <w:rPr>
          <w:rStyle w:val="FootnoteReference"/>
        </w:rPr>
        <w:footnoteReference w:id="6"/>
      </w:r>
    </w:p>
    <w:p w:rsidR="00DA28EF" w:rsidRDefault="00BC521F" w:rsidP="00695797">
      <w:pPr>
        <w:jc w:val="both"/>
      </w:pPr>
      <w:r>
        <w:t xml:space="preserve">Conversely, the </w:t>
      </w:r>
      <w:r w:rsidR="001D6008">
        <w:t xml:space="preserve">resulting </w:t>
      </w:r>
      <w:r>
        <w:t xml:space="preserve">atmosphere of uneasiness </w:t>
      </w:r>
      <w:r w:rsidR="001D6008">
        <w:t>at play here is not an attempt to merely to frighten the reader, but in fact to hone Baudouin’s message by slyly pandering to their fears; he has created a physical representation of emptiness, of spiritual non-fulfilment</w:t>
      </w:r>
      <w:r w:rsidR="00E56028">
        <w:t>.</w:t>
      </w:r>
      <w:r w:rsidR="000F1CE1">
        <w:rPr>
          <w:rStyle w:val="FootnoteReference"/>
        </w:rPr>
        <w:footnoteReference w:id="7"/>
      </w:r>
      <w:r w:rsidR="00E56028">
        <w:t xml:space="preserve"> By heeding the words of the three dead, the </w:t>
      </w:r>
      <w:r w:rsidR="000F1CE1">
        <w:t>living can achieve spiritual fulfilment through prayer, both for themselves and those close to them who have since passed – and in</w:t>
      </w:r>
      <w:r w:rsidR="00D6049E">
        <w:t xml:space="preserve"> doing so find peace upon death, to avoid the </w:t>
      </w:r>
      <w:r w:rsidR="00D6049E">
        <w:lastRenderedPageBreak/>
        <w:t xml:space="preserve">existence of purgatory </w:t>
      </w:r>
      <w:r w:rsidR="00AB0917">
        <w:t>being lived out</w:t>
      </w:r>
      <w:r w:rsidR="00B37776">
        <w:t xml:space="preserve"> for eternity by the three dead.  It is this notion of purgatory that is of particular </w:t>
      </w:r>
      <w:r w:rsidR="005B3C38">
        <w:t xml:space="preserve">importance, as it serves to put the </w:t>
      </w:r>
      <w:r w:rsidR="005B3C38">
        <w:rPr>
          <w:i/>
        </w:rPr>
        <w:t>Encounter of the Three Dead and The Three Living</w:t>
      </w:r>
      <w:r w:rsidR="005B3C38">
        <w:t xml:space="preserve"> into the wider</w:t>
      </w:r>
      <w:r w:rsidR="00030C27">
        <w:t xml:space="preserve"> cultural</w:t>
      </w:r>
      <w:r w:rsidR="00BB2230">
        <w:t xml:space="preserve"> </w:t>
      </w:r>
      <w:r w:rsidR="005B3C38">
        <w:t>context of Christian belief during this period</w:t>
      </w:r>
      <w:r w:rsidR="00017E48">
        <w:t xml:space="preserve"> –</w:t>
      </w:r>
      <w:r w:rsidR="00900A6D">
        <w:t xml:space="preserve"> namely the acceptance of new concepts into canon</w:t>
      </w:r>
      <w:r w:rsidR="00956D5C">
        <w:t>, i.e. purgatory as a place rather than a state</w:t>
      </w:r>
      <w:r w:rsidR="00327468">
        <w:t xml:space="preserve"> at the Council of Lyon in 1274</w:t>
      </w:r>
      <w:r w:rsidR="00900A6D">
        <w:t>.</w:t>
      </w:r>
      <w:r w:rsidR="00900A6D">
        <w:rPr>
          <w:rStyle w:val="FootnoteReference"/>
        </w:rPr>
        <w:footnoteReference w:id="8"/>
      </w:r>
      <w:r w:rsidR="00327468">
        <w:t xml:space="preserve"> </w:t>
      </w:r>
      <w:r w:rsidR="00405283">
        <w:t xml:space="preserve">Though not an entirely unique concept </w:t>
      </w:r>
      <w:r w:rsidR="001E60CE">
        <w:t xml:space="preserve">to the thirteenth century (with the term </w:t>
      </w:r>
      <w:r w:rsidR="001E60CE">
        <w:rPr>
          <w:i/>
        </w:rPr>
        <w:t>Purgatorium</w:t>
      </w:r>
      <w:r w:rsidR="001E60CE">
        <w:t xml:space="preserve"> being first defined by Peter Comester in his </w:t>
      </w:r>
      <w:r w:rsidR="001E60CE">
        <w:rPr>
          <w:i/>
        </w:rPr>
        <w:t>Liber Genesis</w:t>
      </w:r>
      <w:r w:rsidR="001E60CE">
        <w:t xml:space="preserve"> of 1178/79) publication of texts such as Jacobus’ </w:t>
      </w:r>
      <w:r w:rsidR="001E60CE">
        <w:rPr>
          <w:i/>
        </w:rPr>
        <w:t>Golden Legend</w:t>
      </w:r>
      <w:r w:rsidR="001E60CE">
        <w:t xml:space="preserve"> (c.1260) introduced these ideas to the mainstream, </w:t>
      </w:r>
      <w:r w:rsidR="00EB10A0">
        <w:t>and in doing so created moral panic – concerns of which needed to be addressed seriously.</w:t>
      </w:r>
      <w:r w:rsidR="00904AAC">
        <w:rPr>
          <w:rStyle w:val="FootnoteReference"/>
        </w:rPr>
        <w:footnoteReference w:id="9"/>
      </w:r>
      <w:r w:rsidR="00EB10A0">
        <w:t xml:space="preserve"> The admittance of purgatory at the Council of Lyon in 1274, therefore, is a significant milestone in the development of the </w:t>
      </w:r>
      <w:r w:rsidR="00EB10A0">
        <w:rPr>
          <w:i/>
        </w:rPr>
        <w:t>memento mori</w:t>
      </w:r>
      <w:r w:rsidR="00EB10A0">
        <w:t xml:space="preserve"> (and by extension the encounter</w:t>
      </w:r>
      <w:r w:rsidR="00904AAC">
        <w:t>) as it marks the importance of not only remembrance – but also of penance (for vo</w:t>
      </w:r>
      <w:r w:rsidR="00695797">
        <w:t>luntary and involuntary sin) – as being understood “universally” by both the Western and Eastern churches.</w:t>
      </w:r>
      <w:r w:rsidR="00695797">
        <w:rPr>
          <w:rStyle w:val="FootnoteReference"/>
        </w:rPr>
        <w:footnoteReference w:id="10"/>
      </w:r>
      <w:r w:rsidR="00DD56B6">
        <w:t xml:space="preserve"> </w:t>
      </w:r>
      <w:r w:rsidR="009B72E6">
        <w:t xml:space="preserve"> When examined in this context, the empty space present in MS.132 does not seem too unusual in term of its narrative, but purely in the sense of aesthetics as it closely followed trends in religious thought. </w:t>
      </w:r>
      <w:r w:rsidR="007D2E09">
        <w:rPr>
          <w:rStyle w:val="FootnoteReference"/>
        </w:rPr>
        <w:footnoteReference w:id="11"/>
      </w:r>
      <w:r w:rsidR="009B72E6">
        <w:t xml:space="preserve"> </w:t>
      </w:r>
    </w:p>
    <w:p w:rsidR="00835AD5" w:rsidRDefault="00DD55C6" w:rsidP="00695797">
      <w:pPr>
        <w:jc w:val="both"/>
      </w:pPr>
      <w:r>
        <w:t xml:space="preserve">Although the </w:t>
      </w:r>
      <w:r>
        <w:rPr>
          <w:i/>
        </w:rPr>
        <w:t>Encounter</w:t>
      </w:r>
      <w:r>
        <w:t xml:space="preserve"> as depicted in MS.132 primarily made use of empty space to convey Baudouin and De Papeulu’s message later manuscripts deviated from this principle slightly through the use of simple backg</w:t>
      </w:r>
      <w:r w:rsidR="00943AA9">
        <w:t>rounds or settings – a compromise that is far more practical for both the creator and the viewer</w:t>
      </w:r>
      <w:r w:rsidR="00726BB8">
        <w:t xml:space="preserve"> – and as such allows greater control over transmission and reception.</w:t>
      </w:r>
      <w:r w:rsidR="00C85960">
        <w:rPr>
          <w:rStyle w:val="FootnoteReference"/>
        </w:rPr>
        <w:footnoteReference w:id="12"/>
      </w:r>
      <w:r w:rsidR="00726BB8">
        <w:t xml:space="preserve">  This can be explored thro</w:t>
      </w:r>
      <w:r w:rsidR="00C85960">
        <w:t xml:space="preserve">ugh the brief examination of two fourteenth century examples: </w:t>
      </w:r>
      <w:r w:rsidR="00726BB8">
        <w:t xml:space="preserve">the widely reputed </w:t>
      </w:r>
      <w:r w:rsidR="00726BB8">
        <w:rPr>
          <w:i/>
        </w:rPr>
        <w:t xml:space="preserve">Psalter Hours of Robert De Lisle </w:t>
      </w:r>
      <w:r w:rsidR="0044388C">
        <w:t>(c. 1310 –</w:t>
      </w:r>
      <w:r w:rsidR="00C85960">
        <w:t xml:space="preserve"> 1320), and folio 282 of the</w:t>
      </w:r>
      <w:r w:rsidR="00C85960">
        <w:rPr>
          <w:i/>
        </w:rPr>
        <w:t xml:space="preserve"> Petites Heures de Jean de Berry</w:t>
      </w:r>
      <w:r w:rsidR="00C85960">
        <w:t xml:space="preserve"> (MS lat.18014, c. 1385 – 1390).</w:t>
      </w:r>
      <w:r w:rsidR="00E738CF">
        <w:t xml:space="preserve"> Given the length of time that has elapsed between the creation of the De Lisle Hours and the Heures de Jean De Berry (approximately seventy years), there is understandably a significant difference in artistic quality or technique – the main intent of this comparison, however, is not to discuss their overall artistic quality, but rather the finer point that is their </w:t>
      </w:r>
      <w:r w:rsidR="007F569D">
        <w:t xml:space="preserve">respective use of space.  </w:t>
      </w:r>
    </w:p>
    <w:p w:rsidR="00DD56B6" w:rsidRDefault="007F569D" w:rsidP="00695797">
      <w:pPr>
        <w:jc w:val="both"/>
      </w:pPr>
      <w:r>
        <w:t xml:space="preserve">Conversely, the De Lisle Hours is close in composition to the original MS.132 image, and </w:t>
      </w:r>
      <w:r w:rsidR="00632864">
        <w:t>expands upon</w:t>
      </w:r>
      <w:r>
        <w:t xml:space="preserve"> it by making a number of small changes</w:t>
      </w:r>
      <w:r w:rsidR="00B72858">
        <w:t>.  Among these changes includes the use of a simplified backgro</w:t>
      </w:r>
      <w:r w:rsidR="00632864">
        <w:t xml:space="preserve">und, which, like the original, </w:t>
      </w:r>
      <w:r w:rsidR="00B72858">
        <w:t xml:space="preserve">as Ashby Kinch </w:t>
      </w:r>
      <w:r w:rsidR="00632864">
        <w:t>puts across rather well “excavates the image from a narrative context” and in doing so “de-historicizes the encounter, by taking it out of the socio-political and putting it into the aesthetico-religious” – in other words, the encounter between the living and the dead, and by the extension the lesson it imparts exist independently of time or space, and to which earthly matters (i.e. politics or social attitudes), would therefore have no bearing on it whatsoever.</w:t>
      </w:r>
      <w:r w:rsidR="00632864">
        <w:rPr>
          <w:rStyle w:val="FootnoteReference"/>
        </w:rPr>
        <w:footnoteReference w:id="13"/>
      </w:r>
      <w:r w:rsidR="00312DC0">
        <w:t xml:space="preserve"> This isolation from the mortal plain is further evident in the border that frames the illuminations as it goes as far as to physically separate both the living and the dead</w:t>
      </w:r>
      <w:r w:rsidR="00A67BFF">
        <w:t xml:space="preserve"> from one another; a deliberate design choice by the creator to allow the reader to visualise themselves with the message in mind. </w:t>
      </w:r>
      <w:r w:rsidR="00835AD5">
        <w:t xml:space="preserve"> </w:t>
      </w:r>
    </w:p>
    <w:p w:rsidR="00835AD5" w:rsidRDefault="00835AD5" w:rsidP="00695797">
      <w:pPr>
        <w:jc w:val="both"/>
      </w:pPr>
      <w:r>
        <w:t>Alternatively, the Heures de Jean De Berry chooses to achieve this by adopting a setting that is neither regionally nor locally specific in order to achieve the same effect – as do other example</w:t>
      </w:r>
      <w:r w:rsidR="002B0423">
        <w:t>s from this period, and those in the early fifteenth century.</w:t>
      </w:r>
    </w:p>
    <w:p w:rsidR="002B0423" w:rsidRDefault="002B0423" w:rsidP="00695797">
      <w:pPr>
        <w:jc w:val="both"/>
      </w:pPr>
    </w:p>
    <w:p w:rsidR="002B0423" w:rsidRPr="002B0423" w:rsidRDefault="002B0423" w:rsidP="002B0423">
      <w:r w:rsidRPr="002B0423">
        <w:rPr>
          <w:u w:val="single"/>
        </w:rPr>
        <w:lastRenderedPageBreak/>
        <w:t>Bibliography</w:t>
      </w:r>
    </w:p>
    <w:p w:rsidR="002B0423" w:rsidRPr="002B0423" w:rsidRDefault="002B0423" w:rsidP="002B0423">
      <w:pPr>
        <w:jc w:val="both"/>
      </w:pPr>
      <w:r w:rsidRPr="002B0423">
        <w:t>Ashby Kinch. 2008.</w:t>
      </w:r>
      <w:r w:rsidRPr="002B0423">
        <w:rPr>
          <w:i/>
          <w:iCs/>
        </w:rPr>
        <w:t> 'Image, Ideology, and Form: The Middle English Three Dead Kings in Its Iconographic Context'</w:t>
      </w:r>
      <w:r w:rsidRPr="002B0423">
        <w:t xml:space="preserve">, </w:t>
      </w:r>
      <w:proofErr w:type="gramStart"/>
      <w:r w:rsidRPr="002B0423">
        <w:t>The</w:t>
      </w:r>
      <w:proofErr w:type="gramEnd"/>
      <w:r w:rsidRPr="002B0423">
        <w:t xml:space="preserve"> Chaucer Review, 43: 48-81</w:t>
      </w:r>
    </w:p>
    <w:p w:rsidR="002B0423" w:rsidRPr="002B0423" w:rsidRDefault="002B0423" w:rsidP="002B0423">
      <w:pPr>
        <w:jc w:val="both"/>
      </w:pPr>
      <w:r w:rsidRPr="002B0423">
        <w:t>Gertsman, E. 2012.</w:t>
      </w:r>
      <w:r w:rsidRPr="002B0423">
        <w:rPr>
          <w:i/>
          <w:iCs/>
        </w:rPr>
        <w:t> 'The Gap of Death: Passive Violence in the Encounter between the Three Dead and the Three Living'</w:t>
      </w:r>
      <w:r w:rsidRPr="002B0423">
        <w:t>, in Terry-Fritsch, A., and E.F. Labbie (eds.) (United Kingdom: Surrey: Ashgate), pp. 87-103</w:t>
      </w:r>
    </w:p>
    <w:p w:rsidR="002B0423" w:rsidRPr="002B0423" w:rsidRDefault="002B0423" w:rsidP="002B0423">
      <w:pPr>
        <w:jc w:val="both"/>
      </w:pPr>
      <w:r w:rsidRPr="002B0423">
        <w:t>Kralik, C. 2011.</w:t>
      </w:r>
      <w:r w:rsidRPr="002B0423">
        <w:rPr>
          <w:i/>
          <w:iCs/>
        </w:rPr>
        <w:t> 'Dialogue and violence in m</w:t>
      </w:r>
      <w:bookmarkStart w:id="0" w:name="_GoBack"/>
      <w:bookmarkEnd w:id="0"/>
      <w:r w:rsidRPr="002B0423">
        <w:rPr>
          <w:i/>
          <w:iCs/>
        </w:rPr>
        <w:t>edieval illuminations of the Three Living and the Three Dead'</w:t>
      </w:r>
      <w:r w:rsidRPr="002B0423">
        <w:t>, in Oosterwijk, S., and S. Knöll (eds.)</w:t>
      </w:r>
      <w:r w:rsidRPr="002B0423">
        <w:rPr>
          <w:i/>
          <w:iCs/>
        </w:rPr>
        <w:t> Mixed Metaphors: The Danse Macabre in Medieval and Early Modern Europe</w:t>
      </w:r>
    </w:p>
    <w:p w:rsidR="00632864" w:rsidRPr="00B72858" w:rsidRDefault="00632864" w:rsidP="00695797">
      <w:pPr>
        <w:jc w:val="both"/>
      </w:pPr>
    </w:p>
    <w:sectPr w:rsidR="00632864" w:rsidRPr="00B728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939C8" w:rsidRDefault="00A939C8" w:rsidP="00A939C8">
      <w:pPr>
        <w:spacing w:after="0" w:line="240" w:lineRule="auto"/>
      </w:pPr>
      <w:r>
        <w:separator/>
      </w:r>
    </w:p>
  </w:endnote>
  <w:endnote w:type="continuationSeparator" w:id="0">
    <w:p w:rsidR="00A939C8" w:rsidRDefault="00A939C8" w:rsidP="00A939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939C8" w:rsidRDefault="00A939C8" w:rsidP="00A939C8">
      <w:pPr>
        <w:spacing w:after="0" w:line="240" w:lineRule="auto"/>
      </w:pPr>
      <w:r>
        <w:separator/>
      </w:r>
    </w:p>
  </w:footnote>
  <w:footnote w:type="continuationSeparator" w:id="0">
    <w:p w:rsidR="00A939C8" w:rsidRDefault="00A939C8" w:rsidP="00A939C8">
      <w:pPr>
        <w:spacing w:after="0" w:line="240" w:lineRule="auto"/>
      </w:pPr>
      <w:r>
        <w:continuationSeparator/>
      </w:r>
    </w:p>
  </w:footnote>
  <w:footnote w:id="1">
    <w:p w:rsidR="00A939C8" w:rsidRDefault="00A939C8">
      <w:pPr>
        <w:pStyle w:val="FootnoteText"/>
      </w:pPr>
      <w:r>
        <w:rPr>
          <w:rStyle w:val="FootnoteReference"/>
        </w:rPr>
        <w:footnoteRef/>
      </w:r>
      <w:r>
        <w:t xml:space="preserve"> </w:t>
      </w:r>
      <w:r w:rsidR="00E82FCB" w:rsidRPr="00E82FCB">
        <w:t>Kinch, Ashby, 'Image, Ideology and Form: the Middle English Three Dead Kings in its Iconographic Context', </w:t>
      </w:r>
      <w:r w:rsidR="00E82FCB" w:rsidRPr="00E82FCB">
        <w:rPr>
          <w:i/>
          <w:iCs/>
        </w:rPr>
        <w:t>Chaucer Review</w:t>
      </w:r>
      <w:r w:rsidR="00E82FCB" w:rsidRPr="00E82FCB">
        <w:t>, 43.1, (2008), pp49</w:t>
      </w:r>
      <w:r w:rsidR="00E82FCB">
        <w:t xml:space="preserve">, </w:t>
      </w:r>
      <w:r w:rsidRPr="00A939C8">
        <w:t>Kralik, C. 2011.</w:t>
      </w:r>
      <w:r w:rsidRPr="00A939C8">
        <w:rPr>
          <w:i/>
          <w:iCs/>
        </w:rPr>
        <w:t> </w:t>
      </w:r>
      <w:r w:rsidR="00E82FCB">
        <w:rPr>
          <w:i/>
          <w:iCs/>
        </w:rPr>
        <w:t>'Dialogue and Violence in Medieval I</w:t>
      </w:r>
      <w:r w:rsidRPr="00A939C8">
        <w:rPr>
          <w:i/>
          <w:iCs/>
        </w:rPr>
        <w:t>lluminations of the Three Living and the Three Dead'</w:t>
      </w:r>
      <w:r w:rsidRPr="00A939C8">
        <w:t>, in Oosterwijk, S., and S. Knöll (eds.)</w:t>
      </w:r>
      <w:r w:rsidRPr="00A939C8">
        <w:rPr>
          <w:i/>
          <w:iCs/>
        </w:rPr>
        <w:t>Mixed Metaphors: The Danse Macabre in Medieval and Early Modern Europe</w:t>
      </w:r>
      <w:r>
        <w:t> pp134</w:t>
      </w:r>
    </w:p>
  </w:footnote>
  <w:footnote w:id="2">
    <w:p w:rsidR="009C288C" w:rsidRDefault="009C288C">
      <w:pPr>
        <w:pStyle w:val="FootnoteText"/>
      </w:pPr>
      <w:r>
        <w:rPr>
          <w:rStyle w:val="FootnoteReference"/>
        </w:rPr>
        <w:footnoteRef/>
      </w:r>
      <w:proofErr w:type="gramStart"/>
      <w:r w:rsidR="00D83194" w:rsidRPr="00D83194">
        <w:t>Gertsman, E. 2012.</w:t>
      </w:r>
      <w:proofErr w:type="gramEnd"/>
      <w:r w:rsidR="00D83194" w:rsidRPr="00D83194">
        <w:rPr>
          <w:i/>
          <w:iCs/>
        </w:rPr>
        <w:t> 'The Gap of Death: Passive Violence in the Encounter between the Three Dead and the Three Living'</w:t>
      </w:r>
      <w:r w:rsidR="00D83194" w:rsidRPr="00D83194">
        <w:t>, in Terry-Fritsch, A., and E.F. Labbie (eds.) (United Kingd</w:t>
      </w:r>
      <w:r w:rsidR="00DA5C9F">
        <w:t>om: Surrey: Ashgate), pp.88,</w:t>
      </w:r>
      <w:r>
        <w:t xml:space="preserve"> Kralik, C. 2011, pp35</w:t>
      </w:r>
    </w:p>
  </w:footnote>
  <w:footnote w:id="3">
    <w:p w:rsidR="00457345" w:rsidRDefault="00457345">
      <w:pPr>
        <w:pStyle w:val="FootnoteText"/>
      </w:pPr>
      <w:r>
        <w:rPr>
          <w:rStyle w:val="FootnoteReference"/>
        </w:rPr>
        <w:footnoteRef/>
      </w:r>
      <w:r>
        <w:t xml:space="preserve"> Ger</w:t>
      </w:r>
      <w:r w:rsidR="00632864">
        <w:t>tsman, E. 2012, pp89, Kralik, C. 2011,</w:t>
      </w:r>
      <w:r>
        <w:t xml:space="preserve"> pp36</w:t>
      </w:r>
    </w:p>
  </w:footnote>
  <w:footnote w:id="4">
    <w:p w:rsidR="00372671" w:rsidRDefault="00372671">
      <w:pPr>
        <w:pStyle w:val="FootnoteText"/>
      </w:pPr>
      <w:r>
        <w:rPr>
          <w:rStyle w:val="FootnoteReference"/>
        </w:rPr>
        <w:footnoteRef/>
      </w:r>
      <w:r>
        <w:t xml:space="preserve"> Ger</w:t>
      </w:r>
      <w:r w:rsidR="00632864">
        <w:t>tsman, E. 2012, pp90, Kralik, C. 2011,</w:t>
      </w:r>
      <w:r>
        <w:t xml:space="preserve"> pp37</w:t>
      </w:r>
    </w:p>
  </w:footnote>
  <w:footnote w:id="5">
    <w:p w:rsidR="007A3398" w:rsidRDefault="007A3398">
      <w:pPr>
        <w:pStyle w:val="FootnoteText"/>
      </w:pPr>
      <w:r>
        <w:rPr>
          <w:rStyle w:val="FootnoteReference"/>
        </w:rPr>
        <w:footnoteRef/>
      </w:r>
      <w:r>
        <w:t xml:space="preserve"> Ger</w:t>
      </w:r>
      <w:r w:rsidR="00632864">
        <w:t>tsman, E., 2012,pp90, Kralik, C. 2011</w:t>
      </w:r>
      <w:r>
        <w:t xml:space="preserve"> </w:t>
      </w:r>
      <w:r w:rsidR="00632864">
        <w:t>,</w:t>
      </w:r>
      <w:r>
        <w:t>pp37</w:t>
      </w:r>
    </w:p>
  </w:footnote>
  <w:footnote w:id="6">
    <w:p w:rsidR="005F45E5" w:rsidRDefault="005F45E5">
      <w:pPr>
        <w:pStyle w:val="FootnoteText"/>
      </w:pPr>
      <w:r>
        <w:rPr>
          <w:rStyle w:val="FootnoteReference"/>
        </w:rPr>
        <w:footnoteRef/>
      </w:r>
      <w:r>
        <w:t xml:space="preserve"> Gert</w:t>
      </w:r>
      <w:r w:rsidR="00632864">
        <w:t>sman, E., 2012, pp90, Kralik, C. 2011,</w:t>
      </w:r>
      <w:r>
        <w:t xml:space="preserve"> pp42</w:t>
      </w:r>
    </w:p>
  </w:footnote>
  <w:footnote w:id="7">
    <w:p w:rsidR="000F1CE1" w:rsidRDefault="000F1CE1">
      <w:pPr>
        <w:pStyle w:val="FootnoteText"/>
      </w:pPr>
      <w:r>
        <w:rPr>
          <w:rStyle w:val="FootnoteReference"/>
        </w:rPr>
        <w:footnoteRef/>
      </w:r>
      <w:r>
        <w:t xml:space="preserve"> Gertsman, E., 2012,pp90</w:t>
      </w:r>
    </w:p>
  </w:footnote>
  <w:footnote w:id="8">
    <w:p w:rsidR="00900A6D" w:rsidRDefault="00900A6D">
      <w:pPr>
        <w:pStyle w:val="FootnoteText"/>
      </w:pPr>
      <w:r>
        <w:rPr>
          <w:rStyle w:val="FootnoteReference"/>
        </w:rPr>
        <w:footnoteRef/>
      </w:r>
      <w:r>
        <w:t xml:space="preserve"> Gert</w:t>
      </w:r>
      <w:r w:rsidR="00632864">
        <w:t>sman, E. 2012, pp91, Kralik, C. 2011,</w:t>
      </w:r>
      <w:r>
        <w:t xml:space="preserve"> pp40</w:t>
      </w:r>
    </w:p>
  </w:footnote>
  <w:footnote w:id="9">
    <w:p w:rsidR="00904AAC" w:rsidRDefault="00904AAC">
      <w:pPr>
        <w:pStyle w:val="FootnoteText"/>
      </w:pPr>
      <w:r>
        <w:rPr>
          <w:rStyle w:val="FootnoteReference"/>
        </w:rPr>
        <w:footnoteRef/>
      </w:r>
      <w:r>
        <w:t xml:space="preserve"> Gertsman, E. 2012, pp91, Kralik, C.</w:t>
      </w:r>
      <w:r w:rsidR="00632864">
        <w:t xml:space="preserve"> 2011</w:t>
      </w:r>
      <w:r>
        <w:t>, pp40</w:t>
      </w:r>
    </w:p>
  </w:footnote>
  <w:footnote w:id="10">
    <w:p w:rsidR="00695797" w:rsidRDefault="00695797">
      <w:pPr>
        <w:pStyle w:val="FootnoteText"/>
      </w:pPr>
      <w:r>
        <w:rPr>
          <w:rStyle w:val="FootnoteReference"/>
        </w:rPr>
        <w:footnoteRef/>
      </w:r>
      <w:r>
        <w:t xml:space="preserve"> Gertsman, E. 2012, pp91, Kralik, C.</w:t>
      </w:r>
      <w:r w:rsidR="00632864">
        <w:t xml:space="preserve"> 2011</w:t>
      </w:r>
      <w:r>
        <w:t>, pp40</w:t>
      </w:r>
    </w:p>
  </w:footnote>
  <w:footnote w:id="11">
    <w:p w:rsidR="007D2E09" w:rsidRDefault="007D2E09">
      <w:pPr>
        <w:pStyle w:val="FootnoteText"/>
      </w:pPr>
      <w:r>
        <w:rPr>
          <w:rStyle w:val="FootnoteReference"/>
        </w:rPr>
        <w:footnoteRef/>
      </w:r>
      <w:r>
        <w:t xml:space="preserve"> Gertsman, E. 2012, pp91, Kralik, C.</w:t>
      </w:r>
      <w:r w:rsidR="00632864">
        <w:t xml:space="preserve"> 2011</w:t>
      </w:r>
      <w:r>
        <w:t>, pp40</w:t>
      </w:r>
    </w:p>
  </w:footnote>
  <w:footnote w:id="12">
    <w:p w:rsidR="00C85960" w:rsidRDefault="00C85960">
      <w:pPr>
        <w:pStyle w:val="FootnoteText"/>
      </w:pPr>
      <w:r>
        <w:rPr>
          <w:rStyle w:val="FootnoteReference"/>
        </w:rPr>
        <w:footnoteRef/>
      </w:r>
      <w:r>
        <w:t xml:space="preserve"> Gertsman, E, 2012, pp91, Kinch, A.</w:t>
      </w:r>
      <w:r w:rsidR="00632864">
        <w:t xml:space="preserve"> 2008 </w:t>
      </w:r>
      <w:r>
        <w:t>, pp55</w:t>
      </w:r>
      <w:r w:rsidR="00B23A7F">
        <w:t>, Kralik, C.</w:t>
      </w:r>
      <w:r w:rsidR="00632864">
        <w:t xml:space="preserve"> 2011</w:t>
      </w:r>
      <w:r w:rsidR="00B23A7F">
        <w:t>, pp41</w:t>
      </w:r>
    </w:p>
  </w:footnote>
  <w:footnote w:id="13">
    <w:p w:rsidR="00632864" w:rsidRDefault="00632864">
      <w:pPr>
        <w:pStyle w:val="FootnoteText"/>
      </w:pPr>
      <w:r>
        <w:rPr>
          <w:rStyle w:val="FootnoteReference"/>
        </w:rPr>
        <w:footnoteRef/>
      </w:r>
      <w:r>
        <w:t xml:space="preserve"> </w:t>
      </w:r>
      <w:proofErr w:type="gramStart"/>
      <w:r>
        <w:t>Kinch, A.</w:t>
      </w:r>
      <w:proofErr w:type="gramEnd"/>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6646F"/>
    <w:rsid w:val="0000653F"/>
    <w:rsid w:val="00017E48"/>
    <w:rsid w:val="00030C27"/>
    <w:rsid w:val="000742AC"/>
    <w:rsid w:val="000C3B47"/>
    <w:rsid w:val="000D2C20"/>
    <w:rsid w:val="000F1CE1"/>
    <w:rsid w:val="000F59FE"/>
    <w:rsid w:val="00111441"/>
    <w:rsid w:val="001325C9"/>
    <w:rsid w:val="001440E2"/>
    <w:rsid w:val="00173E50"/>
    <w:rsid w:val="001C58F2"/>
    <w:rsid w:val="001D6008"/>
    <w:rsid w:val="001E60CE"/>
    <w:rsid w:val="001E75EB"/>
    <w:rsid w:val="00216C7E"/>
    <w:rsid w:val="00223822"/>
    <w:rsid w:val="00254F8B"/>
    <w:rsid w:val="002866BB"/>
    <w:rsid w:val="002B0423"/>
    <w:rsid w:val="00307E71"/>
    <w:rsid w:val="00312DC0"/>
    <w:rsid w:val="003221E1"/>
    <w:rsid w:val="00327468"/>
    <w:rsid w:val="00341164"/>
    <w:rsid w:val="0035133A"/>
    <w:rsid w:val="00371ED3"/>
    <w:rsid w:val="00372671"/>
    <w:rsid w:val="003E2DC3"/>
    <w:rsid w:val="00405283"/>
    <w:rsid w:val="0044388C"/>
    <w:rsid w:val="00457345"/>
    <w:rsid w:val="00475824"/>
    <w:rsid w:val="004B2C57"/>
    <w:rsid w:val="004D73AA"/>
    <w:rsid w:val="00526836"/>
    <w:rsid w:val="005B181E"/>
    <w:rsid w:val="005B24F7"/>
    <w:rsid w:val="005B3C38"/>
    <w:rsid w:val="005E1846"/>
    <w:rsid w:val="005E7332"/>
    <w:rsid w:val="005F45E5"/>
    <w:rsid w:val="006079D8"/>
    <w:rsid w:val="00632864"/>
    <w:rsid w:val="00633117"/>
    <w:rsid w:val="00662A3F"/>
    <w:rsid w:val="00695797"/>
    <w:rsid w:val="006F5C18"/>
    <w:rsid w:val="006F7A6F"/>
    <w:rsid w:val="00702F73"/>
    <w:rsid w:val="00714C8B"/>
    <w:rsid w:val="007258ED"/>
    <w:rsid w:val="00726BB8"/>
    <w:rsid w:val="007A3398"/>
    <w:rsid w:val="007D2E09"/>
    <w:rsid w:val="007F569D"/>
    <w:rsid w:val="00815437"/>
    <w:rsid w:val="00835AD5"/>
    <w:rsid w:val="008414B4"/>
    <w:rsid w:val="008C5882"/>
    <w:rsid w:val="008F251C"/>
    <w:rsid w:val="00900A6D"/>
    <w:rsid w:val="00904AAC"/>
    <w:rsid w:val="009105D0"/>
    <w:rsid w:val="00921126"/>
    <w:rsid w:val="00943AA9"/>
    <w:rsid w:val="00956D5C"/>
    <w:rsid w:val="009B72E6"/>
    <w:rsid w:val="009C288C"/>
    <w:rsid w:val="009C6AFB"/>
    <w:rsid w:val="009C70FD"/>
    <w:rsid w:val="00A30284"/>
    <w:rsid w:val="00A50535"/>
    <w:rsid w:val="00A6646F"/>
    <w:rsid w:val="00A67BFF"/>
    <w:rsid w:val="00A939C8"/>
    <w:rsid w:val="00A93CCB"/>
    <w:rsid w:val="00AB0917"/>
    <w:rsid w:val="00AE3DA4"/>
    <w:rsid w:val="00B10F0C"/>
    <w:rsid w:val="00B23A7F"/>
    <w:rsid w:val="00B37776"/>
    <w:rsid w:val="00B4074D"/>
    <w:rsid w:val="00B4760B"/>
    <w:rsid w:val="00B60A65"/>
    <w:rsid w:val="00B72858"/>
    <w:rsid w:val="00B86175"/>
    <w:rsid w:val="00B95CF9"/>
    <w:rsid w:val="00BA3096"/>
    <w:rsid w:val="00BB2230"/>
    <w:rsid w:val="00BC521F"/>
    <w:rsid w:val="00BD3EBF"/>
    <w:rsid w:val="00BF5723"/>
    <w:rsid w:val="00BF764F"/>
    <w:rsid w:val="00C27DD4"/>
    <w:rsid w:val="00C453AE"/>
    <w:rsid w:val="00C85960"/>
    <w:rsid w:val="00C918C0"/>
    <w:rsid w:val="00CA7827"/>
    <w:rsid w:val="00CC5663"/>
    <w:rsid w:val="00D11EFA"/>
    <w:rsid w:val="00D6049E"/>
    <w:rsid w:val="00D61305"/>
    <w:rsid w:val="00D83194"/>
    <w:rsid w:val="00DA28EF"/>
    <w:rsid w:val="00DA5C9F"/>
    <w:rsid w:val="00DD55C6"/>
    <w:rsid w:val="00DD56B6"/>
    <w:rsid w:val="00E037E4"/>
    <w:rsid w:val="00E56028"/>
    <w:rsid w:val="00E66BCC"/>
    <w:rsid w:val="00E72A9D"/>
    <w:rsid w:val="00E738CF"/>
    <w:rsid w:val="00E82FCB"/>
    <w:rsid w:val="00E86743"/>
    <w:rsid w:val="00EB10A0"/>
    <w:rsid w:val="00EB567D"/>
    <w:rsid w:val="00EC53C8"/>
    <w:rsid w:val="00F144F2"/>
    <w:rsid w:val="00F26AFF"/>
    <w:rsid w:val="00F43A21"/>
    <w:rsid w:val="00F978FA"/>
    <w:rsid w:val="00FA1798"/>
    <w:rsid w:val="00FB2A6B"/>
    <w:rsid w:val="00FE4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939C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939C8"/>
    <w:rPr>
      <w:sz w:val="20"/>
      <w:szCs w:val="20"/>
    </w:rPr>
  </w:style>
  <w:style w:type="character" w:styleId="FootnoteReference">
    <w:name w:val="footnote reference"/>
    <w:basedOn w:val="DefaultParagraphFont"/>
    <w:uiPriority w:val="99"/>
    <w:semiHidden/>
    <w:unhideWhenUsed/>
    <w:rsid w:val="00A939C8"/>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939C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939C8"/>
    <w:rPr>
      <w:sz w:val="20"/>
      <w:szCs w:val="20"/>
    </w:rPr>
  </w:style>
  <w:style w:type="character" w:styleId="FootnoteReference">
    <w:name w:val="footnote reference"/>
    <w:basedOn w:val="DefaultParagraphFont"/>
    <w:uiPriority w:val="99"/>
    <w:semiHidden/>
    <w:unhideWhenUsed/>
    <w:rsid w:val="00A939C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76171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78A94E-4052-4112-B236-5417E578AB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590</TotalTime>
  <Pages>3</Pages>
  <Words>1150</Words>
  <Characters>6558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Vincent Hingley (1501141)</dc:creator>
  <cp:lastModifiedBy>Administrator</cp:lastModifiedBy>
  <cp:revision>48</cp:revision>
  <dcterms:created xsi:type="dcterms:W3CDTF">2018-01-17T17:07:00Z</dcterms:created>
  <dcterms:modified xsi:type="dcterms:W3CDTF">2018-01-19T18:01:00Z</dcterms:modified>
</cp:coreProperties>
</file>