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EC027" w14:textId="77777777" w:rsidR="0031107E" w:rsidRPr="00713707" w:rsidRDefault="0031107E" w:rsidP="0031107E">
      <w:pPr>
        <w:spacing w:line="360" w:lineRule="auto"/>
        <w:rPr>
          <w:rFonts w:ascii="Arial" w:hAnsi="Arial" w:cs="Arial"/>
        </w:rPr>
      </w:pPr>
      <w:bookmarkStart w:id="0" w:name="_Hlk206143967"/>
      <w:bookmarkEnd w:id="0"/>
      <w:r w:rsidRPr="00713707">
        <w:rPr>
          <w:rFonts w:ascii="Arial" w:hAnsi="Arial" w:cs="Arial"/>
          <w:noProof/>
        </w:rPr>
        <w:drawing>
          <wp:inline distT="0" distB="0" distL="0" distR="0" wp14:anchorId="79ED69CE" wp14:editId="240101DE">
            <wp:extent cx="5670550" cy="1600200"/>
            <wp:effectExtent l="0" t="0" r="6350" b="0"/>
            <wp:docPr id="173851680" name="Рисунок 4" descr="Изображение выглядит как текст, Шрифт, логотип, Графика&#10;&#10;Контент, сгенерированный ИИ, может содержать ошиб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51680" name="Рисунок 4" descr="Изображение выглядит как текст, Шрифт, логотип, Графика&#10;&#10;Контент, сгенерированный ИИ, может содержать ошибк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70550" cy="1600200"/>
                    </a:xfrm>
                    <a:prstGeom prst="rect">
                      <a:avLst/>
                    </a:prstGeom>
                    <a:noFill/>
                    <a:ln>
                      <a:noFill/>
                    </a:ln>
                  </pic:spPr>
                </pic:pic>
              </a:graphicData>
            </a:graphic>
          </wp:inline>
        </w:drawing>
      </w:r>
    </w:p>
    <w:p w14:paraId="237E8B43" w14:textId="77777777" w:rsidR="0031107E" w:rsidRPr="00713707" w:rsidRDefault="0031107E" w:rsidP="0031107E">
      <w:pPr>
        <w:spacing w:line="360" w:lineRule="auto"/>
        <w:rPr>
          <w:rFonts w:ascii="Arial" w:hAnsi="Arial" w:cs="Arial"/>
        </w:rPr>
      </w:pPr>
    </w:p>
    <w:p w14:paraId="48B13CD1" w14:textId="77777777" w:rsidR="0031107E" w:rsidRPr="00713707" w:rsidRDefault="0031107E" w:rsidP="0031107E">
      <w:pPr>
        <w:spacing w:line="360" w:lineRule="auto"/>
        <w:rPr>
          <w:rFonts w:ascii="Arial" w:hAnsi="Arial" w:cs="Arial"/>
        </w:rPr>
      </w:pPr>
    </w:p>
    <w:p w14:paraId="5276EF99" w14:textId="77777777" w:rsidR="0031107E" w:rsidRPr="00713707" w:rsidRDefault="0031107E" w:rsidP="0031107E">
      <w:pPr>
        <w:spacing w:line="360" w:lineRule="auto"/>
        <w:rPr>
          <w:rFonts w:ascii="Arial" w:hAnsi="Arial" w:cs="Arial"/>
        </w:rPr>
      </w:pPr>
    </w:p>
    <w:p w14:paraId="37D299F9" w14:textId="77777777" w:rsidR="0031107E" w:rsidRPr="00082792" w:rsidRDefault="0031107E" w:rsidP="0031107E">
      <w:pPr>
        <w:spacing w:line="360" w:lineRule="auto"/>
        <w:rPr>
          <w:rFonts w:ascii="Arial" w:hAnsi="Arial" w:cs="Arial"/>
          <w:sz w:val="28"/>
          <w:szCs w:val="28"/>
          <w:lang w:val="en-US"/>
        </w:rPr>
      </w:pPr>
    </w:p>
    <w:p w14:paraId="2569B3AF" w14:textId="201E4CA3" w:rsidR="0031107E" w:rsidRPr="00082792" w:rsidRDefault="0031107E" w:rsidP="0031107E">
      <w:pPr>
        <w:spacing w:line="360" w:lineRule="auto"/>
        <w:jc w:val="center"/>
        <w:rPr>
          <w:rFonts w:ascii="Arial" w:hAnsi="Arial" w:cs="Arial"/>
          <w:b/>
          <w:bCs/>
          <w:sz w:val="28"/>
          <w:szCs w:val="28"/>
        </w:rPr>
      </w:pPr>
      <w:r w:rsidRPr="00082792">
        <w:rPr>
          <w:rFonts w:ascii="Arial" w:hAnsi="Arial" w:cs="Arial"/>
          <w:b/>
          <w:bCs/>
          <w:sz w:val="28"/>
          <w:szCs w:val="28"/>
        </w:rPr>
        <w:t>Marketing Management</w:t>
      </w:r>
      <w:r w:rsidRPr="00082792">
        <w:rPr>
          <w:rFonts w:ascii="Arial" w:hAnsi="Arial" w:cs="Arial"/>
          <w:b/>
          <w:bCs/>
          <w:sz w:val="28"/>
          <w:szCs w:val="28"/>
          <w:lang w:val="en-US"/>
        </w:rPr>
        <w:t xml:space="preserve"> </w:t>
      </w:r>
      <w:r w:rsidRPr="00082792">
        <w:rPr>
          <w:rFonts w:ascii="Arial" w:hAnsi="Arial" w:cs="Arial"/>
          <w:b/>
          <w:bCs/>
          <w:sz w:val="28"/>
          <w:szCs w:val="28"/>
        </w:rPr>
        <w:t>LCMB7024</w:t>
      </w:r>
    </w:p>
    <w:p w14:paraId="631F0C53" w14:textId="4BD288F8" w:rsidR="0031107E" w:rsidRPr="00082792" w:rsidRDefault="0031107E" w:rsidP="0031107E">
      <w:pPr>
        <w:spacing w:line="360" w:lineRule="auto"/>
        <w:jc w:val="center"/>
        <w:rPr>
          <w:rFonts w:ascii="Arial" w:hAnsi="Arial" w:cs="Arial"/>
          <w:b/>
          <w:bCs/>
          <w:sz w:val="28"/>
          <w:szCs w:val="28"/>
        </w:rPr>
      </w:pPr>
      <w:r w:rsidRPr="00082792">
        <w:rPr>
          <w:rFonts w:ascii="Arial" w:hAnsi="Arial" w:cs="Arial"/>
          <w:b/>
          <w:bCs/>
          <w:sz w:val="28"/>
          <w:szCs w:val="28"/>
          <w:lang w:val="en-US"/>
        </w:rPr>
        <w:t xml:space="preserve">Olena Kokorieva </w:t>
      </w:r>
      <w:r w:rsidRPr="00082792">
        <w:rPr>
          <w:rFonts w:ascii="Arial" w:hAnsi="Arial" w:cs="Arial"/>
          <w:b/>
          <w:bCs/>
          <w:sz w:val="28"/>
          <w:szCs w:val="28"/>
          <w:lang w:val="en-US"/>
        </w:rPr>
        <w:br/>
        <w:t>Student ID 2239903</w:t>
      </w:r>
      <w:r w:rsidRPr="00082792">
        <w:rPr>
          <w:rFonts w:ascii="Arial" w:hAnsi="Arial" w:cs="Arial"/>
          <w:b/>
          <w:bCs/>
          <w:sz w:val="28"/>
          <w:szCs w:val="28"/>
          <w:lang w:val="en-US"/>
        </w:rPr>
        <w:br/>
        <w:t xml:space="preserve">Lecturer: </w:t>
      </w:r>
      <w:r w:rsidRPr="00082792">
        <w:rPr>
          <w:rFonts w:ascii="Arial" w:hAnsi="Arial" w:cs="Arial"/>
          <w:b/>
          <w:bCs/>
          <w:sz w:val="28"/>
          <w:szCs w:val="28"/>
        </w:rPr>
        <w:t>Haoran Liu</w:t>
      </w:r>
    </w:p>
    <w:p w14:paraId="3928BE7E" w14:textId="77777777" w:rsidR="0031107E" w:rsidRPr="00082792" w:rsidRDefault="0031107E" w:rsidP="0031107E">
      <w:pPr>
        <w:spacing w:line="360" w:lineRule="auto"/>
        <w:jc w:val="center"/>
        <w:rPr>
          <w:rFonts w:ascii="Arial" w:hAnsi="Arial" w:cs="Arial"/>
          <w:b/>
          <w:bCs/>
          <w:sz w:val="28"/>
          <w:szCs w:val="28"/>
        </w:rPr>
      </w:pPr>
      <w:r w:rsidRPr="00082792">
        <w:rPr>
          <w:rFonts w:ascii="Arial" w:hAnsi="Arial" w:cs="Arial"/>
          <w:b/>
          <w:bCs/>
          <w:sz w:val="28"/>
          <w:szCs w:val="28"/>
        </w:rPr>
        <w:t>Report</w:t>
      </w:r>
    </w:p>
    <w:p w14:paraId="6B20C8A7" w14:textId="77777777" w:rsidR="0031107E" w:rsidRPr="00082792" w:rsidRDefault="0031107E" w:rsidP="0031107E">
      <w:pPr>
        <w:spacing w:line="360" w:lineRule="auto"/>
        <w:rPr>
          <w:rFonts w:ascii="Arial" w:hAnsi="Arial" w:cs="Arial"/>
          <w:sz w:val="28"/>
          <w:szCs w:val="28"/>
          <w:lang w:val="en-US"/>
        </w:rPr>
      </w:pPr>
    </w:p>
    <w:p w14:paraId="68149969" w14:textId="61A6135E" w:rsidR="0031107E" w:rsidRPr="00082792" w:rsidRDefault="0031107E" w:rsidP="0031107E">
      <w:pPr>
        <w:jc w:val="center"/>
        <w:rPr>
          <w:rFonts w:ascii="Arial" w:hAnsi="Arial" w:cs="Arial"/>
          <w:b/>
          <w:bCs/>
          <w:sz w:val="28"/>
          <w:szCs w:val="28"/>
        </w:rPr>
      </w:pPr>
      <w:r w:rsidRPr="00082792">
        <w:rPr>
          <w:rFonts w:ascii="Arial" w:hAnsi="Arial" w:cs="Arial"/>
          <w:b/>
          <w:bCs/>
          <w:sz w:val="28"/>
          <w:szCs w:val="28"/>
        </w:rPr>
        <w:t>Work Count:</w:t>
      </w:r>
      <w:r w:rsidR="00D87857">
        <w:rPr>
          <w:rFonts w:ascii="Arial" w:hAnsi="Arial" w:cs="Arial"/>
          <w:b/>
          <w:bCs/>
          <w:sz w:val="28"/>
          <w:szCs w:val="28"/>
        </w:rPr>
        <w:t xml:space="preserve"> 26</w:t>
      </w:r>
      <w:r w:rsidR="007F036C">
        <w:rPr>
          <w:rFonts w:ascii="Arial" w:hAnsi="Arial" w:cs="Arial"/>
          <w:b/>
          <w:bCs/>
          <w:sz w:val="28"/>
          <w:szCs w:val="28"/>
        </w:rPr>
        <w:t>33</w:t>
      </w:r>
      <w:r w:rsidR="00D87857">
        <w:rPr>
          <w:rFonts w:ascii="Arial" w:hAnsi="Arial" w:cs="Arial"/>
          <w:b/>
          <w:bCs/>
          <w:sz w:val="28"/>
          <w:szCs w:val="28"/>
        </w:rPr>
        <w:t xml:space="preserve"> words</w:t>
      </w:r>
    </w:p>
    <w:p w14:paraId="63BEA98C" w14:textId="77777777" w:rsidR="0031107E" w:rsidRPr="00713707" w:rsidRDefault="0031107E" w:rsidP="0031107E">
      <w:pPr>
        <w:spacing w:line="360" w:lineRule="auto"/>
        <w:rPr>
          <w:rFonts w:ascii="Arial" w:hAnsi="Arial" w:cs="Arial"/>
        </w:rPr>
      </w:pPr>
    </w:p>
    <w:p w14:paraId="247B5BDE" w14:textId="77777777" w:rsidR="0031107E" w:rsidRPr="00713707" w:rsidRDefault="0031107E" w:rsidP="0031107E">
      <w:pPr>
        <w:spacing w:line="360" w:lineRule="auto"/>
        <w:rPr>
          <w:rFonts w:ascii="Arial" w:hAnsi="Arial" w:cs="Arial"/>
        </w:rPr>
      </w:pPr>
    </w:p>
    <w:p w14:paraId="2B801EBA" w14:textId="77777777" w:rsidR="0031107E" w:rsidRPr="00713707" w:rsidRDefault="0031107E" w:rsidP="0031107E">
      <w:pPr>
        <w:spacing w:line="360" w:lineRule="auto"/>
        <w:rPr>
          <w:rFonts w:ascii="Arial" w:hAnsi="Arial" w:cs="Arial"/>
        </w:rPr>
      </w:pPr>
    </w:p>
    <w:p w14:paraId="6D279F8F" w14:textId="77777777" w:rsidR="0031107E" w:rsidRPr="00713707" w:rsidRDefault="0031107E" w:rsidP="0031107E">
      <w:pPr>
        <w:spacing w:line="360" w:lineRule="auto"/>
        <w:rPr>
          <w:rFonts w:ascii="Arial" w:hAnsi="Arial" w:cs="Arial"/>
        </w:rPr>
      </w:pPr>
    </w:p>
    <w:p w14:paraId="2421108F" w14:textId="77777777" w:rsidR="0031107E" w:rsidRPr="00713707" w:rsidRDefault="0031107E" w:rsidP="0031107E">
      <w:pPr>
        <w:spacing w:line="360" w:lineRule="auto"/>
        <w:rPr>
          <w:rFonts w:ascii="Arial" w:hAnsi="Arial" w:cs="Arial"/>
        </w:rPr>
      </w:pPr>
    </w:p>
    <w:p w14:paraId="23850F19" w14:textId="77777777" w:rsidR="0031107E" w:rsidRPr="00713707" w:rsidRDefault="0031107E" w:rsidP="0031107E">
      <w:pPr>
        <w:spacing w:line="360" w:lineRule="auto"/>
        <w:rPr>
          <w:rFonts w:ascii="Arial" w:hAnsi="Arial" w:cs="Arial"/>
        </w:rPr>
      </w:pPr>
    </w:p>
    <w:p w14:paraId="42A1010E" w14:textId="77777777" w:rsidR="0031107E" w:rsidRPr="00713707" w:rsidRDefault="0031107E" w:rsidP="0031107E">
      <w:pPr>
        <w:spacing w:line="360" w:lineRule="auto"/>
        <w:rPr>
          <w:rFonts w:ascii="Arial" w:hAnsi="Arial" w:cs="Arial"/>
        </w:rPr>
      </w:pPr>
    </w:p>
    <w:p w14:paraId="6BC49B60" w14:textId="22524AE5" w:rsidR="0C1E8527" w:rsidRDefault="0C1E8527">
      <w:r>
        <w:br w:type="page"/>
      </w:r>
    </w:p>
    <w:sdt>
      <w:sdtPr>
        <w:id w:val="2127031651"/>
        <w:docPartObj>
          <w:docPartGallery w:val="Table of Contents"/>
          <w:docPartUnique/>
        </w:docPartObj>
      </w:sdtPr>
      <w:sdtContent>
        <w:p w14:paraId="567C58CE" w14:textId="706CC050" w:rsidR="007C5AD3" w:rsidRDefault="0C1E8527">
          <w:pPr>
            <w:pStyle w:val="20"/>
            <w:tabs>
              <w:tab w:val="right" w:leader="dot" w:pos="9016"/>
            </w:tabs>
            <w:rPr>
              <w:noProof/>
              <w:kern w:val="2"/>
              <w:lang w:val="en-US" w:eastAsia="en-US"/>
              <w14:ligatures w14:val="standardContextual"/>
            </w:rPr>
          </w:pPr>
          <w:r>
            <w:fldChar w:fldCharType="begin"/>
          </w:r>
          <w:r>
            <w:instrText>TOC \o "1-9" \z \u \h</w:instrText>
          </w:r>
          <w:r>
            <w:fldChar w:fldCharType="separate"/>
          </w:r>
          <w:hyperlink w:anchor="_Toc235011544" w:history="1">
            <w:r w:rsidR="007C5AD3" w:rsidRPr="00251A46">
              <w:rPr>
                <w:rStyle w:val="a4"/>
                <w:b/>
                <w:bCs/>
                <w:noProof/>
              </w:rPr>
              <w:t>Introduction</w:t>
            </w:r>
            <w:r w:rsidR="007C5AD3">
              <w:rPr>
                <w:noProof/>
                <w:webHidden/>
              </w:rPr>
              <w:tab/>
            </w:r>
            <w:r w:rsidR="007C5AD3">
              <w:rPr>
                <w:noProof/>
                <w:webHidden/>
              </w:rPr>
              <w:fldChar w:fldCharType="begin"/>
            </w:r>
            <w:r w:rsidR="007C5AD3">
              <w:rPr>
                <w:noProof/>
                <w:webHidden/>
              </w:rPr>
              <w:instrText xml:space="preserve"> PAGEREF _Toc235011544 \h </w:instrText>
            </w:r>
            <w:r w:rsidR="007C5AD3">
              <w:rPr>
                <w:noProof/>
                <w:webHidden/>
              </w:rPr>
            </w:r>
            <w:r w:rsidR="007C5AD3">
              <w:rPr>
                <w:noProof/>
                <w:webHidden/>
              </w:rPr>
              <w:fldChar w:fldCharType="separate"/>
            </w:r>
            <w:r w:rsidR="006358D8">
              <w:rPr>
                <w:noProof/>
                <w:webHidden/>
              </w:rPr>
              <w:t>3</w:t>
            </w:r>
            <w:r w:rsidR="007C5AD3">
              <w:rPr>
                <w:noProof/>
                <w:webHidden/>
              </w:rPr>
              <w:fldChar w:fldCharType="end"/>
            </w:r>
          </w:hyperlink>
        </w:p>
        <w:p w14:paraId="7B67B1F2" w14:textId="5FE85E47" w:rsidR="007C5AD3" w:rsidRDefault="007C5AD3">
          <w:pPr>
            <w:pStyle w:val="20"/>
            <w:tabs>
              <w:tab w:val="right" w:leader="dot" w:pos="9016"/>
            </w:tabs>
            <w:rPr>
              <w:noProof/>
              <w:kern w:val="2"/>
              <w:lang w:val="en-US" w:eastAsia="en-US"/>
              <w14:ligatures w14:val="standardContextual"/>
            </w:rPr>
          </w:pPr>
          <w:hyperlink w:anchor="_Toc235011545" w:history="1">
            <w:r w:rsidRPr="00251A46">
              <w:rPr>
                <w:rStyle w:val="a4"/>
                <w:rFonts w:ascii="Times New Roman" w:eastAsia="Times New Roman" w:hAnsi="Times New Roman" w:cs="Times New Roman"/>
                <w:b/>
                <w:bCs/>
                <w:noProof/>
                <w:lang w:val="en-US"/>
              </w:rPr>
              <w:t xml:space="preserve">Task 1: </w:t>
            </w:r>
            <w:r w:rsidRPr="00251A46">
              <w:rPr>
                <w:rStyle w:val="a4"/>
                <w:rFonts w:eastAsia="Times New Roman"/>
                <w:b/>
                <w:bCs/>
                <w:noProof/>
                <w:lang w:val="en-US"/>
              </w:rPr>
              <w:t>Marketing Environment Analysis</w:t>
            </w:r>
            <w:r>
              <w:rPr>
                <w:noProof/>
                <w:webHidden/>
              </w:rPr>
              <w:tab/>
            </w:r>
            <w:r>
              <w:rPr>
                <w:noProof/>
                <w:webHidden/>
              </w:rPr>
              <w:fldChar w:fldCharType="begin"/>
            </w:r>
            <w:r>
              <w:rPr>
                <w:noProof/>
                <w:webHidden/>
              </w:rPr>
              <w:instrText xml:space="preserve"> PAGEREF _Toc235011545 \h </w:instrText>
            </w:r>
            <w:r>
              <w:rPr>
                <w:noProof/>
                <w:webHidden/>
              </w:rPr>
            </w:r>
            <w:r>
              <w:rPr>
                <w:noProof/>
                <w:webHidden/>
              </w:rPr>
              <w:fldChar w:fldCharType="separate"/>
            </w:r>
            <w:r w:rsidR="006358D8">
              <w:rPr>
                <w:noProof/>
                <w:webHidden/>
              </w:rPr>
              <w:t>3</w:t>
            </w:r>
            <w:r>
              <w:rPr>
                <w:noProof/>
                <w:webHidden/>
              </w:rPr>
              <w:fldChar w:fldCharType="end"/>
            </w:r>
          </w:hyperlink>
        </w:p>
        <w:p w14:paraId="54228C52" w14:textId="5DDDEB97" w:rsidR="007C5AD3" w:rsidRDefault="007C5AD3">
          <w:pPr>
            <w:pStyle w:val="20"/>
            <w:tabs>
              <w:tab w:val="right" w:leader="dot" w:pos="9016"/>
            </w:tabs>
            <w:rPr>
              <w:noProof/>
              <w:kern w:val="2"/>
              <w:lang w:val="en-US" w:eastAsia="en-US"/>
              <w14:ligatures w14:val="standardContextual"/>
            </w:rPr>
          </w:pPr>
          <w:hyperlink w:anchor="_Toc235011546" w:history="1">
            <w:r w:rsidRPr="00251A46">
              <w:rPr>
                <w:rStyle w:val="a4"/>
                <w:rFonts w:eastAsia="Times New Roman"/>
                <w:b/>
                <w:bCs/>
                <w:noProof/>
                <w:lang w:val="en-US"/>
              </w:rPr>
              <w:t>1.1 Company Overview</w:t>
            </w:r>
            <w:r>
              <w:rPr>
                <w:noProof/>
                <w:webHidden/>
              </w:rPr>
              <w:tab/>
            </w:r>
            <w:r>
              <w:rPr>
                <w:noProof/>
                <w:webHidden/>
              </w:rPr>
              <w:fldChar w:fldCharType="begin"/>
            </w:r>
            <w:r>
              <w:rPr>
                <w:noProof/>
                <w:webHidden/>
              </w:rPr>
              <w:instrText xml:space="preserve"> PAGEREF _Toc235011546 \h </w:instrText>
            </w:r>
            <w:r>
              <w:rPr>
                <w:noProof/>
                <w:webHidden/>
              </w:rPr>
            </w:r>
            <w:r>
              <w:rPr>
                <w:noProof/>
                <w:webHidden/>
              </w:rPr>
              <w:fldChar w:fldCharType="separate"/>
            </w:r>
            <w:r w:rsidR="006358D8">
              <w:rPr>
                <w:noProof/>
                <w:webHidden/>
              </w:rPr>
              <w:t>3</w:t>
            </w:r>
            <w:r>
              <w:rPr>
                <w:noProof/>
                <w:webHidden/>
              </w:rPr>
              <w:fldChar w:fldCharType="end"/>
            </w:r>
          </w:hyperlink>
        </w:p>
        <w:p w14:paraId="4C6E05EC" w14:textId="3476715E" w:rsidR="007C5AD3" w:rsidRDefault="007C5AD3">
          <w:pPr>
            <w:pStyle w:val="20"/>
            <w:tabs>
              <w:tab w:val="right" w:leader="dot" w:pos="9016"/>
            </w:tabs>
            <w:rPr>
              <w:noProof/>
              <w:kern w:val="2"/>
              <w:lang w:val="en-US" w:eastAsia="en-US"/>
              <w14:ligatures w14:val="standardContextual"/>
            </w:rPr>
          </w:pPr>
          <w:hyperlink w:anchor="_Toc235011547" w:history="1">
            <w:r w:rsidRPr="00251A46">
              <w:rPr>
                <w:rStyle w:val="a4"/>
                <w:rFonts w:eastAsia="Times New Roman"/>
                <w:b/>
                <w:bCs/>
                <w:noProof/>
                <w:lang w:val="en-US"/>
              </w:rPr>
              <w:t>1.2 External Marketing Environment</w:t>
            </w:r>
            <w:r>
              <w:rPr>
                <w:noProof/>
                <w:webHidden/>
              </w:rPr>
              <w:tab/>
            </w:r>
            <w:r>
              <w:rPr>
                <w:noProof/>
                <w:webHidden/>
              </w:rPr>
              <w:fldChar w:fldCharType="begin"/>
            </w:r>
            <w:r>
              <w:rPr>
                <w:noProof/>
                <w:webHidden/>
              </w:rPr>
              <w:instrText xml:space="preserve"> PAGEREF _Toc235011547 \h </w:instrText>
            </w:r>
            <w:r>
              <w:rPr>
                <w:noProof/>
                <w:webHidden/>
              </w:rPr>
            </w:r>
            <w:r>
              <w:rPr>
                <w:noProof/>
                <w:webHidden/>
              </w:rPr>
              <w:fldChar w:fldCharType="separate"/>
            </w:r>
            <w:r w:rsidR="006358D8">
              <w:rPr>
                <w:noProof/>
                <w:webHidden/>
              </w:rPr>
              <w:t>4</w:t>
            </w:r>
            <w:r>
              <w:rPr>
                <w:noProof/>
                <w:webHidden/>
              </w:rPr>
              <w:fldChar w:fldCharType="end"/>
            </w:r>
          </w:hyperlink>
        </w:p>
        <w:p w14:paraId="33E60A4C" w14:textId="28493423" w:rsidR="007C5AD3" w:rsidRDefault="007C5AD3">
          <w:pPr>
            <w:pStyle w:val="20"/>
            <w:tabs>
              <w:tab w:val="right" w:leader="dot" w:pos="9016"/>
            </w:tabs>
            <w:rPr>
              <w:noProof/>
              <w:kern w:val="2"/>
              <w:lang w:val="en-US" w:eastAsia="en-US"/>
              <w14:ligatures w14:val="standardContextual"/>
            </w:rPr>
          </w:pPr>
          <w:hyperlink w:anchor="_Toc235011548" w:history="1">
            <w:r w:rsidRPr="00251A46">
              <w:rPr>
                <w:rStyle w:val="a4"/>
                <w:rFonts w:eastAsia="Times New Roman"/>
                <w:b/>
                <w:bCs/>
                <w:noProof/>
                <w:lang w:val="en-US"/>
              </w:rPr>
              <w:t>Natural Environment</w:t>
            </w:r>
            <w:r>
              <w:rPr>
                <w:noProof/>
                <w:webHidden/>
              </w:rPr>
              <w:tab/>
            </w:r>
            <w:r>
              <w:rPr>
                <w:noProof/>
                <w:webHidden/>
              </w:rPr>
              <w:fldChar w:fldCharType="begin"/>
            </w:r>
            <w:r>
              <w:rPr>
                <w:noProof/>
                <w:webHidden/>
              </w:rPr>
              <w:instrText xml:space="preserve"> PAGEREF _Toc235011548 \h </w:instrText>
            </w:r>
            <w:r>
              <w:rPr>
                <w:noProof/>
                <w:webHidden/>
              </w:rPr>
            </w:r>
            <w:r>
              <w:rPr>
                <w:noProof/>
                <w:webHidden/>
              </w:rPr>
              <w:fldChar w:fldCharType="separate"/>
            </w:r>
            <w:r w:rsidR="006358D8">
              <w:rPr>
                <w:noProof/>
                <w:webHidden/>
              </w:rPr>
              <w:t>5</w:t>
            </w:r>
            <w:r>
              <w:rPr>
                <w:noProof/>
                <w:webHidden/>
              </w:rPr>
              <w:fldChar w:fldCharType="end"/>
            </w:r>
          </w:hyperlink>
        </w:p>
        <w:p w14:paraId="1B25DE1A" w14:textId="076AA751" w:rsidR="007C5AD3" w:rsidRDefault="007C5AD3">
          <w:pPr>
            <w:pStyle w:val="20"/>
            <w:tabs>
              <w:tab w:val="right" w:leader="dot" w:pos="9016"/>
            </w:tabs>
            <w:rPr>
              <w:noProof/>
              <w:kern w:val="2"/>
              <w:lang w:val="en-US" w:eastAsia="en-US"/>
              <w14:ligatures w14:val="standardContextual"/>
            </w:rPr>
          </w:pPr>
          <w:hyperlink w:anchor="_Toc235011549" w:history="1">
            <w:r w:rsidRPr="00251A46">
              <w:rPr>
                <w:rStyle w:val="a4"/>
                <w:rFonts w:eastAsia="Times New Roman"/>
                <w:b/>
                <w:bCs/>
                <w:noProof/>
                <w:lang w:val="en-US"/>
              </w:rPr>
              <w:t>Technological Environment</w:t>
            </w:r>
            <w:r>
              <w:rPr>
                <w:noProof/>
                <w:webHidden/>
              </w:rPr>
              <w:tab/>
            </w:r>
            <w:r>
              <w:rPr>
                <w:noProof/>
                <w:webHidden/>
              </w:rPr>
              <w:fldChar w:fldCharType="begin"/>
            </w:r>
            <w:r>
              <w:rPr>
                <w:noProof/>
                <w:webHidden/>
              </w:rPr>
              <w:instrText xml:space="preserve"> PAGEREF _Toc235011549 \h </w:instrText>
            </w:r>
            <w:r>
              <w:rPr>
                <w:noProof/>
                <w:webHidden/>
              </w:rPr>
            </w:r>
            <w:r>
              <w:rPr>
                <w:noProof/>
                <w:webHidden/>
              </w:rPr>
              <w:fldChar w:fldCharType="separate"/>
            </w:r>
            <w:r w:rsidR="006358D8">
              <w:rPr>
                <w:noProof/>
                <w:webHidden/>
              </w:rPr>
              <w:t>5</w:t>
            </w:r>
            <w:r>
              <w:rPr>
                <w:noProof/>
                <w:webHidden/>
              </w:rPr>
              <w:fldChar w:fldCharType="end"/>
            </w:r>
          </w:hyperlink>
        </w:p>
        <w:p w14:paraId="16C652C8" w14:textId="4B283848" w:rsidR="007C5AD3" w:rsidRDefault="007C5AD3">
          <w:pPr>
            <w:pStyle w:val="20"/>
            <w:tabs>
              <w:tab w:val="right" w:leader="dot" w:pos="9016"/>
            </w:tabs>
            <w:rPr>
              <w:noProof/>
              <w:kern w:val="2"/>
              <w:lang w:val="en-US" w:eastAsia="en-US"/>
              <w14:ligatures w14:val="standardContextual"/>
            </w:rPr>
          </w:pPr>
          <w:hyperlink w:anchor="_Toc235011550" w:history="1">
            <w:r w:rsidRPr="00251A46">
              <w:rPr>
                <w:rStyle w:val="a4"/>
                <w:rFonts w:ascii="Times New Roman" w:eastAsia="Times New Roman" w:hAnsi="Times New Roman" w:cs="Times New Roman"/>
                <w:b/>
                <w:bCs/>
                <w:noProof/>
                <w:lang w:val="en-US"/>
              </w:rPr>
              <w:t>Task 2: Strategic Growth and Competitive Positioning</w:t>
            </w:r>
            <w:r>
              <w:rPr>
                <w:noProof/>
                <w:webHidden/>
              </w:rPr>
              <w:tab/>
            </w:r>
            <w:r>
              <w:rPr>
                <w:noProof/>
                <w:webHidden/>
              </w:rPr>
              <w:fldChar w:fldCharType="begin"/>
            </w:r>
            <w:r>
              <w:rPr>
                <w:noProof/>
                <w:webHidden/>
              </w:rPr>
              <w:instrText xml:space="preserve"> PAGEREF _Toc235011550 \h </w:instrText>
            </w:r>
            <w:r>
              <w:rPr>
                <w:noProof/>
                <w:webHidden/>
              </w:rPr>
            </w:r>
            <w:r>
              <w:rPr>
                <w:noProof/>
                <w:webHidden/>
              </w:rPr>
              <w:fldChar w:fldCharType="separate"/>
            </w:r>
            <w:r w:rsidR="006358D8">
              <w:rPr>
                <w:noProof/>
                <w:webHidden/>
              </w:rPr>
              <w:t>7</w:t>
            </w:r>
            <w:r>
              <w:rPr>
                <w:noProof/>
                <w:webHidden/>
              </w:rPr>
              <w:fldChar w:fldCharType="end"/>
            </w:r>
          </w:hyperlink>
        </w:p>
        <w:p w14:paraId="51627322" w14:textId="2FFAA221" w:rsidR="007C5AD3" w:rsidRDefault="007C5AD3">
          <w:pPr>
            <w:pStyle w:val="20"/>
            <w:tabs>
              <w:tab w:val="right" w:leader="dot" w:pos="9016"/>
            </w:tabs>
            <w:rPr>
              <w:noProof/>
              <w:kern w:val="2"/>
              <w:lang w:val="en-US" w:eastAsia="en-US"/>
              <w14:ligatures w14:val="standardContextual"/>
            </w:rPr>
          </w:pPr>
          <w:hyperlink w:anchor="_Toc235011551" w:history="1">
            <w:r w:rsidRPr="00251A46">
              <w:rPr>
                <w:rStyle w:val="a4"/>
                <w:rFonts w:ascii="Times New Roman" w:eastAsia="Times New Roman" w:hAnsi="Times New Roman" w:cs="Times New Roman"/>
                <w:b/>
                <w:bCs/>
                <w:noProof/>
                <w:lang w:val="en-US"/>
              </w:rPr>
              <w:t>2.1 Strategic Growth Using the Ansoff Matrix</w:t>
            </w:r>
            <w:r>
              <w:rPr>
                <w:noProof/>
                <w:webHidden/>
              </w:rPr>
              <w:tab/>
            </w:r>
            <w:r>
              <w:rPr>
                <w:noProof/>
                <w:webHidden/>
              </w:rPr>
              <w:fldChar w:fldCharType="begin"/>
            </w:r>
            <w:r>
              <w:rPr>
                <w:noProof/>
                <w:webHidden/>
              </w:rPr>
              <w:instrText xml:space="preserve"> PAGEREF _Toc235011551 \h </w:instrText>
            </w:r>
            <w:r>
              <w:rPr>
                <w:noProof/>
                <w:webHidden/>
              </w:rPr>
            </w:r>
            <w:r>
              <w:rPr>
                <w:noProof/>
                <w:webHidden/>
              </w:rPr>
              <w:fldChar w:fldCharType="separate"/>
            </w:r>
            <w:r w:rsidR="006358D8">
              <w:rPr>
                <w:noProof/>
                <w:webHidden/>
              </w:rPr>
              <w:t>7</w:t>
            </w:r>
            <w:r>
              <w:rPr>
                <w:noProof/>
                <w:webHidden/>
              </w:rPr>
              <w:fldChar w:fldCharType="end"/>
            </w:r>
          </w:hyperlink>
        </w:p>
        <w:p w14:paraId="48E7CD32" w14:textId="3F91369F" w:rsidR="007C5AD3" w:rsidRDefault="007C5AD3">
          <w:pPr>
            <w:pStyle w:val="20"/>
            <w:tabs>
              <w:tab w:val="right" w:leader="dot" w:pos="9016"/>
            </w:tabs>
            <w:rPr>
              <w:noProof/>
              <w:kern w:val="2"/>
              <w:lang w:val="en-US" w:eastAsia="en-US"/>
              <w14:ligatures w14:val="standardContextual"/>
            </w:rPr>
          </w:pPr>
          <w:hyperlink w:anchor="_Toc235011552" w:history="1">
            <w:r w:rsidRPr="00251A46">
              <w:rPr>
                <w:rStyle w:val="a4"/>
                <w:rFonts w:ascii="Times New Roman" w:eastAsia="Times New Roman" w:hAnsi="Times New Roman" w:cs="Times New Roman"/>
                <w:b/>
                <w:bCs/>
                <w:noProof/>
                <w:lang w:val="en-US"/>
              </w:rPr>
              <w:t>2.2 Competitive Positioning Using Porter's Generic Strategies</w:t>
            </w:r>
            <w:r>
              <w:rPr>
                <w:noProof/>
                <w:webHidden/>
              </w:rPr>
              <w:tab/>
            </w:r>
            <w:r>
              <w:rPr>
                <w:noProof/>
                <w:webHidden/>
              </w:rPr>
              <w:fldChar w:fldCharType="begin"/>
            </w:r>
            <w:r>
              <w:rPr>
                <w:noProof/>
                <w:webHidden/>
              </w:rPr>
              <w:instrText xml:space="preserve"> PAGEREF _Toc235011552 \h </w:instrText>
            </w:r>
            <w:r>
              <w:rPr>
                <w:noProof/>
                <w:webHidden/>
              </w:rPr>
            </w:r>
            <w:r>
              <w:rPr>
                <w:noProof/>
                <w:webHidden/>
              </w:rPr>
              <w:fldChar w:fldCharType="separate"/>
            </w:r>
            <w:r w:rsidR="006358D8">
              <w:rPr>
                <w:noProof/>
                <w:webHidden/>
              </w:rPr>
              <w:t>9</w:t>
            </w:r>
            <w:r>
              <w:rPr>
                <w:noProof/>
                <w:webHidden/>
              </w:rPr>
              <w:fldChar w:fldCharType="end"/>
            </w:r>
          </w:hyperlink>
        </w:p>
        <w:p w14:paraId="7FB7DBF0" w14:textId="25CFA1F1" w:rsidR="007C5AD3" w:rsidRDefault="007C5AD3">
          <w:pPr>
            <w:pStyle w:val="20"/>
            <w:tabs>
              <w:tab w:val="right" w:leader="dot" w:pos="9016"/>
            </w:tabs>
            <w:rPr>
              <w:noProof/>
              <w:kern w:val="2"/>
              <w:lang w:val="en-US" w:eastAsia="en-US"/>
              <w14:ligatures w14:val="standardContextual"/>
            </w:rPr>
          </w:pPr>
          <w:hyperlink w:anchor="_Toc235011553" w:history="1">
            <w:r w:rsidRPr="00251A46">
              <w:rPr>
                <w:rStyle w:val="a4"/>
                <w:rFonts w:ascii="Times New Roman" w:eastAsia="Times New Roman" w:hAnsi="Times New Roman" w:cs="Times New Roman"/>
                <w:b/>
                <w:bCs/>
                <w:noProof/>
                <w:lang w:val="en-US"/>
              </w:rPr>
              <w:t>2.3 Critical Evaluation</w:t>
            </w:r>
            <w:r>
              <w:rPr>
                <w:noProof/>
                <w:webHidden/>
              </w:rPr>
              <w:tab/>
            </w:r>
            <w:r>
              <w:rPr>
                <w:noProof/>
                <w:webHidden/>
              </w:rPr>
              <w:fldChar w:fldCharType="begin"/>
            </w:r>
            <w:r>
              <w:rPr>
                <w:noProof/>
                <w:webHidden/>
              </w:rPr>
              <w:instrText xml:space="preserve"> PAGEREF _Toc235011553 \h </w:instrText>
            </w:r>
            <w:r>
              <w:rPr>
                <w:noProof/>
                <w:webHidden/>
              </w:rPr>
            </w:r>
            <w:r>
              <w:rPr>
                <w:noProof/>
                <w:webHidden/>
              </w:rPr>
              <w:fldChar w:fldCharType="separate"/>
            </w:r>
            <w:r w:rsidR="006358D8">
              <w:rPr>
                <w:noProof/>
                <w:webHidden/>
              </w:rPr>
              <w:t>9</w:t>
            </w:r>
            <w:r>
              <w:rPr>
                <w:noProof/>
                <w:webHidden/>
              </w:rPr>
              <w:fldChar w:fldCharType="end"/>
            </w:r>
          </w:hyperlink>
        </w:p>
        <w:p w14:paraId="4B7D9227" w14:textId="31776180" w:rsidR="007C5AD3" w:rsidRDefault="007C5AD3">
          <w:pPr>
            <w:pStyle w:val="10"/>
            <w:tabs>
              <w:tab w:val="right" w:leader="dot" w:pos="9016"/>
            </w:tabs>
            <w:rPr>
              <w:noProof/>
              <w:kern w:val="2"/>
              <w:lang w:val="en-US" w:eastAsia="en-US"/>
              <w14:ligatures w14:val="standardContextual"/>
            </w:rPr>
          </w:pPr>
          <w:hyperlink w:anchor="_Toc235011554" w:history="1">
            <w:r w:rsidRPr="00251A46">
              <w:rPr>
                <w:rStyle w:val="a4"/>
                <w:rFonts w:eastAsia="Times New Roman"/>
                <w:b/>
                <w:bCs/>
                <w:noProof/>
                <w:lang w:val="en-US"/>
              </w:rPr>
              <w:t>Task 3: Critical Reflection on AI Usage</w:t>
            </w:r>
            <w:r>
              <w:rPr>
                <w:noProof/>
                <w:webHidden/>
              </w:rPr>
              <w:tab/>
            </w:r>
            <w:r>
              <w:rPr>
                <w:noProof/>
                <w:webHidden/>
              </w:rPr>
              <w:fldChar w:fldCharType="begin"/>
            </w:r>
            <w:r>
              <w:rPr>
                <w:noProof/>
                <w:webHidden/>
              </w:rPr>
              <w:instrText xml:space="preserve"> PAGEREF _Toc235011554 \h </w:instrText>
            </w:r>
            <w:r>
              <w:rPr>
                <w:noProof/>
                <w:webHidden/>
              </w:rPr>
            </w:r>
            <w:r>
              <w:rPr>
                <w:noProof/>
                <w:webHidden/>
              </w:rPr>
              <w:fldChar w:fldCharType="separate"/>
            </w:r>
            <w:r w:rsidR="006358D8">
              <w:rPr>
                <w:noProof/>
                <w:webHidden/>
              </w:rPr>
              <w:t>11</w:t>
            </w:r>
            <w:r>
              <w:rPr>
                <w:noProof/>
                <w:webHidden/>
              </w:rPr>
              <w:fldChar w:fldCharType="end"/>
            </w:r>
          </w:hyperlink>
        </w:p>
        <w:p w14:paraId="2B5CC7B3" w14:textId="5D81CF09" w:rsidR="007C5AD3" w:rsidRDefault="007C5AD3">
          <w:pPr>
            <w:pStyle w:val="10"/>
            <w:tabs>
              <w:tab w:val="right" w:leader="dot" w:pos="9016"/>
            </w:tabs>
            <w:rPr>
              <w:noProof/>
              <w:kern w:val="2"/>
              <w:lang w:val="en-US" w:eastAsia="en-US"/>
              <w14:ligatures w14:val="standardContextual"/>
            </w:rPr>
          </w:pPr>
          <w:hyperlink w:anchor="_Toc235011555" w:history="1">
            <w:r w:rsidRPr="00251A46">
              <w:rPr>
                <w:rStyle w:val="a4"/>
                <w:rFonts w:ascii="Times New Roman" w:eastAsia="Times New Roman" w:hAnsi="Times New Roman" w:cs="Times New Roman"/>
                <w:b/>
                <w:bCs/>
                <w:noProof/>
              </w:rPr>
              <w:t>References</w:t>
            </w:r>
            <w:r>
              <w:rPr>
                <w:noProof/>
                <w:webHidden/>
              </w:rPr>
              <w:tab/>
            </w:r>
            <w:r>
              <w:rPr>
                <w:noProof/>
                <w:webHidden/>
              </w:rPr>
              <w:fldChar w:fldCharType="begin"/>
            </w:r>
            <w:r>
              <w:rPr>
                <w:noProof/>
                <w:webHidden/>
              </w:rPr>
              <w:instrText xml:space="preserve"> PAGEREF _Toc235011555 \h </w:instrText>
            </w:r>
            <w:r>
              <w:rPr>
                <w:noProof/>
                <w:webHidden/>
              </w:rPr>
            </w:r>
            <w:r>
              <w:rPr>
                <w:noProof/>
                <w:webHidden/>
              </w:rPr>
              <w:fldChar w:fldCharType="separate"/>
            </w:r>
            <w:r w:rsidR="006358D8">
              <w:rPr>
                <w:noProof/>
                <w:webHidden/>
              </w:rPr>
              <w:t>12</w:t>
            </w:r>
            <w:r>
              <w:rPr>
                <w:noProof/>
                <w:webHidden/>
              </w:rPr>
              <w:fldChar w:fldCharType="end"/>
            </w:r>
          </w:hyperlink>
        </w:p>
        <w:p w14:paraId="4E386F6F" w14:textId="2165D63A" w:rsidR="0C1E8527" w:rsidRDefault="0C1E8527" w:rsidP="0C1E8527">
          <w:pPr>
            <w:pStyle w:val="10"/>
          </w:pPr>
          <w:r>
            <w:fldChar w:fldCharType="end"/>
          </w:r>
        </w:p>
      </w:sdtContent>
    </w:sdt>
    <w:p w14:paraId="5867725A" w14:textId="1454262D" w:rsidR="0C1E8527" w:rsidRDefault="0C1E8527" w:rsidP="0C1E8527"/>
    <w:p w14:paraId="4677F7A2" w14:textId="66D8272D" w:rsidR="0C1E8527" w:rsidRDefault="0C1E8527">
      <w:r>
        <w:br w:type="page"/>
      </w:r>
    </w:p>
    <w:p w14:paraId="0B875731" w14:textId="5B34B04C" w:rsidR="36C2A92E" w:rsidRDefault="36C2A92E" w:rsidP="0C1E8527">
      <w:pPr>
        <w:pStyle w:val="2"/>
        <w:spacing w:before="299" w:after="299"/>
        <w:rPr>
          <w:b/>
          <w:bCs/>
          <w:sz w:val="36"/>
          <w:szCs w:val="36"/>
        </w:rPr>
      </w:pPr>
      <w:bookmarkStart w:id="1" w:name="_Toc235011544"/>
      <w:r w:rsidRPr="0C1E8527">
        <w:rPr>
          <w:b/>
          <w:bCs/>
          <w:sz w:val="36"/>
          <w:szCs w:val="36"/>
        </w:rPr>
        <w:lastRenderedPageBreak/>
        <w:t>Introduction</w:t>
      </w:r>
      <w:bookmarkEnd w:id="1"/>
    </w:p>
    <w:p w14:paraId="16E5DBFC" w14:textId="77777777" w:rsidR="00C65874" w:rsidRPr="00C65874" w:rsidRDefault="00C65874" w:rsidP="00C65874">
      <w:pPr>
        <w:rPr>
          <w:lang w:val="en-US"/>
        </w:rPr>
      </w:pPr>
      <w:bookmarkStart w:id="2" w:name="_Toc235011545"/>
      <w:r w:rsidRPr="00C65874">
        <w:rPr>
          <w:lang w:val="en-US"/>
        </w:rPr>
        <w:t xml:space="preserve">The global mining industry plays a vital role in economic development by supplying raw materials for infrastructure, manufacturing and renewable energy technologies. However, it also generates significant greenhouse gas emissions, creating increasing pressure from governments, investors and customers to adopt more sustainable business practices (Kotler et al., 2024). As </w:t>
      </w:r>
      <w:proofErr w:type="spellStart"/>
      <w:r w:rsidRPr="00C65874">
        <w:rPr>
          <w:lang w:val="en-US"/>
        </w:rPr>
        <w:t>organisations</w:t>
      </w:r>
      <w:proofErr w:type="spellEnd"/>
      <w:r w:rsidRPr="00C65874">
        <w:rPr>
          <w:lang w:val="en-US"/>
        </w:rPr>
        <w:t xml:space="preserve"> transition towards lower-carbon production, marketing has become increasingly important in communicating sustainability commitments and creating competitive advantage.</w:t>
      </w:r>
    </w:p>
    <w:p w14:paraId="0B3514AD" w14:textId="77777777" w:rsidR="00C65874" w:rsidRPr="00C65874" w:rsidRDefault="00C65874" w:rsidP="00C65874">
      <w:pPr>
        <w:rPr>
          <w:lang w:val="en-US"/>
        </w:rPr>
      </w:pPr>
      <w:r w:rsidRPr="00C65874">
        <w:rPr>
          <w:lang w:val="en-US"/>
        </w:rPr>
        <w:t xml:space="preserve">BHP is one of the world's largest diversified mining companies, producing iron ore, copper, nickel and potash. Operating across Australia, South America and North America, the company has </w:t>
      </w:r>
      <w:proofErr w:type="spellStart"/>
      <w:r w:rsidRPr="00C65874">
        <w:rPr>
          <w:lang w:val="en-US"/>
        </w:rPr>
        <w:t>prioritised</w:t>
      </w:r>
      <w:proofErr w:type="spellEnd"/>
      <w:r w:rsidRPr="00C65874">
        <w:rPr>
          <w:lang w:val="en-US"/>
        </w:rPr>
        <w:t xml:space="preserve"> </w:t>
      </w:r>
      <w:proofErr w:type="spellStart"/>
      <w:r w:rsidRPr="00C65874">
        <w:rPr>
          <w:lang w:val="en-US"/>
        </w:rPr>
        <w:t>decarbonisation</w:t>
      </w:r>
      <w:proofErr w:type="spellEnd"/>
      <w:r w:rsidRPr="00C65874">
        <w:rPr>
          <w:lang w:val="en-US"/>
        </w:rPr>
        <w:t xml:space="preserve"> through cleaner technologies, improved operational efficiency and climate transition initiatives to reduce the environmental impact of its operations.</w:t>
      </w:r>
    </w:p>
    <w:p w14:paraId="0E66DC92" w14:textId="77777777" w:rsidR="00C65874" w:rsidRPr="00C65874" w:rsidRDefault="00C65874" w:rsidP="00C65874">
      <w:pPr>
        <w:rPr>
          <w:lang w:val="en-US"/>
        </w:rPr>
      </w:pPr>
      <w:r w:rsidRPr="00C65874">
        <w:rPr>
          <w:lang w:val="en-US"/>
        </w:rPr>
        <w:t>This report analyses the external marketing environment influencing BHP's transition to lower-carbon products, focusing on the natural and technological environments. It then recommends a growth strategy using the Ansoff Matrix and evaluates how BHP can achieve competitive advantage through Porter's Generic Strategies.</w:t>
      </w:r>
    </w:p>
    <w:p w14:paraId="76871237" w14:textId="2D17878A" w:rsidR="001F1CD8" w:rsidRPr="001F1CD8" w:rsidRDefault="001F1CD8" w:rsidP="001F1CD8">
      <w:pPr>
        <w:pStyle w:val="2"/>
        <w:spacing w:before="299" w:after="299"/>
        <w:rPr>
          <w:rFonts w:ascii="Times New Roman" w:eastAsia="Times New Roman" w:hAnsi="Times New Roman" w:cs="Times New Roman"/>
          <w:b/>
          <w:bCs/>
          <w:sz w:val="36"/>
          <w:szCs w:val="36"/>
          <w:lang w:val="en-US"/>
        </w:rPr>
      </w:pPr>
      <w:r w:rsidRPr="001F1CD8">
        <w:rPr>
          <w:rFonts w:ascii="Times New Roman" w:eastAsia="Times New Roman" w:hAnsi="Times New Roman" w:cs="Times New Roman"/>
          <w:b/>
          <w:bCs/>
          <w:sz w:val="36"/>
          <w:szCs w:val="36"/>
          <w:lang w:val="en-US"/>
        </w:rPr>
        <w:t xml:space="preserve">Task </w:t>
      </w:r>
      <w:r w:rsidR="00E6764F">
        <w:rPr>
          <w:rFonts w:ascii="Times New Roman" w:eastAsia="Times New Roman" w:hAnsi="Times New Roman" w:cs="Times New Roman"/>
          <w:b/>
          <w:bCs/>
          <w:sz w:val="36"/>
          <w:szCs w:val="36"/>
          <w:lang w:val="en-US"/>
        </w:rPr>
        <w:t>1</w:t>
      </w:r>
      <w:r w:rsidRPr="001F1CD8">
        <w:rPr>
          <w:rFonts w:ascii="Times New Roman" w:eastAsia="Times New Roman" w:hAnsi="Times New Roman" w:cs="Times New Roman"/>
          <w:b/>
          <w:bCs/>
          <w:sz w:val="36"/>
          <w:szCs w:val="36"/>
          <w:lang w:val="en-US"/>
        </w:rPr>
        <w:t xml:space="preserve">: </w:t>
      </w:r>
      <w:r w:rsidR="00E6764F" w:rsidRPr="00C02F17">
        <w:rPr>
          <w:rFonts w:eastAsia="Times New Roman"/>
          <w:b/>
          <w:bCs/>
          <w:lang w:val="en-US"/>
        </w:rPr>
        <w:t>Marketing Environment Analysis</w:t>
      </w:r>
      <w:bookmarkEnd w:id="2"/>
    </w:p>
    <w:p w14:paraId="1EAB5C95" w14:textId="77777777" w:rsidR="00C02F17" w:rsidRPr="00C02F17" w:rsidRDefault="00C02F17" w:rsidP="00C02F17">
      <w:pPr>
        <w:pStyle w:val="2"/>
        <w:spacing w:before="299" w:after="299"/>
        <w:rPr>
          <w:rFonts w:eastAsia="Times New Roman"/>
          <w:b/>
          <w:bCs/>
          <w:lang w:val="en-US"/>
        </w:rPr>
      </w:pPr>
      <w:bookmarkStart w:id="3" w:name="_Toc235011546"/>
      <w:r w:rsidRPr="00C02F17">
        <w:rPr>
          <w:rFonts w:eastAsia="Times New Roman"/>
          <w:b/>
          <w:bCs/>
          <w:lang w:val="en-US"/>
        </w:rPr>
        <w:t>1.1 Company Overview</w:t>
      </w:r>
      <w:bookmarkEnd w:id="3"/>
    </w:p>
    <w:p w14:paraId="4C1BE24D" w14:textId="77777777" w:rsidR="0035314C" w:rsidRDefault="0035314C" w:rsidP="00E106AA">
      <w:pPr>
        <w:spacing w:before="240" w:after="240"/>
        <w:rPr>
          <w:rFonts w:eastAsia="Times New Roman"/>
        </w:rPr>
      </w:pPr>
      <w:r w:rsidRPr="0035314C">
        <w:rPr>
          <w:rFonts w:eastAsia="Times New Roman"/>
        </w:rPr>
        <w:t>BHP is one of the world's largest diversified mining companies, headquartered in Melbourne, Australia. The company produces iron ore, copper, nickel and potash, which are essential for construction, manufacturing and the transition to renewable energy (BHP, 2025a). Operating across Australia, South America and North America, BHP plays a significant role in global commodity markets (BHP, 2025a). In recent years, the company has prioritised sustainability by investing in lower-carbon technologies, improving energy efficiency and implementing climate transition initiatives to reduce greenhouse gas emissions (BHP, 2024; BHP, 2025b). These initiatives support customers' decarbonisation objectives while strengthening BHP's long-term sustainability strategy (BHP, 2025b). As sustainability becomes increasingly important to stakeholders, understanding the external marketing environment is essential for identifying opportunities and challenges that influence BHP's strategic direction (Kotler et al., 2024).</w:t>
      </w:r>
    </w:p>
    <w:p w14:paraId="3E1C7FBD" w14:textId="77777777" w:rsidR="006358D8" w:rsidRDefault="006358D8" w:rsidP="00E106AA">
      <w:pPr>
        <w:spacing w:before="240" w:after="240"/>
        <w:rPr>
          <w:rFonts w:eastAsia="Times New Roman"/>
        </w:rPr>
      </w:pPr>
    </w:p>
    <w:p w14:paraId="2474F689" w14:textId="77777777" w:rsidR="006358D8" w:rsidRDefault="006358D8" w:rsidP="00E106AA">
      <w:pPr>
        <w:spacing w:before="240" w:after="240"/>
        <w:rPr>
          <w:rFonts w:eastAsia="Times New Roman"/>
        </w:rPr>
      </w:pPr>
    </w:p>
    <w:p w14:paraId="6CDBA3D3" w14:textId="77777777" w:rsidR="006358D8" w:rsidRDefault="006358D8" w:rsidP="00E106AA">
      <w:pPr>
        <w:spacing w:before="240" w:after="240"/>
        <w:rPr>
          <w:rFonts w:eastAsia="Times New Roman"/>
        </w:rPr>
      </w:pPr>
    </w:p>
    <w:p w14:paraId="05EEA8A8" w14:textId="2D69BA46" w:rsidR="00E106AA" w:rsidRPr="00B16674" w:rsidRDefault="00E106AA" w:rsidP="00E106AA">
      <w:pPr>
        <w:spacing w:before="240" w:after="240"/>
        <w:rPr>
          <w:rFonts w:eastAsia="Times New Roman"/>
          <w:b/>
          <w:bCs/>
          <w:color w:val="0F9ED5" w:themeColor="accent4"/>
          <w:lang w:val="en-US"/>
          <w14:textOutline w14:w="0" w14:cap="flat" w14:cmpd="sng" w14:algn="ctr">
            <w14:noFill/>
            <w14:prstDash w14:val="solid"/>
            <w14:round/>
          </w14:textOutline>
          <w14:props3d w14:extrusionH="57150" w14:contourW="0" w14:prstMaterial="softEdge">
            <w14:bevelT w14:w="25400" w14:h="38100" w14:prst="circle"/>
          </w14:props3d>
        </w:rPr>
      </w:pPr>
      <w:r w:rsidRPr="00B16674">
        <w:rPr>
          <w:rFonts w:eastAsia="Times New Roman"/>
          <w:b/>
          <w:bCs/>
          <w:color w:val="0F9ED5" w:themeColor="accent4"/>
          <w:lang w:val="en-US"/>
          <w14:textOutline w14:w="0" w14:cap="flat" w14:cmpd="sng" w14:algn="ctr">
            <w14:noFill/>
            <w14:prstDash w14:val="solid"/>
            <w14:round/>
          </w14:textOutline>
          <w14:props3d w14:extrusionH="57150" w14:contourW="0" w14:prstMaterial="softEdge">
            <w14:bevelT w14:w="25400" w14:h="38100" w14:prst="circle"/>
          </w14:props3d>
        </w:rPr>
        <w:lastRenderedPageBreak/>
        <w:t>Figure 1. BHP's Sustainability Priorities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24"/>
        <w:gridCol w:w="5692"/>
      </w:tblGrid>
      <w:tr w:rsidR="00E106AA" w:rsidRPr="00E106AA" w14:paraId="4A8E3B4F" w14:textId="77777777" w:rsidTr="00B16674">
        <w:trPr>
          <w:tblHeader/>
          <w:tblCellSpacing w:w="15" w:type="dxa"/>
        </w:trPr>
        <w:tc>
          <w:tcPr>
            <w:tcW w:w="0" w:type="auto"/>
            <w:shd w:val="clear" w:color="auto" w:fill="83CAEB" w:themeFill="accent1" w:themeFillTint="66"/>
            <w:vAlign w:val="center"/>
            <w:hideMark/>
          </w:tcPr>
          <w:p w14:paraId="2FC8F339" w14:textId="77777777" w:rsidR="00E106AA" w:rsidRPr="00E106AA" w:rsidRDefault="00E106AA" w:rsidP="00E106AA">
            <w:pPr>
              <w:spacing w:before="240" w:after="240"/>
              <w:rPr>
                <w:rFonts w:eastAsia="Times New Roman"/>
                <w:b/>
                <w:bCs/>
                <w:lang w:val="en-US"/>
              </w:rPr>
            </w:pPr>
            <w:r w:rsidRPr="00E106AA">
              <w:rPr>
                <w:rFonts w:eastAsia="Times New Roman"/>
                <w:b/>
                <w:bCs/>
                <w:lang w:val="en-US"/>
              </w:rPr>
              <w:t>Strategic Priority</w:t>
            </w:r>
          </w:p>
        </w:tc>
        <w:tc>
          <w:tcPr>
            <w:tcW w:w="0" w:type="auto"/>
            <w:shd w:val="clear" w:color="auto" w:fill="83CAEB" w:themeFill="accent1" w:themeFillTint="66"/>
            <w:vAlign w:val="center"/>
            <w:hideMark/>
          </w:tcPr>
          <w:p w14:paraId="4B27A268" w14:textId="77777777" w:rsidR="00E106AA" w:rsidRPr="00E106AA" w:rsidRDefault="00E106AA" w:rsidP="00E106AA">
            <w:pPr>
              <w:spacing w:before="240" w:after="240"/>
              <w:rPr>
                <w:rFonts w:eastAsia="Times New Roman"/>
                <w:b/>
                <w:bCs/>
                <w:lang w:val="en-US"/>
              </w:rPr>
            </w:pPr>
            <w:r w:rsidRPr="00E106AA">
              <w:rPr>
                <w:rFonts w:eastAsia="Times New Roman"/>
                <w:b/>
                <w:bCs/>
                <w:lang w:val="en-US"/>
              </w:rPr>
              <w:t>Examples of BHP Initiatives</w:t>
            </w:r>
          </w:p>
        </w:tc>
      </w:tr>
      <w:tr w:rsidR="00E106AA" w:rsidRPr="00E106AA" w14:paraId="20960CFB" w14:textId="77777777" w:rsidTr="00B16674">
        <w:trPr>
          <w:tblCellSpacing w:w="15" w:type="dxa"/>
        </w:trPr>
        <w:tc>
          <w:tcPr>
            <w:tcW w:w="0" w:type="auto"/>
            <w:vAlign w:val="center"/>
            <w:hideMark/>
          </w:tcPr>
          <w:p w14:paraId="4D862322" w14:textId="77777777" w:rsidR="00E106AA" w:rsidRPr="00E106AA" w:rsidRDefault="00E106AA" w:rsidP="00E106AA">
            <w:pPr>
              <w:spacing w:before="240" w:after="240"/>
              <w:rPr>
                <w:rFonts w:eastAsia="Times New Roman"/>
                <w:lang w:val="en-US"/>
              </w:rPr>
            </w:pPr>
            <w:r w:rsidRPr="00E106AA">
              <w:rPr>
                <w:rFonts w:eastAsia="Times New Roman"/>
                <w:lang w:val="en-US"/>
              </w:rPr>
              <w:t>Climate Action</w:t>
            </w:r>
          </w:p>
        </w:tc>
        <w:tc>
          <w:tcPr>
            <w:tcW w:w="0" w:type="auto"/>
            <w:vAlign w:val="center"/>
            <w:hideMark/>
          </w:tcPr>
          <w:p w14:paraId="2DFEBC99" w14:textId="77777777" w:rsidR="00E106AA" w:rsidRPr="00E106AA" w:rsidRDefault="00E106AA" w:rsidP="00E106AA">
            <w:pPr>
              <w:spacing w:before="240" w:after="240"/>
              <w:rPr>
                <w:rFonts w:eastAsia="Times New Roman"/>
                <w:lang w:val="en-US"/>
              </w:rPr>
            </w:pPr>
            <w:r w:rsidRPr="00E106AA">
              <w:rPr>
                <w:rFonts w:eastAsia="Times New Roman"/>
                <w:lang w:val="en-US"/>
              </w:rPr>
              <w:t xml:space="preserve">Net-zero operational emissions and </w:t>
            </w:r>
            <w:proofErr w:type="spellStart"/>
            <w:r w:rsidRPr="00E106AA">
              <w:rPr>
                <w:rFonts w:eastAsia="Times New Roman"/>
                <w:lang w:val="en-US"/>
              </w:rPr>
              <w:t>decarbonisation</w:t>
            </w:r>
            <w:proofErr w:type="spellEnd"/>
          </w:p>
        </w:tc>
      </w:tr>
      <w:tr w:rsidR="00E106AA" w:rsidRPr="00E106AA" w14:paraId="2EA90B46" w14:textId="77777777" w:rsidTr="00B16674">
        <w:trPr>
          <w:tblCellSpacing w:w="15" w:type="dxa"/>
        </w:trPr>
        <w:tc>
          <w:tcPr>
            <w:tcW w:w="0" w:type="auto"/>
            <w:shd w:val="clear" w:color="auto" w:fill="D9F2D0" w:themeFill="accent6" w:themeFillTint="33"/>
            <w:vAlign w:val="center"/>
            <w:hideMark/>
          </w:tcPr>
          <w:p w14:paraId="377CB307" w14:textId="77777777" w:rsidR="00E106AA" w:rsidRPr="00E106AA" w:rsidRDefault="00E106AA" w:rsidP="00E106AA">
            <w:pPr>
              <w:spacing w:before="240" w:after="240"/>
              <w:rPr>
                <w:rFonts w:eastAsia="Times New Roman"/>
                <w:lang w:val="en-US"/>
              </w:rPr>
            </w:pPr>
            <w:r w:rsidRPr="00E106AA">
              <w:rPr>
                <w:rFonts w:eastAsia="Times New Roman"/>
                <w:lang w:val="en-US"/>
              </w:rPr>
              <w:t>Renewable Energy</w:t>
            </w:r>
          </w:p>
        </w:tc>
        <w:tc>
          <w:tcPr>
            <w:tcW w:w="0" w:type="auto"/>
            <w:shd w:val="clear" w:color="auto" w:fill="D9F2D0" w:themeFill="accent6" w:themeFillTint="33"/>
            <w:vAlign w:val="center"/>
            <w:hideMark/>
          </w:tcPr>
          <w:p w14:paraId="45ECF613" w14:textId="77777777" w:rsidR="00E106AA" w:rsidRPr="00E106AA" w:rsidRDefault="00E106AA" w:rsidP="00E106AA">
            <w:pPr>
              <w:spacing w:before="240" w:after="240"/>
              <w:rPr>
                <w:rFonts w:eastAsia="Times New Roman"/>
                <w:lang w:val="en-US"/>
              </w:rPr>
            </w:pPr>
            <w:r w:rsidRPr="00E106AA">
              <w:rPr>
                <w:rFonts w:eastAsia="Times New Roman"/>
                <w:lang w:val="en-US"/>
              </w:rPr>
              <w:t>Increased use of renewable electricity across operations</w:t>
            </w:r>
          </w:p>
        </w:tc>
      </w:tr>
      <w:tr w:rsidR="00E106AA" w:rsidRPr="00E106AA" w14:paraId="18662083" w14:textId="77777777" w:rsidTr="00B16674">
        <w:trPr>
          <w:tblCellSpacing w:w="15" w:type="dxa"/>
        </w:trPr>
        <w:tc>
          <w:tcPr>
            <w:tcW w:w="0" w:type="auto"/>
            <w:vAlign w:val="center"/>
            <w:hideMark/>
          </w:tcPr>
          <w:p w14:paraId="26224423" w14:textId="77777777" w:rsidR="00E106AA" w:rsidRPr="00E106AA" w:rsidRDefault="00E106AA" w:rsidP="00E106AA">
            <w:pPr>
              <w:spacing w:before="240" w:after="240"/>
              <w:rPr>
                <w:rFonts w:eastAsia="Times New Roman"/>
                <w:lang w:val="en-US"/>
              </w:rPr>
            </w:pPr>
            <w:r w:rsidRPr="00E106AA">
              <w:rPr>
                <w:rFonts w:eastAsia="Times New Roman"/>
                <w:lang w:val="en-US"/>
              </w:rPr>
              <w:t>Innovation</w:t>
            </w:r>
          </w:p>
        </w:tc>
        <w:tc>
          <w:tcPr>
            <w:tcW w:w="0" w:type="auto"/>
            <w:vAlign w:val="center"/>
            <w:hideMark/>
          </w:tcPr>
          <w:p w14:paraId="0B9CC60A" w14:textId="77777777" w:rsidR="00E106AA" w:rsidRPr="00E106AA" w:rsidRDefault="00E106AA" w:rsidP="00E106AA">
            <w:pPr>
              <w:spacing w:before="240" w:after="240"/>
              <w:rPr>
                <w:rFonts w:eastAsia="Times New Roman"/>
                <w:lang w:val="en-US"/>
              </w:rPr>
            </w:pPr>
            <w:r w:rsidRPr="00E106AA">
              <w:rPr>
                <w:rFonts w:eastAsia="Times New Roman"/>
                <w:lang w:val="en-US"/>
              </w:rPr>
              <w:t>AI, automation and low-carbon technologies</w:t>
            </w:r>
          </w:p>
        </w:tc>
      </w:tr>
      <w:tr w:rsidR="00E106AA" w:rsidRPr="00E106AA" w14:paraId="19BB3F87" w14:textId="77777777" w:rsidTr="00B16674">
        <w:trPr>
          <w:tblCellSpacing w:w="15" w:type="dxa"/>
        </w:trPr>
        <w:tc>
          <w:tcPr>
            <w:tcW w:w="0" w:type="auto"/>
            <w:shd w:val="clear" w:color="auto" w:fill="D9F2D0" w:themeFill="accent6" w:themeFillTint="33"/>
            <w:vAlign w:val="center"/>
            <w:hideMark/>
          </w:tcPr>
          <w:p w14:paraId="20FA01E1" w14:textId="77777777" w:rsidR="00E106AA" w:rsidRPr="00E106AA" w:rsidRDefault="00E106AA" w:rsidP="00E106AA">
            <w:pPr>
              <w:spacing w:before="240" w:after="240"/>
              <w:rPr>
                <w:rFonts w:eastAsia="Times New Roman"/>
                <w:lang w:val="en-US"/>
              </w:rPr>
            </w:pPr>
            <w:r w:rsidRPr="00E106AA">
              <w:rPr>
                <w:rFonts w:eastAsia="Times New Roman"/>
                <w:lang w:val="en-US"/>
              </w:rPr>
              <w:t>Critical Minerals</w:t>
            </w:r>
          </w:p>
        </w:tc>
        <w:tc>
          <w:tcPr>
            <w:tcW w:w="0" w:type="auto"/>
            <w:shd w:val="clear" w:color="auto" w:fill="D9F2D0" w:themeFill="accent6" w:themeFillTint="33"/>
            <w:vAlign w:val="center"/>
            <w:hideMark/>
          </w:tcPr>
          <w:p w14:paraId="3226E8BC" w14:textId="77777777" w:rsidR="00E106AA" w:rsidRPr="00E106AA" w:rsidRDefault="00E106AA" w:rsidP="00E106AA">
            <w:pPr>
              <w:spacing w:before="240" w:after="240"/>
              <w:rPr>
                <w:rFonts w:eastAsia="Times New Roman"/>
                <w:lang w:val="en-US"/>
              </w:rPr>
            </w:pPr>
            <w:r w:rsidRPr="00E106AA">
              <w:rPr>
                <w:rFonts w:eastAsia="Times New Roman"/>
                <w:lang w:val="en-US"/>
              </w:rPr>
              <w:t>Increased production of copper, nickel and potash</w:t>
            </w:r>
          </w:p>
        </w:tc>
      </w:tr>
      <w:tr w:rsidR="00E106AA" w:rsidRPr="00E106AA" w14:paraId="339902BF" w14:textId="77777777" w:rsidTr="00B16674">
        <w:trPr>
          <w:tblCellSpacing w:w="15" w:type="dxa"/>
        </w:trPr>
        <w:tc>
          <w:tcPr>
            <w:tcW w:w="0" w:type="auto"/>
            <w:vAlign w:val="center"/>
            <w:hideMark/>
          </w:tcPr>
          <w:p w14:paraId="3F80DF9B" w14:textId="77777777" w:rsidR="00E106AA" w:rsidRPr="00E106AA" w:rsidRDefault="00E106AA" w:rsidP="00E106AA">
            <w:pPr>
              <w:spacing w:before="240" w:after="240"/>
              <w:rPr>
                <w:rFonts w:eastAsia="Times New Roman"/>
                <w:lang w:val="en-US"/>
              </w:rPr>
            </w:pPr>
            <w:r w:rsidRPr="00E106AA">
              <w:rPr>
                <w:rFonts w:eastAsia="Times New Roman"/>
                <w:lang w:val="en-US"/>
              </w:rPr>
              <w:t>Responsible Resource Management</w:t>
            </w:r>
          </w:p>
        </w:tc>
        <w:tc>
          <w:tcPr>
            <w:tcW w:w="0" w:type="auto"/>
            <w:vAlign w:val="center"/>
            <w:hideMark/>
          </w:tcPr>
          <w:p w14:paraId="4E0F14AD" w14:textId="77777777" w:rsidR="00E106AA" w:rsidRPr="00E106AA" w:rsidRDefault="00E106AA" w:rsidP="00E106AA">
            <w:pPr>
              <w:spacing w:before="240" w:after="240"/>
              <w:rPr>
                <w:rFonts w:eastAsia="Times New Roman"/>
                <w:lang w:val="en-US"/>
              </w:rPr>
            </w:pPr>
            <w:r w:rsidRPr="00E106AA">
              <w:rPr>
                <w:rFonts w:eastAsia="Times New Roman"/>
                <w:lang w:val="en-US"/>
              </w:rPr>
              <w:t>Improving environmental performance and resource efficiency</w:t>
            </w:r>
          </w:p>
        </w:tc>
      </w:tr>
    </w:tbl>
    <w:p w14:paraId="100B2152" w14:textId="752230DC" w:rsidR="00E106AA" w:rsidRPr="00E106AA" w:rsidRDefault="00E106AA" w:rsidP="00E106AA">
      <w:pPr>
        <w:spacing w:before="240" w:after="240"/>
        <w:rPr>
          <w:rFonts w:eastAsia="Times New Roman"/>
          <w:lang w:val="en-US"/>
        </w:rPr>
      </w:pPr>
      <w:r w:rsidRPr="00E106AA">
        <w:rPr>
          <w:rFonts w:eastAsia="Times New Roman"/>
          <w:b/>
          <w:bCs/>
          <w:lang w:val="en-US"/>
        </w:rPr>
        <w:t>Source:</w:t>
      </w:r>
      <w:r w:rsidRPr="00E106AA">
        <w:rPr>
          <w:rFonts w:eastAsia="Times New Roman"/>
          <w:lang w:val="en-US"/>
        </w:rPr>
        <w:t xml:space="preserve"> Author's own illustration based on BHP </w:t>
      </w:r>
      <w:r w:rsidR="00494F28">
        <w:rPr>
          <w:rFonts w:eastAsia="Times New Roman"/>
          <w:lang w:val="en-US"/>
        </w:rPr>
        <w:t xml:space="preserve">reports </w:t>
      </w:r>
      <w:r w:rsidRPr="00E106AA">
        <w:rPr>
          <w:rFonts w:eastAsia="Times New Roman"/>
          <w:lang w:val="en-US"/>
        </w:rPr>
        <w:t>(2025a; 2025b).</w:t>
      </w:r>
    </w:p>
    <w:p w14:paraId="699D6218" w14:textId="3207D6AD" w:rsidR="00C02F17" w:rsidRDefault="00C02F17" w:rsidP="00C02F17">
      <w:pPr>
        <w:pStyle w:val="2"/>
        <w:spacing w:before="299" w:after="299"/>
        <w:rPr>
          <w:rFonts w:eastAsia="Times New Roman"/>
          <w:b/>
          <w:bCs/>
          <w:lang w:val="en-US"/>
        </w:rPr>
      </w:pPr>
      <w:bookmarkStart w:id="4" w:name="_Toc235011547"/>
      <w:r w:rsidRPr="00C02F17">
        <w:rPr>
          <w:rFonts w:eastAsia="Times New Roman"/>
          <w:b/>
          <w:bCs/>
          <w:lang w:val="en-US"/>
        </w:rPr>
        <w:t>1.2 External Marketing Environment</w:t>
      </w:r>
      <w:bookmarkEnd w:id="4"/>
    </w:p>
    <w:p w14:paraId="04228CCA" w14:textId="258A8BF6" w:rsidR="002C0842" w:rsidRPr="00B16674" w:rsidRDefault="002C0842" w:rsidP="00B16674">
      <w:pPr>
        <w:rPr>
          <w:b/>
          <w:bCs/>
          <w:color w:val="EE0000"/>
          <w:lang w:val="en-US"/>
          <w14:textOutline w14:w="0" w14:cap="flat" w14:cmpd="sng" w14:algn="ctr">
            <w14:noFill/>
            <w14:prstDash w14:val="solid"/>
            <w14:round/>
          </w14:textOutline>
          <w14:props3d w14:extrusionH="57150" w14:contourW="0" w14:prstMaterial="softEdge">
            <w14:bevelT w14:w="25400" w14:h="38100" w14:prst="circle"/>
          </w14:props3d>
        </w:rPr>
      </w:pPr>
      <w:r w:rsidRPr="00B16674">
        <w:rPr>
          <w:b/>
          <w:bCs/>
          <w:color w:val="EE0000"/>
          <w:lang w:val="en-US"/>
          <w14:textOutline w14:w="0" w14:cap="flat" w14:cmpd="sng" w14:algn="ctr">
            <w14:noFill/>
            <w14:prstDash w14:val="solid"/>
            <w14:round/>
          </w14:textOutline>
          <w14:props3d w14:extrusionH="57150" w14:contourW="0" w14:prstMaterial="softEdge">
            <w14:bevelT w14:w="25400" w14:h="38100" w14:prst="circle"/>
          </w14:props3d>
        </w:rPr>
        <w:t>Figure 2. PESTEL Analysis of the External Marketing Environment Affecting BHP</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81"/>
        <w:gridCol w:w="5530"/>
        <w:gridCol w:w="1805"/>
      </w:tblGrid>
      <w:tr w:rsidR="002C0842" w:rsidRPr="002C0842" w14:paraId="01707A26" w14:textId="77777777" w:rsidTr="00B16674">
        <w:trPr>
          <w:tblHeader/>
          <w:tblCellSpacing w:w="15" w:type="dxa"/>
        </w:trPr>
        <w:tc>
          <w:tcPr>
            <w:tcW w:w="0" w:type="auto"/>
            <w:shd w:val="clear" w:color="auto" w:fill="DAE9F7" w:themeFill="text2" w:themeFillTint="1A"/>
            <w:vAlign w:val="center"/>
            <w:hideMark/>
          </w:tcPr>
          <w:p w14:paraId="3C7FCB58" w14:textId="77777777" w:rsidR="002C0842" w:rsidRPr="002C0842" w:rsidRDefault="002C0842" w:rsidP="002C0842">
            <w:pPr>
              <w:rPr>
                <w:b/>
                <w:bCs/>
                <w:lang w:val="en-US"/>
              </w:rPr>
            </w:pPr>
            <w:r w:rsidRPr="002C0842">
              <w:rPr>
                <w:b/>
                <w:bCs/>
                <w:lang w:val="en-US"/>
              </w:rPr>
              <w:t>PESTEL Factor</w:t>
            </w:r>
          </w:p>
        </w:tc>
        <w:tc>
          <w:tcPr>
            <w:tcW w:w="0" w:type="auto"/>
            <w:shd w:val="clear" w:color="auto" w:fill="DAE9F7" w:themeFill="text2" w:themeFillTint="1A"/>
            <w:vAlign w:val="center"/>
            <w:hideMark/>
          </w:tcPr>
          <w:p w14:paraId="0DA8BE06" w14:textId="77777777" w:rsidR="002C0842" w:rsidRPr="002C0842" w:rsidRDefault="002C0842" w:rsidP="002C0842">
            <w:pPr>
              <w:rPr>
                <w:b/>
                <w:bCs/>
                <w:lang w:val="en-US"/>
              </w:rPr>
            </w:pPr>
            <w:r w:rsidRPr="002C0842">
              <w:rPr>
                <w:b/>
                <w:bCs/>
                <w:lang w:val="en-US"/>
              </w:rPr>
              <w:t>Relevance to BHP</w:t>
            </w:r>
          </w:p>
        </w:tc>
        <w:tc>
          <w:tcPr>
            <w:tcW w:w="0" w:type="auto"/>
            <w:shd w:val="clear" w:color="auto" w:fill="DAE9F7" w:themeFill="text2" w:themeFillTint="1A"/>
            <w:vAlign w:val="center"/>
            <w:hideMark/>
          </w:tcPr>
          <w:p w14:paraId="1D8E917F" w14:textId="77777777" w:rsidR="002C0842" w:rsidRPr="002C0842" w:rsidRDefault="002C0842" w:rsidP="002C0842">
            <w:pPr>
              <w:rPr>
                <w:b/>
                <w:bCs/>
                <w:lang w:val="en-US"/>
              </w:rPr>
            </w:pPr>
            <w:r w:rsidRPr="002C0842">
              <w:rPr>
                <w:b/>
                <w:bCs/>
                <w:lang w:val="en-US"/>
              </w:rPr>
              <w:t>Importance to this Report</w:t>
            </w:r>
          </w:p>
        </w:tc>
      </w:tr>
      <w:tr w:rsidR="002C0842" w:rsidRPr="002C0842" w14:paraId="320D8A6F" w14:textId="77777777" w:rsidTr="00B16674">
        <w:trPr>
          <w:tblCellSpacing w:w="15" w:type="dxa"/>
        </w:trPr>
        <w:tc>
          <w:tcPr>
            <w:tcW w:w="0" w:type="auto"/>
            <w:vAlign w:val="center"/>
            <w:hideMark/>
          </w:tcPr>
          <w:p w14:paraId="530AC272" w14:textId="77777777" w:rsidR="002C0842" w:rsidRPr="00B16674" w:rsidRDefault="002C0842" w:rsidP="002C0842">
            <w:pPr>
              <w:rPr>
                <w:color w:val="47D459" w:themeColor="accent3" w:themeTint="99"/>
                <w:lang w:val="en-US"/>
              </w:rPr>
            </w:pPr>
            <w:r w:rsidRPr="00B16674">
              <w:rPr>
                <w:b/>
                <w:bCs/>
                <w:color w:val="47D459" w:themeColor="accent3" w:themeTint="99"/>
                <w:lang w:val="en-US"/>
              </w:rPr>
              <w:t>Political</w:t>
            </w:r>
          </w:p>
        </w:tc>
        <w:tc>
          <w:tcPr>
            <w:tcW w:w="0" w:type="auto"/>
            <w:vAlign w:val="center"/>
            <w:hideMark/>
          </w:tcPr>
          <w:p w14:paraId="5ED2638F" w14:textId="77777777" w:rsidR="002C0842" w:rsidRPr="002C0842" w:rsidRDefault="002C0842" w:rsidP="002C0842">
            <w:pPr>
              <w:rPr>
                <w:lang w:val="en-US"/>
              </w:rPr>
            </w:pPr>
            <w:r w:rsidRPr="002C0842">
              <w:rPr>
                <w:lang w:val="en-US"/>
              </w:rPr>
              <w:t>Government climate policies and mining regulations</w:t>
            </w:r>
          </w:p>
        </w:tc>
        <w:tc>
          <w:tcPr>
            <w:tcW w:w="0" w:type="auto"/>
            <w:vAlign w:val="center"/>
            <w:hideMark/>
          </w:tcPr>
          <w:p w14:paraId="48424994" w14:textId="77777777" w:rsidR="002C0842" w:rsidRPr="0053704A" w:rsidRDefault="002C0842" w:rsidP="002C0842">
            <w:pPr>
              <w:rPr>
                <w:color w:val="8DD873" w:themeColor="accent6" w:themeTint="99"/>
                <w:lang w:val="en-US"/>
              </w:rPr>
            </w:pPr>
            <w:r w:rsidRPr="0053704A">
              <w:rPr>
                <w:color w:val="8DD873" w:themeColor="accent6" w:themeTint="99"/>
                <w:lang w:val="en-US"/>
              </w:rPr>
              <w:t>Low</w:t>
            </w:r>
          </w:p>
        </w:tc>
      </w:tr>
      <w:tr w:rsidR="002C0842" w:rsidRPr="002C0842" w14:paraId="199E108B" w14:textId="77777777" w:rsidTr="00B16674">
        <w:trPr>
          <w:tblCellSpacing w:w="15" w:type="dxa"/>
        </w:trPr>
        <w:tc>
          <w:tcPr>
            <w:tcW w:w="0" w:type="auto"/>
            <w:vAlign w:val="center"/>
            <w:hideMark/>
          </w:tcPr>
          <w:p w14:paraId="4C848BBB" w14:textId="77777777" w:rsidR="002C0842" w:rsidRPr="00B16674" w:rsidRDefault="002C0842" w:rsidP="002C0842">
            <w:pPr>
              <w:rPr>
                <w:color w:val="47D459" w:themeColor="accent3" w:themeTint="99"/>
                <w:lang w:val="en-US"/>
              </w:rPr>
            </w:pPr>
            <w:r w:rsidRPr="00B16674">
              <w:rPr>
                <w:b/>
                <w:bCs/>
                <w:color w:val="47D459" w:themeColor="accent3" w:themeTint="99"/>
                <w:lang w:val="en-US"/>
              </w:rPr>
              <w:t>Economic</w:t>
            </w:r>
          </w:p>
        </w:tc>
        <w:tc>
          <w:tcPr>
            <w:tcW w:w="0" w:type="auto"/>
            <w:vAlign w:val="center"/>
            <w:hideMark/>
          </w:tcPr>
          <w:p w14:paraId="13F162BF" w14:textId="77777777" w:rsidR="002C0842" w:rsidRPr="002C0842" w:rsidRDefault="002C0842" w:rsidP="002C0842">
            <w:pPr>
              <w:rPr>
                <w:lang w:val="en-US"/>
              </w:rPr>
            </w:pPr>
            <w:r w:rsidRPr="002C0842">
              <w:rPr>
                <w:lang w:val="en-US"/>
              </w:rPr>
              <w:t>Global demand for minerals and commodity price fluctuations</w:t>
            </w:r>
          </w:p>
        </w:tc>
        <w:tc>
          <w:tcPr>
            <w:tcW w:w="0" w:type="auto"/>
            <w:vAlign w:val="center"/>
            <w:hideMark/>
          </w:tcPr>
          <w:p w14:paraId="2E65FCC0" w14:textId="77777777" w:rsidR="002C0842" w:rsidRPr="0053704A" w:rsidRDefault="002C0842" w:rsidP="002C0842">
            <w:pPr>
              <w:rPr>
                <w:color w:val="8DD873" w:themeColor="accent6" w:themeTint="99"/>
                <w:lang w:val="en-US"/>
              </w:rPr>
            </w:pPr>
            <w:r w:rsidRPr="0053704A">
              <w:rPr>
                <w:color w:val="8DD873" w:themeColor="accent6" w:themeTint="99"/>
                <w:lang w:val="en-US"/>
              </w:rPr>
              <w:t>Moderate</w:t>
            </w:r>
          </w:p>
        </w:tc>
      </w:tr>
      <w:tr w:rsidR="002C0842" w:rsidRPr="002C0842" w14:paraId="3B8FF1C5" w14:textId="77777777" w:rsidTr="00B16674">
        <w:trPr>
          <w:tblCellSpacing w:w="15" w:type="dxa"/>
        </w:trPr>
        <w:tc>
          <w:tcPr>
            <w:tcW w:w="0" w:type="auto"/>
            <w:vAlign w:val="center"/>
            <w:hideMark/>
          </w:tcPr>
          <w:p w14:paraId="5FED6036" w14:textId="77777777" w:rsidR="002C0842" w:rsidRPr="00B16674" w:rsidRDefault="002C0842" w:rsidP="002C0842">
            <w:pPr>
              <w:rPr>
                <w:color w:val="47D459" w:themeColor="accent3" w:themeTint="99"/>
                <w:lang w:val="en-US"/>
              </w:rPr>
            </w:pPr>
            <w:r w:rsidRPr="00B16674">
              <w:rPr>
                <w:b/>
                <w:bCs/>
                <w:color w:val="47D459" w:themeColor="accent3" w:themeTint="99"/>
                <w:lang w:val="en-US"/>
              </w:rPr>
              <w:t>Social</w:t>
            </w:r>
          </w:p>
        </w:tc>
        <w:tc>
          <w:tcPr>
            <w:tcW w:w="0" w:type="auto"/>
            <w:vAlign w:val="center"/>
            <w:hideMark/>
          </w:tcPr>
          <w:p w14:paraId="3090EEE7" w14:textId="77777777" w:rsidR="002C0842" w:rsidRPr="002C0842" w:rsidRDefault="002C0842" w:rsidP="002C0842">
            <w:pPr>
              <w:rPr>
                <w:lang w:val="en-US"/>
              </w:rPr>
            </w:pPr>
            <w:r w:rsidRPr="002C0842">
              <w:rPr>
                <w:lang w:val="en-US"/>
              </w:rPr>
              <w:t>Growing stakeholder expectations for sustainable business practices</w:t>
            </w:r>
          </w:p>
        </w:tc>
        <w:tc>
          <w:tcPr>
            <w:tcW w:w="0" w:type="auto"/>
            <w:vAlign w:val="center"/>
            <w:hideMark/>
          </w:tcPr>
          <w:p w14:paraId="4329F45A" w14:textId="77777777" w:rsidR="002C0842" w:rsidRPr="0053704A" w:rsidRDefault="002C0842" w:rsidP="002C0842">
            <w:pPr>
              <w:rPr>
                <w:color w:val="8DD873" w:themeColor="accent6" w:themeTint="99"/>
                <w:lang w:val="en-US"/>
              </w:rPr>
            </w:pPr>
            <w:r w:rsidRPr="0053704A">
              <w:rPr>
                <w:color w:val="8DD873" w:themeColor="accent6" w:themeTint="99"/>
                <w:lang w:val="en-US"/>
              </w:rPr>
              <w:t>Moderate</w:t>
            </w:r>
          </w:p>
        </w:tc>
      </w:tr>
      <w:tr w:rsidR="002C0842" w:rsidRPr="002C0842" w14:paraId="14CA8960" w14:textId="77777777" w:rsidTr="00B16674">
        <w:trPr>
          <w:tblCellSpacing w:w="15" w:type="dxa"/>
        </w:trPr>
        <w:tc>
          <w:tcPr>
            <w:tcW w:w="0" w:type="auto"/>
            <w:vAlign w:val="center"/>
            <w:hideMark/>
          </w:tcPr>
          <w:p w14:paraId="1C3ADA93" w14:textId="0AB5DF08" w:rsidR="002C0842" w:rsidRPr="00B16674" w:rsidRDefault="002C0842" w:rsidP="002C0842">
            <w:pPr>
              <w:rPr>
                <w:color w:val="EE0000"/>
                <w:lang w:val="en-US"/>
              </w:rPr>
            </w:pPr>
            <w:r w:rsidRPr="00B16674">
              <w:rPr>
                <w:b/>
                <w:bCs/>
                <w:color w:val="EE0000"/>
                <w:lang w:val="en-US"/>
              </w:rPr>
              <w:t>Technological</w:t>
            </w:r>
          </w:p>
        </w:tc>
        <w:tc>
          <w:tcPr>
            <w:tcW w:w="0" w:type="auto"/>
            <w:vAlign w:val="center"/>
            <w:hideMark/>
          </w:tcPr>
          <w:p w14:paraId="18E0023C" w14:textId="77777777" w:rsidR="002C0842" w:rsidRPr="002C0842" w:rsidRDefault="002C0842" w:rsidP="002C0842">
            <w:pPr>
              <w:rPr>
                <w:lang w:val="en-US"/>
              </w:rPr>
            </w:pPr>
            <w:r w:rsidRPr="00B16674">
              <w:rPr>
                <w:lang w:val="en-US"/>
              </w:rPr>
              <w:t>AI, automation, renewable energy technologies and cleaner mining processes improve efficiency and reduce emissions</w:t>
            </w:r>
          </w:p>
        </w:tc>
        <w:tc>
          <w:tcPr>
            <w:tcW w:w="0" w:type="auto"/>
            <w:vAlign w:val="center"/>
            <w:hideMark/>
          </w:tcPr>
          <w:p w14:paraId="64C2808D" w14:textId="77777777" w:rsidR="002C0842" w:rsidRPr="002C0842" w:rsidRDefault="002C0842" w:rsidP="002C0842">
            <w:pPr>
              <w:rPr>
                <w:lang w:val="en-US"/>
              </w:rPr>
            </w:pPr>
            <w:r w:rsidRPr="00B16674">
              <w:rPr>
                <w:b/>
                <w:bCs/>
                <w:color w:val="EE0000"/>
                <w:lang w:val="en-US"/>
              </w:rPr>
              <w:t xml:space="preserve">High – </w:t>
            </w:r>
            <w:proofErr w:type="spellStart"/>
            <w:r w:rsidRPr="00B16674">
              <w:rPr>
                <w:b/>
                <w:bCs/>
                <w:color w:val="EE0000"/>
                <w:lang w:val="en-US"/>
              </w:rPr>
              <w:t>analysed</w:t>
            </w:r>
            <w:proofErr w:type="spellEnd"/>
            <w:r w:rsidRPr="00B16674">
              <w:rPr>
                <w:b/>
                <w:bCs/>
                <w:color w:val="EE0000"/>
                <w:lang w:val="en-US"/>
              </w:rPr>
              <w:t xml:space="preserve"> in detail</w:t>
            </w:r>
          </w:p>
        </w:tc>
      </w:tr>
      <w:tr w:rsidR="002C0842" w:rsidRPr="002C0842" w14:paraId="6D26E63C" w14:textId="77777777" w:rsidTr="00B16674">
        <w:trPr>
          <w:tblCellSpacing w:w="15" w:type="dxa"/>
        </w:trPr>
        <w:tc>
          <w:tcPr>
            <w:tcW w:w="0" w:type="auto"/>
            <w:vAlign w:val="center"/>
            <w:hideMark/>
          </w:tcPr>
          <w:p w14:paraId="3904EDC9" w14:textId="0D6235CC" w:rsidR="002C0842" w:rsidRPr="002C0842" w:rsidRDefault="002C0842" w:rsidP="002C0842">
            <w:pPr>
              <w:rPr>
                <w:lang w:val="en-US"/>
              </w:rPr>
            </w:pPr>
            <w:r w:rsidRPr="00B16674">
              <w:rPr>
                <w:b/>
                <w:bCs/>
                <w:color w:val="EE0000"/>
                <w:lang w:val="en-US"/>
              </w:rPr>
              <w:t>Environmental</w:t>
            </w:r>
          </w:p>
        </w:tc>
        <w:tc>
          <w:tcPr>
            <w:tcW w:w="0" w:type="auto"/>
            <w:vAlign w:val="center"/>
            <w:hideMark/>
          </w:tcPr>
          <w:p w14:paraId="0D22FD8E" w14:textId="77777777" w:rsidR="002C0842" w:rsidRPr="002C0842" w:rsidRDefault="002C0842" w:rsidP="002C0842">
            <w:pPr>
              <w:rPr>
                <w:lang w:val="en-US"/>
              </w:rPr>
            </w:pPr>
            <w:r w:rsidRPr="002C0842">
              <w:rPr>
                <w:lang w:val="en-US"/>
              </w:rPr>
              <w:t>Climate change, carbon reduction targets, ESG expectations and resource sustainability drive BHP's transition to lower-carbon products</w:t>
            </w:r>
          </w:p>
        </w:tc>
        <w:tc>
          <w:tcPr>
            <w:tcW w:w="0" w:type="auto"/>
            <w:vAlign w:val="center"/>
            <w:hideMark/>
          </w:tcPr>
          <w:p w14:paraId="1265F9A5" w14:textId="77777777" w:rsidR="002C0842" w:rsidRPr="002C0842" w:rsidRDefault="002C0842" w:rsidP="002C0842">
            <w:pPr>
              <w:rPr>
                <w:lang w:val="en-US"/>
              </w:rPr>
            </w:pPr>
            <w:r w:rsidRPr="0053704A">
              <w:rPr>
                <w:b/>
                <w:bCs/>
                <w:color w:val="EE0000"/>
                <w:lang w:val="en-US"/>
              </w:rPr>
              <w:t xml:space="preserve">High – </w:t>
            </w:r>
            <w:proofErr w:type="spellStart"/>
            <w:r w:rsidRPr="0053704A">
              <w:rPr>
                <w:b/>
                <w:bCs/>
                <w:color w:val="EE0000"/>
                <w:lang w:val="en-US"/>
              </w:rPr>
              <w:t>analysed</w:t>
            </w:r>
            <w:proofErr w:type="spellEnd"/>
            <w:r w:rsidRPr="0053704A">
              <w:rPr>
                <w:b/>
                <w:bCs/>
                <w:color w:val="EE0000"/>
                <w:lang w:val="en-US"/>
              </w:rPr>
              <w:t xml:space="preserve"> in detail</w:t>
            </w:r>
          </w:p>
        </w:tc>
      </w:tr>
      <w:tr w:rsidR="002C0842" w:rsidRPr="002C0842" w14:paraId="2D5D86C4" w14:textId="77777777" w:rsidTr="00B16674">
        <w:trPr>
          <w:tblCellSpacing w:w="15" w:type="dxa"/>
        </w:trPr>
        <w:tc>
          <w:tcPr>
            <w:tcW w:w="0" w:type="auto"/>
            <w:vAlign w:val="center"/>
            <w:hideMark/>
          </w:tcPr>
          <w:p w14:paraId="085B8DF3" w14:textId="77777777" w:rsidR="002C0842" w:rsidRPr="002C0842" w:rsidRDefault="002C0842" w:rsidP="002C0842">
            <w:pPr>
              <w:rPr>
                <w:lang w:val="en-US"/>
              </w:rPr>
            </w:pPr>
            <w:r w:rsidRPr="00B16674">
              <w:rPr>
                <w:b/>
                <w:bCs/>
                <w:color w:val="8DD873" w:themeColor="accent6" w:themeTint="99"/>
                <w:lang w:val="en-US"/>
              </w:rPr>
              <w:lastRenderedPageBreak/>
              <w:t>Legal</w:t>
            </w:r>
          </w:p>
        </w:tc>
        <w:tc>
          <w:tcPr>
            <w:tcW w:w="0" w:type="auto"/>
            <w:vAlign w:val="center"/>
            <w:hideMark/>
          </w:tcPr>
          <w:p w14:paraId="3B616A63" w14:textId="77777777" w:rsidR="002C0842" w:rsidRPr="002C0842" w:rsidRDefault="002C0842" w:rsidP="002C0842">
            <w:pPr>
              <w:rPr>
                <w:lang w:val="en-US"/>
              </w:rPr>
            </w:pPr>
            <w:r w:rsidRPr="002C0842">
              <w:rPr>
                <w:lang w:val="en-US"/>
              </w:rPr>
              <w:t>Environmental legislation, emissions reporting and compliance requirements</w:t>
            </w:r>
          </w:p>
        </w:tc>
        <w:tc>
          <w:tcPr>
            <w:tcW w:w="0" w:type="auto"/>
            <w:vAlign w:val="center"/>
            <w:hideMark/>
          </w:tcPr>
          <w:p w14:paraId="233B19E7" w14:textId="77777777" w:rsidR="002C0842" w:rsidRPr="002C0842" w:rsidRDefault="002C0842" w:rsidP="002C0842">
            <w:pPr>
              <w:rPr>
                <w:lang w:val="en-US"/>
              </w:rPr>
            </w:pPr>
            <w:r w:rsidRPr="0053704A">
              <w:rPr>
                <w:color w:val="8DD873" w:themeColor="accent6" w:themeTint="99"/>
                <w:lang w:val="en-US"/>
              </w:rPr>
              <w:t>Moderate</w:t>
            </w:r>
          </w:p>
        </w:tc>
      </w:tr>
    </w:tbl>
    <w:p w14:paraId="7807CA7E" w14:textId="77777777" w:rsidR="002C0842" w:rsidRPr="0053704A" w:rsidRDefault="002C0842" w:rsidP="002C0842">
      <w:pPr>
        <w:rPr>
          <w:lang w:val="en-US"/>
        </w:rPr>
      </w:pPr>
      <w:r w:rsidRPr="0053704A">
        <w:rPr>
          <w:b/>
          <w:bCs/>
          <w:lang w:val="en-US"/>
        </w:rPr>
        <w:t>Source:</w:t>
      </w:r>
      <w:r w:rsidRPr="0053704A">
        <w:rPr>
          <w:lang w:val="en-US"/>
        </w:rPr>
        <w:t xml:space="preserve"> Author's own illustration, adapted from Johnson, Scholes and Whittington (2020) and Kotler et al. (2024).</w:t>
      </w:r>
    </w:p>
    <w:p w14:paraId="66D37D7F" w14:textId="7E2C126A" w:rsidR="002C0842" w:rsidRDefault="002C0842" w:rsidP="00882D0E">
      <w:pPr>
        <w:rPr>
          <w:lang w:val="en-US"/>
        </w:rPr>
      </w:pPr>
      <w:r w:rsidRPr="002C0842">
        <w:t>Figure 2 presents the PESTEL framework used to analyse BHP's external marketing environment. Although all six macro-environmental factors influence the company, this report focuses specifically on the Environmental and Technological factors because they have the greatest impact on BHP's transition towards lower-carbon products.</w:t>
      </w:r>
    </w:p>
    <w:p w14:paraId="55C91B3E" w14:textId="77777777" w:rsidR="00C02F17" w:rsidRDefault="00C02F17" w:rsidP="00C02F17">
      <w:pPr>
        <w:pStyle w:val="2"/>
        <w:spacing w:before="299" w:after="299"/>
        <w:rPr>
          <w:rFonts w:eastAsia="Times New Roman"/>
          <w:b/>
          <w:bCs/>
          <w:lang w:val="en-US"/>
        </w:rPr>
      </w:pPr>
      <w:bookmarkStart w:id="5" w:name="_Toc235011548"/>
      <w:r w:rsidRPr="00C02F17">
        <w:rPr>
          <w:rFonts w:eastAsia="Times New Roman"/>
          <w:b/>
          <w:bCs/>
          <w:lang w:val="en-US"/>
        </w:rPr>
        <w:t>Natural Environment</w:t>
      </w:r>
      <w:bookmarkEnd w:id="5"/>
    </w:p>
    <w:p w14:paraId="31191D33" w14:textId="77777777" w:rsidR="007F036C" w:rsidRPr="006358D8" w:rsidRDefault="007F036C" w:rsidP="007F036C">
      <w:pPr>
        <w:rPr>
          <w:lang w:val="en-US"/>
        </w:rPr>
      </w:pPr>
      <w:bookmarkStart w:id="6" w:name="_Toc235011549"/>
      <w:r w:rsidRPr="006358D8">
        <w:rPr>
          <w:lang w:val="en-US"/>
        </w:rPr>
        <w:t xml:space="preserve">The external marketing environment can be </w:t>
      </w:r>
      <w:proofErr w:type="spellStart"/>
      <w:r w:rsidRPr="006358D8">
        <w:rPr>
          <w:lang w:val="en-US"/>
        </w:rPr>
        <w:t>analysed</w:t>
      </w:r>
      <w:proofErr w:type="spellEnd"/>
      <w:r w:rsidRPr="006358D8">
        <w:rPr>
          <w:lang w:val="en-US"/>
        </w:rPr>
        <w:t xml:space="preserve"> using the PESTEL framework, which examines Political, Economic, Social, Technological, Environmental and Legal factors influencing </w:t>
      </w:r>
      <w:proofErr w:type="spellStart"/>
      <w:r w:rsidRPr="006358D8">
        <w:rPr>
          <w:lang w:val="en-US"/>
        </w:rPr>
        <w:t>organisational</w:t>
      </w:r>
      <w:proofErr w:type="spellEnd"/>
      <w:r w:rsidRPr="006358D8">
        <w:rPr>
          <w:lang w:val="en-US"/>
        </w:rPr>
        <w:t xml:space="preserve"> performance (Johnson, Scholes and Whittington, 2020; Kotler et al., 2024). This report focuses on the Environmental (Natural Environment) and Technological factors because they have the greatest influence on BHP's transition towards lower-carbon products.</w:t>
      </w:r>
    </w:p>
    <w:p w14:paraId="2B81F17D" w14:textId="77777777" w:rsidR="007F036C" w:rsidRPr="006358D8" w:rsidRDefault="007F036C" w:rsidP="007F036C">
      <w:pPr>
        <w:rPr>
          <w:lang w:val="en-US"/>
        </w:rPr>
      </w:pPr>
      <w:r w:rsidRPr="006358D8">
        <w:rPr>
          <w:lang w:val="en-US"/>
        </w:rPr>
        <w:t>The natural environment is one of the most influential factors affecting the global mining industry. According to Kotler et al. (2024), it includes natural resources, climate change, environmental regulations and sustainability expectations. The mining and metals sector is responsible for approximately 25% of greenhouse gas emissions produced by the world's 12,000 largest companies (Kotler et al., 2024). For BHP, these factors create both strategic opportunities and operational challenges.</w:t>
      </w:r>
    </w:p>
    <w:p w14:paraId="331A1896" w14:textId="77777777" w:rsidR="007F036C" w:rsidRPr="006358D8" w:rsidRDefault="007F036C" w:rsidP="007F036C">
      <w:pPr>
        <w:rPr>
          <w:lang w:val="en-US"/>
        </w:rPr>
      </w:pPr>
      <w:r w:rsidRPr="006358D8">
        <w:rPr>
          <w:lang w:val="en-US"/>
        </w:rPr>
        <w:t xml:space="preserve">Climate change has increased pressure on mining companies to reduce greenhouse gas emissions. The International Council on Mining and Metals (2024) reports that the industry is accelerating investment in </w:t>
      </w:r>
      <w:proofErr w:type="spellStart"/>
      <w:r w:rsidRPr="006358D8">
        <w:rPr>
          <w:lang w:val="en-US"/>
        </w:rPr>
        <w:t>decarbonisation</w:t>
      </w:r>
      <w:proofErr w:type="spellEnd"/>
      <w:r w:rsidRPr="006358D8">
        <w:rPr>
          <w:lang w:val="en-US"/>
        </w:rPr>
        <w:t xml:space="preserve"> technologies to meet global climate targets and stakeholder expectations. Governments, investors and environmental </w:t>
      </w:r>
      <w:proofErr w:type="spellStart"/>
      <w:r w:rsidRPr="006358D8">
        <w:rPr>
          <w:lang w:val="en-US"/>
        </w:rPr>
        <w:t>organisations</w:t>
      </w:r>
      <w:proofErr w:type="spellEnd"/>
      <w:r w:rsidRPr="006358D8">
        <w:rPr>
          <w:lang w:val="en-US"/>
        </w:rPr>
        <w:t xml:space="preserve"> increasingly expect measurable progress towards net-zero emissions (Ali et al., 2017; Eccles and Klimenko, 2019).</w:t>
      </w:r>
    </w:p>
    <w:p w14:paraId="0B2DF39C" w14:textId="77777777" w:rsidR="007F036C" w:rsidRPr="006358D8" w:rsidRDefault="007F036C" w:rsidP="007F036C">
      <w:pPr>
        <w:rPr>
          <w:lang w:val="en-US"/>
        </w:rPr>
      </w:pPr>
      <w:r w:rsidRPr="006358D8">
        <w:rPr>
          <w:lang w:val="en-US"/>
        </w:rPr>
        <w:t>At the same time, the transition to renewable energy creates significant opportunities for BHP. Demand for critical minerals such as copper and nickel is expected to increase because they are essential for electric vehicles, renewable energy infrastructure and battery storage systems (International Energy Agency, 2024). This strengthens BHP's market position while enhancing its sustainability reputation and supporting long-term growth.</w:t>
      </w:r>
    </w:p>
    <w:p w14:paraId="7CE7553A" w14:textId="77777777" w:rsidR="007F036C" w:rsidRPr="006358D8" w:rsidRDefault="007F036C" w:rsidP="007F036C">
      <w:pPr>
        <w:rPr>
          <w:lang w:val="en-US"/>
        </w:rPr>
      </w:pPr>
      <w:r w:rsidRPr="006358D8">
        <w:rPr>
          <w:lang w:val="en-US"/>
        </w:rPr>
        <w:t xml:space="preserve">Across the mining sector, companies are investing in renewable energy, electrification and low-carbon technologies to remain competitive (World Economic Forum, 2024). BHP has responded by integrating sustainability into its corporate strategy (BHP, 2025a), investing in </w:t>
      </w:r>
      <w:r w:rsidRPr="006358D8">
        <w:rPr>
          <w:lang w:val="en-US"/>
        </w:rPr>
        <w:lastRenderedPageBreak/>
        <w:t xml:space="preserve">renewable electricity, energy efficiency and lower-emission technologies (BHP, 2024), and collaborating with steel manufacturers to develop lower-carbon production methods (BHP, 2025b). These initiatives strengthen BHP's sustainability positioning and support customers' </w:t>
      </w:r>
      <w:proofErr w:type="spellStart"/>
      <w:r w:rsidRPr="006358D8">
        <w:rPr>
          <w:lang w:val="en-US"/>
        </w:rPr>
        <w:t>decarbonisation</w:t>
      </w:r>
      <w:proofErr w:type="spellEnd"/>
      <w:r w:rsidRPr="006358D8">
        <w:rPr>
          <w:lang w:val="en-US"/>
        </w:rPr>
        <w:t xml:space="preserve"> efforts.</w:t>
      </w:r>
    </w:p>
    <w:p w14:paraId="51BD7CB1" w14:textId="77777777" w:rsidR="007F036C" w:rsidRPr="006358D8" w:rsidRDefault="007F036C" w:rsidP="007F036C">
      <w:pPr>
        <w:rPr>
          <w:lang w:val="en-US"/>
        </w:rPr>
      </w:pPr>
      <w:r w:rsidRPr="006358D8">
        <w:rPr>
          <w:lang w:val="en-US"/>
        </w:rPr>
        <w:t xml:space="preserve">From a marketing perspective, sustainability increasingly influences purchasing decisions. Industrial customers evaluate suppliers using Environmental, Social and Governance (ESG) criteria alongside price and quality, while investors </w:t>
      </w:r>
      <w:proofErr w:type="spellStart"/>
      <w:r w:rsidRPr="006358D8">
        <w:rPr>
          <w:lang w:val="en-US"/>
        </w:rPr>
        <w:t>favour</w:t>
      </w:r>
      <w:proofErr w:type="spellEnd"/>
      <w:r w:rsidRPr="006358D8">
        <w:rPr>
          <w:lang w:val="en-US"/>
        </w:rPr>
        <w:t xml:space="preserve"> </w:t>
      </w:r>
      <w:proofErr w:type="spellStart"/>
      <w:r w:rsidRPr="006358D8">
        <w:rPr>
          <w:lang w:val="en-US"/>
        </w:rPr>
        <w:t>organisations</w:t>
      </w:r>
      <w:proofErr w:type="spellEnd"/>
      <w:r w:rsidRPr="006358D8">
        <w:rPr>
          <w:lang w:val="en-US"/>
        </w:rPr>
        <w:t xml:space="preserve"> with credible climate strategies and transparent sustainability reporting. Consequently, BHP's environmental performance has become an important element of its value proposition.</w:t>
      </w:r>
    </w:p>
    <w:p w14:paraId="6D657E6B" w14:textId="77777777" w:rsidR="007F036C" w:rsidRPr="006358D8" w:rsidRDefault="007F036C" w:rsidP="007F036C">
      <w:pPr>
        <w:rPr>
          <w:lang w:val="en-US"/>
        </w:rPr>
      </w:pPr>
      <w:r w:rsidRPr="006358D8">
        <w:rPr>
          <w:lang w:val="en-US"/>
        </w:rPr>
        <w:t>However, reducing emissions requires substantial investment in renewable energy, technological innovation and infrastructure, increasing short-term costs. Evolving environmental regulations also require BHP to comply with changing legal and reporting requirements. Failure to meet these expectations could result in financial penalties, reputational damage and reduced competitiveness.</w:t>
      </w:r>
    </w:p>
    <w:p w14:paraId="69AFD331" w14:textId="77777777" w:rsidR="007F036C" w:rsidRPr="006358D8" w:rsidRDefault="007F036C" w:rsidP="007F036C">
      <w:pPr>
        <w:rPr>
          <w:lang w:val="en-US"/>
        </w:rPr>
      </w:pPr>
      <w:r w:rsidRPr="006358D8">
        <w:rPr>
          <w:lang w:val="en-US"/>
        </w:rPr>
        <w:t>Overall, the natural environment presents both strategic opportunities and significant challenges for BHP. Successfully integrating sustainability into its operations and marketing strategy will strengthen stakeholder trust, enhance brand reputation and long-term competitiveness.</w:t>
      </w:r>
    </w:p>
    <w:p w14:paraId="59EB42BB" w14:textId="77777777" w:rsidR="00C02F17" w:rsidRPr="00C02F17" w:rsidRDefault="00C02F17" w:rsidP="00C02F17">
      <w:pPr>
        <w:pStyle w:val="2"/>
        <w:spacing w:before="299" w:after="299"/>
        <w:rPr>
          <w:rFonts w:eastAsia="Times New Roman"/>
          <w:b/>
          <w:bCs/>
          <w:lang w:val="en-US"/>
        </w:rPr>
      </w:pPr>
      <w:r w:rsidRPr="00C02F17">
        <w:rPr>
          <w:rFonts w:eastAsia="Times New Roman"/>
          <w:b/>
          <w:bCs/>
          <w:lang w:val="en-US"/>
        </w:rPr>
        <w:t>Technological Environment</w:t>
      </w:r>
      <w:bookmarkEnd w:id="6"/>
    </w:p>
    <w:p w14:paraId="4BC2EBA5" w14:textId="77777777" w:rsidR="009E069C" w:rsidRPr="009E069C" w:rsidRDefault="009E069C" w:rsidP="009E069C">
      <w:pPr>
        <w:rPr>
          <w:rFonts w:eastAsia="Times New Roman"/>
          <w:lang w:val="en-US"/>
        </w:rPr>
      </w:pPr>
      <w:r w:rsidRPr="009E069C">
        <w:rPr>
          <w:rFonts w:eastAsia="Times New Roman"/>
          <w:lang w:val="en-US"/>
        </w:rPr>
        <w:t>Alongside environmental pressures, technological development is another key external factor influencing BHP's transition towards lower-carbon products. According to Kotler et al. (2024), technological advances improve operational efficiency, support innovation and create competitive advantage.</w:t>
      </w:r>
    </w:p>
    <w:p w14:paraId="0FD6F854" w14:textId="77777777" w:rsidR="009E069C" w:rsidRPr="009E069C" w:rsidRDefault="009E069C" w:rsidP="009E069C">
      <w:pPr>
        <w:rPr>
          <w:rFonts w:eastAsia="Times New Roman"/>
          <w:lang w:val="en-US"/>
        </w:rPr>
      </w:pPr>
      <w:r w:rsidRPr="009E069C">
        <w:rPr>
          <w:rFonts w:eastAsia="Times New Roman"/>
          <w:lang w:val="en-US"/>
        </w:rPr>
        <w:t xml:space="preserve">BHP has invested in technologies that support </w:t>
      </w:r>
      <w:proofErr w:type="spellStart"/>
      <w:r w:rsidRPr="009E069C">
        <w:rPr>
          <w:rFonts w:eastAsia="Times New Roman"/>
          <w:lang w:val="en-US"/>
        </w:rPr>
        <w:t>decarbonisation</w:t>
      </w:r>
      <w:proofErr w:type="spellEnd"/>
      <w:r w:rsidRPr="009E069C">
        <w:rPr>
          <w:rFonts w:eastAsia="Times New Roman"/>
          <w:lang w:val="en-US"/>
        </w:rPr>
        <w:t xml:space="preserve"> and sustainable mining, including autonomous mining equipment, artificial intelligence (AI), digital monitoring systems and renewable energy technologies that improve productivity while reducing fuel consumption and greenhouse gas emissions (BHP, 2025a). The company also collaborates with industry partners to develop lower-carbon steel production technologies and accelerate innovation across the mining value chain (BHP, 2024).</w:t>
      </w:r>
    </w:p>
    <w:p w14:paraId="45016AC2" w14:textId="77777777" w:rsidR="009E069C" w:rsidRPr="009E069C" w:rsidRDefault="009E069C" w:rsidP="009E069C">
      <w:pPr>
        <w:rPr>
          <w:rFonts w:eastAsia="Times New Roman"/>
          <w:lang w:val="en-US"/>
        </w:rPr>
      </w:pPr>
      <w:r w:rsidRPr="009E069C">
        <w:rPr>
          <w:rFonts w:eastAsia="Times New Roman"/>
          <w:lang w:val="en-US"/>
        </w:rPr>
        <w:t xml:space="preserve">From a marketing perspective, technological innovation strengthens BHP's competitive position by demonstrating its commitment to sustainability and responsible mining. Customers increasingly prefer suppliers with lower environmental impacts, while investors </w:t>
      </w:r>
      <w:proofErr w:type="spellStart"/>
      <w:r w:rsidRPr="009E069C">
        <w:rPr>
          <w:rFonts w:eastAsia="Times New Roman"/>
          <w:lang w:val="en-US"/>
        </w:rPr>
        <w:t>favour</w:t>
      </w:r>
      <w:proofErr w:type="spellEnd"/>
      <w:r w:rsidRPr="009E069C">
        <w:rPr>
          <w:rFonts w:eastAsia="Times New Roman"/>
          <w:lang w:val="en-US"/>
        </w:rPr>
        <w:t xml:space="preserve"> </w:t>
      </w:r>
      <w:proofErr w:type="spellStart"/>
      <w:r w:rsidRPr="009E069C">
        <w:rPr>
          <w:rFonts w:eastAsia="Times New Roman"/>
          <w:lang w:val="en-US"/>
        </w:rPr>
        <w:t>organisations</w:t>
      </w:r>
      <w:proofErr w:type="spellEnd"/>
      <w:r w:rsidRPr="009E069C">
        <w:rPr>
          <w:rFonts w:eastAsia="Times New Roman"/>
          <w:lang w:val="en-US"/>
        </w:rPr>
        <w:t xml:space="preserve"> adopting innovative climate solutions (Kotler et al., 2024). Consequently, technological capability enhances customer value, corporate reputation and supports BHP's differentiation strategy.</w:t>
      </w:r>
    </w:p>
    <w:p w14:paraId="62696FD0" w14:textId="77777777" w:rsidR="009E069C" w:rsidRPr="009E069C" w:rsidRDefault="009E069C" w:rsidP="009E069C">
      <w:pPr>
        <w:rPr>
          <w:rFonts w:eastAsia="Times New Roman"/>
          <w:lang w:val="en-US"/>
        </w:rPr>
      </w:pPr>
      <w:r w:rsidRPr="009E069C">
        <w:rPr>
          <w:rFonts w:eastAsia="Times New Roman"/>
          <w:lang w:val="en-US"/>
        </w:rPr>
        <w:t xml:space="preserve">However, adopting advanced technologies requires substantial investment, skilled employees and continuous research and development. Rapid technological change also increases the risk of technologies becoming obsolete before delivering expected returns. Therefore, BHP must </w:t>
      </w:r>
      <w:r w:rsidRPr="009E069C">
        <w:rPr>
          <w:rFonts w:eastAsia="Times New Roman"/>
          <w:lang w:val="en-US"/>
        </w:rPr>
        <w:lastRenderedPageBreak/>
        <w:t>continue investing strategically in innovation and workforce capabilities to maintain its competitive advantage in the global mining industry.</w:t>
      </w:r>
    </w:p>
    <w:p w14:paraId="629C385E" w14:textId="77777777" w:rsidR="00CA1E9C" w:rsidRPr="00CA1E9C" w:rsidRDefault="00CA1E9C" w:rsidP="00CA1E9C">
      <w:pPr>
        <w:rPr>
          <w:rFonts w:eastAsia="Times New Roman"/>
          <w:b/>
          <w:bCs/>
          <w:lang w:val="en-US"/>
        </w:rPr>
      </w:pPr>
      <w:r w:rsidRPr="00CA1E9C">
        <w:rPr>
          <w:rFonts w:eastAsia="Times New Roman"/>
          <w:b/>
          <w:bCs/>
          <w:lang w:val="en-US"/>
        </w:rPr>
        <w:t>Figure 3. Summary of Key External Factors Affecting BHP</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99"/>
        <w:gridCol w:w="3458"/>
        <w:gridCol w:w="2959"/>
      </w:tblGrid>
      <w:tr w:rsidR="00CA1E9C" w:rsidRPr="00CA1E9C" w14:paraId="470B5085" w14:textId="77777777" w:rsidTr="00CA1E9C">
        <w:trPr>
          <w:tblHeader/>
          <w:tblCellSpacing w:w="15" w:type="dxa"/>
        </w:trPr>
        <w:tc>
          <w:tcPr>
            <w:tcW w:w="0" w:type="auto"/>
            <w:shd w:val="clear" w:color="auto" w:fill="84E290" w:themeFill="accent3" w:themeFillTint="66"/>
            <w:vAlign w:val="center"/>
            <w:hideMark/>
          </w:tcPr>
          <w:p w14:paraId="1E2B55A0" w14:textId="77777777" w:rsidR="00CA1E9C" w:rsidRPr="00CA1E9C" w:rsidRDefault="00CA1E9C" w:rsidP="00CA1E9C">
            <w:pPr>
              <w:rPr>
                <w:rFonts w:eastAsia="Times New Roman"/>
                <w:b/>
                <w:bCs/>
                <w:color w:val="EE0000"/>
                <w:lang w:val="en-US"/>
              </w:rPr>
            </w:pPr>
            <w:r w:rsidRPr="00CA1E9C">
              <w:rPr>
                <w:rFonts w:eastAsia="Times New Roman"/>
                <w:b/>
                <w:bCs/>
                <w:color w:val="EE0000"/>
                <w:lang w:val="en-US"/>
              </w:rPr>
              <w:t>External Factor</w:t>
            </w:r>
          </w:p>
        </w:tc>
        <w:tc>
          <w:tcPr>
            <w:tcW w:w="0" w:type="auto"/>
            <w:shd w:val="clear" w:color="auto" w:fill="84E290" w:themeFill="accent3" w:themeFillTint="66"/>
            <w:vAlign w:val="center"/>
            <w:hideMark/>
          </w:tcPr>
          <w:p w14:paraId="7F80AF0B" w14:textId="77777777" w:rsidR="00CA1E9C" w:rsidRPr="00CA1E9C" w:rsidRDefault="00CA1E9C" w:rsidP="00CA1E9C">
            <w:pPr>
              <w:rPr>
                <w:rFonts w:eastAsia="Times New Roman"/>
                <w:b/>
                <w:bCs/>
                <w:color w:val="EE0000"/>
                <w:lang w:val="en-US"/>
              </w:rPr>
            </w:pPr>
            <w:r w:rsidRPr="00CA1E9C">
              <w:rPr>
                <w:rFonts w:eastAsia="Times New Roman"/>
                <w:b/>
                <w:bCs/>
                <w:color w:val="EE0000"/>
                <w:lang w:val="en-US"/>
              </w:rPr>
              <w:t>Impact on BHP</w:t>
            </w:r>
          </w:p>
        </w:tc>
        <w:tc>
          <w:tcPr>
            <w:tcW w:w="0" w:type="auto"/>
            <w:shd w:val="clear" w:color="auto" w:fill="84E290" w:themeFill="accent3" w:themeFillTint="66"/>
            <w:vAlign w:val="center"/>
            <w:hideMark/>
          </w:tcPr>
          <w:p w14:paraId="06C8239F" w14:textId="77777777" w:rsidR="00CA1E9C" w:rsidRPr="00CA1E9C" w:rsidRDefault="00CA1E9C" w:rsidP="00CA1E9C">
            <w:pPr>
              <w:rPr>
                <w:rFonts w:eastAsia="Times New Roman"/>
                <w:b/>
                <w:bCs/>
                <w:color w:val="EE0000"/>
                <w:lang w:val="en-US"/>
              </w:rPr>
            </w:pPr>
            <w:r w:rsidRPr="00CA1E9C">
              <w:rPr>
                <w:rFonts w:eastAsia="Times New Roman"/>
                <w:b/>
                <w:bCs/>
                <w:color w:val="EE0000"/>
                <w:lang w:val="en-US"/>
              </w:rPr>
              <w:t>Marketing Opportunity</w:t>
            </w:r>
          </w:p>
        </w:tc>
      </w:tr>
      <w:tr w:rsidR="00CA1E9C" w:rsidRPr="00CA1E9C" w14:paraId="15F9EF89" w14:textId="77777777" w:rsidTr="00CA1E9C">
        <w:trPr>
          <w:tblCellSpacing w:w="15" w:type="dxa"/>
        </w:trPr>
        <w:tc>
          <w:tcPr>
            <w:tcW w:w="0" w:type="auto"/>
            <w:vAlign w:val="center"/>
            <w:hideMark/>
          </w:tcPr>
          <w:p w14:paraId="181CDC47" w14:textId="77777777" w:rsidR="00CA1E9C" w:rsidRPr="00CA1E9C" w:rsidRDefault="00CA1E9C" w:rsidP="00CA1E9C">
            <w:pPr>
              <w:rPr>
                <w:rFonts w:eastAsia="Times New Roman"/>
                <w:lang w:val="en-US"/>
              </w:rPr>
            </w:pPr>
            <w:r w:rsidRPr="00CA1E9C">
              <w:rPr>
                <w:rFonts w:eastAsia="Times New Roman"/>
                <w:lang w:val="en-US"/>
              </w:rPr>
              <w:t>Climate change</w:t>
            </w:r>
          </w:p>
        </w:tc>
        <w:tc>
          <w:tcPr>
            <w:tcW w:w="0" w:type="auto"/>
            <w:vAlign w:val="center"/>
            <w:hideMark/>
          </w:tcPr>
          <w:p w14:paraId="263B6118" w14:textId="77777777" w:rsidR="00CA1E9C" w:rsidRPr="00CA1E9C" w:rsidRDefault="00CA1E9C" w:rsidP="00CA1E9C">
            <w:pPr>
              <w:rPr>
                <w:rFonts w:eastAsia="Times New Roman"/>
                <w:lang w:val="en-US"/>
              </w:rPr>
            </w:pPr>
            <w:r w:rsidRPr="00CA1E9C">
              <w:rPr>
                <w:rFonts w:eastAsia="Times New Roman"/>
                <w:lang w:val="en-US"/>
              </w:rPr>
              <w:t>Pressure to reduce emissions</w:t>
            </w:r>
          </w:p>
        </w:tc>
        <w:tc>
          <w:tcPr>
            <w:tcW w:w="0" w:type="auto"/>
            <w:vAlign w:val="center"/>
            <w:hideMark/>
          </w:tcPr>
          <w:p w14:paraId="4F088C44" w14:textId="77777777" w:rsidR="00CA1E9C" w:rsidRPr="00CA1E9C" w:rsidRDefault="00CA1E9C" w:rsidP="00CA1E9C">
            <w:pPr>
              <w:rPr>
                <w:rFonts w:eastAsia="Times New Roman"/>
                <w:lang w:val="en-US"/>
              </w:rPr>
            </w:pPr>
            <w:r w:rsidRPr="00CA1E9C">
              <w:rPr>
                <w:rFonts w:eastAsia="Times New Roman"/>
                <w:lang w:val="en-US"/>
              </w:rPr>
              <w:t>Stronger sustainability reputation</w:t>
            </w:r>
          </w:p>
        </w:tc>
      </w:tr>
      <w:tr w:rsidR="00CA1E9C" w:rsidRPr="00CA1E9C" w14:paraId="57606775" w14:textId="77777777" w:rsidTr="00CA1E9C">
        <w:trPr>
          <w:tblCellSpacing w:w="15" w:type="dxa"/>
        </w:trPr>
        <w:tc>
          <w:tcPr>
            <w:tcW w:w="0" w:type="auto"/>
            <w:vAlign w:val="center"/>
            <w:hideMark/>
          </w:tcPr>
          <w:p w14:paraId="306724A6" w14:textId="77777777" w:rsidR="00CA1E9C" w:rsidRPr="00CA1E9C" w:rsidRDefault="00CA1E9C" w:rsidP="00CA1E9C">
            <w:pPr>
              <w:rPr>
                <w:rFonts w:eastAsia="Times New Roman"/>
                <w:lang w:val="en-US"/>
              </w:rPr>
            </w:pPr>
            <w:r w:rsidRPr="00CA1E9C">
              <w:rPr>
                <w:rFonts w:eastAsia="Times New Roman"/>
                <w:lang w:val="en-US"/>
              </w:rPr>
              <w:t>ESG expectations</w:t>
            </w:r>
          </w:p>
        </w:tc>
        <w:tc>
          <w:tcPr>
            <w:tcW w:w="0" w:type="auto"/>
            <w:vAlign w:val="center"/>
            <w:hideMark/>
          </w:tcPr>
          <w:p w14:paraId="7FF5D1E3" w14:textId="77777777" w:rsidR="00CA1E9C" w:rsidRPr="00CA1E9C" w:rsidRDefault="00CA1E9C" w:rsidP="00CA1E9C">
            <w:pPr>
              <w:rPr>
                <w:rFonts w:eastAsia="Times New Roman"/>
                <w:lang w:val="en-US"/>
              </w:rPr>
            </w:pPr>
            <w:r w:rsidRPr="00CA1E9C">
              <w:rPr>
                <w:rFonts w:eastAsia="Times New Roman"/>
                <w:lang w:val="en-US"/>
              </w:rPr>
              <w:t>Higher investor expectations</w:t>
            </w:r>
          </w:p>
        </w:tc>
        <w:tc>
          <w:tcPr>
            <w:tcW w:w="0" w:type="auto"/>
            <w:vAlign w:val="center"/>
            <w:hideMark/>
          </w:tcPr>
          <w:p w14:paraId="1481ECA6" w14:textId="77777777" w:rsidR="00CA1E9C" w:rsidRPr="00CA1E9C" w:rsidRDefault="00CA1E9C" w:rsidP="00CA1E9C">
            <w:pPr>
              <w:rPr>
                <w:rFonts w:eastAsia="Times New Roman"/>
                <w:lang w:val="en-US"/>
              </w:rPr>
            </w:pPr>
            <w:r w:rsidRPr="00CA1E9C">
              <w:rPr>
                <w:rFonts w:eastAsia="Times New Roman"/>
                <w:lang w:val="en-US"/>
              </w:rPr>
              <w:t>Improved stakeholder trust</w:t>
            </w:r>
          </w:p>
        </w:tc>
      </w:tr>
      <w:tr w:rsidR="00CA1E9C" w:rsidRPr="00CA1E9C" w14:paraId="0198C196" w14:textId="77777777" w:rsidTr="00CA1E9C">
        <w:trPr>
          <w:tblCellSpacing w:w="15" w:type="dxa"/>
        </w:trPr>
        <w:tc>
          <w:tcPr>
            <w:tcW w:w="0" w:type="auto"/>
            <w:vAlign w:val="center"/>
            <w:hideMark/>
          </w:tcPr>
          <w:p w14:paraId="286DD476" w14:textId="77777777" w:rsidR="00CA1E9C" w:rsidRPr="00CA1E9C" w:rsidRDefault="00CA1E9C" w:rsidP="00CA1E9C">
            <w:pPr>
              <w:rPr>
                <w:rFonts w:eastAsia="Times New Roman"/>
                <w:lang w:val="en-US"/>
              </w:rPr>
            </w:pPr>
            <w:r w:rsidRPr="00CA1E9C">
              <w:rPr>
                <w:rFonts w:eastAsia="Times New Roman"/>
                <w:lang w:val="en-US"/>
              </w:rPr>
              <w:t>Renewable energy transition</w:t>
            </w:r>
          </w:p>
        </w:tc>
        <w:tc>
          <w:tcPr>
            <w:tcW w:w="0" w:type="auto"/>
            <w:vAlign w:val="center"/>
            <w:hideMark/>
          </w:tcPr>
          <w:p w14:paraId="187C8E5B" w14:textId="77777777" w:rsidR="00CA1E9C" w:rsidRPr="00CA1E9C" w:rsidRDefault="00CA1E9C" w:rsidP="00CA1E9C">
            <w:pPr>
              <w:rPr>
                <w:rFonts w:eastAsia="Times New Roman"/>
                <w:lang w:val="en-US"/>
              </w:rPr>
            </w:pPr>
            <w:r w:rsidRPr="00CA1E9C">
              <w:rPr>
                <w:rFonts w:eastAsia="Times New Roman"/>
                <w:lang w:val="en-US"/>
              </w:rPr>
              <w:t>Increased demand for copper and nickel</w:t>
            </w:r>
          </w:p>
        </w:tc>
        <w:tc>
          <w:tcPr>
            <w:tcW w:w="0" w:type="auto"/>
            <w:vAlign w:val="center"/>
            <w:hideMark/>
          </w:tcPr>
          <w:p w14:paraId="7D6E0A94" w14:textId="77777777" w:rsidR="00CA1E9C" w:rsidRPr="00CA1E9C" w:rsidRDefault="00CA1E9C" w:rsidP="00CA1E9C">
            <w:pPr>
              <w:rPr>
                <w:rFonts w:eastAsia="Times New Roman"/>
                <w:lang w:val="en-US"/>
              </w:rPr>
            </w:pPr>
            <w:r w:rsidRPr="00CA1E9C">
              <w:rPr>
                <w:rFonts w:eastAsia="Times New Roman"/>
                <w:lang w:val="en-US"/>
              </w:rPr>
              <w:t>Business growth</w:t>
            </w:r>
          </w:p>
        </w:tc>
      </w:tr>
      <w:tr w:rsidR="00CA1E9C" w:rsidRPr="00CA1E9C" w14:paraId="312575BD" w14:textId="77777777" w:rsidTr="00CA1E9C">
        <w:trPr>
          <w:tblCellSpacing w:w="15" w:type="dxa"/>
        </w:trPr>
        <w:tc>
          <w:tcPr>
            <w:tcW w:w="0" w:type="auto"/>
            <w:vAlign w:val="center"/>
            <w:hideMark/>
          </w:tcPr>
          <w:p w14:paraId="5C4747AB" w14:textId="77777777" w:rsidR="00CA1E9C" w:rsidRPr="00CA1E9C" w:rsidRDefault="00CA1E9C" w:rsidP="00CA1E9C">
            <w:pPr>
              <w:rPr>
                <w:rFonts w:eastAsia="Times New Roman"/>
                <w:lang w:val="en-US"/>
              </w:rPr>
            </w:pPr>
            <w:r w:rsidRPr="00CA1E9C">
              <w:rPr>
                <w:rFonts w:eastAsia="Times New Roman"/>
                <w:lang w:val="en-US"/>
              </w:rPr>
              <w:t>Technological innovation</w:t>
            </w:r>
          </w:p>
        </w:tc>
        <w:tc>
          <w:tcPr>
            <w:tcW w:w="0" w:type="auto"/>
            <w:vAlign w:val="center"/>
            <w:hideMark/>
          </w:tcPr>
          <w:p w14:paraId="35956375" w14:textId="77777777" w:rsidR="00CA1E9C" w:rsidRPr="00CA1E9C" w:rsidRDefault="00CA1E9C" w:rsidP="00CA1E9C">
            <w:pPr>
              <w:rPr>
                <w:rFonts w:eastAsia="Times New Roman"/>
                <w:lang w:val="en-US"/>
              </w:rPr>
            </w:pPr>
            <w:r w:rsidRPr="00CA1E9C">
              <w:rPr>
                <w:rFonts w:eastAsia="Times New Roman"/>
                <w:lang w:val="en-US"/>
              </w:rPr>
              <w:t>Cleaner mining operations</w:t>
            </w:r>
          </w:p>
        </w:tc>
        <w:tc>
          <w:tcPr>
            <w:tcW w:w="0" w:type="auto"/>
            <w:vAlign w:val="center"/>
            <w:hideMark/>
          </w:tcPr>
          <w:p w14:paraId="3F1559DE" w14:textId="77777777" w:rsidR="00CA1E9C" w:rsidRPr="00CA1E9C" w:rsidRDefault="00CA1E9C" w:rsidP="00CA1E9C">
            <w:pPr>
              <w:rPr>
                <w:rFonts w:eastAsia="Times New Roman"/>
                <w:lang w:val="en-US"/>
              </w:rPr>
            </w:pPr>
            <w:r w:rsidRPr="00CA1E9C">
              <w:rPr>
                <w:rFonts w:eastAsia="Times New Roman"/>
                <w:lang w:val="en-US"/>
              </w:rPr>
              <w:t>Competitive advantage</w:t>
            </w:r>
          </w:p>
        </w:tc>
      </w:tr>
    </w:tbl>
    <w:p w14:paraId="05229035" w14:textId="77777777" w:rsidR="00CA1E9C" w:rsidRPr="00CA1E9C" w:rsidRDefault="00CA1E9C" w:rsidP="00CA1E9C">
      <w:pPr>
        <w:rPr>
          <w:rFonts w:eastAsia="Times New Roman"/>
          <w:lang w:val="en-US"/>
        </w:rPr>
      </w:pPr>
      <w:r w:rsidRPr="00CA1E9C">
        <w:rPr>
          <w:rFonts w:eastAsia="Times New Roman"/>
          <w:b/>
          <w:bCs/>
          <w:lang w:val="en-US"/>
        </w:rPr>
        <w:t>Source:</w:t>
      </w:r>
      <w:r w:rsidRPr="00CA1E9C">
        <w:rPr>
          <w:rFonts w:eastAsia="Times New Roman"/>
          <w:lang w:val="en-US"/>
        </w:rPr>
        <w:t xml:space="preserve"> Author's own illustration based on Kotler et al. (2024), Johnson, Scholes and Whittington (2020) and BHP (2025a).</w:t>
      </w:r>
    </w:p>
    <w:p w14:paraId="2A49B483" w14:textId="78DBCE34" w:rsidR="00CA1E9C" w:rsidRPr="00C02F17" w:rsidRDefault="002006F4" w:rsidP="002006F4">
      <w:pPr>
        <w:jc w:val="both"/>
        <w:rPr>
          <w:rFonts w:eastAsia="Times New Roman"/>
          <w:lang w:val="en-US"/>
        </w:rPr>
      </w:pPr>
      <w:r w:rsidRPr="002006F4">
        <w:rPr>
          <w:rFonts w:eastAsia="Times New Roman"/>
        </w:rPr>
        <w:t>Figure 3 summarises the key external factors influencing BHP's transition towards lower-carbon products. The analysis demonstrates that environmental pressures and technological innovation create both challenges and opportunities. While climate change and ESG expectations require significant investment and operational change, they also strengthen BHP's reputation and create opportunities to meet growing demand for sustainable resources. These findings provide the foundation for selecting an appropriate growth strategy in Task 2.</w:t>
      </w:r>
    </w:p>
    <w:p w14:paraId="4916091C" w14:textId="77777777" w:rsidR="00C02F17" w:rsidRPr="00C02F17" w:rsidRDefault="00C02F17" w:rsidP="00C02F17">
      <w:pPr>
        <w:pStyle w:val="2"/>
        <w:spacing w:before="299" w:after="299"/>
        <w:rPr>
          <w:rFonts w:ascii="Times New Roman" w:eastAsia="Times New Roman" w:hAnsi="Times New Roman" w:cs="Times New Roman"/>
          <w:b/>
          <w:bCs/>
          <w:sz w:val="36"/>
          <w:szCs w:val="36"/>
          <w:lang w:val="en-US"/>
        </w:rPr>
      </w:pPr>
      <w:bookmarkStart w:id="7" w:name="_Toc235011550"/>
      <w:r w:rsidRPr="00C02F17">
        <w:rPr>
          <w:rFonts w:ascii="Times New Roman" w:eastAsia="Times New Roman" w:hAnsi="Times New Roman" w:cs="Times New Roman"/>
          <w:b/>
          <w:bCs/>
          <w:sz w:val="36"/>
          <w:szCs w:val="36"/>
          <w:lang w:val="en-US"/>
        </w:rPr>
        <w:t>Task 2: Strategic Growth and Competitive Positioning</w:t>
      </w:r>
      <w:bookmarkEnd w:id="7"/>
    </w:p>
    <w:p w14:paraId="6D684A91" w14:textId="77777777" w:rsidR="00C02F17" w:rsidRPr="00C02F17" w:rsidRDefault="00C02F17" w:rsidP="00C02F17">
      <w:pPr>
        <w:pStyle w:val="2"/>
        <w:spacing w:before="299" w:after="299"/>
        <w:rPr>
          <w:rFonts w:ascii="Times New Roman" w:eastAsia="Times New Roman" w:hAnsi="Times New Roman" w:cs="Times New Roman"/>
          <w:b/>
          <w:bCs/>
          <w:sz w:val="36"/>
          <w:szCs w:val="36"/>
          <w:lang w:val="en-US"/>
        </w:rPr>
      </w:pPr>
      <w:bookmarkStart w:id="8" w:name="_Toc235011551"/>
      <w:r w:rsidRPr="00C02F17">
        <w:rPr>
          <w:rFonts w:ascii="Times New Roman" w:eastAsia="Times New Roman" w:hAnsi="Times New Roman" w:cs="Times New Roman"/>
          <w:b/>
          <w:bCs/>
          <w:sz w:val="36"/>
          <w:szCs w:val="36"/>
          <w:lang w:val="en-US"/>
        </w:rPr>
        <w:t>2.1 Strategic Growth Using the Ansoff Matrix</w:t>
      </w:r>
      <w:bookmarkEnd w:id="8"/>
    </w:p>
    <w:p w14:paraId="55017CE2" w14:textId="77777777" w:rsidR="00C02F17" w:rsidRDefault="00C02F17" w:rsidP="00E6764F">
      <w:pPr>
        <w:rPr>
          <w:rFonts w:eastAsia="Times New Roman"/>
          <w:lang w:val="en-US"/>
        </w:rPr>
      </w:pPr>
      <w:r w:rsidRPr="00C02F17">
        <w:rPr>
          <w:rFonts w:eastAsia="Times New Roman"/>
          <w:lang w:val="en-US"/>
        </w:rPr>
        <w:t xml:space="preserve">The Ansoff Matrix is a strategic planning tool that helps </w:t>
      </w:r>
      <w:proofErr w:type="spellStart"/>
      <w:r w:rsidRPr="00C02F17">
        <w:rPr>
          <w:rFonts w:eastAsia="Times New Roman"/>
          <w:lang w:val="en-US"/>
        </w:rPr>
        <w:t>organisations</w:t>
      </w:r>
      <w:proofErr w:type="spellEnd"/>
      <w:r w:rsidRPr="00C02F17">
        <w:rPr>
          <w:rFonts w:eastAsia="Times New Roman"/>
          <w:lang w:val="en-US"/>
        </w:rPr>
        <w:t xml:space="preserve"> identify opportunities for business growth by considering existing and new products within existing and new markets (Ansoff, 1957). The four strategic options include market penetration, market development, product development and diversification. Based on the environmental analysis presented in Task 1, product development is the most appropriate strategy for BHP because it enables the company to introduce lower-carbon products while continuing to serve its existing global customer base.</w:t>
      </w:r>
    </w:p>
    <w:p w14:paraId="29144D5E" w14:textId="4CE01723" w:rsidR="002006F4" w:rsidRDefault="00DE298E" w:rsidP="00E6764F">
      <w:pPr>
        <w:rPr>
          <w:rFonts w:eastAsia="Times New Roman"/>
          <w:lang w:val="en-US"/>
        </w:rPr>
      </w:pPr>
      <w:r>
        <w:rPr>
          <w:noProof/>
        </w:rPr>
        <w:lastRenderedPageBreak/>
        <w:drawing>
          <wp:inline distT="0" distB="0" distL="0" distR="0" wp14:anchorId="47EEAC38" wp14:editId="5DB39175">
            <wp:extent cx="4699000" cy="4362450"/>
            <wp:effectExtent l="0" t="0" r="6350" b="0"/>
            <wp:docPr id="70699203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99000" cy="4362450"/>
                    </a:xfrm>
                    <a:prstGeom prst="rect">
                      <a:avLst/>
                    </a:prstGeom>
                    <a:noFill/>
                    <a:ln>
                      <a:noFill/>
                    </a:ln>
                  </pic:spPr>
                </pic:pic>
              </a:graphicData>
            </a:graphic>
          </wp:inline>
        </w:drawing>
      </w:r>
    </w:p>
    <w:p w14:paraId="23D4A85E" w14:textId="28CB97D8" w:rsidR="002006F4" w:rsidRPr="00253C5F" w:rsidRDefault="000309A8" w:rsidP="00E6764F">
      <w:pPr>
        <w:rPr>
          <w:rFonts w:eastAsia="Times New Roman"/>
        </w:rPr>
      </w:pPr>
      <w:r w:rsidRPr="000309A8">
        <w:rPr>
          <w:rFonts w:eastAsia="Times New Roman"/>
          <w:b/>
          <w:bCs/>
        </w:rPr>
        <w:t>Figure 4. Ansoff Matrix Growth Strategies</w:t>
      </w:r>
      <w:r w:rsidRPr="000309A8">
        <w:rPr>
          <w:rFonts w:eastAsia="Times New Roman"/>
        </w:rPr>
        <w:br/>
      </w:r>
      <w:r w:rsidRPr="00253C5F">
        <w:rPr>
          <w:rFonts w:eastAsia="Times New Roman"/>
        </w:rPr>
        <w:t>Source: Adapted from Ansoff (1957).</w:t>
      </w:r>
    </w:p>
    <w:p w14:paraId="39410AE1" w14:textId="50C1E090" w:rsidR="002A505F" w:rsidRDefault="002A505F" w:rsidP="00E6764F">
      <w:pPr>
        <w:rPr>
          <w:rFonts w:eastAsia="Times New Roman"/>
        </w:rPr>
      </w:pPr>
      <w:r w:rsidRPr="002A505F">
        <w:rPr>
          <w:rFonts w:eastAsia="Times New Roman"/>
        </w:rPr>
        <w:t xml:space="preserve">The Ansoff Matrix identifies four growth strategies based on combinations of existing and new products and markets: market penetration, market development, product development and diversification (Ansoff, 1957). Generally, market penetration involves the lowest level of risk, whereas diversification is considered the </w:t>
      </w:r>
      <w:r w:rsidRPr="002A505F">
        <w:rPr>
          <w:rFonts w:eastAsia="Times New Roman"/>
        </w:rPr>
        <w:t>riskiest</w:t>
      </w:r>
      <w:r w:rsidRPr="002A505F">
        <w:rPr>
          <w:rFonts w:eastAsia="Times New Roman"/>
        </w:rPr>
        <w:t xml:space="preserve"> because it requires organisations to enter new markets with new products (Johnson, Scholes and Whittington, 2020).</w:t>
      </w:r>
    </w:p>
    <w:p w14:paraId="276D8454" w14:textId="07D609C2" w:rsidR="000309A8" w:rsidRPr="000309A8" w:rsidRDefault="00716740" w:rsidP="00E6764F">
      <w:pPr>
        <w:rPr>
          <w:rFonts w:eastAsia="Times New Roman"/>
          <w:lang w:val="en-US"/>
        </w:rPr>
      </w:pPr>
      <w:r w:rsidRPr="00716740">
        <w:rPr>
          <w:rFonts w:eastAsia="Times New Roman"/>
        </w:rPr>
        <w:t>Figure 5 applies the Ansoff Matrix to BHP and demonstrates how the company can achieve growth through its existing operations and future-facing commodities.</w:t>
      </w:r>
    </w:p>
    <w:p w14:paraId="08956C44" w14:textId="77777777" w:rsidR="00716740" w:rsidRPr="00716740" w:rsidRDefault="00716740" w:rsidP="00716740">
      <w:pPr>
        <w:rPr>
          <w:rFonts w:eastAsia="Times New Roman"/>
          <w:b/>
          <w:bCs/>
          <w:lang w:val="en-US"/>
        </w:rPr>
      </w:pPr>
      <w:r w:rsidRPr="00716740">
        <w:rPr>
          <w:rFonts w:eastAsia="Times New Roman"/>
          <w:b/>
          <w:bCs/>
          <w:lang w:val="en-US"/>
        </w:rPr>
        <w:t>Figure 5. Application of the Ansoff Matrix to BHP</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69"/>
        <w:gridCol w:w="3896"/>
        <w:gridCol w:w="4051"/>
      </w:tblGrid>
      <w:tr w:rsidR="00716740" w:rsidRPr="00716740" w14:paraId="02886340" w14:textId="77777777" w:rsidTr="008A0991">
        <w:trPr>
          <w:tblHeader/>
          <w:tblCellSpacing w:w="15" w:type="dxa"/>
        </w:trPr>
        <w:tc>
          <w:tcPr>
            <w:tcW w:w="0" w:type="auto"/>
            <w:shd w:val="clear" w:color="auto" w:fill="C1F0C7" w:themeFill="accent3" w:themeFillTint="33"/>
            <w:vAlign w:val="center"/>
            <w:hideMark/>
          </w:tcPr>
          <w:p w14:paraId="67671CBB" w14:textId="77777777" w:rsidR="00716740" w:rsidRPr="00716740" w:rsidRDefault="00716740" w:rsidP="00716740">
            <w:pPr>
              <w:rPr>
                <w:rFonts w:eastAsia="Times New Roman"/>
                <w:lang w:val="en-US"/>
              </w:rPr>
            </w:pPr>
          </w:p>
        </w:tc>
        <w:tc>
          <w:tcPr>
            <w:tcW w:w="0" w:type="auto"/>
            <w:shd w:val="clear" w:color="auto" w:fill="C1F0C7" w:themeFill="accent3" w:themeFillTint="33"/>
            <w:vAlign w:val="center"/>
            <w:hideMark/>
          </w:tcPr>
          <w:p w14:paraId="79C61C54" w14:textId="77777777" w:rsidR="00716740" w:rsidRPr="00716740" w:rsidRDefault="00716740" w:rsidP="008A0991">
            <w:pPr>
              <w:jc w:val="center"/>
              <w:rPr>
                <w:rFonts w:eastAsia="Times New Roman"/>
                <w:b/>
                <w:bCs/>
                <w:lang w:val="en-US"/>
              </w:rPr>
            </w:pPr>
            <w:r w:rsidRPr="00716740">
              <w:rPr>
                <w:rFonts w:eastAsia="Times New Roman"/>
                <w:b/>
                <w:bCs/>
                <w:lang w:val="en-US"/>
              </w:rPr>
              <w:t>Existing products</w:t>
            </w:r>
          </w:p>
        </w:tc>
        <w:tc>
          <w:tcPr>
            <w:tcW w:w="0" w:type="auto"/>
            <w:shd w:val="clear" w:color="auto" w:fill="C1F0C7" w:themeFill="accent3" w:themeFillTint="33"/>
            <w:vAlign w:val="center"/>
            <w:hideMark/>
          </w:tcPr>
          <w:p w14:paraId="4039C005" w14:textId="77777777" w:rsidR="00716740" w:rsidRPr="00716740" w:rsidRDefault="00716740" w:rsidP="008A0991">
            <w:pPr>
              <w:jc w:val="center"/>
              <w:rPr>
                <w:rFonts w:eastAsia="Times New Roman"/>
                <w:b/>
                <w:bCs/>
                <w:lang w:val="en-US"/>
              </w:rPr>
            </w:pPr>
            <w:r w:rsidRPr="00716740">
              <w:rPr>
                <w:rFonts w:eastAsia="Times New Roman"/>
                <w:b/>
                <w:bCs/>
                <w:lang w:val="en-US"/>
              </w:rPr>
              <w:t>New products</w:t>
            </w:r>
          </w:p>
        </w:tc>
      </w:tr>
      <w:tr w:rsidR="00716740" w:rsidRPr="00716740" w14:paraId="2A964062" w14:textId="77777777" w:rsidTr="008A0991">
        <w:trPr>
          <w:tblCellSpacing w:w="15" w:type="dxa"/>
        </w:trPr>
        <w:tc>
          <w:tcPr>
            <w:tcW w:w="0" w:type="auto"/>
            <w:shd w:val="clear" w:color="auto" w:fill="C1F0C7" w:themeFill="accent3" w:themeFillTint="33"/>
            <w:vAlign w:val="center"/>
            <w:hideMark/>
          </w:tcPr>
          <w:p w14:paraId="45544326" w14:textId="77777777" w:rsidR="00716740" w:rsidRPr="00716740" w:rsidRDefault="00716740" w:rsidP="008A0991">
            <w:pPr>
              <w:jc w:val="center"/>
              <w:rPr>
                <w:rFonts w:eastAsia="Times New Roman"/>
                <w:lang w:val="en-US"/>
              </w:rPr>
            </w:pPr>
            <w:r w:rsidRPr="00716740">
              <w:rPr>
                <w:rFonts w:eastAsia="Times New Roman"/>
                <w:b/>
                <w:bCs/>
                <w:lang w:val="en-US"/>
              </w:rPr>
              <w:t>Existing markets</w:t>
            </w:r>
          </w:p>
        </w:tc>
        <w:tc>
          <w:tcPr>
            <w:tcW w:w="0" w:type="auto"/>
            <w:shd w:val="clear" w:color="auto" w:fill="CAEDFB" w:themeFill="accent4" w:themeFillTint="33"/>
            <w:vAlign w:val="center"/>
            <w:hideMark/>
          </w:tcPr>
          <w:p w14:paraId="4CA0EBC9" w14:textId="77777777" w:rsidR="00716740" w:rsidRPr="00716740" w:rsidRDefault="00716740" w:rsidP="008A0991">
            <w:pPr>
              <w:jc w:val="center"/>
              <w:rPr>
                <w:rFonts w:eastAsia="Times New Roman"/>
                <w:lang w:val="en-US"/>
              </w:rPr>
            </w:pPr>
            <w:r w:rsidRPr="00716740">
              <w:rPr>
                <w:rFonts w:eastAsia="Times New Roman"/>
                <w:b/>
                <w:bCs/>
                <w:lang w:val="en-US"/>
              </w:rPr>
              <w:t>Market Penetration</w:t>
            </w:r>
            <w:r w:rsidRPr="00716740">
              <w:rPr>
                <w:rFonts w:eastAsia="Times New Roman"/>
                <w:lang w:val="en-US"/>
              </w:rPr>
              <w:t xml:space="preserve"> – Increase operational efficiency, strengthen relationships with existing industrial customers and increase sales of iron ore, copper and coal.</w:t>
            </w:r>
          </w:p>
        </w:tc>
        <w:tc>
          <w:tcPr>
            <w:tcW w:w="0" w:type="auto"/>
            <w:shd w:val="clear" w:color="auto" w:fill="FAE2D5" w:themeFill="accent2" w:themeFillTint="33"/>
            <w:vAlign w:val="center"/>
            <w:hideMark/>
          </w:tcPr>
          <w:p w14:paraId="54826CD6" w14:textId="77777777" w:rsidR="00716740" w:rsidRPr="00716740" w:rsidRDefault="00716740" w:rsidP="008A0991">
            <w:pPr>
              <w:jc w:val="center"/>
              <w:rPr>
                <w:rFonts w:eastAsia="Times New Roman"/>
                <w:lang w:val="en-US"/>
              </w:rPr>
            </w:pPr>
            <w:r w:rsidRPr="008A0991">
              <w:rPr>
                <w:rFonts w:eastAsia="Times New Roman"/>
                <w:b/>
                <w:bCs/>
                <w:color w:val="EE0000"/>
                <w:lang w:val="en-US"/>
              </w:rPr>
              <w:t>Product Development</w:t>
            </w:r>
            <w:r w:rsidRPr="008A0991">
              <w:rPr>
                <w:rFonts w:eastAsia="Times New Roman"/>
                <w:color w:val="EE0000"/>
                <w:lang w:val="en-US"/>
              </w:rPr>
              <w:t xml:space="preserve"> – Expand future-facing commodities such as potash, copper and nickel to meet changing demand from existing energy, construction and manufacturing customers.</w:t>
            </w:r>
          </w:p>
        </w:tc>
      </w:tr>
      <w:tr w:rsidR="00716740" w:rsidRPr="00716740" w14:paraId="15EE097C" w14:textId="77777777" w:rsidTr="008A0991">
        <w:trPr>
          <w:tblCellSpacing w:w="15" w:type="dxa"/>
        </w:trPr>
        <w:tc>
          <w:tcPr>
            <w:tcW w:w="0" w:type="auto"/>
            <w:shd w:val="clear" w:color="auto" w:fill="C1F0C7" w:themeFill="accent3" w:themeFillTint="33"/>
            <w:vAlign w:val="center"/>
            <w:hideMark/>
          </w:tcPr>
          <w:p w14:paraId="6130C5FE" w14:textId="77777777" w:rsidR="00716740" w:rsidRPr="00716740" w:rsidRDefault="00716740" w:rsidP="008A0991">
            <w:pPr>
              <w:jc w:val="center"/>
              <w:rPr>
                <w:rFonts w:eastAsia="Times New Roman"/>
                <w:lang w:val="en-US"/>
              </w:rPr>
            </w:pPr>
            <w:r w:rsidRPr="00716740">
              <w:rPr>
                <w:rFonts w:eastAsia="Times New Roman"/>
                <w:b/>
                <w:bCs/>
                <w:lang w:val="en-US"/>
              </w:rPr>
              <w:lastRenderedPageBreak/>
              <w:t>New markets</w:t>
            </w:r>
          </w:p>
        </w:tc>
        <w:tc>
          <w:tcPr>
            <w:tcW w:w="0" w:type="auto"/>
            <w:shd w:val="clear" w:color="auto" w:fill="F2CEED" w:themeFill="accent5" w:themeFillTint="33"/>
            <w:vAlign w:val="center"/>
            <w:hideMark/>
          </w:tcPr>
          <w:p w14:paraId="27288BAC" w14:textId="77777777" w:rsidR="00716740" w:rsidRPr="00716740" w:rsidRDefault="00716740" w:rsidP="008A0991">
            <w:pPr>
              <w:jc w:val="center"/>
              <w:rPr>
                <w:rFonts w:eastAsia="Times New Roman"/>
                <w:lang w:val="en-US"/>
              </w:rPr>
            </w:pPr>
            <w:r w:rsidRPr="00716740">
              <w:rPr>
                <w:rFonts w:eastAsia="Times New Roman"/>
                <w:b/>
                <w:bCs/>
                <w:lang w:val="en-US"/>
              </w:rPr>
              <w:t>Market Development</w:t>
            </w:r>
            <w:r w:rsidRPr="00716740">
              <w:rPr>
                <w:rFonts w:eastAsia="Times New Roman"/>
                <w:lang w:val="en-US"/>
              </w:rPr>
              <w:t xml:space="preserve"> – Sell existing minerals in new geographic markets and target countries experiencing growth in infrastructure, manufacturing and renewable-energy investment.</w:t>
            </w:r>
          </w:p>
        </w:tc>
        <w:tc>
          <w:tcPr>
            <w:tcW w:w="0" w:type="auto"/>
            <w:shd w:val="clear" w:color="auto" w:fill="D1D1D1" w:themeFill="background2" w:themeFillShade="E6"/>
            <w:vAlign w:val="center"/>
            <w:hideMark/>
          </w:tcPr>
          <w:p w14:paraId="59831CA0" w14:textId="77777777" w:rsidR="00716740" w:rsidRPr="00716740" w:rsidRDefault="00716740" w:rsidP="008A0991">
            <w:pPr>
              <w:jc w:val="center"/>
              <w:rPr>
                <w:rFonts w:eastAsia="Times New Roman"/>
                <w:lang w:val="en-US"/>
              </w:rPr>
            </w:pPr>
            <w:r w:rsidRPr="00716740">
              <w:rPr>
                <w:rFonts w:eastAsia="Times New Roman"/>
                <w:b/>
                <w:bCs/>
                <w:lang w:val="en-US"/>
              </w:rPr>
              <w:t>Diversification</w:t>
            </w:r>
            <w:r w:rsidRPr="00716740">
              <w:rPr>
                <w:rFonts w:eastAsia="Times New Roman"/>
                <w:lang w:val="en-US"/>
              </w:rPr>
              <w:t xml:space="preserve"> – Enter new business areas such as mineral recycling, low-carbon technologies or renewable-energy solutions. This would be the highest-risk strategy.</w:t>
            </w:r>
          </w:p>
        </w:tc>
      </w:tr>
    </w:tbl>
    <w:p w14:paraId="67EE87FA" w14:textId="78072E15" w:rsidR="00716740" w:rsidRDefault="00716740" w:rsidP="008A0991">
      <w:pPr>
        <w:jc w:val="center"/>
        <w:rPr>
          <w:rFonts w:eastAsia="Times New Roman"/>
          <w:lang w:val="en-US"/>
        </w:rPr>
      </w:pPr>
    </w:p>
    <w:p w14:paraId="008CA33A" w14:textId="77777777" w:rsidR="00A36810" w:rsidRPr="00A36810" w:rsidRDefault="00A36810" w:rsidP="00A36810">
      <w:pPr>
        <w:rPr>
          <w:rFonts w:eastAsia="Times New Roman"/>
          <w:lang w:val="en-US"/>
        </w:rPr>
      </w:pPr>
      <w:bookmarkStart w:id="9" w:name="_Toc235011552"/>
      <w:r w:rsidRPr="00A36810">
        <w:rPr>
          <w:rFonts w:eastAsia="Times New Roman"/>
          <w:lang w:val="en-US"/>
        </w:rPr>
        <w:t xml:space="preserve">Product development involves creating new or improved products for existing markets. This strategy aligns with BHP's sustainability objectives by investing in products and technologies that support global </w:t>
      </w:r>
      <w:proofErr w:type="spellStart"/>
      <w:r w:rsidRPr="00A36810">
        <w:rPr>
          <w:rFonts w:eastAsia="Times New Roman"/>
          <w:lang w:val="en-US"/>
        </w:rPr>
        <w:t>decarbonisation</w:t>
      </w:r>
      <w:proofErr w:type="spellEnd"/>
      <w:r w:rsidRPr="00A36810">
        <w:rPr>
          <w:rFonts w:eastAsia="Times New Roman"/>
          <w:lang w:val="en-US"/>
        </w:rPr>
        <w:t>. Rather than entering new markets, BHP meets changing customer needs by supplying lower-carbon minerals, particularly copper, nickel and potash, which are essential for renewable energy systems, electric vehicles and battery technologies.</w:t>
      </w:r>
    </w:p>
    <w:p w14:paraId="2E5EA24A" w14:textId="77777777" w:rsidR="00A36810" w:rsidRPr="00A36810" w:rsidRDefault="00A36810" w:rsidP="00A36810">
      <w:pPr>
        <w:rPr>
          <w:rFonts w:eastAsia="Times New Roman"/>
          <w:lang w:val="en-US"/>
        </w:rPr>
      </w:pPr>
      <w:r w:rsidRPr="00A36810">
        <w:rPr>
          <w:rFonts w:eastAsia="Times New Roman"/>
          <w:lang w:val="en-US"/>
        </w:rPr>
        <w:t xml:space="preserve">This approach reflects growing demand for environmentally responsible suppliers. Industrial customers increasingly value strong environmental performance alongside product quality, while investors </w:t>
      </w:r>
      <w:proofErr w:type="spellStart"/>
      <w:r w:rsidRPr="00A36810">
        <w:rPr>
          <w:rFonts w:eastAsia="Times New Roman"/>
          <w:lang w:val="en-US"/>
        </w:rPr>
        <w:t>favour</w:t>
      </w:r>
      <w:proofErr w:type="spellEnd"/>
      <w:r w:rsidRPr="00A36810">
        <w:rPr>
          <w:rFonts w:eastAsia="Times New Roman"/>
          <w:lang w:val="en-US"/>
        </w:rPr>
        <w:t xml:space="preserve"> companies with credible sustainability strategies and measurable climate commitments. Consequently, lower-carbon products help BHP meet stakeholder expectations and strengthen long-term customer relationships.</w:t>
      </w:r>
    </w:p>
    <w:p w14:paraId="7F84CFE4" w14:textId="77777777" w:rsidR="00A36810" w:rsidRPr="00A36810" w:rsidRDefault="00A36810" w:rsidP="00A36810">
      <w:pPr>
        <w:rPr>
          <w:rFonts w:eastAsia="Times New Roman"/>
          <w:lang w:val="en-US"/>
        </w:rPr>
      </w:pPr>
      <w:r w:rsidRPr="00A36810">
        <w:rPr>
          <w:rFonts w:eastAsia="Times New Roman"/>
          <w:lang w:val="en-US"/>
        </w:rPr>
        <w:t>However, product development requires substantial investment in research, renewable energy infrastructure and technological innovation. In addition, competitors such as Rio Tinto and Tata Steel are investing in similar low-carbon initiatives, increasing competitive pressure (Rio Tinto, 2024; Tata Steel, 2024). Therefore, BHP must continue investing in innovation while ensuring new products deliver both environmental and commercial value.</w:t>
      </w:r>
    </w:p>
    <w:p w14:paraId="25284F75" w14:textId="77777777" w:rsidR="00A36810" w:rsidRPr="00A36810" w:rsidRDefault="00A36810" w:rsidP="00A36810">
      <w:pPr>
        <w:rPr>
          <w:rFonts w:eastAsia="Times New Roman"/>
          <w:lang w:val="en-US"/>
        </w:rPr>
      </w:pPr>
      <w:r w:rsidRPr="00A36810">
        <w:rPr>
          <w:rFonts w:eastAsia="Times New Roman"/>
          <w:lang w:val="en-US"/>
        </w:rPr>
        <w:t>Overall, product development is the most appropriate growth strategy because it strengthens BHP's market position while supporting the transition to a lower-carbon economy.</w:t>
      </w:r>
    </w:p>
    <w:p w14:paraId="66F0DFB1" w14:textId="6BB7AD9F" w:rsidR="00D87857" w:rsidRPr="00D87857" w:rsidRDefault="00D87857" w:rsidP="00D87857">
      <w:pPr>
        <w:rPr>
          <w:rFonts w:eastAsia="Times New Roman"/>
          <w:lang w:val="en-US"/>
        </w:rPr>
      </w:pPr>
    </w:p>
    <w:p w14:paraId="3E6BD441" w14:textId="77777777" w:rsidR="00C02F17" w:rsidRPr="00C02F17" w:rsidRDefault="00C02F17" w:rsidP="00C02F17">
      <w:pPr>
        <w:pStyle w:val="2"/>
        <w:spacing w:before="299" w:after="299"/>
        <w:rPr>
          <w:rFonts w:ascii="Times New Roman" w:eastAsia="Times New Roman" w:hAnsi="Times New Roman" w:cs="Times New Roman"/>
          <w:b/>
          <w:bCs/>
          <w:sz w:val="36"/>
          <w:szCs w:val="36"/>
          <w:lang w:val="en-US"/>
        </w:rPr>
      </w:pPr>
      <w:r w:rsidRPr="00C02F17">
        <w:rPr>
          <w:rFonts w:ascii="Times New Roman" w:eastAsia="Times New Roman" w:hAnsi="Times New Roman" w:cs="Times New Roman"/>
          <w:b/>
          <w:bCs/>
          <w:sz w:val="36"/>
          <w:szCs w:val="36"/>
          <w:lang w:val="en-US"/>
        </w:rPr>
        <w:t>2.2 Competitive Positioning Using Porter's Generic Strategies</w:t>
      </w:r>
      <w:bookmarkEnd w:id="9"/>
    </w:p>
    <w:p w14:paraId="681050DB" w14:textId="77777777" w:rsidR="00A36810" w:rsidRPr="00A36810" w:rsidRDefault="00A36810" w:rsidP="00A36810">
      <w:pPr>
        <w:rPr>
          <w:rFonts w:eastAsia="Times New Roman"/>
          <w:lang w:val="en-US"/>
        </w:rPr>
      </w:pPr>
      <w:bookmarkStart w:id="10" w:name="_Toc235011553"/>
      <w:r w:rsidRPr="00A36810">
        <w:rPr>
          <w:rFonts w:eastAsia="Times New Roman"/>
          <w:lang w:val="en-US"/>
        </w:rPr>
        <w:t xml:space="preserve">To support its growth strategy, BHP should adopt </w:t>
      </w:r>
      <w:r w:rsidRPr="00A36810">
        <w:rPr>
          <w:rFonts w:eastAsia="Times New Roman"/>
          <w:b/>
          <w:bCs/>
          <w:lang w:val="en-US"/>
        </w:rPr>
        <w:t>Porter's Differentiation Strategy</w:t>
      </w:r>
      <w:r w:rsidRPr="00A36810">
        <w:rPr>
          <w:rFonts w:eastAsia="Times New Roman"/>
          <w:lang w:val="en-US"/>
        </w:rPr>
        <w:t xml:space="preserve">. According to Porter (1985), differentiation enables </w:t>
      </w:r>
      <w:proofErr w:type="spellStart"/>
      <w:r w:rsidRPr="00A36810">
        <w:rPr>
          <w:rFonts w:eastAsia="Times New Roman"/>
          <w:lang w:val="en-US"/>
        </w:rPr>
        <w:t>organisations</w:t>
      </w:r>
      <w:proofErr w:type="spellEnd"/>
      <w:r w:rsidRPr="00A36810">
        <w:rPr>
          <w:rFonts w:eastAsia="Times New Roman"/>
          <w:lang w:val="en-US"/>
        </w:rPr>
        <w:t xml:space="preserve"> to achieve competitive advantage by offering products or services perceived as unique and valuable. Rather than competing on price, BHP differentiates itself through sustainability, innovation and responsible mining practices, reflecting growing stakeholder expectations for environmentally responsible business (Kotler et al., 2024).</w:t>
      </w:r>
    </w:p>
    <w:p w14:paraId="54FAD9BE" w14:textId="77777777" w:rsidR="00A36810" w:rsidRPr="00A36810" w:rsidRDefault="00A36810" w:rsidP="00A36810">
      <w:pPr>
        <w:rPr>
          <w:rFonts w:eastAsia="Times New Roman"/>
          <w:lang w:val="en-US"/>
        </w:rPr>
      </w:pPr>
      <w:r w:rsidRPr="00A36810">
        <w:rPr>
          <w:rFonts w:eastAsia="Times New Roman"/>
          <w:lang w:val="en-US"/>
        </w:rPr>
        <w:t xml:space="preserve">BHP demonstrates this strategy by reducing greenhouse gas emissions, improving energy efficiency and collaborating with industry partners to develop lower-carbon steelmaking technologies (BHP, 2024). The company also invests in digital technologies, automation and </w:t>
      </w:r>
      <w:r w:rsidRPr="00A36810">
        <w:rPr>
          <w:rFonts w:eastAsia="Times New Roman"/>
          <w:lang w:val="en-US"/>
        </w:rPr>
        <w:lastRenderedPageBreak/>
        <w:t>renewable energy solutions that improve operational efficiency while reducing environmental impacts (BHP, 2025a). These initiatives strengthen its reputation as a responsible supplier supporting the global energy transition (BHP, 2025b).</w:t>
      </w:r>
    </w:p>
    <w:p w14:paraId="3680355A" w14:textId="77777777" w:rsidR="00A36810" w:rsidRPr="00A36810" w:rsidRDefault="00A36810" w:rsidP="00A36810">
      <w:pPr>
        <w:rPr>
          <w:rFonts w:eastAsia="Times New Roman"/>
          <w:lang w:val="en-US"/>
        </w:rPr>
      </w:pPr>
      <w:r w:rsidRPr="00A36810">
        <w:rPr>
          <w:rFonts w:eastAsia="Times New Roman"/>
          <w:lang w:val="en-US"/>
        </w:rPr>
        <w:t xml:space="preserve">Differentiation also provides marketing advantages. Customers increasingly </w:t>
      </w:r>
      <w:proofErr w:type="spellStart"/>
      <w:r w:rsidRPr="00A36810">
        <w:rPr>
          <w:rFonts w:eastAsia="Times New Roman"/>
          <w:lang w:val="en-US"/>
        </w:rPr>
        <w:t>favour</w:t>
      </w:r>
      <w:proofErr w:type="spellEnd"/>
      <w:r w:rsidRPr="00A36810">
        <w:rPr>
          <w:rFonts w:eastAsia="Times New Roman"/>
          <w:lang w:val="en-US"/>
        </w:rPr>
        <w:t xml:space="preserve"> suppliers with credible sustainability performance, while investors and governments support </w:t>
      </w:r>
      <w:proofErr w:type="spellStart"/>
      <w:r w:rsidRPr="00A36810">
        <w:rPr>
          <w:rFonts w:eastAsia="Times New Roman"/>
          <w:lang w:val="en-US"/>
        </w:rPr>
        <w:t>organisations</w:t>
      </w:r>
      <w:proofErr w:type="spellEnd"/>
      <w:r w:rsidRPr="00A36810">
        <w:rPr>
          <w:rFonts w:eastAsia="Times New Roman"/>
          <w:lang w:val="en-US"/>
        </w:rPr>
        <w:t xml:space="preserve"> with transparent climate strategies and clean technologies (Kotler et al., 2024; United Nations Environment </w:t>
      </w:r>
      <w:proofErr w:type="spellStart"/>
      <w:r w:rsidRPr="00A36810">
        <w:rPr>
          <w:rFonts w:eastAsia="Times New Roman"/>
          <w:lang w:val="en-US"/>
        </w:rPr>
        <w:t>Programme</w:t>
      </w:r>
      <w:proofErr w:type="spellEnd"/>
      <w:r w:rsidRPr="00A36810">
        <w:rPr>
          <w:rFonts w:eastAsia="Times New Roman"/>
          <w:lang w:val="en-US"/>
        </w:rPr>
        <w:t>, 2024). Consequently, BHP strengthens its corporate reputation and long-term relationships with environmentally conscious stakeholders.</w:t>
      </w:r>
    </w:p>
    <w:p w14:paraId="6F8B83AD" w14:textId="77777777" w:rsidR="00A36810" w:rsidRPr="00A36810" w:rsidRDefault="00A36810" w:rsidP="00A36810">
      <w:pPr>
        <w:rPr>
          <w:rFonts w:eastAsia="Times New Roman"/>
          <w:lang w:val="en-US"/>
        </w:rPr>
      </w:pPr>
      <w:r w:rsidRPr="00A36810">
        <w:rPr>
          <w:rFonts w:eastAsia="Times New Roman"/>
          <w:lang w:val="en-US"/>
        </w:rPr>
        <w:t>However, differentiation also involves risks. Sustainable production methods require significant investment and may increase short-term costs. Competitors such as Rio Tinto and Anglo American are investing in similar low-carbon technologies, reducing BHP's uniqueness. Furthermore, unsupported sustainability claims could lead to accusations of greenwashing and damage stakeholder trust (Crane et al., 2025). Therefore, BHP must continue investing in innovation while maintaining transparent sustainability reporting (BHP, 2025b).</w:t>
      </w:r>
    </w:p>
    <w:p w14:paraId="564776B6" w14:textId="77777777" w:rsidR="00A36810" w:rsidRPr="00A36810" w:rsidRDefault="00A36810" w:rsidP="00A36810">
      <w:pPr>
        <w:rPr>
          <w:rFonts w:eastAsia="Times New Roman"/>
          <w:lang w:val="en-US"/>
        </w:rPr>
      </w:pPr>
      <w:r w:rsidRPr="00A36810">
        <w:rPr>
          <w:rFonts w:eastAsia="Times New Roman"/>
          <w:lang w:val="en-US"/>
        </w:rPr>
        <w:t>Overall, differentiation provides BHP with a sustainable competitive advantage through continuous innovation, responsible resource management and long-term environmental commitment rather than price competition (Porter, 1985).</w:t>
      </w:r>
    </w:p>
    <w:p w14:paraId="226DC066" w14:textId="77777777" w:rsidR="00C02F17" w:rsidRPr="00C02F17" w:rsidRDefault="00C02F17" w:rsidP="00C02F17">
      <w:pPr>
        <w:pStyle w:val="2"/>
        <w:spacing w:before="299" w:after="299"/>
        <w:rPr>
          <w:rFonts w:ascii="Times New Roman" w:eastAsia="Times New Roman" w:hAnsi="Times New Roman" w:cs="Times New Roman"/>
          <w:b/>
          <w:bCs/>
          <w:sz w:val="36"/>
          <w:szCs w:val="36"/>
          <w:lang w:val="en-US"/>
        </w:rPr>
      </w:pPr>
      <w:r w:rsidRPr="00C02F17">
        <w:rPr>
          <w:rFonts w:ascii="Times New Roman" w:eastAsia="Times New Roman" w:hAnsi="Times New Roman" w:cs="Times New Roman"/>
          <w:b/>
          <w:bCs/>
          <w:sz w:val="36"/>
          <w:szCs w:val="36"/>
          <w:lang w:val="en-US"/>
        </w:rPr>
        <w:t>2.3 Critical Evaluation</w:t>
      </w:r>
      <w:bookmarkEnd w:id="10"/>
    </w:p>
    <w:p w14:paraId="072C60FA" w14:textId="77777777" w:rsidR="00494F28" w:rsidRPr="00494F28" w:rsidRDefault="00494F28" w:rsidP="00494F28">
      <w:pPr>
        <w:rPr>
          <w:rFonts w:eastAsia="Times New Roman"/>
          <w:lang w:val="en-US"/>
        </w:rPr>
      </w:pPr>
      <w:r w:rsidRPr="00494F28">
        <w:rPr>
          <w:rFonts w:eastAsia="Times New Roman"/>
          <w:lang w:val="en-US"/>
        </w:rPr>
        <w:t xml:space="preserve">The combination of </w:t>
      </w:r>
      <w:r w:rsidRPr="00494F28">
        <w:rPr>
          <w:rFonts w:eastAsia="Times New Roman"/>
          <w:b/>
          <w:bCs/>
          <w:lang w:val="en-US"/>
        </w:rPr>
        <w:t>Product Development</w:t>
      </w:r>
      <w:r w:rsidRPr="00494F28">
        <w:rPr>
          <w:rFonts w:eastAsia="Times New Roman"/>
          <w:lang w:val="en-US"/>
        </w:rPr>
        <w:t xml:space="preserve"> and </w:t>
      </w:r>
      <w:r w:rsidRPr="00494F28">
        <w:rPr>
          <w:rFonts w:eastAsia="Times New Roman"/>
          <w:b/>
          <w:bCs/>
          <w:lang w:val="en-US"/>
        </w:rPr>
        <w:t>Porter's Differentiation Strategy</w:t>
      </w:r>
      <w:r w:rsidRPr="00494F28">
        <w:rPr>
          <w:rFonts w:eastAsia="Times New Roman"/>
          <w:lang w:val="en-US"/>
        </w:rPr>
        <w:t xml:space="preserve"> provides a coherent approach for supporting BHP's transition towards a lower-carbon business model. Product development enables the company to respond to increasing demand for sustainable resources, while differentiation strengthens its competitive position through innovation, environmental responsibility and higher customer value (Porter, 1985).</w:t>
      </w:r>
    </w:p>
    <w:p w14:paraId="4C910F17" w14:textId="77777777" w:rsidR="00494F28" w:rsidRPr="00494F28" w:rsidRDefault="00494F28" w:rsidP="00494F28">
      <w:pPr>
        <w:rPr>
          <w:rFonts w:eastAsia="Times New Roman"/>
          <w:lang w:val="en-US"/>
        </w:rPr>
      </w:pPr>
      <w:r w:rsidRPr="00494F28">
        <w:rPr>
          <w:rFonts w:eastAsia="Times New Roman"/>
          <w:lang w:val="en-US"/>
        </w:rPr>
        <w:t xml:space="preserve">However, the success of this strategy depends on several external factors, including continued technological progress, stable environmental policies and sustained market demand for lower-carbon materials. In addition, significant investment in research and development may increase short-term costs, while competitors investing in similar low-carbon initiatives could reduce BHP's competitive advantage (Kotler </w:t>
      </w:r>
      <w:r w:rsidRPr="00494F28">
        <w:rPr>
          <w:rFonts w:eastAsia="Times New Roman"/>
          <w:i/>
          <w:iCs/>
          <w:lang w:val="en-US"/>
        </w:rPr>
        <w:t>et al.</w:t>
      </w:r>
      <w:r w:rsidRPr="00494F28">
        <w:rPr>
          <w:rFonts w:eastAsia="Times New Roman"/>
          <w:lang w:val="en-US"/>
        </w:rPr>
        <w:t>, 2024). Therefore, BHP must continue investing in innovation, strategic partnerships and transparent sustainability reporting to maintain stakeholder trust and long-term competitiveness.</w:t>
      </w:r>
    </w:p>
    <w:p w14:paraId="6DB03BC5" w14:textId="4AEB08AB" w:rsidR="00C02F17" w:rsidRPr="00C02F17" w:rsidRDefault="00494F28" w:rsidP="00E6764F">
      <w:pPr>
        <w:rPr>
          <w:rFonts w:eastAsia="Times New Roman"/>
          <w:lang w:val="en-US"/>
        </w:rPr>
      </w:pPr>
      <w:r w:rsidRPr="00494F28">
        <w:rPr>
          <w:rFonts w:eastAsia="Times New Roman"/>
          <w:lang w:val="en-US"/>
        </w:rPr>
        <w:t>Overall, although the strategy involves financial and competitive risks, it aligns well with changing market expectations and positions BHP to create long-term value while supporting the global transition to a lower-carbon economy.</w:t>
      </w:r>
    </w:p>
    <w:p w14:paraId="6983CB20" w14:textId="77777777" w:rsidR="00C02F17" w:rsidRPr="00C02F17" w:rsidRDefault="00C02F17" w:rsidP="00C02F17">
      <w:pPr>
        <w:pStyle w:val="1"/>
        <w:spacing w:before="322" w:after="322"/>
        <w:rPr>
          <w:rFonts w:eastAsia="Times New Roman"/>
          <w:b/>
          <w:bCs/>
          <w:lang w:val="en-US"/>
        </w:rPr>
      </w:pPr>
      <w:bookmarkStart w:id="11" w:name="_Toc235011554"/>
      <w:r w:rsidRPr="00C02F17">
        <w:rPr>
          <w:rFonts w:eastAsia="Times New Roman"/>
          <w:b/>
          <w:bCs/>
          <w:lang w:val="en-US"/>
        </w:rPr>
        <w:lastRenderedPageBreak/>
        <w:t>Task 3: Critical Reflection on AI Usage</w:t>
      </w:r>
      <w:bookmarkEnd w:id="11"/>
    </w:p>
    <w:p w14:paraId="31948C89" w14:textId="77777777" w:rsidR="007F036C" w:rsidRPr="007F036C" w:rsidRDefault="007F036C" w:rsidP="007F036C">
      <w:pPr>
        <w:rPr>
          <w:rFonts w:eastAsia="Times New Roman"/>
          <w:lang w:val="en-US"/>
        </w:rPr>
      </w:pPr>
      <w:r w:rsidRPr="007F036C">
        <w:rPr>
          <w:rFonts w:eastAsia="Times New Roman"/>
          <w:lang w:val="en-US"/>
        </w:rPr>
        <w:t>Artificial Intelligence (AI) played an important supporting role in developing this report. The main AI tool I used was ChatGPT. Rather than asking it to write the assignment, I used it as a learning assistant to help me understand marketing theories, improve the report structure and explain complex concepts in simpler English. As English is not my first language, I find academic theories easier to understand when explained in plain language. This helped build my confidence before reading journal articles and my module textbook. AI also improved the clarity and academic style of my writing, but I made the final decisions about the report's content and structure.</w:t>
      </w:r>
    </w:p>
    <w:p w14:paraId="2AE03EA9" w14:textId="77777777" w:rsidR="007F036C" w:rsidRPr="007F036C" w:rsidRDefault="007F036C" w:rsidP="007F036C">
      <w:pPr>
        <w:rPr>
          <w:rFonts w:eastAsia="Times New Roman"/>
          <w:lang w:val="en-US"/>
        </w:rPr>
      </w:pPr>
      <w:r w:rsidRPr="007F036C">
        <w:rPr>
          <w:rFonts w:eastAsia="Times New Roman"/>
          <w:lang w:val="en-US"/>
        </w:rPr>
        <w:t>I did not rely on AI without checking its accuracy. Every important fact and recommendation was verified using reliable academic sources, including Kotler et al. (2024), peer-reviewed journal articles and BHP's official reports. During the writing process, I found that AI sometimes produced information that was too general, lacked evidence or included outdated examples. I compared AI-generated content with official company publications and academic literature before deciding whether to keep, revise or remove it. This process helped identify potential AI hallucinations and ensured the report was based on credible evidence.</w:t>
      </w:r>
    </w:p>
    <w:p w14:paraId="77D09988" w14:textId="77777777" w:rsidR="007F036C" w:rsidRPr="007F036C" w:rsidRDefault="007F036C" w:rsidP="007F036C">
      <w:pPr>
        <w:rPr>
          <w:rFonts w:eastAsia="Times New Roman"/>
          <w:lang w:val="en-US"/>
        </w:rPr>
      </w:pPr>
      <w:r w:rsidRPr="007F036C">
        <w:rPr>
          <w:rFonts w:eastAsia="Times New Roman"/>
          <w:lang w:val="en-US"/>
        </w:rPr>
        <w:t>Although AI supported the writing process, the critical thinking and analysis presented in this report are my own. I selected BHP as the case study because it provided strong evidence of sustainability initiatives and sufficient information for analysis. I also chose the natural and technological environments, Product Development from the Ansoff Matrix and Porter's Differentiation Strategy based on the evidence collected. Throughout the report, I interpreted the literature, compared sources and justified my recommendations using my own judgement.</w:t>
      </w:r>
    </w:p>
    <w:p w14:paraId="189EE2D5" w14:textId="77777777" w:rsidR="007F036C" w:rsidRPr="007F036C" w:rsidRDefault="007F036C" w:rsidP="007F036C">
      <w:pPr>
        <w:rPr>
          <w:rFonts w:eastAsia="Times New Roman"/>
          <w:lang w:val="en-US"/>
        </w:rPr>
      </w:pPr>
      <w:r w:rsidRPr="007F036C">
        <w:rPr>
          <w:rFonts w:eastAsia="Times New Roman"/>
          <w:lang w:val="en-US"/>
        </w:rPr>
        <w:t>Using AI also helped develop my academic skills. Instead of copying AI-generated text, I used it to ask questions, explore different perspectives and improve my understanding before writing each section. This encouraged me to think more critically and become a more independent learner. Overall, AI was most valuable as a learning tool rather than a replacement for my own work, demonstrating that responsible AI use requires critical evaluation, independent research and personal judgement.</w:t>
      </w:r>
    </w:p>
    <w:p w14:paraId="770E1A7B" w14:textId="77777777" w:rsidR="00C02F17" w:rsidRPr="00C02F17" w:rsidRDefault="00C02F17" w:rsidP="00D87857">
      <w:pPr>
        <w:pStyle w:val="1"/>
        <w:rPr>
          <w:lang w:val="en-US"/>
        </w:rPr>
      </w:pPr>
      <w:r w:rsidRPr="00C02F17">
        <w:rPr>
          <w:lang w:val="en-US"/>
        </w:rPr>
        <w:t>Conclusion</w:t>
      </w:r>
    </w:p>
    <w:p w14:paraId="79B902C4" w14:textId="55BCB9A0" w:rsidR="00401E76" w:rsidRPr="00401E76" w:rsidRDefault="00401E76" w:rsidP="00401E76">
      <w:pPr>
        <w:rPr>
          <w:lang w:val="en-US"/>
        </w:rPr>
      </w:pPr>
      <w:r w:rsidRPr="00401E76">
        <w:rPr>
          <w:lang w:val="en-US"/>
        </w:rPr>
        <w:t>This report has demonstrated that the external marketing environment significantly influences BHP's transition towards a lower-carbon business model. The analysis identified the natural and technological environments as the key external factors, creating both sustainability challenges and opportunities for innovation and competitive advantage.</w:t>
      </w:r>
    </w:p>
    <w:p w14:paraId="49AC11EA" w14:textId="77777777" w:rsidR="00401E76" w:rsidRPr="00401E76" w:rsidRDefault="00401E76" w:rsidP="00401E76">
      <w:pPr>
        <w:rPr>
          <w:lang w:val="en-US"/>
        </w:rPr>
      </w:pPr>
      <w:r w:rsidRPr="00401E76">
        <w:rPr>
          <w:lang w:val="en-US"/>
        </w:rPr>
        <w:t>Based on these findings, Product Development was identified as the most appropriate growth strategy within the Ansoff Matrix. Combined with Porter's Differentiation Strategy, this approach enables BHP to meet changing customer expectations through lower-carbon products, innovation and responsible mining practices.</w:t>
      </w:r>
    </w:p>
    <w:p w14:paraId="69380975" w14:textId="77777777" w:rsidR="00401E76" w:rsidRPr="00401E76" w:rsidRDefault="00401E76" w:rsidP="00401E76">
      <w:pPr>
        <w:rPr>
          <w:lang w:val="en-US"/>
        </w:rPr>
      </w:pPr>
      <w:r w:rsidRPr="00401E76">
        <w:rPr>
          <w:lang w:val="en-US"/>
        </w:rPr>
        <w:lastRenderedPageBreak/>
        <w:t>Overall, BHP is well positioned to respond to future environmental and technological challenges. Continued investment in sustainability, innovation and transparent reporting will strengthen its competitive position and create long-term value for customers, investors and society.</w:t>
      </w:r>
    </w:p>
    <w:p w14:paraId="7220012A" w14:textId="7696293D" w:rsidR="00C02F17" w:rsidRPr="00C02F17" w:rsidRDefault="00C02F17" w:rsidP="00C02F17">
      <w:pPr>
        <w:rPr>
          <w:lang w:val="en-US"/>
        </w:rPr>
      </w:pPr>
    </w:p>
    <w:p w14:paraId="42B401CE" w14:textId="77777777" w:rsidR="00C02F17" w:rsidRDefault="00C02F17" w:rsidP="00C02F17">
      <w:pPr>
        <w:rPr>
          <w:lang w:val="en-US"/>
        </w:rPr>
      </w:pPr>
    </w:p>
    <w:p w14:paraId="7CDFFA32" w14:textId="77777777" w:rsidR="00C02F17" w:rsidRPr="00C02F17" w:rsidRDefault="00C02F17" w:rsidP="00C02F17">
      <w:pPr>
        <w:rPr>
          <w:lang w:val="en-US"/>
        </w:rPr>
      </w:pPr>
    </w:p>
    <w:p w14:paraId="046EDDAA" w14:textId="7F67CEC7" w:rsidR="1660A038" w:rsidRDefault="1660A038" w:rsidP="0C1E8527">
      <w:pPr>
        <w:pStyle w:val="1"/>
        <w:spacing w:before="322" w:after="322"/>
        <w:rPr>
          <w:rFonts w:ascii="Times New Roman" w:eastAsia="Times New Roman" w:hAnsi="Times New Roman" w:cs="Times New Roman"/>
          <w:b/>
          <w:bCs/>
          <w:sz w:val="48"/>
          <w:szCs w:val="48"/>
        </w:rPr>
      </w:pPr>
      <w:bookmarkStart w:id="12" w:name="_Toc235011555"/>
      <w:r w:rsidRPr="0C1E8527">
        <w:rPr>
          <w:rFonts w:ascii="Times New Roman" w:eastAsia="Times New Roman" w:hAnsi="Times New Roman" w:cs="Times New Roman"/>
          <w:b/>
          <w:bCs/>
          <w:sz w:val="48"/>
          <w:szCs w:val="48"/>
        </w:rPr>
        <w:t>References</w:t>
      </w:r>
      <w:bookmarkEnd w:id="12"/>
    </w:p>
    <w:p w14:paraId="50DDCAEF" w14:textId="77777777" w:rsidR="00790859" w:rsidRPr="00790859" w:rsidRDefault="00790859" w:rsidP="00790859">
      <w:pPr>
        <w:rPr>
          <w:rFonts w:eastAsia="Times New Roman"/>
          <w:lang w:val="en-US"/>
        </w:rPr>
      </w:pPr>
      <w:r w:rsidRPr="00790859">
        <w:rPr>
          <w:rFonts w:eastAsia="Times New Roman"/>
          <w:lang w:val="en-US"/>
        </w:rPr>
        <w:t xml:space="preserve">Ali, S.H., </w:t>
      </w:r>
      <w:proofErr w:type="spellStart"/>
      <w:r w:rsidRPr="00790859">
        <w:rPr>
          <w:rFonts w:eastAsia="Times New Roman"/>
          <w:lang w:val="en-US"/>
        </w:rPr>
        <w:t>Giurco</w:t>
      </w:r>
      <w:proofErr w:type="spellEnd"/>
      <w:r w:rsidRPr="00790859">
        <w:rPr>
          <w:rFonts w:eastAsia="Times New Roman"/>
          <w:lang w:val="en-US"/>
        </w:rPr>
        <w:t xml:space="preserve">, D., Arndt, N., Nickless, E., Brown, G., Demetriades, A., </w:t>
      </w:r>
      <w:proofErr w:type="spellStart"/>
      <w:r w:rsidRPr="00790859">
        <w:rPr>
          <w:rFonts w:eastAsia="Times New Roman"/>
          <w:lang w:val="en-US"/>
        </w:rPr>
        <w:t>Durrheim</w:t>
      </w:r>
      <w:proofErr w:type="spellEnd"/>
      <w:r w:rsidRPr="00790859">
        <w:rPr>
          <w:rFonts w:eastAsia="Times New Roman"/>
          <w:lang w:val="en-US"/>
        </w:rPr>
        <w:t xml:space="preserve">, R., Enriquez, M.A., Kinnaird, J., Littleboy, A., Meinert, L.D. and </w:t>
      </w:r>
      <w:proofErr w:type="spellStart"/>
      <w:r w:rsidRPr="00790859">
        <w:rPr>
          <w:rFonts w:eastAsia="Times New Roman"/>
          <w:lang w:val="en-US"/>
        </w:rPr>
        <w:t>Oberhänsli</w:t>
      </w:r>
      <w:proofErr w:type="spellEnd"/>
      <w:r w:rsidRPr="00790859">
        <w:rPr>
          <w:rFonts w:eastAsia="Times New Roman"/>
          <w:lang w:val="en-US"/>
        </w:rPr>
        <w:t xml:space="preserve">, R. (2017) ‘Mineral supply for sustainable development requires resource governance’, </w:t>
      </w:r>
      <w:r w:rsidRPr="00790859">
        <w:rPr>
          <w:rFonts w:eastAsia="Times New Roman"/>
          <w:i/>
          <w:iCs/>
          <w:lang w:val="en-US"/>
        </w:rPr>
        <w:t>Nature</w:t>
      </w:r>
      <w:r w:rsidRPr="00790859">
        <w:rPr>
          <w:rFonts w:eastAsia="Times New Roman"/>
          <w:lang w:val="en-US"/>
        </w:rPr>
        <w:t>, 543(7645), pp. 367–372.</w:t>
      </w:r>
    </w:p>
    <w:p w14:paraId="67BF011F" w14:textId="77777777" w:rsidR="00790859" w:rsidRPr="00790859" w:rsidRDefault="00790859" w:rsidP="00790859">
      <w:pPr>
        <w:rPr>
          <w:rFonts w:eastAsia="Times New Roman"/>
          <w:lang w:val="en-US"/>
        </w:rPr>
      </w:pPr>
      <w:r w:rsidRPr="00790859">
        <w:rPr>
          <w:rFonts w:eastAsia="Times New Roman"/>
          <w:lang w:val="en-US"/>
        </w:rPr>
        <w:t xml:space="preserve">Ansoff, H.I. (1957) ‘Strategies for diversification’, </w:t>
      </w:r>
      <w:r w:rsidRPr="00790859">
        <w:rPr>
          <w:rFonts w:eastAsia="Times New Roman"/>
          <w:i/>
          <w:iCs/>
          <w:lang w:val="en-US"/>
        </w:rPr>
        <w:t>Harvard Business Review</w:t>
      </w:r>
      <w:r w:rsidRPr="00790859">
        <w:rPr>
          <w:rFonts w:eastAsia="Times New Roman"/>
          <w:lang w:val="en-US"/>
        </w:rPr>
        <w:t>, 35(5), pp. 113–124.</w:t>
      </w:r>
    </w:p>
    <w:p w14:paraId="259AFB59" w14:textId="77777777" w:rsidR="00790859" w:rsidRPr="00790859" w:rsidRDefault="00790859" w:rsidP="00790859">
      <w:pPr>
        <w:rPr>
          <w:rFonts w:eastAsia="Times New Roman"/>
          <w:lang w:val="en-US"/>
        </w:rPr>
      </w:pPr>
      <w:r w:rsidRPr="00790859">
        <w:rPr>
          <w:rFonts w:eastAsia="Times New Roman"/>
          <w:lang w:val="en-US"/>
        </w:rPr>
        <w:t xml:space="preserve">BHP (2024) </w:t>
      </w:r>
      <w:r w:rsidRPr="00790859">
        <w:rPr>
          <w:rFonts w:eastAsia="Times New Roman"/>
          <w:i/>
          <w:iCs/>
          <w:lang w:val="en-US"/>
        </w:rPr>
        <w:t>Climate Transition Action Plan 2024</w:t>
      </w:r>
      <w:r w:rsidRPr="00790859">
        <w:rPr>
          <w:rFonts w:eastAsia="Times New Roman"/>
          <w:lang w:val="en-US"/>
        </w:rPr>
        <w:t>. Melbourne: BHP Group. Available at: https://www.bhp.com/sustainability/climate-transition-action-plan (Accessed: 22 July 2026).</w:t>
      </w:r>
    </w:p>
    <w:p w14:paraId="45A94D30" w14:textId="77777777" w:rsidR="00790859" w:rsidRPr="00790859" w:rsidRDefault="00790859" w:rsidP="00790859">
      <w:pPr>
        <w:rPr>
          <w:rFonts w:eastAsia="Times New Roman"/>
          <w:lang w:val="en-US"/>
        </w:rPr>
      </w:pPr>
      <w:r w:rsidRPr="00790859">
        <w:rPr>
          <w:rFonts w:eastAsia="Times New Roman"/>
          <w:lang w:val="en-US"/>
        </w:rPr>
        <w:t xml:space="preserve">BHP (2025a) </w:t>
      </w:r>
      <w:r w:rsidRPr="00790859">
        <w:rPr>
          <w:rFonts w:eastAsia="Times New Roman"/>
          <w:i/>
          <w:iCs/>
          <w:lang w:val="en-US"/>
        </w:rPr>
        <w:t>Annual Report 2025</w:t>
      </w:r>
      <w:r w:rsidRPr="00790859">
        <w:rPr>
          <w:rFonts w:eastAsia="Times New Roman"/>
          <w:lang w:val="en-US"/>
        </w:rPr>
        <w:t>. Melbourne: BHP Group. Available at: https://www.bhp.com/investors/annual-reports (Accessed: 22 July 2026).</w:t>
      </w:r>
    </w:p>
    <w:p w14:paraId="0B030BB3" w14:textId="77777777" w:rsidR="00790859" w:rsidRPr="00790859" w:rsidRDefault="00790859" w:rsidP="00790859">
      <w:pPr>
        <w:rPr>
          <w:rFonts w:eastAsia="Times New Roman"/>
          <w:lang w:val="en-US"/>
        </w:rPr>
      </w:pPr>
      <w:r w:rsidRPr="00790859">
        <w:rPr>
          <w:rFonts w:eastAsia="Times New Roman"/>
          <w:lang w:val="en-US"/>
        </w:rPr>
        <w:t xml:space="preserve">BHP (2025b) </w:t>
      </w:r>
      <w:r w:rsidRPr="00790859">
        <w:rPr>
          <w:rFonts w:eastAsia="Times New Roman"/>
          <w:i/>
          <w:iCs/>
          <w:lang w:val="en-US"/>
        </w:rPr>
        <w:t>Sustainability Approach</w:t>
      </w:r>
      <w:r w:rsidRPr="00790859">
        <w:rPr>
          <w:rFonts w:eastAsia="Times New Roman"/>
          <w:lang w:val="en-US"/>
        </w:rPr>
        <w:t xml:space="preserve">. Melbourne: BHP Group. Available at: </w:t>
      </w:r>
      <w:hyperlink r:id="rId8" w:tgtFrame="_new" w:history="1">
        <w:r w:rsidRPr="00790859">
          <w:rPr>
            <w:rStyle w:val="a4"/>
            <w:rFonts w:eastAsia="Times New Roman"/>
            <w:lang w:val="en-US"/>
          </w:rPr>
          <w:t>https://www.bhp.com/sustainability/approach</w:t>
        </w:r>
      </w:hyperlink>
      <w:r w:rsidRPr="00790859">
        <w:rPr>
          <w:rFonts w:eastAsia="Times New Roman"/>
          <w:lang w:val="en-US"/>
        </w:rPr>
        <w:t xml:space="preserve"> (Accessed: 22 July 2026).</w:t>
      </w:r>
    </w:p>
    <w:p w14:paraId="0EE47CAA" w14:textId="77777777" w:rsidR="00790859" w:rsidRPr="00790859" w:rsidRDefault="00790859" w:rsidP="00790859">
      <w:pPr>
        <w:rPr>
          <w:rFonts w:eastAsia="Times New Roman"/>
          <w:lang w:val="en-US"/>
        </w:rPr>
      </w:pPr>
      <w:r w:rsidRPr="00790859">
        <w:rPr>
          <w:rFonts w:eastAsia="Times New Roman"/>
          <w:lang w:val="en-US"/>
        </w:rPr>
        <w:t xml:space="preserve">Crane, A., Matten, D., Glozer, S. and Spence, L.J. (2025) </w:t>
      </w:r>
      <w:r w:rsidRPr="00790859">
        <w:rPr>
          <w:rFonts w:eastAsia="Times New Roman"/>
          <w:i/>
          <w:iCs/>
          <w:lang w:val="en-US"/>
        </w:rPr>
        <w:t>Business Ethics: Managing Corporate Citizenship and Sustainability in the Age of AI</w:t>
      </w:r>
      <w:r w:rsidRPr="00790859">
        <w:rPr>
          <w:rFonts w:eastAsia="Times New Roman"/>
          <w:lang w:val="en-US"/>
        </w:rPr>
        <w:t xml:space="preserve">. 6th </w:t>
      </w:r>
      <w:proofErr w:type="spellStart"/>
      <w:r w:rsidRPr="00790859">
        <w:rPr>
          <w:rFonts w:eastAsia="Times New Roman"/>
          <w:lang w:val="en-US"/>
        </w:rPr>
        <w:t>edn</w:t>
      </w:r>
      <w:proofErr w:type="spellEnd"/>
      <w:r w:rsidRPr="00790859">
        <w:rPr>
          <w:rFonts w:eastAsia="Times New Roman"/>
          <w:lang w:val="en-US"/>
        </w:rPr>
        <w:t>. Oxford: Oxford University Press.</w:t>
      </w:r>
    </w:p>
    <w:p w14:paraId="6E8F46CB" w14:textId="77777777" w:rsidR="00790859" w:rsidRPr="00790859" w:rsidRDefault="00790859" w:rsidP="00790859">
      <w:pPr>
        <w:rPr>
          <w:rFonts w:eastAsia="Times New Roman"/>
          <w:lang w:val="en-US"/>
        </w:rPr>
      </w:pPr>
      <w:r w:rsidRPr="00790859">
        <w:rPr>
          <w:rFonts w:eastAsia="Times New Roman"/>
          <w:lang w:val="en-US"/>
        </w:rPr>
        <w:t xml:space="preserve">Eccles, R.G. and Klimenko, S. (2019) ‘The investor revolution’, </w:t>
      </w:r>
      <w:r w:rsidRPr="00790859">
        <w:rPr>
          <w:rFonts w:eastAsia="Times New Roman"/>
          <w:i/>
          <w:iCs/>
          <w:lang w:val="en-US"/>
        </w:rPr>
        <w:t>Harvard Business Review</w:t>
      </w:r>
      <w:r w:rsidRPr="00790859">
        <w:rPr>
          <w:rFonts w:eastAsia="Times New Roman"/>
          <w:lang w:val="en-US"/>
        </w:rPr>
        <w:t>, 97(3), pp. 106–116.</w:t>
      </w:r>
    </w:p>
    <w:p w14:paraId="099BCD10" w14:textId="77777777" w:rsidR="00790859" w:rsidRPr="00790859" w:rsidRDefault="00790859" w:rsidP="00790859">
      <w:pPr>
        <w:rPr>
          <w:rFonts w:eastAsia="Times New Roman"/>
          <w:lang w:val="en-US"/>
        </w:rPr>
      </w:pPr>
      <w:r w:rsidRPr="00790859">
        <w:rPr>
          <w:rFonts w:eastAsia="Times New Roman"/>
          <w:lang w:val="en-US"/>
        </w:rPr>
        <w:t xml:space="preserve">Hund, K., La Porta, D., Fabregas, T., Laing, T. and </w:t>
      </w:r>
      <w:proofErr w:type="spellStart"/>
      <w:r w:rsidRPr="00790859">
        <w:rPr>
          <w:rFonts w:eastAsia="Times New Roman"/>
          <w:lang w:val="en-US"/>
        </w:rPr>
        <w:t>Drexhage</w:t>
      </w:r>
      <w:proofErr w:type="spellEnd"/>
      <w:r w:rsidRPr="00790859">
        <w:rPr>
          <w:rFonts w:eastAsia="Times New Roman"/>
          <w:lang w:val="en-US"/>
        </w:rPr>
        <w:t xml:space="preserve">, J. (2020) </w:t>
      </w:r>
      <w:r w:rsidRPr="00790859">
        <w:rPr>
          <w:rFonts w:eastAsia="Times New Roman"/>
          <w:i/>
          <w:iCs/>
          <w:lang w:val="en-US"/>
        </w:rPr>
        <w:t>Minerals for Climate Action: The Mineral Intensity of the Clean Energy Transition</w:t>
      </w:r>
      <w:r w:rsidRPr="00790859">
        <w:rPr>
          <w:rFonts w:eastAsia="Times New Roman"/>
          <w:lang w:val="en-US"/>
        </w:rPr>
        <w:t>. Washington, DC: World Bank.</w:t>
      </w:r>
    </w:p>
    <w:p w14:paraId="3916A745" w14:textId="77777777" w:rsidR="00790859" w:rsidRPr="00790859" w:rsidRDefault="00790859" w:rsidP="00790859">
      <w:pPr>
        <w:rPr>
          <w:rFonts w:eastAsia="Times New Roman"/>
          <w:lang w:val="en-US"/>
        </w:rPr>
      </w:pPr>
      <w:r w:rsidRPr="00790859">
        <w:rPr>
          <w:rFonts w:eastAsia="Times New Roman"/>
          <w:lang w:val="en-US"/>
        </w:rPr>
        <w:t xml:space="preserve">International Council on Mining and Metals (2024) </w:t>
      </w:r>
      <w:r w:rsidRPr="00790859">
        <w:rPr>
          <w:rFonts w:eastAsia="Times New Roman"/>
          <w:i/>
          <w:iCs/>
          <w:lang w:val="en-US"/>
        </w:rPr>
        <w:t>Mining Principles Performance Report 2024</w:t>
      </w:r>
      <w:r w:rsidRPr="00790859">
        <w:rPr>
          <w:rFonts w:eastAsia="Times New Roman"/>
          <w:lang w:val="en-US"/>
        </w:rPr>
        <w:t xml:space="preserve">. London: International Council on Mining and Metals. Available at: </w:t>
      </w:r>
      <w:hyperlink r:id="rId9" w:tgtFrame="_new" w:history="1">
        <w:r w:rsidRPr="00790859">
          <w:rPr>
            <w:rStyle w:val="a4"/>
            <w:rFonts w:eastAsia="Times New Roman"/>
            <w:lang w:val="en-US"/>
          </w:rPr>
          <w:t>https://www.icmm.com</w:t>
        </w:r>
      </w:hyperlink>
      <w:r w:rsidRPr="00790859">
        <w:rPr>
          <w:rFonts w:eastAsia="Times New Roman"/>
          <w:lang w:val="en-US"/>
        </w:rPr>
        <w:t xml:space="preserve"> (Accessed: 22 July 2026).</w:t>
      </w:r>
    </w:p>
    <w:p w14:paraId="351BCE58" w14:textId="77777777" w:rsidR="00790859" w:rsidRPr="00790859" w:rsidRDefault="00790859" w:rsidP="00790859">
      <w:pPr>
        <w:rPr>
          <w:rFonts w:eastAsia="Times New Roman"/>
          <w:lang w:val="en-US"/>
        </w:rPr>
      </w:pPr>
      <w:r w:rsidRPr="00790859">
        <w:rPr>
          <w:rFonts w:eastAsia="Times New Roman"/>
          <w:lang w:val="en-US"/>
        </w:rPr>
        <w:t xml:space="preserve">International Energy Agency (2024) </w:t>
      </w:r>
      <w:r w:rsidRPr="00790859">
        <w:rPr>
          <w:rFonts w:eastAsia="Times New Roman"/>
          <w:i/>
          <w:iCs/>
          <w:lang w:val="en-US"/>
        </w:rPr>
        <w:t>The Role of Critical Minerals in Clean Energy Transitions</w:t>
      </w:r>
      <w:r w:rsidRPr="00790859">
        <w:rPr>
          <w:rFonts w:eastAsia="Times New Roman"/>
          <w:lang w:val="en-US"/>
        </w:rPr>
        <w:t xml:space="preserve">. Paris: International Energy Agency. Available at: </w:t>
      </w:r>
      <w:hyperlink r:id="rId10" w:tgtFrame="_new" w:history="1">
        <w:r w:rsidRPr="00790859">
          <w:rPr>
            <w:rStyle w:val="a4"/>
            <w:rFonts w:eastAsia="Times New Roman"/>
            <w:lang w:val="en-US"/>
          </w:rPr>
          <w:t>https://www.iea.org/reports/the-role-of-critical-minerals-in-clean-energy-transitions</w:t>
        </w:r>
      </w:hyperlink>
      <w:r w:rsidRPr="00790859">
        <w:rPr>
          <w:rFonts w:eastAsia="Times New Roman"/>
          <w:lang w:val="en-US"/>
        </w:rPr>
        <w:t xml:space="preserve"> (Accessed: 22 July 2026).</w:t>
      </w:r>
    </w:p>
    <w:p w14:paraId="06C7DC5D" w14:textId="77777777" w:rsidR="00790859" w:rsidRPr="00790859" w:rsidRDefault="00790859" w:rsidP="00790859">
      <w:pPr>
        <w:rPr>
          <w:rFonts w:eastAsia="Times New Roman"/>
          <w:lang w:val="en-US"/>
        </w:rPr>
      </w:pPr>
      <w:r w:rsidRPr="00790859">
        <w:rPr>
          <w:rFonts w:eastAsia="Times New Roman"/>
          <w:lang w:val="en-US"/>
        </w:rPr>
        <w:lastRenderedPageBreak/>
        <w:t xml:space="preserve">Johnson, G., Scholes, K. and Whittington, R. (2020) </w:t>
      </w:r>
      <w:r w:rsidRPr="00790859">
        <w:rPr>
          <w:rFonts w:eastAsia="Times New Roman"/>
          <w:i/>
          <w:iCs/>
          <w:lang w:val="en-US"/>
        </w:rPr>
        <w:t>Exploring Strategy</w:t>
      </w:r>
      <w:r w:rsidRPr="00790859">
        <w:rPr>
          <w:rFonts w:eastAsia="Times New Roman"/>
          <w:lang w:val="en-US"/>
        </w:rPr>
        <w:t xml:space="preserve">. 12th </w:t>
      </w:r>
      <w:proofErr w:type="spellStart"/>
      <w:r w:rsidRPr="00790859">
        <w:rPr>
          <w:rFonts w:eastAsia="Times New Roman"/>
          <w:lang w:val="en-US"/>
        </w:rPr>
        <w:t>edn</w:t>
      </w:r>
      <w:proofErr w:type="spellEnd"/>
      <w:r w:rsidRPr="00790859">
        <w:rPr>
          <w:rFonts w:eastAsia="Times New Roman"/>
          <w:lang w:val="en-US"/>
        </w:rPr>
        <w:t>. Harlow: Pearson.</w:t>
      </w:r>
    </w:p>
    <w:p w14:paraId="3C5D9FD2" w14:textId="77777777" w:rsidR="00790859" w:rsidRPr="00790859" w:rsidRDefault="00790859" w:rsidP="00790859">
      <w:pPr>
        <w:rPr>
          <w:rFonts w:eastAsia="Times New Roman"/>
          <w:lang w:val="en-US"/>
        </w:rPr>
      </w:pPr>
      <w:r w:rsidRPr="00790859">
        <w:rPr>
          <w:rFonts w:eastAsia="Times New Roman"/>
          <w:lang w:val="en-US"/>
        </w:rPr>
        <w:t xml:space="preserve">Kotler, P., Armstrong, G., Harris, L.C. and He, H. (2024) </w:t>
      </w:r>
      <w:r w:rsidRPr="00790859">
        <w:rPr>
          <w:rFonts w:eastAsia="Times New Roman"/>
          <w:i/>
          <w:iCs/>
          <w:lang w:val="en-US"/>
        </w:rPr>
        <w:t>Principles of Marketing</w:t>
      </w:r>
      <w:r w:rsidRPr="00790859">
        <w:rPr>
          <w:rFonts w:eastAsia="Times New Roman"/>
          <w:lang w:val="en-US"/>
        </w:rPr>
        <w:t xml:space="preserve">. 19th </w:t>
      </w:r>
      <w:proofErr w:type="spellStart"/>
      <w:r w:rsidRPr="00790859">
        <w:rPr>
          <w:rFonts w:eastAsia="Times New Roman"/>
          <w:lang w:val="en-US"/>
        </w:rPr>
        <w:t>edn</w:t>
      </w:r>
      <w:proofErr w:type="spellEnd"/>
      <w:r w:rsidRPr="00790859">
        <w:rPr>
          <w:rFonts w:eastAsia="Times New Roman"/>
          <w:lang w:val="en-US"/>
        </w:rPr>
        <w:t>. Harlow: Pearson.</w:t>
      </w:r>
    </w:p>
    <w:p w14:paraId="6EC9126E" w14:textId="77777777" w:rsidR="00790859" w:rsidRPr="00790859" w:rsidRDefault="00790859" w:rsidP="00790859">
      <w:pPr>
        <w:rPr>
          <w:rFonts w:eastAsia="Times New Roman"/>
          <w:lang w:val="en-US"/>
        </w:rPr>
      </w:pPr>
      <w:r w:rsidRPr="00790859">
        <w:rPr>
          <w:rFonts w:eastAsia="Times New Roman"/>
          <w:lang w:val="en-US"/>
        </w:rPr>
        <w:t xml:space="preserve">Porter, M.E. (1980) </w:t>
      </w:r>
      <w:r w:rsidRPr="00790859">
        <w:rPr>
          <w:rFonts w:eastAsia="Times New Roman"/>
          <w:i/>
          <w:iCs/>
          <w:lang w:val="en-US"/>
        </w:rPr>
        <w:t xml:space="preserve">Competitive Strategy: Techniques for </w:t>
      </w:r>
      <w:proofErr w:type="spellStart"/>
      <w:r w:rsidRPr="00790859">
        <w:rPr>
          <w:rFonts w:eastAsia="Times New Roman"/>
          <w:i/>
          <w:iCs/>
          <w:lang w:val="en-US"/>
        </w:rPr>
        <w:t>Analysing</w:t>
      </w:r>
      <w:proofErr w:type="spellEnd"/>
      <w:r w:rsidRPr="00790859">
        <w:rPr>
          <w:rFonts w:eastAsia="Times New Roman"/>
          <w:i/>
          <w:iCs/>
          <w:lang w:val="en-US"/>
        </w:rPr>
        <w:t xml:space="preserve"> Industries and Competitors</w:t>
      </w:r>
      <w:r w:rsidRPr="00790859">
        <w:rPr>
          <w:rFonts w:eastAsia="Times New Roman"/>
          <w:lang w:val="en-US"/>
        </w:rPr>
        <w:t>. New York: Free Press.</w:t>
      </w:r>
    </w:p>
    <w:p w14:paraId="32D4E951" w14:textId="77777777" w:rsidR="00790859" w:rsidRPr="00790859" w:rsidRDefault="00790859" w:rsidP="00790859">
      <w:pPr>
        <w:rPr>
          <w:rFonts w:eastAsia="Times New Roman"/>
          <w:lang w:val="en-US"/>
        </w:rPr>
      </w:pPr>
      <w:r w:rsidRPr="00790859">
        <w:rPr>
          <w:rFonts w:eastAsia="Times New Roman"/>
          <w:lang w:val="en-US"/>
        </w:rPr>
        <w:t xml:space="preserve">Porter, M.E. (1985) </w:t>
      </w:r>
      <w:r w:rsidRPr="00790859">
        <w:rPr>
          <w:rFonts w:eastAsia="Times New Roman"/>
          <w:i/>
          <w:iCs/>
          <w:lang w:val="en-US"/>
        </w:rPr>
        <w:t>Competitive Advantage: Creating and Sustaining Superior Performance</w:t>
      </w:r>
      <w:r w:rsidRPr="00790859">
        <w:rPr>
          <w:rFonts w:eastAsia="Times New Roman"/>
          <w:lang w:val="en-US"/>
        </w:rPr>
        <w:t>. New York: Free Press.</w:t>
      </w:r>
    </w:p>
    <w:p w14:paraId="2D079CDF" w14:textId="77777777" w:rsidR="00790859" w:rsidRPr="00790859" w:rsidRDefault="00790859" w:rsidP="00790859">
      <w:pPr>
        <w:rPr>
          <w:rFonts w:eastAsia="Times New Roman"/>
          <w:lang w:val="en-US"/>
        </w:rPr>
      </w:pPr>
      <w:r w:rsidRPr="00790859">
        <w:rPr>
          <w:rFonts w:eastAsia="Times New Roman"/>
          <w:lang w:val="en-US"/>
        </w:rPr>
        <w:t xml:space="preserve">Rio Tinto (2024) </w:t>
      </w:r>
      <w:r w:rsidRPr="00790859">
        <w:rPr>
          <w:rFonts w:eastAsia="Times New Roman"/>
          <w:i/>
          <w:iCs/>
          <w:lang w:val="en-US"/>
        </w:rPr>
        <w:t>Climate Change Report 2024</w:t>
      </w:r>
      <w:r w:rsidRPr="00790859">
        <w:rPr>
          <w:rFonts w:eastAsia="Times New Roman"/>
          <w:lang w:val="en-US"/>
        </w:rPr>
        <w:t xml:space="preserve">. London: Rio Tinto. Available at: </w:t>
      </w:r>
      <w:hyperlink r:id="rId11" w:tgtFrame="_new" w:history="1">
        <w:r w:rsidRPr="00790859">
          <w:rPr>
            <w:rStyle w:val="a4"/>
            <w:rFonts w:eastAsia="Times New Roman"/>
            <w:lang w:val="en-US"/>
          </w:rPr>
          <w:t>https://www.riotinto.com/en/sustainability/climate-change</w:t>
        </w:r>
      </w:hyperlink>
      <w:r w:rsidRPr="00790859">
        <w:rPr>
          <w:rFonts w:eastAsia="Times New Roman"/>
          <w:lang w:val="en-US"/>
        </w:rPr>
        <w:t xml:space="preserve"> (Accessed: 22 July 2026).</w:t>
      </w:r>
    </w:p>
    <w:p w14:paraId="1819E5B0" w14:textId="77777777" w:rsidR="00790859" w:rsidRPr="00790859" w:rsidRDefault="00790859" w:rsidP="00790859">
      <w:pPr>
        <w:rPr>
          <w:rFonts w:eastAsia="Times New Roman"/>
          <w:lang w:val="en-US"/>
        </w:rPr>
      </w:pPr>
      <w:r w:rsidRPr="00790859">
        <w:rPr>
          <w:rFonts w:eastAsia="Times New Roman"/>
          <w:lang w:val="en-US"/>
        </w:rPr>
        <w:t xml:space="preserve">Tata Steel (2024) </w:t>
      </w:r>
      <w:r w:rsidRPr="00790859">
        <w:rPr>
          <w:rFonts w:eastAsia="Times New Roman"/>
          <w:i/>
          <w:iCs/>
          <w:lang w:val="en-US"/>
        </w:rPr>
        <w:t>Integrated Report &amp; Annual Accounts 2023–24</w:t>
      </w:r>
      <w:r w:rsidRPr="00790859">
        <w:rPr>
          <w:rFonts w:eastAsia="Times New Roman"/>
          <w:lang w:val="en-US"/>
        </w:rPr>
        <w:t xml:space="preserve">. Mumbai: Tata Steel. Available at: </w:t>
      </w:r>
      <w:hyperlink r:id="rId12" w:tgtFrame="_new" w:history="1">
        <w:r w:rsidRPr="00790859">
          <w:rPr>
            <w:rStyle w:val="a4"/>
            <w:rFonts w:eastAsia="Times New Roman"/>
            <w:lang w:val="en-US"/>
          </w:rPr>
          <w:t>https://www.tatasteel.com/investors/integrated-report/</w:t>
        </w:r>
      </w:hyperlink>
      <w:r w:rsidRPr="00790859">
        <w:rPr>
          <w:rFonts w:eastAsia="Times New Roman"/>
          <w:lang w:val="en-US"/>
        </w:rPr>
        <w:t xml:space="preserve"> (Accessed: 22 July 2026).</w:t>
      </w:r>
    </w:p>
    <w:p w14:paraId="348D6023" w14:textId="77777777" w:rsidR="00790859" w:rsidRPr="00790859" w:rsidRDefault="00790859" w:rsidP="00790859">
      <w:pPr>
        <w:rPr>
          <w:rFonts w:eastAsia="Times New Roman"/>
          <w:lang w:val="en-US"/>
        </w:rPr>
      </w:pPr>
      <w:r w:rsidRPr="00790859">
        <w:rPr>
          <w:rFonts w:eastAsia="Times New Roman"/>
          <w:lang w:val="en-US"/>
        </w:rPr>
        <w:t xml:space="preserve">United Nations Environment </w:t>
      </w:r>
      <w:proofErr w:type="spellStart"/>
      <w:r w:rsidRPr="00790859">
        <w:rPr>
          <w:rFonts w:eastAsia="Times New Roman"/>
          <w:lang w:val="en-US"/>
        </w:rPr>
        <w:t>Programme</w:t>
      </w:r>
      <w:proofErr w:type="spellEnd"/>
      <w:r w:rsidRPr="00790859">
        <w:rPr>
          <w:rFonts w:eastAsia="Times New Roman"/>
          <w:lang w:val="en-US"/>
        </w:rPr>
        <w:t xml:space="preserve"> (2024) </w:t>
      </w:r>
      <w:r w:rsidRPr="00790859">
        <w:rPr>
          <w:rFonts w:eastAsia="Times New Roman"/>
          <w:i/>
          <w:iCs/>
          <w:lang w:val="en-US"/>
        </w:rPr>
        <w:t xml:space="preserve">Global Resources Outlook 2024: Bend the Trend – Pathways to a </w:t>
      </w:r>
      <w:proofErr w:type="spellStart"/>
      <w:r w:rsidRPr="00790859">
        <w:rPr>
          <w:rFonts w:eastAsia="Times New Roman"/>
          <w:i/>
          <w:iCs/>
          <w:lang w:val="en-US"/>
        </w:rPr>
        <w:t>Liveable</w:t>
      </w:r>
      <w:proofErr w:type="spellEnd"/>
      <w:r w:rsidRPr="00790859">
        <w:rPr>
          <w:rFonts w:eastAsia="Times New Roman"/>
          <w:i/>
          <w:iCs/>
          <w:lang w:val="en-US"/>
        </w:rPr>
        <w:t xml:space="preserve"> Planet as Resource Use Spikes</w:t>
      </w:r>
      <w:r w:rsidRPr="00790859">
        <w:rPr>
          <w:rFonts w:eastAsia="Times New Roman"/>
          <w:lang w:val="en-US"/>
        </w:rPr>
        <w:t xml:space="preserve">. Nairobi: United Nations Environment </w:t>
      </w:r>
      <w:proofErr w:type="spellStart"/>
      <w:r w:rsidRPr="00790859">
        <w:rPr>
          <w:rFonts w:eastAsia="Times New Roman"/>
          <w:lang w:val="en-US"/>
        </w:rPr>
        <w:t>Programme</w:t>
      </w:r>
      <w:proofErr w:type="spellEnd"/>
      <w:r w:rsidRPr="00790859">
        <w:rPr>
          <w:rFonts w:eastAsia="Times New Roman"/>
          <w:lang w:val="en-US"/>
        </w:rPr>
        <w:t xml:space="preserve">. Available at: </w:t>
      </w:r>
      <w:hyperlink r:id="rId13" w:tgtFrame="_new" w:history="1">
        <w:r w:rsidRPr="00790859">
          <w:rPr>
            <w:rStyle w:val="a4"/>
            <w:rFonts w:eastAsia="Times New Roman"/>
            <w:lang w:val="en-US"/>
          </w:rPr>
          <w:t>https://www.unep.org/resources/global-resources-outlook-2024</w:t>
        </w:r>
      </w:hyperlink>
      <w:r w:rsidRPr="00790859">
        <w:rPr>
          <w:rFonts w:eastAsia="Times New Roman"/>
          <w:lang w:val="en-US"/>
        </w:rPr>
        <w:t xml:space="preserve"> (Accessed: 22 July 2026).</w:t>
      </w:r>
    </w:p>
    <w:p w14:paraId="2EADF855" w14:textId="77777777" w:rsidR="00790859" w:rsidRPr="00790859" w:rsidRDefault="00790859" w:rsidP="00790859">
      <w:pPr>
        <w:rPr>
          <w:rFonts w:eastAsia="Times New Roman"/>
          <w:lang w:val="en-US"/>
        </w:rPr>
      </w:pPr>
      <w:r w:rsidRPr="00790859">
        <w:rPr>
          <w:rFonts w:eastAsia="Times New Roman"/>
          <w:lang w:val="en-US"/>
        </w:rPr>
        <w:t xml:space="preserve">World Economic Forum (2024) </w:t>
      </w:r>
      <w:r w:rsidRPr="00790859">
        <w:rPr>
          <w:rFonts w:eastAsia="Times New Roman"/>
          <w:i/>
          <w:iCs/>
          <w:lang w:val="en-US"/>
        </w:rPr>
        <w:t>Fostering Effective Energy Transition 2024</w:t>
      </w:r>
      <w:r w:rsidRPr="00790859">
        <w:rPr>
          <w:rFonts w:eastAsia="Times New Roman"/>
          <w:lang w:val="en-US"/>
        </w:rPr>
        <w:t xml:space="preserve">. Geneva: World Economic Forum. Available at: </w:t>
      </w:r>
      <w:hyperlink r:id="rId14" w:tgtFrame="_new" w:history="1">
        <w:r w:rsidRPr="00790859">
          <w:rPr>
            <w:rStyle w:val="a4"/>
            <w:rFonts w:eastAsia="Times New Roman"/>
            <w:lang w:val="en-US"/>
          </w:rPr>
          <w:t>https://www.weforum.org/publications/fostering-effective-energy-transition-2024/</w:t>
        </w:r>
      </w:hyperlink>
      <w:r w:rsidRPr="00790859">
        <w:rPr>
          <w:rFonts w:eastAsia="Times New Roman"/>
          <w:lang w:val="en-US"/>
        </w:rPr>
        <w:t xml:space="preserve"> (Accessed: 22 July 2026).</w:t>
      </w:r>
    </w:p>
    <w:p w14:paraId="631C91A5" w14:textId="77777777" w:rsidR="00790859" w:rsidRPr="00790859" w:rsidRDefault="00790859" w:rsidP="00790859">
      <w:pPr>
        <w:rPr>
          <w:rFonts w:eastAsia="Times New Roman"/>
          <w:lang w:val="en-US"/>
        </w:rPr>
      </w:pPr>
      <w:r w:rsidRPr="00790859">
        <w:rPr>
          <w:rFonts w:eastAsia="Times New Roman"/>
          <w:lang w:val="en-US"/>
        </w:rPr>
        <w:t xml:space="preserve">World Steel Association (2024) </w:t>
      </w:r>
      <w:r w:rsidRPr="00790859">
        <w:rPr>
          <w:rFonts w:eastAsia="Times New Roman"/>
          <w:i/>
          <w:iCs/>
          <w:lang w:val="en-US"/>
        </w:rPr>
        <w:t>Sustainability Indicators 2024 Report</w:t>
      </w:r>
      <w:r w:rsidRPr="00790859">
        <w:rPr>
          <w:rFonts w:eastAsia="Times New Roman"/>
          <w:lang w:val="en-US"/>
        </w:rPr>
        <w:t>. Brussels: World Steel Association. Available at: https://worldsteel.org/publications/sustainability-indicators-2024/ (Accessed: 22 July 2026).</w:t>
      </w:r>
    </w:p>
    <w:p w14:paraId="02D7DEE4" w14:textId="60D119F6" w:rsidR="00E02E12" w:rsidRPr="00C65874" w:rsidRDefault="00E02E12" w:rsidP="00790859">
      <w:pPr>
        <w:rPr>
          <w:rFonts w:eastAsia="Times New Roman"/>
          <w:lang w:val="en-US"/>
        </w:rPr>
      </w:pPr>
    </w:p>
    <w:sectPr w:rsidR="00E02E12" w:rsidRPr="00C6587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E819CF"/>
    <w:multiLevelType w:val="multilevel"/>
    <w:tmpl w:val="7CA8B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741485"/>
    <w:multiLevelType w:val="hybridMultilevel"/>
    <w:tmpl w:val="1BC6DEA8"/>
    <w:lvl w:ilvl="0" w:tplc="725A5ACC">
      <w:start w:val="1"/>
      <w:numFmt w:val="bullet"/>
      <w:lvlText w:val=""/>
      <w:lvlJc w:val="left"/>
      <w:pPr>
        <w:ind w:left="720" w:hanging="360"/>
      </w:pPr>
      <w:rPr>
        <w:rFonts w:ascii="Symbol" w:hAnsi="Symbol" w:hint="default"/>
      </w:rPr>
    </w:lvl>
    <w:lvl w:ilvl="1" w:tplc="C7F47A78">
      <w:start w:val="1"/>
      <w:numFmt w:val="bullet"/>
      <w:lvlText w:val="o"/>
      <w:lvlJc w:val="left"/>
      <w:pPr>
        <w:ind w:left="1440" w:hanging="360"/>
      </w:pPr>
      <w:rPr>
        <w:rFonts w:ascii="Courier New" w:hAnsi="Courier New" w:hint="default"/>
      </w:rPr>
    </w:lvl>
    <w:lvl w:ilvl="2" w:tplc="AA3EB7E0">
      <w:start w:val="1"/>
      <w:numFmt w:val="bullet"/>
      <w:lvlText w:val=""/>
      <w:lvlJc w:val="left"/>
      <w:pPr>
        <w:ind w:left="2160" w:hanging="360"/>
      </w:pPr>
      <w:rPr>
        <w:rFonts w:ascii="Wingdings" w:hAnsi="Wingdings" w:hint="default"/>
      </w:rPr>
    </w:lvl>
    <w:lvl w:ilvl="3" w:tplc="A5622EF0">
      <w:start w:val="1"/>
      <w:numFmt w:val="bullet"/>
      <w:lvlText w:val=""/>
      <w:lvlJc w:val="left"/>
      <w:pPr>
        <w:ind w:left="2880" w:hanging="360"/>
      </w:pPr>
      <w:rPr>
        <w:rFonts w:ascii="Symbol" w:hAnsi="Symbol" w:hint="default"/>
      </w:rPr>
    </w:lvl>
    <w:lvl w:ilvl="4" w:tplc="1554882A">
      <w:start w:val="1"/>
      <w:numFmt w:val="bullet"/>
      <w:lvlText w:val="o"/>
      <w:lvlJc w:val="left"/>
      <w:pPr>
        <w:ind w:left="3600" w:hanging="360"/>
      </w:pPr>
      <w:rPr>
        <w:rFonts w:ascii="Courier New" w:hAnsi="Courier New" w:hint="default"/>
      </w:rPr>
    </w:lvl>
    <w:lvl w:ilvl="5" w:tplc="2DAEFA0E">
      <w:start w:val="1"/>
      <w:numFmt w:val="bullet"/>
      <w:lvlText w:val=""/>
      <w:lvlJc w:val="left"/>
      <w:pPr>
        <w:ind w:left="4320" w:hanging="360"/>
      </w:pPr>
      <w:rPr>
        <w:rFonts w:ascii="Wingdings" w:hAnsi="Wingdings" w:hint="default"/>
      </w:rPr>
    </w:lvl>
    <w:lvl w:ilvl="6" w:tplc="8F44B866">
      <w:start w:val="1"/>
      <w:numFmt w:val="bullet"/>
      <w:lvlText w:val=""/>
      <w:lvlJc w:val="left"/>
      <w:pPr>
        <w:ind w:left="5040" w:hanging="360"/>
      </w:pPr>
      <w:rPr>
        <w:rFonts w:ascii="Symbol" w:hAnsi="Symbol" w:hint="default"/>
      </w:rPr>
    </w:lvl>
    <w:lvl w:ilvl="7" w:tplc="D0D04048">
      <w:start w:val="1"/>
      <w:numFmt w:val="bullet"/>
      <w:lvlText w:val="o"/>
      <w:lvlJc w:val="left"/>
      <w:pPr>
        <w:ind w:left="5760" w:hanging="360"/>
      </w:pPr>
      <w:rPr>
        <w:rFonts w:ascii="Courier New" w:hAnsi="Courier New" w:hint="default"/>
      </w:rPr>
    </w:lvl>
    <w:lvl w:ilvl="8" w:tplc="7B5855B8">
      <w:start w:val="1"/>
      <w:numFmt w:val="bullet"/>
      <w:lvlText w:val=""/>
      <w:lvlJc w:val="left"/>
      <w:pPr>
        <w:ind w:left="6480" w:hanging="360"/>
      </w:pPr>
      <w:rPr>
        <w:rFonts w:ascii="Wingdings" w:hAnsi="Wingdings" w:hint="default"/>
      </w:rPr>
    </w:lvl>
  </w:abstractNum>
  <w:num w:numId="1" w16cid:durableId="1062364499">
    <w:abstractNumId w:val="1"/>
  </w:num>
  <w:num w:numId="2" w16cid:durableId="1943025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9B3CCAD"/>
    <w:rsid w:val="000309A8"/>
    <w:rsid w:val="00082792"/>
    <w:rsid w:val="000B7D2E"/>
    <w:rsid w:val="00100F19"/>
    <w:rsid w:val="00111ADD"/>
    <w:rsid w:val="00126988"/>
    <w:rsid w:val="001D3395"/>
    <w:rsid w:val="001F1CD8"/>
    <w:rsid w:val="002006F4"/>
    <w:rsid w:val="00253C5F"/>
    <w:rsid w:val="00273BA3"/>
    <w:rsid w:val="002A505F"/>
    <w:rsid w:val="002B2652"/>
    <w:rsid w:val="002C0842"/>
    <w:rsid w:val="0031107E"/>
    <w:rsid w:val="00321C54"/>
    <w:rsid w:val="0035314C"/>
    <w:rsid w:val="00363852"/>
    <w:rsid w:val="00371141"/>
    <w:rsid w:val="00401E76"/>
    <w:rsid w:val="00494F28"/>
    <w:rsid w:val="00500A21"/>
    <w:rsid w:val="0051423B"/>
    <w:rsid w:val="0053704A"/>
    <w:rsid w:val="005B2FEA"/>
    <w:rsid w:val="005D7BF6"/>
    <w:rsid w:val="006358D8"/>
    <w:rsid w:val="006F7EE7"/>
    <w:rsid w:val="00716740"/>
    <w:rsid w:val="007549FD"/>
    <w:rsid w:val="00790859"/>
    <w:rsid w:val="007921C1"/>
    <w:rsid w:val="007C5AD3"/>
    <w:rsid w:val="007F036C"/>
    <w:rsid w:val="00810843"/>
    <w:rsid w:val="00816959"/>
    <w:rsid w:val="00882D0E"/>
    <w:rsid w:val="00887544"/>
    <w:rsid w:val="008A0926"/>
    <w:rsid w:val="008A0991"/>
    <w:rsid w:val="009809E0"/>
    <w:rsid w:val="009D20A5"/>
    <w:rsid w:val="009E069C"/>
    <w:rsid w:val="009E7F65"/>
    <w:rsid w:val="00A347AE"/>
    <w:rsid w:val="00A36810"/>
    <w:rsid w:val="00A6395C"/>
    <w:rsid w:val="00A92AFE"/>
    <w:rsid w:val="00AA12F1"/>
    <w:rsid w:val="00AA1888"/>
    <w:rsid w:val="00B13F9E"/>
    <w:rsid w:val="00B16674"/>
    <w:rsid w:val="00B27DFD"/>
    <w:rsid w:val="00B7432C"/>
    <w:rsid w:val="00C02F17"/>
    <w:rsid w:val="00C65874"/>
    <w:rsid w:val="00C846CA"/>
    <w:rsid w:val="00CA1E9C"/>
    <w:rsid w:val="00D87857"/>
    <w:rsid w:val="00DE298E"/>
    <w:rsid w:val="00E02E12"/>
    <w:rsid w:val="00E106AA"/>
    <w:rsid w:val="00E6764F"/>
    <w:rsid w:val="00EB3E35"/>
    <w:rsid w:val="00EE51B0"/>
    <w:rsid w:val="00F26D44"/>
    <w:rsid w:val="00FA7B59"/>
    <w:rsid w:val="00FB32DC"/>
    <w:rsid w:val="021D2362"/>
    <w:rsid w:val="0C1E8527"/>
    <w:rsid w:val="123A510E"/>
    <w:rsid w:val="15905128"/>
    <w:rsid w:val="1660A038"/>
    <w:rsid w:val="21681B1D"/>
    <w:rsid w:val="244F9850"/>
    <w:rsid w:val="29B3CCAD"/>
    <w:rsid w:val="35243E79"/>
    <w:rsid w:val="361388D2"/>
    <w:rsid w:val="36C2A92E"/>
    <w:rsid w:val="3BEAEB66"/>
    <w:rsid w:val="41104AAA"/>
    <w:rsid w:val="4277BE5E"/>
    <w:rsid w:val="498824C8"/>
    <w:rsid w:val="578F6B5D"/>
    <w:rsid w:val="5D412F85"/>
    <w:rsid w:val="5F53CE11"/>
    <w:rsid w:val="61C591CF"/>
    <w:rsid w:val="6AD14AD0"/>
    <w:rsid w:val="6FA0A147"/>
    <w:rsid w:val="743C5E13"/>
    <w:rsid w:val="75757A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CE239"/>
  <w15:chartTrackingRefBased/>
  <w15:docId w15:val="{D8A5C694-5E6E-471C-B084-02E742E2E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rsid w:val="0C1E85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uiPriority w:val="9"/>
    <w:unhideWhenUsed/>
    <w:qFormat/>
    <w:rsid w:val="0C1E85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uiPriority w:val="9"/>
    <w:unhideWhenUsed/>
    <w:qFormat/>
    <w:rsid w:val="0C1E8527"/>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toc 1"/>
    <w:basedOn w:val="a"/>
    <w:next w:val="a"/>
    <w:uiPriority w:val="39"/>
    <w:unhideWhenUsed/>
    <w:rsid w:val="0C1E8527"/>
    <w:pPr>
      <w:spacing w:after="100"/>
    </w:pPr>
  </w:style>
  <w:style w:type="paragraph" w:styleId="a3">
    <w:name w:val="List Paragraph"/>
    <w:basedOn w:val="a"/>
    <w:uiPriority w:val="34"/>
    <w:qFormat/>
    <w:rsid w:val="0C1E8527"/>
    <w:pPr>
      <w:ind w:left="720"/>
      <w:contextualSpacing/>
    </w:pPr>
  </w:style>
  <w:style w:type="character" w:styleId="a4">
    <w:name w:val="Hyperlink"/>
    <w:basedOn w:val="a0"/>
    <w:uiPriority w:val="99"/>
    <w:unhideWhenUsed/>
    <w:rsid w:val="0C1E8527"/>
    <w:rPr>
      <w:color w:val="467886"/>
      <w:u w:val="single"/>
    </w:rPr>
  </w:style>
  <w:style w:type="paragraph" w:styleId="20">
    <w:name w:val="toc 2"/>
    <w:basedOn w:val="a"/>
    <w:next w:val="a"/>
    <w:uiPriority w:val="39"/>
    <w:unhideWhenUsed/>
    <w:rsid w:val="0C1E8527"/>
    <w:pPr>
      <w:spacing w:after="100"/>
      <w:ind w:left="220"/>
    </w:pPr>
  </w:style>
  <w:style w:type="table" w:styleId="a5">
    <w:name w:val="Table Grid"/>
    <w:basedOn w:val="a1"/>
    <w:uiPriority w:val="39"/>
    <w:rsid w:val="008169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Unresolved Mention"/>
    <w:basedOn w:val="a0"/>
    <w:uiPriority w:val="99"/>
    <w:semiHidden/>
    <w:unhideWhenUsed/>
    <w:rsid w:val="00C02F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hp.com/sustainability/approach?utm_source=chatgpt.com" TargetMode="External"/><Relationship Id="rId13" Type="http://schemas.openxmlformats.org/officeDocument/2006/relationships/hyperlink" Target="https://www.unep.org/resources/global-resources-outlook-2024"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tatasteel.com/investors/integrated-repor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riotinto.com/en/sustainability/climate-chang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iea.org/reports/the-role-of-critical-minerals-in-clean-energy-transitions" TargetMode="External"/><Relationship Id="rId4" Type="http://schemas.openxmlformats.org/officeDocument/2006/relationships/settings" Target="settings.xml"/><Relationship Id="rId9" Type="http://schemas.openxmlformats.org/officeDocument/2006/relationships/hyperlink" Target="https://www.icmm.com" TargetMode="External"/><Relationship Id="rId14" Type="http://schemas.openxmlformats.org/officeDocument/2006/relationships/hyperlink" Target="https://www.weforum.org/publications/fostering-effective-energy-transition-2024/?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F33D2-E17A-4E33-81F2-39D622D27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TotalTime>
  <Pages>13</Pages>
  <Words>3909</Words>
  <Characters>22282</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Armands Putersevics (2242532)</dc:creator>
  <cp:keywords/>
  <dc:description/>
  <cp:lastModifiedBy>elena kokorieva</cp:lastModifiedBy>
  <cp:revision>16</cp:revision>
  <dcterms:created xsi:type="dcterms:W3CDTF">2026-07-09T20:55:00Z</dcterms:created>
  <dcterms:modified xsi:type="dcterms:W3CDTF">2026-07-22T11:37:00Z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c6c3f75b-7496-4b8c-9287-52b18d5bcb92</vt:lpwstr>
  </property>
</Properties>
</file>