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134AB" w14:textId="77777777" w:rsidR="007B5817" w:rsidRPr="00440C21" w:rsidRDefault="00A758E6">
      <w:pPr>
        <w:spacing w:before="200" w:after="200" w:line="360" w:lineRule="auto"/>
        <w:jc w:val="center"/>
        <w:rPr>
          <w:rFonts w:ascii="Calibri" w:eastAsia="Calibri" w:hAnsi="Calibri" w:cs="Calibri"/>
          <w:b/>
          <w:bCs/>
          <w:sz w:val="44"/>
          <w:szCs w:val="44"/>
        </w:rPr>
      </w:pPr>
      <w:r w:rsidRPr="00440C21">
        <w:rPr>
          <w:rFonts w:ascii="Calibri" w:eastAsia="Calibri" w:hAnsi="Calibri" w:cs="Calibri"/>
          <w:b/>
          <w:bCs/>
          <w:sz w:val="44"/>
          <w:szCs w:val="44"/>
        </w:rPr>
        <w:t>LCLM 5005</w:t>
      </w:r>
    </w:p>
    <w:p w14:paraId="0B6E6D40" w14:textId="77777777" w:rsidR="007B5817" w:rsidRPr="00440C21" w:rsidRDefault="00A758E6">
      <w:pPr>
        <w:spacing w:before="200" w:after="200" w:line="360" w:lineRule="auto"/>
        <w:jc w:val="center"/>
        <w:rPr>
          <w:rFonts w:ascii="Calibri" w:eastAsia="Calibri" w:hAnsi="Calibri" w:cs="Calibri"/>
          <w:b/>
          <w:bCs/>
          <w:sz w:val="44"/>
          <w:szCs w:val="44"/>
        </w:rPr>
      </w:pPr>
      <w:r w:rsidRPr="00440C21">
        <w:rPr>
          <w:rFonts w:ascii="Calibri" w:eastAsia="Calibri" w:hAnsi="Calibri" w:cs="Calibri"/>
          <w:b/>
          <w:bCs/>
          <w:sz w:val="44"/>
          <w:szCs w:val="44"/>
        </w:rPr>
        <w:t>ORGANISATIONAL CULTURE</w:t>
      </w:r>
    </w:p>
    <w:p w14:paraId="2661DDA9" w14:textId="77777777" w:rsidR="007B5817" w:rsidRPr="00440C21" w:rsidRDefault="00A758E6">
      <w:pPr>
        <w:spacing w:before="200" w:after="200" w:line="360" w:lineRule="auto"/>
        <w:jc w:val="center"/>
        <w:rPr>
          <w:rFonts w:ascii="Calibri" w:eastAsia="Calibri" w:hAnsi="Calibri" w:cs="Calibri"/>
          <w:b/>
          <w:bCs/>
          <w:sz w:val="44"/>
          <w:szCs w:val="44"/>
        </w:rPr>
      </w:pPr>
      <w:r w:rsidRPr="00440C21">
        <w:rPr>
          <w:rFonts w:ascii="Calibri" w:eastAsia="Calibri" w:hAnsi="Calibri" w:cs="Calibri"/>
          <w:b/>
          <w:bCs/>
          <w:sz w:val="44"/>
          <w:szCs w:val="44"/>
        </w:rPr>
        <w:t>COMPONENT 1: ORGANISATIONAL CULTURE: INDIVIDUAL REPORT</w:t>
      </w:r>
    </w:p>
    <w:p w14:paraId="138152B8" w14:textId="77777777" w:rsidR="007B5817" w:rsidRPr="00440C21" w:rsidRDefault="007B5817">
      <w:pPr>
        <w:spacing w:before="200" w:after="200" w:line="360" w:lineRule="auto"/>
        <w:jc w:val="center"/>
        <w:rPr>
          <w:rFonts w:ascii="Calibri" w:eastAsia="Calibri" w:hAnsi="Calibri" w:cs="Calibri"/>
          <w:b/>
          <w:bCs/>
          <w:sz w:val="44"/>
          <w:szCs w:val="44"/>
        </w:rPr>
      </w:pPr>
    </w:p>
    <w:p w14:paraId="634F2AC4" w14:textId="77777777" w:rsidR="007B5817" w:rsidRPr="00440C21" w:rsidRDefault="007B5817">
      <w:pPr>
        <w:spacing w:before="200" w:after="200" w:line="360" w:lineRule="auto"/>
        <w:jc w:val="center"/>
        <w:rPr>
          <w:rFonts w:ascii="Calibri" w:eastAsia="Calibri" w:hAnsi="Calibri" w:cs="Calibri"/>
          <w:b/>
          <w:bCs/>
          <w:sz w:val="44"/>
          <w:szCs w:val="44"/>
        </w:rPr>
      </w:pPr>
    </w:p>
    <w:p w14:paraId="6F289DCE" w14:textId="77777777" w:rsidR="007B5817" w:rsidRPr="00440C21" w:rsidRDefault="007B5817">
      <w:pPr>
        <w:spacing w:before="200" w:after="200" w:line="360" w:lineRule="auto"/>
        <w:jc w:val="center"/>
        <w:rPr>
          <w:rFonts w:ascii="Calibri" w:eastAsia="Calibri" w:hAnsi="Calibri" w:cs="Calibri"/>
          <w:b/>
          <w:bCs/>
          <w:sz w:val="44"/>
          <w:szCs w:val="44"/>
        </w:rPr>
      </w:pPr>
    </w:p>
    <w:p w14:paraId="043AEAAA" w14:textId="77777777" w:rsidR="007B5817" w:rsidRPr="00440C21" w:rsidRDefault="007B5817">
      <w:pPr>
        <w:spacing w:before="200" w:after="200" w:line="360" w:lineRule="auto"/>
        <w:jc w:val="center"/>
        <w:rPr>
          <w:rFonts w:ascii="Calibri" w:eastAsia="Calibri" w:hAnsi="Calibri" w:cs="Calibri"/>
          <w:b/>
          <w:bCs/>
          <w:sz w:val="44"/>
          <w:szCs w:val="44"/>
        </w:rPr>
      </w:pPr>
    </w:p>
    <w:p w14:paraId="634934ED" w14:textId="77777777" w:rsidR="007B5817" w:rsidRPr="00440C21" w:rsidRDefault="007B5817">
      <w:pPr>
        <w:spacing w:before="200" w:after="200" w:line="360" w:lineRule="auto"/>
        <w:jc w:val="center"/>
        <w:rPr>
          <w:rFonts w:ascii="Calibri" w:eastAsia="Calibri" w:hAnsi="Calibri" w:cs="Calibri"/>
          <w:b/>
          <w:bCs/>
          <w:sz w:val="44"/>
          <w:szCs w:val="44"/>
        </w:rPr>
      </w:pPr>
    </w:p>
    <w:p w14:paraId="0A8058A5" w14:textId="2A134C69" w:rsidR="007B5817" w:rsidRPr="00440C21" w:rsidRDefault="00A758E6">
      <w:pPr>
        <w:spacing w:before="200" w:after="200" w:line="360" w:lineRule="auto"/>
        <w:jc w:val="center"/>
        <w:rPr>
          <w:rFonts w:ascii="Calibri" w:eastAsia="Calibri" w:hAnsi="Calibri" w:cs="Calibri"/>
          <w:b/>
          <w:bCs/>
          <w:sz w:val="44"/>
          <w:szCs w:val="44"/>
        </w:rPr>
      </w:pPr>
      <w:r w:rsidRPr="00440C21">
        <w:rPr>
          <w:rFonts w:ascii="Calibri" w:eastAsia="Calibri" w:hAnsi="Calibri" w:cs="Calibri"/>
          <w:b/>
          <w:bCs/>
          <w:sz w:val="44"/>
          <w:szCs w:val="44"/>
        </w:rPr>
        <w:t xml:space="preserve">STUDENT </w:t>
      </w:r>
      <w:proofErr w:type="spellStart"/>
      <w:r w:rsidRPr="00440C21">
        <w:rPr>
          <w:rFonts w:ascii="Calibri" w:eastAsia="Calibri" w:hAnsi="Calibri" w:cs="Calibri"/>
          <w:b/>
          <w:bCs/>
          <w:sz w:val="44"/>
          <w:szCs w:val="44"/>
        </w:rPr>
        <w:t>NAME:</w:t>
      </w:r>
      <w:r w:rsidR="00E53B0A">
        <w:rPr>
          <w:rFonts w:ascii="Calibri" w:eastAsia="Calibri" w:hAnsi="Calibri" w:cs="Calibri"/>
          <w:b/>
          <w:bCs/>
          <w:sz w:val="44"/>
          <w:szCs w:val="44"/>
        </w:rPr>
        <w:t>Daniel</w:t>
      </w:r>
      <w:proofErr w:type="spellEnd"/>
      <w:r w:rsidR="00E53B0A">
        <w:rPr>
          <w:rFonts w:ascii="Calibri" w:eastAsia="Calibri" w:hAnsi="Calibri" w:cs="Calibri"/>
          <w:b/>
          <w:bCs/>
          <w:sz w:val="44"/>
          <w:szCs w:val="44"/>
        </w:rPr>
        <w:t xml:space="preserve"> Bob</w:t>
      </w:r>
    </w:p>
    <w:p w14:paraId="78D55EAC" w14:textId="74483E0B" w:rsidR="007B5817" w:rsidRPr="00440C21" w:rsidRDefault="00A758E6">
      <w:pPr>
        <w:spacing w:before="200" w:after="200" w:line="360" w:lineRule="auto"/>
        <w:jc w:val="center"/>
        <w:rPr>
          <w:rFonts w:ascii="Calibri" w:eastAsia="Calibri" w:hAnsi="Calibri" w:cs="Calibri"/>
          <w:sz w:val="24"/>
          <w:szCs w:val="24"/>
        </w:rPr>
      </w:pPr>
      <w:r w:rsidRPr="00440C21">
        <w:rPr>
          <w:rFonts w:ascii="Calibri" w:eastAsia="Calibri" w:hAnsi="Calibri" w:cs="Calibri"/>
          <w:b/>
          <w:bCs/>
          <w:sz w:val="44"/>
          <w:szCs w:val="44"/>
        </w:rPr>
        <w:t>STUDENT ID:</w:t>
      </w:r>
      <w:r w:rsidRPr="00440C21">
        <w:rPr>
          <w:rFonts w:ascii="Calibri" w:eastAsia="Calibri" w:hAnsi="Calibri" w:cs="Calibri"/>
          <w:noProof/>
          <w:sz w:val="24"/>
          <w:szCs w:val="24"/>
        </w:rPr>
        <w:drawing>
          <wp:anchor distT="0" distB="0" distL="0" distR="0" simplePos="0" relativeHeight="251658240" behindDoc="0" locked="0" layoutInCell="1" hidden="0" allowOverlap="1" wp14:anchorId="7011D114" wp14:editId="768EE054">
            <wp:simplePos x="0" y="0"/>
            <wp:positionH relativeFrom="page">
              <wp:posOffset>333375</wp:posOffset>
            </wp:positionH>
            <wp:positionV relativeFrom="page">
              <wp:posOffset>314325</wp:posOffset>
            </wp:positionV>
            <wp:extent cx="1816670" cy="600075"/>
            <wp:effectExtent l="0" t="0" r="0" b="0"/>
            <wp:wrapSquare wrapText="bothSides" distT="0" distB="0" distL="0" distR="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816670" cy="600075"/>
                    </a:xfrm>
                    <a:prstGeom prst="rect">
                      <a:avLst/>
                    </a:prstGeom>
                    <a:ln/>
                  </pic:spPr>
                </pic:pic>
              </a:graphicData>
            </a:graphic>
          </wp:anchor>
        </w:drawing>
      </w:r>
      <w:r w:rsidR="00D90FCD">
        <w:rPr>
          <w:rFonts w:ascii="Calibri" w:eastAsia="Calibri" w:hAnsi="Calibri" w:cs="Calibri"/>
          <w:b/>
          <w:bCs/>
          <w:sz w:val="44"/>
          <w:szCs w:val="44"/>
        </w:rPr>
        <w:t>2409052</w:t>
      </w:r>
    </w:p>
    <w:p w14:paraId="2C9DD72F" w14:textId="77777777" w:rsidR="007B5817" w:rsidRPr="00440C21" w:rsidRDefault="00A758E6">
      <w:pPr>
        <w:spacing w:before="200" w:after="200" w:line="360" w:lineRule="auto"/>
        <w:jc w:val="both"/>
        <w:rPr>
          <w:rFonts w:ascii="Calibri" w:eastAsia="Calibri" w:hAnsi="Calibri" w:cs="Calibri"/>
          <w:sz w:val="24"/>
          <w:szCs w:val="24"/>
        </w:rPr>
      </w:pPr>
      <w:r w:rsidRPr="00440C21">
        <w:br w:type="page"/>
      </w:r>
    </w:p>
    <w:p w14:paraId="3E54F2BA" w14:textId="77777777" w:rsidR="007B5817" w:rsidRPr="00440C21" w:rsidRDefault="00A758E6">
      <w:pPr>
        <w:spacing w:before="200" w:after="200" w:line="360" w:lineRule="auto"/>
        <w:jc w:val="center"/>
        <w:rPr>
          <w:rFonts w:ascii="Calibri" w:eastAsia="Calibri" w:hAnsi="Calibri" w:cs="Calibri"/>
          <w:b/>
          <w:bCs/>
          <w:sz w:val="28"/>
          <w:szCs w:val="28"/>
        </w:rPr>
      </w:pPr>
      <w:r w:rsidRPr="00440C21">
        <w:rPr>
          <w:rFonts w:ascii="Calibri" w:eastAsia="Calibri" w:hAnsi="Calibri" w:cs="Calibri"/>
          <w:b/>
          <w:bCs/>
          <w:sz w:val="28"/>
          <w:szCs w:val="28"/>
        </w:rPr>
        <w:t>Executive Summary</w:t>
      </w:r>
    </w:p>
    <w:p w14:paraId="5BF09C71"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This individual report addresses the significant effect of organisational culture on the structure, decision making and commercial performance of Tesco PLC. Drawing on the widely used theoretical frameworks: Mullins and Christy's concept, Schein's iceberg model, </w:t>
      </w:r>
      <w:proofErr w:type="spellStart"/>
      <w:r w:rsidRPr="00440C21">
        <w:rPr>
          <w:rFonts w:ascii="Calibri" w:eastAsia="Calibri" w:hAnsi="Calibri" w:cs="Calibri"/>
          <w:sz w:val="24"/>
          <w:szCs w:val="24"/>
        </w:rPr>
        <w:t>Handy's</w:t>
      </w:r>
      <w:proofErr w:type="spellEnd"/>
      <w:r w:rsidRPr="00440C21">
        <w:rPr>
          <w:rFonts w:ascii="Calibri" w:eastAsia="Calibri" w:hAnsi="Calibri" w:cs="Calibri"/>
          <w:sz w:val="24"/>
          <w:szCs w:val="24"/>
        </w:rPr>
        <w:t xml:space="preserve"> cultural types and an extensive PESTLE analysis, the study explores the ways in which Tesco manages its internal corporate culture to meet the many challenges of the macro-economic environment. The results show that despite being a highly centralised and dominant "Role Culture", Tesco has managed to achieve uniformity across the operations and efficiency through data, however it has historically faced the risk of bureaucratic complacency and moral weaknesses, a case in point being the accounting scandal of 2014. In contrast, new adaptations reflect the increasing incorporation of agile "Task Culture" pockets to spur digital marketplace innovations such as Whoosh rapid delivery. In conclusion, Tesco should permanently embed cross-functional innovation teams, decentralise community sustainability budgets to store managers and make reporting lines flatter to encourage the full psychological safety of employees, while maintaining its long-term retail market leadership.</w:t>
      </w:r>
      <w:r w:rsidRPr="00440C21">
        <w:br w:type="page"/>
      </w:r>
    </w:p>
    <w:sdt>
      <w:sdtPr>
        <w:id w:val="-994851992"/>
        <w:docPartObj>
          <w:docPartGallery w:val="Table of Contents"/>
          <w:docPartUnique/>
        </w:docPartObj>
      </w:sdtPr>
      <w:sdtContent>
        <w:p w14:paraId="38AE70D8" w14:textId="77777777" w:rsidR="007B5817" w:rsidRPr="00440C21" w:rsidRDefault="007B5817">
          <w:pPr>
            <w:widowControl w:val="0"/>
            <w:tabs>
              <w:tab w:val="right" w:leader="dot" w:pos="9360"/>
            </w:tabs>
            <w:spacing w:before="60" w:after="200" w:line="360" w:lineRule="auto"/>
            <w:jc w:val="center"/>
            <w:rPr>
              <w:rFonts w:ascii="Calibri" w:eastAsia="Calibri" w:hAnsi="Calibri" w:cs="Calibri"/>
              <w:b/>
              <w:bCs/>
              <w:sz w:val="28"/>
              <w:szCs w:val="28"/>
            </w:rPr>
          </w:pPr>
          <w:r w:rsidRPr="00440C21">
            <w:fldChar w:fldCharType="begin"/>
          </w:r>
          <w:r w:rsidR="00A758E6" w:rsidRPr="00440C21">
            <w:instrText xml:space="preserve"> TOC \h \u \z \t "Heading 1,1,Heading 2,2,Heading 3,3,Heading 4,4,Heading 5,5,Heading 6,6,"</w:instrText>
          </w:r>
          <w:r w:rsidRPr="00440C21">
            <w:fldChar w:fldCharType="separate"/>
          </w:r>
          <w:r w:rsidR="00A758E6" w:rsidRPr="00440C21">
            <w:rPr>
              <w:rFonts w:ascii="Calibri" w:eastAsia="Calibri" w:hAnsi="Calibri" w:cs="Calibri"/>
              <w:b/>
              <w:bCs/>
              <w:sz w:val="28"/>
              <w:szCs w:val="28"/>
            </w:rPr>
            <w:t>Table of Contents</w:t>
          </w:r>
        </w:p>
        <w:p w14:paraId="172BE77D"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kjlgltw9m8rd">
            <w:r w:rsidRPr="00440C21">
              <w:rPr>
                <w:rFonts w:ascii="Calibri" w:eastAsia="Calibri" w:hAnsi="Calibri" w:cs="Calibri"/>
                <w:color w:val="000000"/>
                <w:sz w:val="24"/>
                <w:szCs w:val="24"/>
              </w:rPr>
              <w:t>Introduction</w:t>
            </w:r>
            <w:r w:rsidRPr="00440C21">
              <w:rPr>
                <w:rFonts w:ascii="Calibri" w:eastAsia="Calibri" w:hAnsi="Calibri" w:cs="Calibri"/>
                <w:color w:val="000000"/>
                <w:sz w:val="24"/>
                <w:szCs w:val="24"/>
              </w:rPr>
              <w:tab/>
            </w:r>
          </w:hyperlink>
          <w:r w:rsidRPr="00440C21">
            <w:fldChar w:fldCharType="begin"/>
          </w:r>
          <w:r w:rsidRPr="00440C21">
            <w:instrText xml:space="preserve"> PAGEREF _kjlgltw9m8rd \h </w:instrText>
          </w:r>
          <w:r w:rsidRPr="00440C21">
            <w:fldChar w:fldCharType="separate"/>
          </w:r>
          <w:r w:rsidRPr="00440C21">
            <w:rPr>
              <w:rFonts w:ascii="Calibri" w:eastAsia="Calibri" w:hAnsi="Calibri" w:cs="Calibri"/>
              <w:sz w:val="24"/>
              <w:szCs w:val="24"/>
            </w:rPr>
            <w:t>2</w:t>
          </w:r>
          <w:r w:rsidRPr="00440C21">
            <w:fldChar w:fldCharType="end"/>
          </w:r>
        </w:p>
        <w:p w14:paraId="0A5C51CC"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rvsg8boh417f">
            <w:r w:rsidRPr="00440C21">
              <w:rPr>
                <w:rFonts w:ascii="Calibri" w:eastAsia="Calibri" w:hAnsi="Calibri" w:cs="Calibri"/>
                <w:color w:val="000000"/>
                <w:sz w:val="24"/>
                <w:szCs w:val="24"/>
              </w:rPr>
              <w:t>Influence of Culture on Structure and Decision-Making</w:t>
            </w:r>
            <w:r w:rsidRPr="00440C21">
              <w:rPr>
                <w:rFonts w:ascii="Calibri" w:eastAsia="Calibri" w:hAnsi="Calibri" w:cs="Calibri"/>
                <w:color w:val="000000"/>
                <w:sz w:val="24"/>
                <w:szCs w:val="24"/>
              </w:rPr>
              <w:tab/>
            </w:r>
          </w:hyperlink>
          <w:r w:rsidRPr="00440C21">
            <w:fldChar w:fldCharType="begin"/>
          </w:r>
          <w:r w:rsidRPr="00440C21">
            <w:instrText xml:space="preserve"> PAGEREF _rvsg8boh417f \h </w:instrText>
          </w:r>
          <w:r w:rsidRPr="00440C21">
            <w:fldChar w:fldCharType="separate"/>
          </w:r>
          <w:r w:rsidRPr="00440C21">
            <w:rPr>
              <w:rFonts w:ascii="Calibri" w:eastAsia="Calibri" w:hAnsi="Calibri" w:cs="Calibri"/>
              <w:sz w:val="24"/>
              <w:szCs w:val="24"/>
            </w:rPr>
            <w:t>2</w:t>
          </w:r>
          <w:r w:rsidRPr="00440C21">
            <w:fldChar w:fldCharType="end"/>
          </w:r>
        </w:p>
        <w:p w14:paraId="12BAB91B"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zcpjbcp9eex8">
            <w:r w:rsidRPr="00440C21">
              <w:rPr>
                <w:rFonts w:ascii="Calibri" w:eastAsia="Calibri" w:hAnsi="Calibri" w:cs="Calibri"/>
                <w:color w:val="000000"/>
                <w:sz w:val="24"/>
                <w:szCs w:val="24"/>
              </w:rPr>
              <w:t>Cultural Analysis of Tesco</w:t>
            </w:r>
            <w:r w:rsidRPr="00440C21">
              <w:rPr>
                <w:rFonts w:ascii="Calibri" w:eastAsia="Calibri" w:hAnsi="Calibri" w:cs="Calibri"/>
                <w:color w:val="000000"/>
                <w:sz w:val="24"/>
                <w:szCs w:val="24"/>
              </w:rPr>
              <w:tab/>
            </w:r>
          </w:hyperlink>
          <w:r w:rsidRPr="00440C21">
            <w:fldChar w:fldCharType="begin"/>
          </w:r>
          <w:r w:rsidRPr="00440C21">
            <w:instrText xml:space="preserve"> PAGEREF _zcpjbcp9eex8 \h </w:instrText>
          </w:r>
          <w:r w:rsidRPr="00440C21">
            <w:fldChar w:fldCharType="separate"/>
          </w:r>
          <w:r w:rsidRPr="00440C21">
            <w:rPr>
              <w:rFonts w:ascii="Calibri" w:eastAsia="Calibri" w:hAnsi="Calibri" w:cs="Calibri"/>
              <w:sz w:val="24"/>
              <w:szCs w:val="24"/>
            </w:rPr>
            <w:t>4</w:t>
          </w:r>
          <w:r w:rsidRPr="00440C21">
            <w:fldChar w:fldCharType="end"/>
          </w:r>
        </w:p>
        <w:p w14:paraId="205C0AEA"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kt6hbu290ej">
            <w:r w:rsidRPr="00440C21">
              <w:rPr>
                <w:rFonts w:ascii="Calibri" w:eastAsia="Calibri" w:hAnsi="Calibri" w:cs="Calibri"/>
                <w:color w:val="000000"/>
                <w:sz w:val="24"/>
                <w:szCs w:val="24"/>
              </w:rPr>
              <w:t>Cultural Adaptation to the External Environment</w:t>
            </w:r>
            <w:r w:rsidRPr="00440C21">
              <w:rPr>
                <w:rFonts w:ascii="Calibri" w:eastAsia="Calibri" w:hAnsi="Calibri" w:cs="Calibri"/>
                <w:color w:val="000000"/>
                <w:sz w:val="24"/>
                <w:szCs w:val="24"/>
              </w:rPr>
              <w:tab/>
            </w:r>
          </w:hyperlink>
          <w:r w:rsidRPr="00440C21">
            <w:fldChar w:fldCharType="begin"/>
          </w:r>
          <w:r w:rsidRPr="00440C21">
            <w:instrText xml:space="preserve"> PAGEREF _kt6hbu290ej \h </w:instrText>
          </w:r>
          <w:r w:rsidRPr="00440C21">
            <w:fldChar w:fldCharType="separate"/>
          </w:r>
          <w:r w:rsidRPr="00440C21">
            <w:rPr>
              <w:rFonts w:ascii="Calibri" w:eastAsia="Calibri" w:hAnsi="Calibri" w:cs="Calibri"/>
              <w:sz w:val="24"/>
              <w:szCs w:val="24"/>
            </w:rPr>
            <w:t>6</w:t>
          </w:r>
          <w:r w:rsidRPr="00440C21">
            <w:fldChar w:fldCharType="end"/>
          </w:r>
        </w:p>
        <w:p w14:paraId="061B7F24"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f3lh99b4mlb5">
            <w:r w:rsidRPr="00440C21">
              <w:rPr>
                <w:rFonts w:ascii="Calibri" w:eastAsia="Calibri" w:hAnsi="Calibri" w:cs="Calibri"/>
                <w:color w:val="000000"/>
                <w:sz w:val="24"/>
                <w:szCs w:val="24"/>
              </w:rPr>
              <w:t>Culture as a Barrier or Enabler to Effective Functioning</w:t>
            </w:r>
            <w:r w:rsidRPr="00440C21">
              <w:rPr>
                <w:rFonts w:ascii="Calibri" w:eastAsia="Calibri" w:hAnsi="Calibri" w:cs="Calibri"/>
                <w:color w:val="000000"/>
                <w:sz w:val="24"/>
                <w:szCs w:val="24"/>
              </w:rPr>
              <w:tab/>
            </w:r>
          </w:hyperlink>
          <w:r w:rsidRPr="00440C21">
            <w:fldChar w:fldCharType="begin"/>
          </w:r>
          <w:r w:rsidRPr="00440C21">
            <w:instrText xml:space="preserve"> PAGEREF _f3lh99b4mlb5 \h </w:instrText>
          </w:r>
          <w:r w:rsidRPr="00440C21">
            <w:fldChar w:fldCharType="separate"/>
          </w:r>
          <w:r w:rsidRPr="00440C21">
            <w:rPr>
              <w:rFonts w:ascii="Calibri" w:eastAsia="Calibri" w:hAnsi="Calibri" w:cs="Calibri"/>
              <w:sz w:val="24"/>
              <w:szCs w:val="24"/>
            </w:rPr>
            <w:t>8</w:t>
          </w:r>
          <w:r w:rsidRPr="00440C21">
            <w:fldChar w:fldCharType="end"/>
          </w:r>
        </w:p>
        <w:p w14:paraId="67E92A2B"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wqa54ny33wve">
            <w:r w:rsidRPr="00440C21">
              <w:rPr>
                <w:rFonts w:ascii="Calibri" w:eastAsia="Calibri" w:hAnsi="Calibri" w:cs="Calibri"/>
                <w:color w:val="000000"/>
                <w:sz w:val="24"/>
                <w:szCs w:val="24"/>
              </w:rPr>
              <w:t>Impact on Performance and Recommendations</w:t>
            </w:r>
            <w:r w:rsidRPr="00440C21">
              <w:rPr>
                <w:rFonts w:ascii="Calibri" w:eastAsia="Calibri" w:hAnsi="Calibri" w:cs="Calibri"/>
                <w:color w:val="000000"/>
                <w:sz w:val="24"/>
                <w:szCs w:val="24"/>
              </w:rPr>
              <w:tab/>
            </w:r>
          </w:hyperlink>
          <w:r w:rsidRPr="00440C21">
            <w:fldChar w:fldCharType="begin"/>
          </w:r>
          <w:r w:rsidRPr="00440C21">
            <w:instrText xml:space="preserve"> PAGEREF _wqa54ny33wve \h </w:instrText>
          </w:r>
          <w:r w:rsidRPr="00440C21">
            <w:fldChar w:fldCharType="separate"/>
          </w:r>
          <w:r w:rsidRPr="00440C21">
            <w:rPr>
              <w:rFonts w:ascii="Calibri" w:eastAsia="Calibri" w:hAnsi="Calibri" w:cs="Calibri"/>
              <w:sz w:val="24"/>
              <w:szCs w:val="24"/>
            </w:rPr>
            <w:t>9</w:t>
          </w:r>
          <w:r w:rsidRPr="00440C21">
            <w:fldChar w:fldCharType="end"/>
          </w:r>
        </w:p>
        <w:p w14:paraId="7703A642"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37y4ah5qqurv">
            <w:r w:rsidRPr="00440C21">
              <w:rPr>
                <w:rFonts w:ascii="Calibri" w:eastAsia="Calibri" w:hAnsi="Calibri" w:cs="Calibri"/>
                <w:color w:val="000000"/>
                <w:sz w:val="24"/>
                <w:szCs w:val="24"/>
              </w:rPr>
              <w:t>Conclusion</w:t>
            </w:r>
            <w:r w:rsidRPr="00440C21">
              <w:rPr>
                <w:rFonts w:ascii="Calibri" w:eastAsia="Calibri" w:hAnsi="Calibri" w:cs="Calibri"/>
                <w:color w:val="000000"/>
                <w:sz w:val="24"/>
                <w:szCs w:val="24"/>
              </w:rPr>
              <w:tab/>
            </w:r>
          </w:hyperlink>
          <w:r w:rsidRPr="00440C21">
            <w:fldChar w:fldCharType="begin"/>
          </w:r>
          <w:r w:rsidRPr="00440C21">
            <w:instrText xml:space="preserve"> PAGEREF _37y4ah5qqurv \h </w:instrText>
          </w:r>
          <w:r w:rsidRPr="00440C21">
            <w:fldChar w:fldCharType="separate"/>
          </w:r>
          <w:r w:rsidRPr="00440C21">
            <w:rPr>
              <w:rFonts w:ascii="Calibri" w:eastAsia="Calibri" w:hAnsi="Calibri" w:cs="Calibri"/>
              <w:sz w:val="24"/>
              <w:szCs w:val="24"/>
            </w:rPr>
            <w:t>11</w:t>
          </w:r>
          <w:r w:rsidRPr="00440C21">
            <w:fldChar w:fldCharType="end"/>
          </w:r>
        </w:p>
        <w:p w14:paraId="620E2EBB" w14:textId="77777777" w:rsidR="007B5817" w:rsidRPr="00440C21" w:rsidRDefault="007B5817">
          <w:pPr>
            <w:widowControl w:val="0"/>
            <w:tabs>
              <w:tab w:val="right" w:leader="dot" w:pos="9360"/>
            </w:tabs>
            <w:spacing w:before="60" w:after="200" w:line="360" w:lineRule="auto"/>
            <w:jc w:val="both"/>
            <w:rPr>
              <w:rFonts w:ascii="Calibri" w:eastAsia="Calibri" w:hAnsi="Calibri" w:cs="Calibri"/>
              <w:color w:val="000000"/>
              <w:sz w:val="24"/>
              <w:szCs w:val="24"/>
            </w:rPr>
          </w:pPr>
          <w:hyperlink w:anchor="_dtg0vxxb24n0">
            <w:r w:rsidRPr="00440C21">
              <w:rPr>
                <w:rFonts w:ascii="Calibri" w:eastAsia="Calibri" w:hAnsi="Calibri" w:cs="Calibri"/>
                <w:color w:val="000000"/>
                <w:sz w:val="24"/>
                <w:szCs w:val="24"/>
              </w:rPr>
              <w:t>References</w:t>
            </w:r>
            <w:r w:rsidRPr="00440C21">
              <w:rPr>
                <w:rFonts w:ascii="Calibri" w:eastAsia="Calibri" w:hAnsi="Calibri" w:cs="Calibri"/>
                <w:color w:val="000000"/>
                <w:sz w:val="24"/>
                <w:szCs w:val="24"/>
              </w:rPr>
              <w:tab/>
            </w:r>
          </w:hyperlink>
          <w:r w:rsidRPr="00440C21">
            <w:fldChar w:fldCharType="begin"/>
          </w:r>
          <w:r w:rsidRPr="00440C21">
            <w:instrText xml:space="preserve"> PAGEREF _dtg0vxxb24n0 \h </w:instrText>
          </w:r>
          <w:r w:rsidRPr="00440C21">
            <w:fldChar w:fldCharType="separate"/>
          </w:r>
          <w:r w:rsidRPr="00440C21">
            <w:rPr>
              <w:rFonts w:ascii="Calibri" w:eastAsia="Calibri" w:hAnsi="Calibri" w:cs="Calibri"/>
              <w:sz w:val="24"/>
              <w:szCs w:val="24"/>
            </w:rPr>
            <w:t>12</w:t>
          </w:r>
          <w:r w:rsidRPr="00440C21">
            <w:fldChar w:fldCharType="end"/>
          </w:r>
          <w:r w:rsidRPr="00440C21">
            <w:fldChar w:fldCharType="end"/>
          </w:r>
        </w:p>
      </w:sdtContent>
    </w:sdt>
    <w:p w14:paraId="5523A668" w14:textId="77777777" w:rsidR="007B5817" w:rsidRPr="00440C21" w:rsidRDefault="00A758E6">
      <w:pPr>
        <w:pStyle w:val="Heading1"/>
        <w:keepNext w:val="0"/>
        <w:keepLines w:val="0"/>
      </w:pPr>
      <w:bookmarkStart w:id="0" w:name="_d6h85xkf8w78" w:colFirst="0" w:colLast="0"/>
      <w:bookmarkEnd w:id="0"/>
      <w:r w:rsidRPr="00440C21">
        <w:br w:type="page"/>
      </w:r>
    </w:p>
    <w:p w14:paraId="53B3C1E4" w14:textId="77777777" w:rsidR="007B5817" w:rsidRPr="00440C21" w:rsidRDefault="00A758E6">
      <w:pPr>
        <w:pStyle w:val="Heading1"/>
        <w:keepNext w:val="0"/>
        <w:keepLines w:val="0"/>
      </w:pPr>
      <w:bookmarkStart w:id="1" w:name="_kjlgltw9m8rd" w:colFirst="0" w:colLast="0"/>
      <w:bookmarkEnd w:id="1"/>
      <w:r w:rsidRPr="00440C21">
        <w:t>Introduction</w:t>
      </w:r>
    </w:p>
    <w:p w14:paraId="32222710" w14:textId="77777777" w:rsidR="007B5817" w:rsidRPr="00440C21" w:rsidRDefault="00A758E6">
      <w:pPr>
        <w:spacing w:before="200" w:after="200" w:line="360" w:lineRule="auto"/>
        <w:jc w:val="both"/>
        <w:rPr>
          <w:rFonts w:ascii="Calibri" w:eastAsia="Calibri" w:hAnsi="Calibri" w:cs="Calibri"/>
          <w:color w:val="1F1F1F"/>
          <w:sz w:val="24"/>
          <w:szCs w:val="24"/>
        </w:rPr>
      </w:pPr>
      <w:r w:rsidRPr="00440C21">
        <w:rPr>
          <w:rFonts w:ascii="Calibri" w:eastAsia="Calibri" w:hAnsi="Calibri" w:cs="Calibri"/>
          <w:color w:val="1F1F1F"/>
          <w:sz w:val="24"/>
          <w:szCs w:val="24"/>
        </w:rPr>
        <w:t xml:space="preserve">Organisational culture is the invisible force yet the most powerful lifeblood of any enterprise that is the basic core which dictates the behaviour of the enterprise. Culture, as Mullins and Christy (2016) describe, is very much “how things are done around here,” and is built on shared values, beliefs, and attitudes that make up the day-to-day and impact the future of an institution. The case study in this report is on Tesco PLC, a leading multinational grocery and general merchandise retailer based in the United Kingdom. Tesco is a very complex organisation with thousands of stores across the world, with culture playing a direct role in market agility. The report examines Tesco's organisational culture in depth, highlighting its role in shaping the structure and decision-making processes, ultimately impacting the company's overall commercial performance. Using established theoretical models such as Schein's Iceberg Model and </w:t>
      </w:r>
      <w:proofErr w:type="spellStart"/>
      <w:r w:rsidRPr="00440C21">
        <w:rPr>
          <w:rFonts w:ascii="Calibri" w:eastAsia="Calibri" w:hAnsi="Calibri" w:cs="Calibri"/>
          <w:color w:val="1F1F1F"/>
          <w:sz w:val="24"/>
          <w:szCs w:val="24"/>
        </w:rPr>
        <w:t>Handy's</w:t>
      </w:r>
      <w:proofErr w:type="spellEnd"/>
      <w:r w:rsidRPr="00440C21">
        <w:rPr>
          <w:rFonts w:ascii="Calibri" w:eastAsia="Calibri" w:hAnsi="Calibri" w:cs="Calibri"/>
          <w:color w:val="1F1F1F"/>
          <w:sz w:val="24"/>
          <w:szCs w:val="24"/>
        </w:rPr>
        <w:t xml:space="preserve"> Cultural Types, the study will assess how the prevalent culture interacts with environmental pressures which are beyond the control of the organisation and the extent to which the culture itself is either an enabler or obstacle to the effective functioning of the organisation.</w:t>
      </w:r>
    </w:p>
    <w:p w14:paraId="6341657B" w14:textId="77777777" w:rsidR="007B5817" w:rsidRPr="00440C21" w:rsidRDefault="00A758E6">
      <w:pPr>
        <w:pStyle w:val="Heading1"/>
        <w:keepNext w:val="0"/>
        <w:keepLines w:val="0"/>
      </w:pPr>
      <w:bookmarkStart w:id="2" w:name="_rvsg8boh417f" w:colFirst="0" w:colLast="0"/>
      <w:bookmarkEnd w:id="2"/>
      <w:r w:rsidRPr="00440C21">
        <w:t>Influence of Culture on Structure and Decision-Making</w:t>
      </w:r>
    </w:p>
    <w:p w14:paraId="5EDF0343"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The complex link between organisational culture and structure is clearly observable in the functioning of Tesco PLC; historically and presently, the prevailing culture of the retailer has required a highly elongated and hierarchical organisational structure that has been carefully designed to ensure absolute control, standardisation and uniformity of operations across the wide range of retail formats across its massive portfolio of retail formats ranging from large hypermarkets such as Tesco Extra to neighbourhood convenience outlets such as Tesco Express (Tesco PLC, 2025). Such a structural design is a tangible direct reflection of a corporate culture that focuses more on an intriguing combination of operational predictability and risk mitigation than on unchecked local autonomy (McKinsey &amp; Company, 2020). Each staff member in each store follows strict standard operating procedures which are cascaded through from the central headquarters in Welwyn Garden City. From a structural design, the cultural expectation of strict compliance is physically manifested, and a customer's experience in London flagship store is almost the same in the branch store in Glasgow (</w:t>
      </w:r>
      <w:proofErr w:type="spellStart"/>
      <w:r w:rsidRPr="00440C21">
        <w:rPr>
          <w:rFonts w:ascii="Calibri" w:eastAsia="Calibri" w:hAnsi="Calibri" w:cs="Calibri"/>
          <w:sz w:val="24"/>
          <w:szCs w:val="24"/>
        </w:rPr>
        <w:t>Meng</w:t>
      </w:r>
      <w:proofErr w:type="spellEnd"/>
      <w:r w:rsidRPr="00440C21">
        <w:rPr>
          <w:rFonts w:ascii="Calibri" w:eastAsia="Calibri" w:hAnsi="Calibri" w:cs="Calibri"/>
          <w:sz w:val="24"/>
          <w:szCs w:val="24"/>
        </w:rPr>
        <w:t>, 2024). This high-level line of command is therefore essential for a brand to guarantee its brand consistency and economies of scale across thousands of stores, but it also naturally includes several layers of regional and middle management that are required to pass on instructions; this inevitably leads to rigid structures in highly dynamic, localised consumer markets.</w:t>
      </w:r>
    </w:p>
    <w:p w14:paraId="2C8D0A8A"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This current culture has a significant influence on the decision-making style of Tesco and it is a relatively top-down approach of a company with a high degree of centralisation for all major strategic decisions (Li and Zeng, 2024). Senior executives guard key decisions on national product ranges, over-arching marketing campaigns and complex supply chain logistics, as the overarching culture is traditionally risk averse, and could result in harm to the brand reputation or lead to a loss of notoriously thin grocery margins. A good example of this is the executive level on formulating the strategic deployment of the Aldi Price Match initiative and mandating it downwards to maintain market share from discount competitors (Tesco PLC, 2020). But over the years there has been a significant realisation that the markets need to be more agile, and a small, careful change in culture towards a degree of bottom-up decision-making at the ground level has occurred. There is a growing level of autonomy for store managers to make decisions around the micro-level of stock changes and hyper-local community engagement and investment initiatives, including funds allocation via the Tesco Community Grants programme (Tesco PLC, 2025). It is a hybrid decision-making which is a product of an ongoing cultural tug-of-war between the traditional, historic push towards a centralised and standardised decision-making process and the contemporary need for a decentralised and quick response enabled decision-making at the local level.</w:t>
      </w:r>
    </w:p>
    <w:p w14:paraId="39DA2ADF" w14:textId="77777777" w:rsidR="007B5817" w:rsidRPr="00440C21" w:rsidRDefault="00A758E6">
      <w:pPr>
        <w:spacing w:before="200" w:after="200" w:line="360" w:lineRule="auto"/>
        <w:jc w:val="both"/>
        <w:rPr>
          <w:rFonts w:ascii="Calibri" w:eastAsia="Calibri" w:hAnsi="Calibri" w:cs="Calibri"/>
          <w:color w:val="1F1F1F"/>
          <w:sz w:val="24"/>
          <w:szCs w:val="24"/>
        </w:rPr>
      </w:pPr>
      <w:r w:rsidRPr="00440C21">
        <w:rPr>
          <w:rFonts w:ascii="Calibri" w:eastAsia="Calibri" w:hAnsi="Calibri" w:cs="Calibri"/>
          <w:sz w:val="24"/>
          <w:szCs w:val="24"/>
        </w:rPr>
        <w:t>These facts and figures provide a good example of the essence of the argument that Mullins and Christy (2016) make in describing the relationship between shared beliefs and management control, work organisation, and group behaviour. The group's culture of the absolute necessity of economies of scale and uniformity of value delivery translates directly into the group's behaviour, with hundreds of thousands of diverse employees all singing the same tune across various geographies (Tesco PLC, 2025). The organisational culture is an invisible, self-regulating system of management control, and employees don't follow rules just because they are in a tall hierarchy, they follow rules because the "how things are done around here" mentality normalises strict adherence to rules and implicitly punishes anyone who deviates from the "rules" or "how things are done around here". In an era of growing globalisation and competitive pressures, the fact that Tesco is able to manage this huge workforce and successfully integrate it into a unified controlled organisation structure proves that Mullins and Christy (2016) are essentially right in their claim that organisational culture is the ultimate, inescapable blueprint for both structure design and managerial power.</w:t>
      </w:r>
    </w:p>
    <w:p w14:paraId="01AB8595" w14:textId="77777777" w:rsidR="007B5817" w:rsidRPr="00440C21" w:rsidRDefault="00A758E6">
      <w:pPr>
        <w:pStyle w:val="Heading1"/>
        <w:keepNext w:val="0"/>
        <w:keepLines w:val="0"/>
      </w:pPr>
      <w:bookmarkStart w:id="3" w:name="_zcpjbcp9eex8" w:colFirst="0" w:colLast="0"/>
      <w:bookmarkEnd w:id="3"/>
      <w:r w:rsidRPr="00440C21">
        <w:t>Cultural Analysis of Tesco</w:t>
      </w:r>
    </w:p>
    <w:p w14:paraId="2C304D11"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Edgar's (1985) Iceberg Model offers an indispensable analytical model for dissecting the manifestation of organisational culture in the day-to-day practices of Tesco, and categorises corporate culture into three levels: artefacts, espoused values, and basic underlying assumptions. Artefacts are the tangible and sensory components of the organisation, the most visible of which a consumer or new employee experience upon first joining the organisation. It can be seen at Tesco, where the company's blue, red and white branding is ubiquitous, the uniform of employees is standardised across all sub-brands, and the planograms of aisles in a Tesco Superstore are mathematically designed and optimized, as well as the deeply familiar, culturally omnipresent slogan "Every Little Helps" (Briggs, 2026; Tesco PLC, 2024). Another artefact that is very critical, technologically driven is the Tesco </w:t>
      </w:r>
      <w:proofErr w:type="spellStart"/>
      <w:r w:rsidRPr="00440C21">
        <w:rPr>
          <w:rFonts w:ascii="Calibri" w:eastAsia="Calibri" w:hAnsi="Calibri" w:cs="Calibri"/>
          <w:sz w:val="24"/>
          <w:szCs w:val="24"/>
        </w:rPr>
        <w:t>Clubcard</w:t>
      </w:r>
      <w:proofErr w:type="spellEnd"/>
      <w:r w:rsidRPr="00440C21">
        <w:rPr>
          <w:rFonts w:ascii="Calibri" w:eastAsia="Calibri" w:hAnsi="Calibri" w:cs="Calibri"/>
          <w:sz w:val="24"/>
          <w:szCs w:val="24"/>
        </w:rPr>
        <w:t xml:space="preserve"> as a physical and digital representation of their data-driven attitude to retailing (</w:t>
      </w:r>
      <w:proofErr w:type="spellStart"/>
      <w:r w:rsidRPr="00440C21">
        <w:rPr>
          <w:rFonts w:ascii="Calibri" w:eastAsia="Calibri" w:hAnsi="Calibri" w:cs="Calibri"/>
          <w:sz w:val="24"/>
          <w:szCs w:val="24"/>
        </w:rPr>
        <w:t>Yawson</w:t>
      </w:r>
      <w:proofErr w:type="spellEnd"/>
      <w:r w:rsidRPr="00440C21">
        <w:rPr>
          <w:rFonts w:ascii="Calibri" w:eastAsia="Calibri" w:hAnsi="Calibri" w:cs="Calibri"/>
          <w:sz w:val="24"/>
          <w:szCs w:val="24"/>
        </w:rPr>
        <w:t xml:space="preserve"> and </w:t>
      </w:r>
      <w:proofErr w:type="spellStart"/>
      <w:r w:rsidRPr="00440C21">
        <w:rPr>
          <w:rFonts w:ascii="Calibri" w:eastAsia="Calibri" w:hAnsi="Calibri" w:cs="Calibri"/>
          <w:sz w:val="24"/>
          <w:szCs w:val="24"/>
        </w:rPr>
        <w:t>Yamoah</w:t>
      </w:r>
      <w:proofErr w:type="spellEnd"/>
      <w:r w:rsidRPr="00440C21">
        <w:rPr>
          <w:rFonts w:ascii="Calibri" w:eastAsia="Calibri" w:hAnsi="Calibri" w:cs="Calibri"/>
          <w:sz w:val="24"/>
          <w:szCs w:val="24"/>
        </w:rPr>
        <w:t>, 2022). Under this layer of visible surface are the espoused values, which are the formal strategies, documented goals and ethical philosophies that Tesco explicitly declares to support in its annual reports and corporate governance documents. These expressed values are extremely vocal; they include environmental sustainability and corporate responsibility. For instance, Tesco has made bold and public commitments towards working towards Net Zero for its own operations by 2035, as well as a purported commitment to ‘unparalleled customer service, ethical sourcing and community support’ (Tesco, 2023). The deepest and most influential and most difficult to change of Schein's model, however, is the basic underlying assumption. These are the beliefs that affect the real behaviours of the company, but are unspoken, deeply entrenched values, more often than not superseding those that are communicated publicly. The central premise for Tesco is that being efficient, reducing supply chain costs by any means possible, and achieving volume at the other end of the spectrum are absolutely essential to survival as a company. An unstated institutionalized fact is that algorithmic data dominance and simply being a big enough market share will be the final determinants of retail success (</w:t>
      </w:r>
      <w:proofErr w:type="spellStart"/>
      <w:r w:rsidRPr="00440C21">
        <w:rPr>
          <w:rFonts w:ascii="Calibri" w:eastAsia="Calibri" w:hAnsi="Calibri" w:cs="Calibri"/>
          <w:sz w:val="24"/>
          <w:szCs w:val="24"/>
        </w:rPr>
        <w:t>Hasanul</w:t>
      </w:r>
      <w:proofErr w:type="spellEnd"/>
      <w:r w:rsidRPr="00440C21">
        <w:rPr>
          <w:rFonts w:ascii="Calibri" w:eastAsia="Calibri" w:hAnsi="Calibri" w:cs="Calibri"/>
          <w:sz w:val="24"/>
          <w:szCs w:val="24"/>
        </w:rPr>
        <w:t>, 2023).</w:t>
      </w:r>
    </w:p>
    <w:p w14:paraId="540957E6" w14:textId="77777777" w:rsidR="007B5817" w:rsidRPr="00440C21" w:rsidRDefault="00A758E6">
      <w:pPr>
        <w:spacing w:before="200" w:after="200" w:line="360" w:lineRule="auto"/>
        <w:jc w:val="both"/>
        <w:rPr>
          <w:rFonts w:ascii="Calibri" w:eastAsia="Calibri" w:hAnsi="Calibri" w:cs="Calibri"/>
          <w:color w:val="1F1F1F"/>
          <w:sz w:val="24"/>
          <w:szCs w:val="24"/>
        </w:rPr>
      </w:pPr>
      <w:r w:rsidRPr="00440C21">
        <w:rPr>
          <w:rFonts w:ascii="Calibri" w:eastAsia="Calibri" w:hAnsi="Calibri" w:cs="Calibri"/>
          <w:sz w:val="24"/>
          <w:szCs w:val="24"/>
        </w:rPr>
        <w:t>This analysis of the complex cultural layers, from the perspective of Handy (1995) Cultural Types, shows that Tesco's dominant paradigm has been, and continues to be, basically and historically a Role Culture. A Role Culture is the archetypal, textbook culture for large, extensive, highly-regulated retail organisations operating throughout the world, in which logic, rationality and well defined, strong bureaucratic structures are the first and foremost. Tesco is like a well-oiled machine in which power is extracted purely based on a person's location in the structure (</w:t>
      </w:r>
      <w:proofErr w:type="spellStart"/>
      <w:r w:rsidRPr="00440C21">
        <w:rPr>
          <w:rFonts w:ascii="Calibri" w:eastAsia="Calibri" w:hAnsi="Calibri" w:cs="Calibri"/>
          <w:sz w:val="24"/>
          <w:szCs w:val="24"/>
        </w:rPr>
        <w:t>Ullash</w:t>
      </w:r>
      <w:proofErr w:type="spellEnd"/>
      <w:r w:rsidRPr="00440C21">
        <w:rPr>
          <w:rFonts w:ascii="Calibri" w:eastAsia="Calibri" w:hAnsi="Calibri" w:cs="Calibri"/>
          <w:sz w:val="24"/>
          <w:szCs w:val="24"/>
        </w:rPr>
        <w:t xml:space="preserve">, </w:t>
      </w:r>
      <w:proofErr w:type="spellStart"/>
      <w:r w:rsidRPr="00440C21">
        <w:rPr>
          <w:rFonts w:ascii="Calibri" w:eastAsia="Calibri" w:hAnsi="Calibri" w:cs="Calibri"/>
          <w:sz w:val="24"/>
          <w:szCs w:val="24"/>
        </w:rPr>
        <w:t>Shorif</w:t>
      </w:r>
      <w:proofErr w:type="spellEnd"/>
      <w:r w:rsidRPr="00440C21">
        <w:rPr>
          <w:rFonts w:ascii="Calibri" w:eastAsia="Calibri" w:hAnsi="Calibri" w:cs="Calibri"/>
          <w:sz w:val="24"/>
          <w:szCs w:val="24"/>
        </w:rPr>
        <w:t xml:space="preserve">, 2023). This power is defined by clear job descriptions and strict procedure guidelines, but not by charisma, creativity and/or specific area of expertise. Operational evidence for this classification is overwhelming: store operations are through a set of rules which is set centrally and cannot be changed; supply chain is based on set of algorithms which control the inventory level, and no local input is allowed; staff is managed through strict quantitative performance measures. But under the existential threat of digital </w:t>
      </w:r>
      <w:proofErr w:type="spellStart"/>
      <w:r w:rsidRPr="00440C21">
        <w:rPr>
          <w:rFonts w:ascii="Calibri" w:eastAsia="Calibri" w:hAnsi="Calibri" w:cs="Calibri"/>
          <w:sz w:val="24"/>
          <w:szCs w:val="24"/>
        </w:rPr>
        <w:t>eCommerce</w:t>
      </w:r>
      <w:proofErr w:type="spellEnd"/>
      <w:r w:rsidRPr="00440C21">
        <w:rPr>
          <w:rFonts w:ascii="Calibri" w:eastAsia="Calibri" w:hAnsi="Calibri" w:cs="Calibri"/>
          <w:sz w:val="24"/>
          <w:szCs w:val="24"/>
        </w:rPr>
        <w:t xml:space="preserve"> and evolving and rapidly changing consumer-tailored behaviours in the aftermath of the pandemic, Tesco shows clear signs of actively seeking to foster pockets of what is called a Task Culture, a much more dynamic, team-based culture that is about solving specific and complex problems. For example, in technical and developmental areas such as Tesco Technology and the digital logistics operations, cross-functional teams are established to quickly develop and test new delivery solutions, leading to agile and market-responsive achievements like the Whoosh rapid delivery service (Tesco PLC, 2023). Although these are all small, one-off, highly specific changes towards a more agile project culture (Task Culture) in the digital world, the overall historical pull of the broader organisation is firmly entrenched in the predictability, stability, and hierarchical control afforded by a traditional culture (Role Culture).</w:t>
      </w:r>
    </w:p>
    <w:p w14:paraId="057DF16B" w14:textId="77777777" w:rsidR="007B5817" w:rsidRPr="00440C21" w:rsidRDefault="00A758E6">
      <w:pPr>
        <w:pStyle w:val="Heading1"/>
        <w:keepNext w:val="0"/>
        <w:keepLines w:val="0"/>
      </w:pPr>
      <w:bookmarkStart w:id="4" w:name="_kt6hbu290ej" w:colFirst="0" w:colLast="0"/>
      <w:bookmarkEnd w:id="4"/>
      <w:r w:rsidRPr="00440C21">
        <w:t>Cultural Adaptation to the External Environment</w:t>
      </w:r>
    </w:p>
    <w:p w14:paraId="4BA347B3" w14:textId="77777777" w:rsidR="007B5817" w:rsidRPr="00440C21" w:rsidRDefault="00A758E6">
      <w:pPr>
        <w:spacing w:before="200" w:after="200" w:line="360" w:lineRule="auto"/>
        <w:jc w:val="both"/>
        <w:rPr>
          <w:rFonts w:ascii="Calibri" w:eastAsia="Calibri" w:hAnsi="Calibri" w:cs="Calibri"/>
          <w:color w:val="1F1F1F"/>
          <w:sz w:val="24"/>
          <w:szCs w:val="24"/>
        </w:rPr>
      </w:pPr>
      <w:r w:rsidRPr="00440C21">
        <w:rPr>
          <w:rFonts w:ascii="Calibri" w:eastAsia="Calibri" w:hAnsi="Calibri" w:cs="Calibri"/>
          <w:sz w:val="24"/>
          <w:szCs w:val="24"/>
        </w:rPr>
        <w:t>A PESTLE analysis looks at the macro-environmental forces affecting an organisation's strategic decisions and business continuity in uncertain markets (</w:t>
      </w:r>
      <w:proofErr w:type="spellStart"/>
      <w:r w:rsidRPr="00440C21">
        <w:rPr>
          <w:rFonts w:ascii="Calibri" w:eastAsia="Calibri" w:hAnsi="Calibri" w:cs="Calibri"/>
          <w:sz w:val="24"/>
          <w:szCs w:val="24"/>
        </w:rPr>
        <w:t>Eierle</w:t>
      </w:r>
      <w:proofErr w:type="spellEnd"/>
      <w:r w:rsidRPr="00440C21">
        <w:rPr>
          <w:rFonts w:ascii="Calibri" w:eastAsia="Calibri" w:hAnsi="Calibri" w:cs="Calibri"/>
          <w:sz w:val="24"/>
          <w:szCs w:val="24"/>
        </w:rPr>
        <w:t xml:space="preserve"> et al., 2022).</w:t>
      </w:r>
    </w:p>
    <w:tbl>
      <w:tblPr>
        <w:tblStyle w:val="a"/>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72"/>
        <w:gridCol w:w="7488"/>
      </w:tblGrid>
      <w:tr w:rsidR="007B5817" w:rsidRPr="00440C21" w14:paraId="39774DE1"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52026FD9"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Factor</w:t>
            </w:r>
          </w:p>
        </w:tc>
        <w:tc>
          <w:tcPr>
            <w:tcW w:w="7488"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4289BF29"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Description of External Pressure on Tesco</w:t>
            </w:r>
          </w:p>
        </w:tc>
      </w:tr>
      <w:tr w:rsidR="007B5817" w:rsidRPr="00440C21" w14:paraId="2DD1FE8A"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30F37D3E"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Political</w:t>
            </w:r>
          </w:p>
        </w:tc>
        <w:tc>
          <w:tcPr>
            <w:tcW w:w="7488" w:type="dxa"/>
            <w:tcBorders>
              <w:top w:val="single" w:sz="8" w:space="0" w:color="B7B7B7"/>
              <w:left w:val="single" w:sz="8" w:space="0" w:color="B7B7B7"/>
              <w:bottom w:val="single" w:sz="8" w:space="0" w:color="B7B7B7"/>
              <w:right w:val="single" w:sz="8" w:space="0" w:color="B7B7B7"/>
            </w:tcBorders>
            <w:tcMar>
              <w:top w:w="120" w:type="dxa"/>
              <w:left w:w="180" w:type="dxa"/>
              <w:bottom w:w="120" w:type="dxa"/>
              <w:right w:w="180" w:type="dxa"/>
            </w:tcMar>
          </w:tcPr>
          <w:p w14:paraId="08187876" w14:textId="77777777" w:rsidR="007B5817" w:rsidRPr="00440C21" w:rsidRDefault="00A758E6">
            <w:pPr>
              <w:spacing w:line="360" w:lineRule="auto"/>
              <w:jc w:val="both"/>
              <w:rPr>
                <w:rFonts w:ascii="Calibri" w:eastAsia="Calibri" w:hAnsi="Calibri" w:cs="Calibri"/>
                <w:sz w:val="24"/>
                <w:szCs w:val="24"/>
              </w:rPr>
            </w:pPr>
            <w:r w:rsidRPr="00440C21">
              <w:rPr>
                <w:rFonts w:ascii="Calibri" w:eastAsia="Calibri" w:hAnsi="Calibri" w:cs="Calibri"/>
                <w:sz w:val="24"/>
                <w:szCs w:val="24"/>
              </w:rPr>
              <w:t>Post-</w:t>
            </w:r>
            <w:proofErr w:type="spellStart"/>
            <w:r w:rsidRPr="00440C21">
              <w:rPr>
                <w:rFonts w:ascii="Calibri" w:eastAsia="Calibri" w:hAnsi="Calibri" w:cs="Calibri"/>
                <w:sz w:val="24"/>
                <w:szCs w:val="24"/>
              </w:rPr>
              <w:t>Brexit</w:t>
            </w:r>
            <w:proofErr w:type="spellEnd"/>
            <w:r w:rsidRPr="00440C21">
              <w:rPr>
                <w:rFonts w:ascii="Calibri" w:eastAsia="Calibri" w:hAnsi="Calibri" w:cs="Calibri"/>
                <w:sz w:val="24"/>
                <w:szCs w:val="24"/>
              </w:rPr>
              <w:t xml:space="preserve"> has forced a cultural shift towards resilience in the domestic supply chain, with regulations and tariffs in cross-border trade and agricultural imports changing how procurement is done (</w:t>
            </w:r>
            <w:proofErr w:type="spellStart"/>
            <w:r w:rsidRPr="00440C21">
              <w:rPr>
                <w:rFonts w:ascii="Calibri" w:eastAsia="Calibri" w:hAnsi="Calibri" w:cs="Calibri"/>
                <w:sz w:val="24"/>
                <w:szCs w:val="24"/>
              </w:rPr>
              <w:t>Fawzy</w:t>
            </w:r>
            <w:proofErr w:type="spellEnd"/>
            <w:r w:rsidRPr="00440C21">
              <w:rPr>
                <w:rFonts w:ascii="Calibri" w:eastAsia="Calibri" w:hAnsi="Calibri" w:cs="Calibri"/>
                <w:sz w:val="24"/>
                <w:szCs w:val="24"/>
              </w:rPr>
              <w:t>, 2024).</w:t>
            </w:r>
          </w:p>
        </w:tc>
      </w:tr>
      <w:tr w:rsidR="007B5817" w:rsidRPr="00440C21" w14:paraId="76156ABF"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6C1ECC65"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Economic</w:t>
            </w:r>
          </w:p>
        </w:tc>
        <w:tc>
          <w:tcPr>
            <w:tcW w:w="7488" w:type="dxa"/>
            <w:tcBorders>
              <w:top w:val="single" w:sz="8" w:space="0" w:color="B7B7B7"/>
              <w:left w:val="single" w:sz="8" w:space="0" w:color="B7B7B7"/>
              <w:bottom w:val="single" w:sz="8" w:space="0" w:color="B7B7B7"/>
              <w:right w:val="single" w:sz="8" w:space="0" w:color="B7B7B7"/>
            </w:tcBorders>
            <w:tcMar>
              <w:top w:w="120" w:type="dxa"/>
              <w:left w:w="180" w:type="dxa"/>
              <w:bottom w:w="120" w:type="dxa"/>
              <w:right w:w="180" w:type="dxa"/>
            </w:tcMar>
          </w:tcPr>
          <w:p w14:paraId="74943DD8" w14:textId="77777777" w:rsidR="007B5817" w:rsidRPr="00440C21" w:rsidRDefault="00A758E6">
            <w:pPr>
              <w:spacing w:line="360" w:lineRule="auto"/>
              <w:jc w:val="both"/>
              <w:rPr>
                <w:rFonts w:ascii="Calibri" w:eastAsia="Calibri" w:hAnsi="Calibri" w:cs="Calibri"/>
                <w:color w:val="1F1F1F"/>
                <w:sz w:val="24"/>
                <w:szCs w:val="24"/>
              </w:rPr>
            </w:pPr>
            <w:r w:rsidRPr="00440C21">
              <w:rPr>
                <w:rFonts w:ascii="Calibri" w:eastAsia="Calibri" w:hAnsi="Calibri" w:cs="Calibri"/>
                <w:sz w:val="24"/>
                <w:szCs w:val="24"/>
              </w:rPr>
              <w:t xml:space="preserve">As a result of the cost-of-living crisis in the UK, food price inflation reached a peak of 19.1% in April 2023, with Tesco taking extreme value retention to a cultural level, for example with its Aldi Price Match (ET </w:t>
            </w:r>
            <w:proofErr w:type="spellStart"/>
            <w:r w:rsidRPr="00440C21">
              <w:rPr>
                <w:rFonts w:ascii="Calibri" w:eastAsia="Calibri" w:hAnsi="Calibri" w:cs="Calibri"/>
                <w:sz w:val="24"/>
                <w:szCs w:val="24"/>
              </w:rPr>
              <w:t>BrandEquity</w:t>
            </w:r>
            <w:proofErr w:type="spellEnd"/>
            <w:r w:rsidRPr="00440C21">
              <w:rPr>
                <w:rFonts w:ascii="Calibri" w:eastAsia="Calibri" w:hAnsi="Calibri" w:cs="Calibri"/>
                <w:sz w:val="24"/>
                <w:szCs w:val="24"/>
              </w:rPr>
              <w:t>, 2023).</w:t>
            </w:r>
          </w:p>
        </w:tc>
      </w:tr>
      <w:tr w:rsidR="007B5817" w:rsidRPr="00440C21" w14:paraId="4E939D74"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2EAD1527"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Sociological</w:t>
            </w:r>
          </w:p>
        </w:tc>
        <w:tc>
          <w:tcPr>
            <w:tcW w:w="7488" w:type="dxa"/>
            <w:tcBorders>
              <w:top w:val="single" w:sz="8" w:space="0" w:color="B7B7B7"/>
              <w:left w:val="single" w:sz="8" w:space="0" w:color="B7B7B7"/>
              <w:bottom w:val="single" w:sz="8" w:space="0" w:color="B7B7B7"/>
              <w:right w:val="single" w:sz="8" w:space="0" w:color="B7B7B7"/>
            </w:tcBorders>
            <w:tcMar>
              <w:top w:w="120" w:type="dxa"/>
              <w:left w:w="180" w:type="dxa"/>
              <w:bottom w:w="120" w:type="dxa"/>
              <w:right w:w="180" w:type="dxa"/>
            </w:tcMar>
          </w:tcPr>
          <w:p w14:paraId="41114512" w14:textId="77777777" w:rsidR="007B5817" w:rsidRPr="00440C21" w:rsidRDefault="00A758E6">
            <w:pPr>
              <w:spacing w:line="360" w:lineRule="auto"/>
              <w:jc w:val="both"/>
              <w:rPr>
                <w:rFonts w:ascii="Calibri" w:eastAsia="Calibri" w:hAnsi="Calibri" w:cs="Calibri"/>
                <w:sz w:val="24"/>
                <w:szCs w:val="24"/>
              </w:rPr>
            </w:pPr>
            <w:r w:rsidRPr="00440C21">
              <w:rPr>
                <w:rFonts w:ascii="Calibri" w:eastAsia="Calibri" w:hAnsi="Calibri" w:cs="Calibri"/>
                <w:sz w:val="24"/>
                <w:szCs w:val="24"/>
              </w:rPr>
              <w:t>The fast-paced transition in society towards health and ethical consumption has prompted Tesco to grow its exclusive Plant Chef vegan brand, which has been brought about by the changing demographics of consumer dietary patterns (Tesco Plc, 2026).</w:t>
            </w:r>
          </w:p>
        </w:tc>
      </w:tr>
      <w:tr w:rsidR="007B5817" w:rsidRPr="00440C21" w14:paraId="784266B2"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100C43C9"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Technological</w:t>
            </w:r>
          </w:p>
        </w:tc>
        <w:tc>
          <w:tcPr>
            <w:tcW w:w="7488" w:type="dxa"/>
            <w:tcBorders>
              <w:top w:val="single" w:sz="8" w:space="0" w:color="B7B7B7"/>
              <w:left w:val="single" w:sz="8" w:space="0" w:color="B7B7B7"/>
              <w:bottom w:val="single" w:sz="8" w:space="0" w:color="B7B7B7"/>
              <w:right w:val="single" w:sz="8" w:space="0" w:color="B7B7B7"/>
            </w:tcBorders>
            <w:tcMar>
              <w:top w:w="120" w:type="dxa"/>
              <w:left w:w="180" w:type="dxa"/>
              <w:bottom w:w="120" w:type="dxa"/>
              <w:right w:w="180" w:type="dxa"/>
            </w:tcMar>
          </w:tcPr>
          <w:p w14:paraId="419124ED" w14:textId="77777777" w:rsidR="007B5817" w:rsidRPr="00440C21" w:rsidRDefault="00A758E6">
            <w:pPr>
              <w:spacing w:line="360" w:lineRule="auto"/>
              <w:jc w:val="both"/>
              <w:rPr>
                <w:rFonts w:ascii="Calibri" w:eastAsia="Calibri" w:hAnsi="Calibri" w:cs="Calibri"/>
                <w:sz w:val="24"/>
                <w:szCs w:val="24"/>
              </w:rPr>
            </w:pPr>
            <w:r w:rsidRPr="00440C21">
              <w:rPr>
                <w:rFonts w:ascii="Calibri" w:eastAsia="Calibri" w:hAnsi="Calibri" w:cs="Calibri"/>
                <w:sz w:val="24"/>
                <w:szCs w:val="24"/>
              </w:rPr>
              <w:t>Tesco has been able to use its huge online platform to capture the market share by using analytics to analyse the food purchased online, more than 420 million items a year, in areas such as London alone (Aiello et al., 2020).</w:t>
            </w:r>
          </w:p>
        </w:tc>
      </w:tr>
      <w:tr w:rsidR="007B5817" w:rsidRPr="00440C21" w14:paraId="5295F6DF"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266AA943"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Legal</w:t>
            </w:r>
          </w:p>
        </w:tc>
        <w:tc>
          <w:tcPr>
            <w:tcW w:w="7488" w:type="dxa"/>
            <w:tcBorders>
              <w:top w:val="single" w:sz="8" w:space="0" w:color="B7B7B7"/>
              <w:left w:val="single" w:sz="8" w:space="0" w:color="B7B7B7"/>
              <w:bottom w:val="single" w:sz="8" w:space="0" w:color="B7B7B7"/>
              <w:right w:val="single" w:sz="8" w:space="0" w:color="B7B7B7"/>
            </w:tcBorders>
            <w:tcMar>
              <w:top w:w="120" w:type="dxa"/>
              <w:left w:w="180" w:type="dxa"/>
              <w:bottom w:w="120" w:type="dxa"/>
              <w:right w:w="180" w:type="dxa"/>
            </w:tcMar>
          </w:tcPr>
          <w:p w14:paraId="64EC26B6" w14:textId="77777777" w:rsidR="007B5817" w:rsidRPr="00440C21" w:rsidRDefault="00A758E6">
            <w:pPr>
              <w:spacing w:line="360" w:lineRule="auto"/>
              <w:jc w:val="both"/>
              <w:rPr>
                <w:rFonts w:ascii="Calibri" w:eastAsia="Calibri" w:hAnsi="Calibri" w:cs="Calibri"/>
                <w:color w:val="1F1F1F"/>
                <w:sz w:val="24"/>
                <w:szCs w:val="24"/>
              </w:rPr>
            </w:pPr>
            <w:r w:rsidRPr="00440C21">
              <w:rPr>
                <w:rFonts w:ascii="Calibri" w:eastAsia="Calibri" w:hAnsi="Calibri" w:cs="Calibri"/>
                <w:sz w:val="24"/>
                <w:szCs w:val="24"/>
              </w:rPr>
              <w:t xml:space="preserve">Given the strict standards of data privacy legislation, such as GDPR in Europe, there are some strict regulations on how the company's data-centric culture handles the information of its 20 million active </w:t>
            </w:r>
            <w:proofErr w:type="spellStart"/>
            <w:r w:rsidRPr="00440C21">
              <w:rPr>
                <w:rFonts w:ascii="Calibri" w:eastAsia="Calibri" w:hAnsi="Calibri" w:cs="Calibri"/>
                <w:sz w:val="24"/>
                <w:szCs w:val="24"/>
              </w:rPr>
              <w:t>Clubcard</w:t>
            </w:r>
            <w:proofErr w:type="spellEnd"/>
            <w:r w:rsidRPr="00440C21">
              <w:rPr>
                <w:rFonts w:ascii="Calibri" w:eastAsia="Calibri" w:hAnsi="Calibri" w:cs="Calibri"/>
                <w:sz w:val="24"/>
                <w:szCs w:val="24"/>
              </w:rPr>
              <w:t xml:space="preserve"> members (Wolford, 2025).</w:t>
            </w:r>
          </w:p>
        </w:tc>
      </w:tr>
      <w:tr w:rsidR="007B5817" w:rsidRPr="00440C21" w14:paraId="3A6A9184" w14:textId="77777777">
        <w:trPr>
          <w:trHeight w:val="144"/>
          <w:jc w:val="center"/>
        </w:trPr>
        <w:tc>
          <w:tcPr>
            <w:tcW w:w="1872" w:type="dxa"/>
            <w:tcBorders>
              <w:top w:val="single" w:sz="8" w:space="0" w:color="B7B7B7"/>
              <w:left w:val="single" w:sz="8" w:space="0" w:color="B7B7B7"/>
              <w:bottom w:val="single" w:sz="8" w:space="0" w:color="B7B7B7"/>
              <w:right w:val="single" w:sz="8" w:space="0" w:color="B7B7B7"/>
            </w:tcBorders>
            <w:shd w:val="clear" w:color="auto" w:fill="D9D9D9"/>
            <w:tcMar>
              <w:top w:w="120" w:type="dxa"/>
              <w:left w:w="180" w:type="dxa"/>
              <w:bottom w:w="120" w:type="dxa"/>
              <w:right w:w="180" w:type="dxa"/>
            </w:tcMar>
          </w:tcPr>
          <w:p w14:paraId="5E2CB249" w14:textId="77777777" w:rsidR="007B5817" w:rsidRPr="00440C21" w:rsidRDefault="00A758E6">
            <w:pPr>
              <w:spacing w:line="360" w:lineRule="auto"/>
              <w:jc w:val="center"/>
              <w:rPr>
                <w:rFonts w:ascii="Calibri" w:eastAsia="Calibri" w:hAnsi="Calibri" w:cs="Calibri"/>
                <w:color w:val="1F1F1F"/>
                <w:sz w:val="24"/>
                <w:szCs w:val="24"/>
              </w:rPr>
            </w:pPr>
            <w:r w:rsidRPr="00440C21">
              <w:rPr>
                <w:rFonts w:ascii="Calibri" w:eastAsia="Calibri" w:hAnsi="Calibri" w:cs="Calibri"/>
                <w:b/>
                <w:bCs/>
                <w:color w:val="1F1F1F"/>
                <w:sz w:val="24"/>
                <w:szCs w:val="24"/>
              </w:rPr>
              <w:t>Environmental</w:t>
            </w:r>
          </w:p>
        </w:tc>
        <w:tc>
          <w:tcPr>
            <w:tcW w:w="7488" w:type="dxa"/>
            <w:tcBorders>
              <w:top w:val="single" w:sz="8" w:space="0" w:color="B7B7B7"/>
              <w:left w:val="single" w:sz="8" w:space="0" w:color="B7B7B7"/>
              <w:bottom w:val="single" w:sz="8" w:space="0" w:color="B7B7B7"/>
              <w:right w:val="single" w:sz="8" w:space="0" w:color="B7B7B7"/>
            </w:tcBorders>
            <w:tcMar>
              <w:top w:w="120" w:type="dxa"/>
              <w:left w:w="180" w:type="dxa"/>
              <w:bottom w:w="120" w:type="dxa"/>
              <w:right w:w="180" w:type="dxa"/>
            </w:tcMar>
          </w:tcPr>
          <w:p w14:paraId="73C07C39" w14:textId="77777777" w:rsidR="007B5817" w:rsidRPr="00440C21" w:rsidRDefault="00A758E6">
            <w:pPr>
              <w:spacing w:line="360" w:lineRule="auto"/>
              <w:jc w:val="both"/>
              <w:rPr>
                <w:rFonts w:ascii="Calibri" w:eastAsia="Calibri" w:hAnsi="Calibri" w:cs="Calibri"/>
                <w:color w:val="1F1F1F"/>
                <w:sz w:val="24"/>
                <w:szCs w:val="24"/>
              </w:rPr>
            </w:pPr>
            <w:r w:rsidRPr="00440C21">
              <w:rPr>
                <w:rFonts w:ascii="Calibri" w:eastAsia="Calibri" w:hAnsi="Calibri" w:cs="Calibri"/>
                <w:color w:val="1F1F1F"/>
                <w:sz w:val="24"/>
                <w:szCs w:val="24"/>
              </w:rPr>
              <w:t>Under strong public pressure, Tesco has embedded environmental targets in its structure, issuing Sustainability-Linked Bonds (SLBs) directly linked to a massive 60% reduction in greenhouse gas emissions (</w:t>
            </w:r>
            <w:proofErr w:type="spellStart"/>
            <w:r w:rsidRPr="00440C21">
              <w:rPr>
                <w:rFonts w:ascii="Calibri" w:eastAsia="Calibri" w:hAnsi="Calibri" w:cs="Calibri"/>
                <w:color w:val="1F1F1F"/>
                <w:sz w:val="24"/>
                <w:szCs w:val="24"/>
              </w:rPr>
              <w:t>Liberadzki</w:t>
            </w:r>
            <w:proofErr w:type="spellEnd"/>
            <w:r w:rsidRPr="00440C21">
              <w:rPr>
                <w:rFonts w:ascii="Calibri" w:eastAsia="Calibri" w:hAnsi="Calibri" w:cs="Calibri"/>
                <w:color w:val="1F1F1F"/>
                <w:sz w:val="24"/>
                <w:szCs w:val="24"/>
              </w:rPr>
              <w:t xml:space="preserve">, </w:t>
            </w:r>
            <w:proofErr w:type="spellStart"/>
            <w:r w:rsidRPr="00440C21">
              <w:rPr>
                <w:rFonts w:ascii="Calibri" w:eastAsia="Calibri" w:hAnsi="Calibri" w:cs="Calibri"/>
                <w:color w:val="1F1F1F"/>
                <w:sz w:val="24"/>
                <w:szCs w:val="24"/>
              </w:rPr>
              <w:t>Jaworski</w:t>
            </w:r>
            <w:proofErr w:type="spellEnd"/>
            <w:r w:rsidRPr="00440C21">
              <w:rPr>
                <w:rFonts w:ascii="Calibri" w:eastAsia="Calibri" w:hAnsi="Calibri" w:cs="Calibri"/>
                <w:color w:val="1F1F1F"/>
                <w:sz w:val="24"/>
                <w:szCs w:val="24"/>
              </w:rPr>
              <w:t xml:space="preserve"> and </w:t>
            </w:r>
            <w:proofErr w:type="spellStart"/>
            <w:r w:rsidRPr="00440C21">
              <w:rPr>
                <w:rFonts w:ascii="Calibri" w:eastAsia="Calibri" w:hAnsi="Calibri" w:cs="Calibri"/>
                <w:color w:val="1F1F1F"/>
                <w:sz w:val="24"/>
                <w:szCs w:val="24"/>
              </w:rPr>
              <w:t>Liberadzki</w:t>
            </w:r>
            <w:proofErr w:type="spellEnd"/>
            <w:r w:rsidRPr="00440C21">
              <w:rPr>
                <w:rFonts w:ascii="Calibri" w:eastAsia="Calibri" w:hAnsi="Calibri" w:cs="Calibri"/>
                <w:color w:val="1F1F1F"/>
                <w:sz w:val="24"/>
                <w:szCs w:val="24"/>
              </w:rPr>
              <w:t>, 2021).</w:t>
            </w:r>
          </w:p>
        </w:tc>
      </w:tr>
    </w:tbl>
    <w:p w14:paraId="255D43B4" w14:textId="77777777" w:rsidR="007B5817" w:rsidRPr="00440C21" w:rsidRDefault="00A758E6">
      <w:pPr>
        <w:spacing w:before="200" w:after="200" w:line="360" w:lineRule="auto"/>
        <w:jc w:val="center"/>
        <w:rPr>
          <w:rFonts w:ascii="Calibri" w:eastAsia="Calibri" w:hAnsi="Calibri" w:cs="Calibri"/>
          <w:b/>
          <w:bCs/>
          <w:color w:val="1F1F1F"/>
          <w:sz w:val="24"/>
          <w:szCs w:val="24"/>
        </w:rPr>
      </w:pPr>
      <w:r w:rsidRPr="00440C21">
        <w:rPr>
          <w:rFonts w:ascii="Calibri" w:eastAsia="Calibri" w:hAnsi="Calibri" w:cs="Calibri"/>
          <w:b/>
          <w:bCs/>
          <w:color w:val="1F1F1F"/>
          <w:sz w:val="24"/>
          <w:szCs w:val="24"/>
        </w:rPr>
        <w:t>Table 1: PESTLE Analysis</w:t>
      </w:r>
    </w:p>
    <w:p w14:paraId="05FB2690" w14:textId="77777777" w:rsidR="007B5817" w:rsidRPr="00440C21" w:rsidRDefault="00A758E6">
      <w:pPr>
        <w:spacing w:before="200" w:after="200" w:line="360" w:lineRule="auto"/>
        <w:jc w:val="center"/>
        <w:rPr>
          <w:rFonts w:ascii="Calibri" w:eastAsia="Calibri" w:hAnsi="Calibri" w:cs="Calibri"/>
          <w:color w:val="1F1F1F"/>
          <w:sz w:val="24"/>
          <w:szCs w:val="24"/>
        </w:rPr>
      </w:pPr>
      <w:r w:rsidRPr="00440C21">
        <w:rPr>
          <w:rFonts w:ascii="Calibri" w:eastAsia="Calibri" w:hAnsi="Calibri" w:cs="Calibri"/>
          <w:color w:val="1F1F1F"/>
          <w:sz w:val="24"/>
          <w:szCs w:val="24"/>
        </w:rPr>
        <w:t>(Source: Learner)</w:t>
      </w:r>
    </w:p>
    <w:p w14:paraId="0F031172"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creatively and proactively utilizes its well-rooted "customer-first" mentality to deal with these external environment influences, to survive and adapt. The gigantic organisation continuously communicates and enforces its core espoused value: 'Every Little Helps', meaning it needs to aggressively protect its consumers from the brunt of hyperinflation (</w:t>
      </w:r>
      <w:proofErr w:type="spellStart"/>
      <w:r w:rsidRPr="00440C21">
        <w:rPr>
          <w:rFonts w:ascii="Calibri" w:eastAsia="Calibri" w:hAnsi="Calibri" w:cs="Calibri"/>
          <w:sz w:val="24"/>
          <w:szCs w:val="24"/>
        </w:rPr>
        <w:t>Prabhakar</w:t>
      </w:r>
      <w:proofErr w:type="spellEnd"/>
      <w:r w:rsidRPr="00440C21">
        <w:rPr>
          <w:rFonts w:ascii="Calibri" w:eastAsia="Calibri" w:hAnsi="Calibri" w:cs="Calibri"/>
          <w:sz w:val="24"/>
          <w:szCs w:val="24"/>
        </w:rPr>
        <w:t xml:space="preserve"> and Gilmour, 2024). This cultural leverage is put into full effect with very visible retail projects such as the extensively marketed exclusive </w:t>
      </w:r>
      <w:proofErr w:type="spellStart"/>
      <w:r w:rsidRPr="00440C21">
        <w:rPr>
          <w:rFonts w:ascii="Calibri" w:eastAsia="Calibri" w:hAnsi="Calibri" w:cs="Calibri"/>
          <w:sz w:val="24"/>
          <w:szCs w:val="24"/>
        </w:rPr>
        <w:t>Clubcard</w:t>
      </w:r>
      <w:proofErr w:type="spellEnd"/>
      <w:r w:rsidRPr="00440C21">
        <w:rPr>
          <w:rFonts w:ascii="Calibri" w:eastAsia="Calibri" w:hAnsi="Calibri" w:cs="Calibri"/>
          <w:sz w:val="24"/>
          <w:szCs w:val="24"/>
        </w:rPr>
        <w:t xml:space="preserve"> Prices. Moreover, the culture of "metrics and data" is something that had been successfully exploited to speedily and massively transform the culture in the wake of technological changes. The Tesco </w:t>
      </w:r>
      <w:proofErr w:type="spellStart"/>
      <w:r w:rsidRPr="00440C21">
        <w:rPr>
          <w:rFonts w:ascii="Calibri" w:eastAsia="Calibri" w:hAnsi="Calibri" w:cs="Calibri"/>
          <w:sz w:val="24"/>
          <w:szCs w:val="24"/>
        </w:rPr>
        <w:t>Clubcard</w:t>
      </w:r>
      <w:proofErr w:type="spellEnd"/>
      <w:r w:rsidRPr="00440C21">
        <w:rPr>
          <w:rFonts w:ascii="Calibri" w:eastAsia="Calibri" w:hAnsi="Calibri" w:cs="Calibri"/>
          <w:sz w:val="24"/>
          <w:szCs w:val="24"/>
        </w:rPr>
        <w:t xml:space="preserve"> is more than just another loyalty card; it is the cultural heartbeat of their contemporary adaptation, serving as a tool for Tesco to leverage granular consumer data to supercharge their personalised promotions, streamline extensive supply chains, and effortlessly shift their existing consumer base to the new, fiercely competitive grocery delivery online marketplace (Clark, 2026).</w:t>
      </w:r>
    </w:p>
    <w:p w14:paraId="03C0FF8F" w14:textId="77777777" w:rsidR="007B5817" w:rsidRPr="00440C21" w:rsidRDefault="00A758E6">
      <w:pPr>
        <w:spacing w:before="200" w:after="200" w:line="360" w:lineRule="auto"/>
        <w:jc w:val="both"/>
        <w:rPr>
          <w:rFonts w:ascii="Calibri" w:eastAsia="Calibri" w:hAnsi="Calibri" w:cs="Calibri"/>
          <w:b/>
          <w:bCs/>
          <w:i/>
          <w:iCs/>
          <w:color w:val="1F1F1F"/>
          <w:sz w:val="24"/>
          <w:szCs w:val="24"/>
        </w:rPr>
      </w:pPr>
      <w:r w:rsidRPr="00440C21">
        <w:rPr>
          <w:rFonts w:ascii="Calibri" w:eastAsia="Calibri" w:hAnsi="Calibri" w:cs="Calibri"/>
          <w:sz w:val="24"/>
          <w:szCs w:val="24"/>
        </w:rPr>
        <w:t>But examining Tesco's real agility, there are a number of structural weaknesses, directly related to culture. The culture turns and pivots data very well, but is historically slow to physically turn/pivot. Tesco's highly bureaucratic structure can limit localised adaptation and can be a significant barrier when it comes to fast adaptation to the new entrants like hard discount retailers Aldi and Lidl, which are very aggressive, relentless and highly disruptive. The German discounters are lean, agile and culturally agile, while Tesco's approach of standard operating procedures, which are complex and centralised, sometimes results in a negative competitive response time lag (</w:t>
      </w:r>
      <w:proofErr w:type="spellStart"/>
      <w:r w:rsidRPr="00440C21">
        <w:rPr>
          <w:rFonts w:ascii="Calibri" w:eastAsia="Calibri" w:hAnsi="Calibri" w:cs="Calibri"/>
          <w:sz w:val="24"/>
          <w:szCs w:val="24"/>
        </w:rPr>
        <w:t>Schnurrenberger</w:t>
      </w:r>
      <w:proofErr w:type="spellEnd"/>
      <w:r w:rsidRPr="00440C21">
        <w:rPr>
          <w:rFonts w:ascii="Calibri" w:eastAsia="Calibri" w:hAnsi="Calibri" w:cs="Calibri"/>
          <w:sz w:val="24"/>
          <w:szCs w:val="24"/>
        </w:rPr>
        <w:t>, 2026). So while Tesco's culture gives it the scale and data systems it needed to weather the huge storm of the recession, it is also very rigid and so will have to work hard to avoid the bureaucratic inertia that would otherwise get in the way of its agility to meet the needs of a fast-changing market.</w:t>
      </w:r>
    </w:p>
    <w:p w14:paraId="1E18CCD2" w14:textId="77777777" w:rsidR="007B5817" w:rsidRPr="00440C21" w:rsidRDefault="00A758E6">
      <w:pPr>
        <w:pStyle w:val="Heading1"/>
        <w:keepNext w:val="0"/>
        <w:keepLines w:val="0"/>
      </w:pPr>
      <w:bookmarkStart w:id="5" w:name="_f3lh99b4mlb5" w:colFirst="0" w:colLast="0"/>
      <w:bookmarkEnd w:id="5"/>
      <w:r w:rsidRPr="00440C21">
        <w:t>Culture as a Barrier or Enabler to Effective Functioning</w:t>
      </w:r>
    </w:p>
    <w:p w14:paraId="38764CC9"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A strong organisational culture is a powerful ally that supports and enhances effective organisational functioning when used in the right way and for the right purpose. Tesco's culture is embedded and is a strong enabler when working toward clear strategic goals (Fu, 2024). The enterprise is so huge and unprecedented that, without a strict, uniform and highly process-oriented Role Culture, chaos in the operation would be inevitable. The culture of standardisation serves as a protection mechanism to create a high level of consistency and reliability in its customer experience, across its extensive, </w:t>
      </w:r>
      <w:proofErr w:type="spellStart"/>
      <w:r w:rsidRPr="00440C21">
        <w:rPr>
          <w:rFonts w:ascii="Calibri" w:eastAsia="Calibri" w:hAnsi="Calibri" w:cs="Calibri"/>
          <w:sz w:val="24"/>
          <w:szCs w:val="24"/>
        </w:rPr>
        <w:t>multibrand</w:t>
      </w:r>
      <w:proofErr w:type="spellEnd"/>
      <w:r w:rsidRPr="00440C21">
        <w:rPr>
          <w:rFonts w:ascii="Calibri" w:eastAsia="Calibri" w:hAnsi="Calibri" w:cs="Calibri"/>
          <w:sz w:val="24"/>
          <w:szCs w:val="24"/>
        </w:rPr>
        <w:t xml:space="preserve"> and multinational empire. The resulting manufactured predictability instils significant consumer confidence and brand loyalty and leads to a tremendous efficiency of operation. In addition, the culture of quantifiable results and advanced data analytics allows for highly precise predictions of food stock, reduces the waste of expensive food and makes the global food chain ruthlessly efficient and cost-saving. In this particular aspect, the culture is what enables them to maintain their market leadership, with an estimated 28% of the UK grocery market share (</w:t>
      </w:r>
      <w:proofErr w:type="spellStart"/>
      <w:r w:rsidRPr="00440C21">
        <w:rPr>
          <w:rFonts w:ascii="Calibri" w:eastAsia="Calibri" w:hAnsi="Calibri" w:cs="Calibri"/>
          <w:sz w:val="24"/>
          <w:szCs w:val="24"/>
        </w:rPr>
        <w:t>Karstan</w:t>
      </w:r>
      <w:proofErr w:type="spellEnd"/>
      <w:r w:rsidRPr="00440C21">
        <w:rPr>
          <w:rFonts w:ascii="Calibri" w:eastAsia="Calibri" w:hAnsi="Calibri" w:cs="Calibri"/>
          <w:sz w:val="24"/>
          <w:szCs w:val="24"/>
        </w:rPr>
        <w:t>, 2026).</w:t>
      </w:r>
    </w:p>
    <w:p w14:paraId="2D6C9336"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On the other hand, a critical, historically informed evaluation makes it clear that this same culture can become a serious, even, “life threatening” obstacle, especially if its assumptions crystallise, become dogmatically set or “ecologically harmful”. In a strong role culture, it is a strong contradiction that local innovation is stifled because store-level employees and middle managers may feel wholly inept, incapable of innovation because they are merely implementing directives from the centre. More important, a culture that places an over-emphasis on financial goals and a perfect market position can unknowingly foster extremely unethical behaviour. This was cataclysmically illustrated to the global market when Tesco was involved in a notorious accounting scandal in 2014, where they were discovered to have cooked the books by an amazing £326 million (</w:t>
      </w:r>
      <w:proofErr w:type="spellStart"/>
      <w:r w:rsidRPr="00440C21">
        <w:rPr>
          <w:rFonts w:ascii="Calibri" w:eastAsia="Calibri" w:hAnsi="Calibri" w:cs="Calibri"/>
          <w:sz w:val="24"/>
          <w:szCs w:val="24"/>
        </w:rPr>
        <w:t>Peakflo</w:t>
      </w:r>
      <w:proofErr w:type="spellEnd"/>
      <w:r w:rsidRPr="00440C21">
        <w:rPr>
          <w:rFonts w:ascii="Calibri" w:eastAsia="Calibri" w:hAnsi="Calibri" w:cs="Calibri"/>
          <w:sz w:val="24"/>
          <w:szCs w:val="24"/>
        </w:rPr>
        <w:t>, 2024). Independent investigations have led to the discovery of a coercive, high pressure and fear-based internal culture. Middle managers were scared of not hitting impossible financial goals and resorted to blatant accounting tricks to cover up shortcomings. Here the culture was a crippling hindrance to ethical operations, and also damaged the company's reputation.</w:t>
      </w:r>
    </w:p>
    <w:p w14:paraId="39585071" w14:textId="77777777" w:rsidR="007B5817" w:rsidRPr="00440C21" w:rsidRDefault="00A758E6">
      <w:pPr>
        <w:spacing w:before="200" w:after="200" w:line="360" w:lineRule="auto"/>
        <w:jc w:val="both"/>
        <w:rPr>
          <w:rFonts w:ascii="Calibri" w:eastAsia="Calibri" w:hAnsi="Calibri" w:cs="Calibri"/>
          <w:color w:val="1F1F1F"/>
          <w:sz w:val="24"/>
          <w:szCs w:val="24"/>
        </w:rPr>
      </w:pPr>
      <w:r w:rsidRPr="00440C21">
        <w:rPr>
          <w:rFonts w:ascii="Calibri" w:eastAsia="Calibri" w:hAnsi="Calibri" w:cs="Calibri"/>
          <w:sz w:val="24"/>
          <w:szCs w:val="24"/>
        </w:rPr>
        <w:t>In some respects, the balance has now tipped back in the direction of the culture primarily being an enabler, albeit with the historical vulnerabilities of the Role Culture always looming. Tesco has transformed its internal environment, largely by actively correcting the most noxious high-pressure aspects of the last decade and re-engaging with a real, tangible concern for consumer value and employee well-being. The bureaucratic and rigid structures of the Role Culture now fit well with the rigorous ethical monitoring and corporate governance (Tesco PLC, 2023). Thus, as much as the structural disadvantages of the prevailing culture can restrain a certain degree of local innovation, its ability to ensure consistency across the market, make the best use of huge data systems and operate flawlessly and very complex logistics processes is a very powerful enabling factor that helps Tesco's recovery and maintains its retail leadership.</w:t>
      </w:r>
    </w:p>
    <w:p w14:paraId="0C12C004" w14:textId="77777777" w:rsidR="007B5817" w:rsidRPr="00440C21" w:rsidRDefault="00A758E6">
      <w:pPr>
        <w:pStyle w:val="Heading1"/>
        <w:keepNext w:val="0"/>
        <w:keepLines w:val="0"/>
      </w:pPr>
      <w:bookmarkStart w:id="6" w:name="_wqa54ny33wve" w:colFirst="0" w:colLast="0"/>
      <w:bookmarkEnd w:id="6"/>
      <w:r w:rsidRPr="00440C21">
        <w:t>Impact on Performance and Recommendations</w:t>
      </w:r>
    </w:p>
    <w:p w14:paraId="465D1F70"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The significance of Tesco's organisational culture on the organisation's actual and quantifiable commercial performance is all too evident and well documented. After dramatic cultural and structural resets in the wake of past corporate crises, the conscious and purposeful reversal back to a transparent, very customer centric and ethically grounded culture has been directly and positively correlated with the return to financial stability and strong market performance. Ultimately, Tesco's investment in the cultural artefact of the </w:t>
      </w:r>
      <w:proofErr w:type="spellStart"/>
      <w:r w:rsidRPr="00440C21">
        <w:rPr>
          <w:rFonts w:ascii="Calibri" w:eastAsia="Calibri" w:hAnsi="Calibri" w:cs="Calibri"/>
          <w:sz w:val="24"/>
          <w:szCs w:val="24"/>
        </w:rPr>
        <w:t>Clubcard</w:t>
      </w:r>
      <w:proofErr w:type="spellEnd"/>
      <w:r w:rsidRPr="00440C21">
        <w:rPr>
          <w:rFonts w:ascii="Calibri" w:eastAsia="Calibri" w:hAnsi="Calibri" w:cs="Calibri"/>
          <w:sz w:val="24"/>
          <w:szCs w:val="24"/>
        </w:rPr>
        <w:t>, which was fully integrated into the frontline pricing strategy, helped to defend its territory and increase market share and has remained the dominant force in British retail (Clark, 2026). This strategic and culturally aligned pricing strategy has also had a positive effect on customer satisfaction measures, with consumers feeling the benefits from this pricing strategy in times of intense macroeconomic pain. In addition, one of the tried and tested, and most reliable, markers of cultural health, namely employee turnover, has levelled off quite a bit. The cultural shift from a fear-based culture to a one where more and more people value the work done on the front line has led to a far more engaged workforce, resulting in a direct improvement in in-store productivity, reduced recruitment spend, and toughened operational resilience (Tesco PLC, 2023).</w:t>
      </w:r>
    </w:p>
    <w:p w14:paraId="7D8BD830"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While acknowledging these achievements, if Tesco's management is to sustain the viability and dominance of this company in the ever-changing and technology-swept retail environment, they need to develop strategic, theory-based interventions to continuously optimise their organisational culture. Firstly, based on </w:t>
      </w:r>
      <w:proofErr w:type="spellStart"/>
      <w:r w:rsidRPr="00440C21">
        <w:rPr>
          <w:rFonts w:ascii="Calibri" w:eastAsia="Calibri" w:hAnsi="Calibri" w:cs="Calibri"/>
          <w:sz w:val="24"/>
          <w:szCs w:val="24"/>
        </w:rPr>
        <w:t>Handy's</w:t>
      </w:r>
      <w:proofErr w:type="spellEnd"/>
      <w:r w:rsidRPr="00440C21">
        <w:rPr>
          <w:rFonts w:ascii="Calibri" w:eastAsia="Calibri" w:hAnsi="Calibri" w:cs="Calibri"/>
          <w:sz w:val="24"/>
          <w:szCs w:val="24"/>
        </w:rPr>
        <w:t xml:space="preserve"> Cultural Types model, Tesco needs to intentionally and actively move some key and high value operational areas from a very rigid Role Culture to a much more flexible and agile Task Culture (Freedman, 2025). In particular, executive management can put in place permanent, cross-functional innovation teams to meet the needs of highly agile discount competitors and to keep pace with the fast pace of e-commerce development. The idea of dismantling the entrenched departmental silos and giving them budget and autonomy to quickly prototype and deploy new digital solutions—whether that's AI systems that forecast demand across the supply chain or more sophisticated mobile app features—will introduce much-needed agility to Tesco's traditionally slow-moving bureaucratic structure.</w:t>
      </w:r>
    </w:p>
    <w:p w14:paraId="78F194BB"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Second, in terms of Schein's theory of basic underlying assumptions and how they are managed and changed, Tesco needs to put in permanent structural changes so that a high-pressure performance culture never again leads to a compromise in ethical standards (</w:t>
      </w:r>
      <w:proofErr w:type="spellStart"/>
      <w:r w:rsidRPr="00440C21">
        <w:rPr>
          <w:rFonts w:ascii="Calibri" w:eastAsia="Calibri" w:hAnsi="Calibri" w:cs="Calibri"/>
          <w:sz w:val="24"/>
          <w:szCs w:val="24"/>
        </w:rPr>
        <w:t>Hattangadi</w:t>
      </w:r>
      <w:proofErr w:type="spellEnd"/>
      <w:r w:rsidRPr="00440C21">
        <w:rPr>
          <w:rFonts w:ascii="Calibri" w:eastAsia="Calibri" w:hAnsi="Calibri" w:cs="Calibri"/>
          <w:sz w:val="24"/>
          <w:szCs w:val="24"/>
        </w:rPr>
        <w:t>, 2020). Management is highly recommended to establish a permanently flattened reporting chain with respect to compliance and ethical issues, skipping over the classic "bottlenecks" and regional management. Tesco can re-frame its activity around the primarily psychological concept of psychological safety, removing the prospect of moral or ethical compromise completely from the equation of obtaining corporate efficiency, by establishing direct, fully anonymous and culturally celebrated avenues for frontline workers and middle managers to report unrealistic sales targets or unsafe operational pressures.</w:t>
      </w:r>
    </w:p>
    <w:p w14:paraId="66E3CE54" w14:textId="77777777" w:rsidR="007B5817" w:rsidRPr="00440C21" w:rsidRDefault="00A758E6">
      <w:pPr>
        <w:spacing w:before="200" w:after="200" w:line="360" w:lineRule="auto"/>
        <w:jc w:val="both"/>
        <w:rPr>
          <w:rFonts w:ascii="Calibri" w:eastAsia="Calibri" w:hAnsi="Calibri" w:cs="Calibri"/>
          <w:color w:val="1F1F1F"/>
          <w:sz w:val="24"/>
          <w:szCs w:val="24"/>
        </w:rPr>
      </w:pPr>
      <w:r w:rsidRPr="00440C21">
        <w:rPr>
          <w:rFonts w:ascii="Calibri" w:eastAsia="Calibri" w:hAnsi="Calibri" w:cs="Calibri"/>
          <w:sz w:val="24"/>
          <w:szCs w:val="24"/>
        </w:rPr>
        <w:t>Lastly, if Tesco is to be able to remove the glaring gap between espoused corporate values and frontline practice, a large part of their community and sustainability work should be heavily decentralised (</w:t>
      </w:r>
      <w:proofErr w:type="spellStart"/>
      <w:r w:rsidRPr="00440C21">
        <w:rPr>
          <w:rFonts w:ascii="Calibri" w:eastAsia="Calibri" w:hAnsi="Calibri" w:cs="Calibri"/>
          <w:sz w:val="24"/>
          <w:szCs w:val="24"/>
        </w:rPr>
        <w:t>Ocran</w:t>
      </w:r>
      <w:proofErr w:type="spellEnd"/>
      <w:r w:rsidRPr="00440C21">
        <w:rPr>
          <w:rFonts w:ascii="Calibri" w:eastAsia="Calibri" w:hAnsi="Calibri" w:cs="Calibri"/>
          <w:sz w:val="24"/>
          <w:szCs w:val="24"/>
        </w:rPr>
        <w:t>, 2023). The organisation can show its dedication to the community by giving individual store managers budgets (ring-fenced) which they can use for a bespoke local environmental project, or hyper localised charity partnerships. This is exactly what Mullins and Christy (2016) stated as the need for managing a diverse workforce; an understanding of local contexts, making the value of ‘customer first' an artefact that is deeply felt, highly visible, and authentic at the grassroots community level, thereby solidifying performance through genuine local integration.</w:t>
      </w:r>
    </w:p>
    <w:p w14:paraId="4C6F6B38" w14:textId="77777777" w:rsidR="007B5817" w:rsidRPr="00440C21" w:rsidRDefault="00A758E6">
      <w:pPr>
        <w:pStyle w:val="Heading1"/>
        <w:keepNext w:val="0"/>
        <w:keepLines w:val="0"/>
      </w:pPr>
      <w:bookmarkStart w:id="7" w:name="_37y4ah5qqurv" w:colFirst="0" w:colLast="0"/>
      <w:bookmarkEnd w:id="7"/>
      <w:r w:rsidRPr="00440C21">
        <w:t>Conclusion</w:t>
      </w:r>
    </w:p>
    <w:p w14:paraId="6971231A" w14:textId="77777777" w:rsidR="007B5817" w:rsidRPr="00440C21" w:rsidRDefault="00A758E6">
      <w:pPr>
        <w:spacing w:before="200" w:after="200" w:line="360" w:lineRule="auto"/>
        <w:jc w:val="both"/>
        <w:rPr>
          <w:rFonts w:ascii="Calibri" w:eastAsia="Calibri" w:hAnsi="Calibri" w:cs="Calibri"/>
          <w:sz w:val="24"/>
          <w:szCs w:val="24"/>
        </w:rPr>
      </w:pPr>
      <w:r w:rsidRPr="00440C21">
        <w:rPr>
          <w:rFonts w:ascii="Calibri" w:eastAsia="Calibri" w:hAnsi="Calibri" w:cs="Calibri"/>
          <w:sz w:val="23"/>
          <w:szCs w:val="23"/>
        </w:rPr>
        <w:t xml:space="preserve">Therefore, this report clearly shows that Tesco's organisational culture is the one thing that is the ultimate and inevitable architecture of Tesco's corporate reality. It is evident from the critical analysis that throughout the history of the company, one of the key characteristics of the current Role Culture has been its highly centralised decision making and very tall structure to keep a large and very complex retail empire running. This detailed theoretical application of existing theory reveals the powerful ways in which seemingly ‘innocent' and highly successful artefacts such as the </w:t>
      </w:r>
      <w:proofErr w:type="spellStart"/>
      <w:r w:rsidRPr="00440C21">
        <w:rPr>
          <w:rFonts w:ascii="Calibri" w:eastAsia="Calibri" w:hAnsi="Calibri" w:cs="Calibri"/>
          <w:sz w:val="23"/>
          <w:szCs w:val="23"/>
        </w:rPr>
        <w:t>Clubcard</w:t>
      </w:r>
      <w:proofErr w:type="spellEnd"/>
      <w:r w:rsidRPr="00440C21">
        <w:rPr>
          <w:rFonts w:ascii="Calibri" w:eastAsia="Calibri" w:hAnsi="Calibri" w:cs="Calibri"/>
          <w:sz w:val="23"/>
          <w:szCs w:val="23"/>
        </w:rPr>
        <w:t>, are directly shaped by deep-seated corporate assumptions of very high levels of efficiency and strict standardisation, and act as key defensive moves in the face of terrible pressures from the external economy. The previously bad culture was a crippling obstacle, but today's culture is a powerful enabler of market dominance and unparalleled operational consistency, through a comprehensive restructuring and data-driven approach. Ultimately, as Mullins and Christy (2016) state, the beliefs that are common throughout the organisation are inherent to the success of the organisation. Continuous and conscious change and evolution of the basic culture is essential for Tesco to maintain its global leadership in face of the constant disruption of the market.</w:t>
      </w:r>
    </w:p>
    <w:p w14:paraId="345C7B88" w14:textId="77777777" w:rsidR="007B5817" w:rsidRPr="00440C21" w:rsidRDefault="007B5817">
      <w:pPr>
        <w:spacing w:before="200" w:after="200" w:line="360" w:lineRule="auto"/>
        <w:jc w:val="both"/>
        <w:rPr>
          <w:rFonts w:ascii="Calibri" w:eastAsia="Calibri" w:hAnsi="Calibri" w:cs="Calibri"/>
          <w:color w:val="1F1F1F"/>
          <w:sz w:val="24"/>
          <w:szCs w:val="24"/>
        </w:rPr>
      </w:pPr>
    </w:p>
    <w:p w14:paraId="5AFBD723" w14:textId="77777777" w:rsidR="007B5817" w:rsidRPr="00440C21" w:rsidRDefault="00A758E6">
      <w:pPr>
        <w:pStyle w:val="Heading1"/>
      </w:pPr>
      <w:bookmarkStart w:id="8" w:name="_v1uwcgon43o1" w:colFirst="0" w:colLast="0"/>
      <w:bookmarkEnd w:id="8"/>
      <w:r w:rsidRPr="00440C21">
        <w:br w:type="page"/>
      </w:r>
    </w:p>
    <w:p w14:paraId="0A79458A" w14:textId="77777777" w:rsidR="007B5817" w:rsidRPr="00440C21" w:rsidRDefault="00A758E6">
      <w:pPr>
        <w:pStyle w:val="Heading1"/>
      </w:pPr>
      <w:bookmarkStart w:id="9" w:name="_dtg0vxxb24n0" w:colFirst="0" w:colLast="0"/>
      <w:bookmarkEnd w:id="9"/>
      <w:r w:rsidRPr="00440C21">
        <w:t>References</w:t>
      </w:r>
    </w:p>
    <w:p w14:paraId="4F270F4C"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Aiello, L.M., </w:t>
      </w:r>
      <w:proofErr w:type="spellStart"/>
      <w:r w:rsidRPr="00440C21">
        <w:rPr>
          <w:rFonts w:ascii="Calibri" w:eastAsia="Calibri" w:hAnsi="Calibri" w:cs="Calibri"/>
          <w:sz w:val="24"/>
          <w:szCs w:val="24"/>
        </w:rPr>
        <w:t>Quercia</w:t>
      </w:r>
      <w:proofErr w:type="spellEnd"/>
      <w:r w:rsidRPr="00440C21">
        <w:rPr>
          <w:rFonts w:ascii="Calibri" w:eastAsia="Calibri" w:hAnsi="Calibri" w:cs="Calibri"/>
          <w:sz w:val="24"/>
          <w:szCs w:val="24"/>
        </w:rPr>
        <w:t xml:space="preserve">, D., </w:t>
      </w:r>
      <w:proofErr w:type="spellStart"/>
      <w:r w:rsidRPr="00440C21">
        <w:rPr>
          <w:rFonts w:ascii="Calibri" w:eastAsia="Calibri" w:hAnsi="Calibri" w:cs="Calibri"/>
          <w:sz w:val="24"/>
          <w:szCs w:val="24"/>
        </w:rPr>
        <w:t>Schifanella</w:t>
      </w:r>
      <w:proofErr w:type="spellEnd"/>
      <w:r w:rsidRPr="00440C21">
        <w:rPr>
          <w:rFonts w:ascii="Calibri" w:eastAsia="Calibri" w:hAnsi="Calibri" w:cs="Calibri"/>
          <w:sz w:val="24"/>
          <w:szCs w:val="24"/>
        </w:rPr>
        <w:t xml:space="preserve">, R. and Del </w:t>
      </w:r>
      <w:proofErr w:type="spellStart"/>
      <w:r w:rsidRPr="00440C21">
        <w:rPr>
          <w:rFonts w:ascii="Calibri" w:eastAsia="Calibri" w:hAnsi="Calibri" w:cs="Calibri"/>
          <w:sz w:val="24"/>
          <w:szCs w:val="24"/>
        </w:rPr>
        <w:t>Prete</w:t>
      </w:r>
      <w:proofErr w:type="spellEnd"/>
      <w:r w:rsidRPr="00440C21">
        <w:rPr>
          <w:rFonts w:ascii="Calibri" w:eastAsia="Calibri" w:hAnsi="Calibri" w:cs="Calibri"/>
          <w:sz w:val="24"/>
          <w:szCs w:val="24"/>
        </w:rPr>
        <w:t>, L. (2020). Tesco Grocery 1.0, a large-scale dataset of grocery purchases in London. Scientific Data, 7(1).</w:t>
      </w:r>
    </w:p>
    <w:p w14:paraId="2882A6C9"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Briggs, F. (2026). Simple beats stylish: why Tesco and Marks &amp; Spencer dominate uniform rankings. [online] Retail Times. Available at: https://retailtimes.co.uk/simple-beats-stylish-why-tesco-and-marks-spencer-dominate-uniform-rankings/ [Accessed 10 Jun. 2026].</w:t>
      </w:r>
    </w:p>
    <w:p w14:paraId="37452E22"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Clark, P. (2026). How Tesco built a retail platform powered by loyalty data and AI. [online] EMARKETER. Available at: https://www.emarketer.com/content/how-tesco-built-retail-platform-powered-by-loyalty-data-ai.[Accessed 10 Jun. 2026].</w:t>
      </w:r>
    </w:p>
    <w:p w14:paraId="7407A245"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Edgar, H., (1985). Schein. Organization Culture and Leadership.</w:t>
      </w:r>
    </w:p>
    <w:p w14:paraId="63E91BB0"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Eierle</w:t>
      </w:r>
      <w:proofErr w:type="spellEnd"/>
      <w:r w:rsidRPr="00440C21">
        <w:rPr>
          <w:rFonts w:ascii="Calibri" w:eastAsia="Calibri" w:hAnsi="Calibri" w:cs="Calibri"/>
          <w:sz w:val="24"/>
          <w:szCs w:val="24"/>
        </w:rPr>
        <w:t xml:space="preserve">, B., </w:t>
      </w:r>
      <w:proofErr w:type="spellStart"/>
      <w:r w:rsidRPr="00440C21">
        <w:rPr>
          <w:rFonts w:ascii="Calibri" w:eastAsia="Calibri" w:hAnsi="Calibri" w:cs="Calibri"/>
          <w:sz w:val="24"/>
          <w:szCs w:val="24"/>
        </w:rPr>
        <w:t>Hartlieb</w:t>
      </w:r>
      <w:proofErr w:type="spellEnd"/>
      <w:r w:rsidRPr="00440C21">
        <w:rPr>
          <w:rFonts w:ascii="Calibri" w:eastAsia="Calibri" w:hAnsi="Calibri" w:cs="Calibri"/>
          <w:sz w:val="24"/>
          <w:szCs w:val="24"/>
        </w:rPr>
        <w:t xml:space="preserve">, S., Hay, D.C., </w:t>
      </w:r>
      <w:proofErr w:type="spellStart"/>
      <w:r w:rsidRPr="00440C21">
        <w:rPr>
          <w:rFonts w:ascii="Calibri" w:eastAsia="Calibri" w:hAnsi="Calibri" w:cs="Calibri"/>
          <w:sz w:val="24"/>
          <w:szCs w:val="24"/>
        </w:rPr>
        <w:t>Niemi</w:t>
      </w:r>
      <w:proofErr w:type="spellEnd"/>
      <w:r w:rsidRPr="00440C21">
        <w:rPr>
          <w:rFonts w:ascii="Calibri" w:eastAsia="Calibri" w:hAnsi="Calibri" w:cs="Calibri"/>
          <w:sz w:val="24"/>
          <w:szCs w:val="24"/>
        </w:rPr>
        <w:t xml:space="preserve">, L. and </w:t>
      </w:r>
      <w:proofErr w:type="spellStart"/>
      <w:r w:rsidRPr="00440C21">
        <w:rPr>
          <w:rFonts w:ascii="Calibri" w:eastAsia="Calibri" w:hAnsi="Calibri" w:cs="Calibri"/>
          <w:sz w:val="24"/>
          <w:szCs w:val="24"/>
        </w:rPr>
        <w:t>Ojala</w:t>
      </w:r>
      <w:proofErr w:type="spellEnd"/>
      <w:r w:rsidRPr="00440C21">
        <w:rPr>
          <w:rFonts w:ascii="Calibri" w:eastAsia="Calibri" w:hAnsi="Calibri" w:cs="Calibri"/>
          <w:sz w:val="24"/>
          <w:szCs w:val="24"/>
        </w:rPr>
        <w:t>, H., (2022). External factors and the pricing of audit services: A systematic review of the archival literature using a PESTLE analysis. Auditing: A Journal of Practice &amp; Theory, 41(3), pp.95-119.</w:t>
      </w:r>
    </w:p>
    <w:p w14:paraId="00D81B10"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ET </w:t>
      </w:r>
      <w:proofErr w:type="spellStart"/>
      <w:r w:rsidRPr="00440C21">
        <w:rPr>
          <w:rFonts w:ascii="Calibri" w:eastAsia="Calibri" w:hAnsi="Calibri" w:cs="Calibri"/>
          <w:sz w:val="24"/>
          <w:szCs w:val="24"/>
        </w:rPr>
        <w:t>BrandEquity</w:t>
      </w:r>
      <w:proofErr w:type="spellEnd"/>
      <w:r w:rsidRPr="00440C21">
        <w:rPr>
          <w:rFonts w:ascii="Calibri" w:eastAsia="Calibri" w:hAnsi="Calibri" w:cs="Calibri"/>
          <w:sz w:val="24"/>
          <w:szCs w:val="24"/>
        </w:rPr>
        <w:t xml:space="preserve"> (2023). UK competition watchdog steps up examination of grocery prices. [online] ETBrandEquity.com. Available at: https://brandequity.economictimes.indiatimes.com/news/marketing/uk-competition-watchdog-steps-up-examination-of-grocery-prices/100274468 [Accessed 10 Jun. 2026].</w:t>
      </w:r>
    </w:p>
    <w:p w14:paraId="7D92EC68"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w:t>
      </w:r>
      <w:proofErr w:type="spellStart"/>
      <w:r w:rsidRPr="00440C21">
        <w:rPr>
          <w:rFonts w:ascii="Calibri" w:eastAsia="Calibri" w:hAnsi="Calibri" w:cs="Calibri"/>
          <w:sz w:val="24"/>
          <w:szCs w:val="24"/>
        </w:rPr>
        <w:t>Fawzy</w:t>
      </w:r>
      <w:proofErr w:type="spellEnd"/>
      <w:r w:rsidRPr="00440C21">
        <w:rPr>
          <w:rFonts w:ascii="Calibri" w:eastAsia="Calibri" w:hAnsi="Calibri" w:cs="Calibri"/>
          <w:sz w:val="24"/>
          <w:szCs w:val="24"/>
        </w:rPr>
        <w:t xml:space="preserve">, A. (2024). Analysis of the impact of </w:t>
      </w:r>
      <w:proofErr w:type="spellStart"/>
      <w:r w:rsidRPr="00440C21">
        <w:rPr>
          <w:rFonts w:ascii="Calibri" w:eastAsia="Calibri" w:hAnsi="Calibri" w:cs="Calibri"/>
          <w:sz w:val="24"/>
          <w:szCs w:val="24"/>
        </w:rPr>
        <w:t>Brexit</w:t>
      </w:r>
      <w:proofErr w:type="spellEnd"/>
      <w:r w:rsidRPr="00440C21">
        <w:rPr>
          <w:rFonts w:ascii="Calibri" w:eastAsia="Calibri" w:hAnsi="Calibri" w:cs="Calibri"/>
          <w:sz w:val="24"/>
          <w:szCs w:val="24"/>
        </w:rPr>
        <w:t xml:space="preserve"> on logistics and supply chain activities in the UK – ‘Teething Problems’ or permanent impacts? [online] Researchgate.net. Available at: https://www.researchgate.net/publication/356528185_Analysis_of_the_impact_of_Brexit_on_logistics_and_supply_chain_activities_in_the_UK_-_Teething_Problems_or_permanent_impacts.[Accessed 10 Jun. 2026].</w:t>
      </w:r>
    </w:p>
    <w:p w14:paraId="08844972"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Ford, H., (2024).  3 Organisational Structure and Leadership. Business Model Innovation: A Blueprint for Strategic Change, p.51.</w:t>
      </w:r>
    </w:p>
    <w:p w14:paraId="56025C93"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Freedman, M. (2025). Management Theory of Charles Handy. [online] business.com. Available at: https://www.business.com/articles/management-theory-of-charles-handy/.[Accessed 10 Jun. 2026].</w:t>
      </w:r>
    </w:p>
    <w:p w14:paraId="33A65C27"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Fu, R. (2024). Analysis of Business Operation Mode and Marketing Strategy of British Mainstream Supermarket: Case study of Tesco. Journal of Education Humanities and Social Sciences, 43(1), pp.279–285. </w:t>
      </w:r>
      <w:proofErr w:type="spellStart"/>
      <w:r w:rsidRPr="00440C21">
        <w:rPr>
          <w:rFonts w:ascii="Calibri" w:eastAsia="Calibri" w:hAnsi="Calibri" w:cs="Calibri"/>
          <w:sz w:val="24"/>
          <w:szCs w:val="24"/>
        </w:rPr>
        <w:t>doi:https</w:t>
      </w:r>
      <w:proofErr w:type="spellEnd"/>
      <w:r w:rsidRPr="00440C21">
        <w:rPr>
          <w:rFonts w:ascii="Calibri" w:eastAsia="Calibri" w:hAnsi="Calibri" w:cs="Calibri"/>
          <w:sz w:val="24"/>
          <w:szCs w:val="24"/>
        </w:rPr>
        <w:t>://doi.org/10.54097/895tzt69.[Accessed 31 Mar. 2026].</w:t>
      </w:r>
    </w:p>
    <w:p w14:paraId="102A1B76"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Handy, C., (1995). Trust and the virtual organization. Harvard business review, 73(3), p.40.</w:t>
      </w:r>
    </w:p>
    <w:p w14:paraId="3A6C48CC"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Hasanul</w:t>
      </w:r>
      <w:proofErr w:type="spellEnd"/>
      <w:r w:rsidRPr="00440C21">
        <w:rPr>
          <w:rFonts w:ascii="Calibri" w:eastAsia="Calibri" w:hAnsi="Calibri" w:cs="Calibri"/>
          <w:sz w:val="24"/>
          <w:szCs w:val="24"/>
        </w:rPr>
        <w:t xml:space="preserve"> (2023). Evaluating the Role of Supply Chain Management in Enhancing Operational Efficiency and Customer Satisfaction. [online] www.linkedin.com. Available at: https://www.linkedin.com/pulse/evaluating-role-supply-chain-management-enhancing-efficiency-banna.[Accessed 10 Jun. 2026].</w:t>
      </w:r>
    </w:p>
    <w:p w14:paraId="67318629"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Hattangadi</w:t>
      </w:r>
      <w:proofErr w:type="spellEnd"/>
      <w:r w:rsidRPr="00440C21">
        <w:rPr>
          <w:rFonts w:ascii="Calibri" w:eastAsia="Calibri" w:hAnsi="Calibri" w:cs="Calibri"/>
          <w:sz w:val="24"/>
          <w:szCs w:val="24"/>
        </w:rPr>
        <w:t xml:space="preserve">, V. (2020). Edgar Schein’s three levels of Organizational Culture. </w:t>
      </w:r>
      <w:proofErr w:type="spellStart"/>
      <w:r w:rsidRPr="00440C21">
        <w:rPr>
          <w:rFonts w:ascii="Calibri" w:eastAsia="Calibri" w:hAnsi="Calibri" w:cs="Calibri"/>
          <w:sz w:val="24"/>
          <w:szCs w:val="24"/>
        </w:rPr>
        <w:t>Juni</w:t>
      </w:r>
      <w:proofErr w:type="spellEnd"/>
      <w:r w:rsidRPr="00440C21">
        <w:rPr>
          <w:rFonts w:ascii="Calibri" w:eastAsia="Calibri" w:hAnsi="Calibri" w:cs="Calibri"/>
          <w:sz w:val="24"/>
          <w:szCs w:val="24"/>
        </w:rPr>
        <w:t xml:space="preserve"> </w:t>
      </w:r>
      <w:proofErr w:type="spellStart"/>
      <w:r w:rsidRPr="00440C21">
        <w:rPr>
          <w:rFonts w:ascii="Calibri" w:eastAsia="Calibri" w:hAnsi="Calibri" w:cs="Calibri"/>
          <w:sz w:val="24"/>
          <w:szCs w:val="24"/>
        </w:rPr>
        <w:t>Khyat</w:t>
      </w:r>
      <w:proofErr w:type="spellEnd"/>
      <w:r w:rsidRPr="00440C21">
        <w:rPr>
          <w:rFonts w:ascii="Calibri" w:eastAsia="Calibri" w:hAnsi="Calibri" w:cs="Calibri"/>
          <w:sz w:val="24"/>
          <w:szCs w:val="24"/>
        </w:rPr>
        <w:t xml:space="preserve"> Journal, [online] 10(6), pp.112–118. Available at: https://www.researchgate.net/publication/392206304_Edgar_Schein.[Accessed 10 Jun. 2026].</w:t>
      </w:r>
    </w:p>
    <w:p w14:paraId="71F4BABE"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Karstan</w:t>
      </w:r>
      <w:proofErr w:type="spellEnd"/>
      <w:r w:rsidRPr="00440C21">
        <w:rPr>
          <w:rFonts w:ascii="Calibri" w:eastAsia="Calibri" w:hAnsi="Calibri" w:cs="Calibri"/>
          <w:sz w:val="24"/>
          <w:szCs w:val="24"/>
        </w:rPr>
        <w:t xml:space="preserve"> (2026). LinkedIn. [online] Available at: https://www.linkedin.com/posts/malte-karstan_uk-grocery-2026-market-share-stability-activity-7458992352507084800-D5xy [Accessed 10 Jun. 2026].</w:t>
      </w:r>
    </w:p>
    <w:p w14:paraId="54AD01C9"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Li, L. and Zeng, J.H. (2024). Strategic Analysis of Tesco’s International Purchasing and Supply Chain Management: Challenges, Opportunities, and Future Directions. International journal of science and business, 35(1), pp.132–143. </w:t>
      </w:r>
      <w:proofErr w:type="spellStart"/>
      <w:r w:rsidRPr="00440C21">
        <w:rPr>
          <w:rFonts w:ascii="Calibri" w:eastAsia="Calibri" w:hAnsi="Calibri" w:cs="Calibri"/>
          <w:sz w:val="24"/>
          <w:szCs w:val="24"/>
        </w:rPr>
        <w:t>doi:https</w:t>
      </w:r>
      <w:proofErr w:type="spellEnd"/>
      <w:r w:rsidRPr="00440C21">
        <w:rPr>
          <w:rFonts w:ascii="Calibri" w:eastAsia="Calibri" w:hAnsi="Calibri" w:cs="Calibri"/>
          <w:sz w:val="24"/>
          <w:szCs w:val="24"/>
        </w:rPr>
        <w:t>://doi.org/10.58970/IJSB.2360.[Accessed 10 Jun. 2026]</w:t>
      </w:r>
    </w:p>
    <w:p w14:paraId="0C2A521E"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Liberadzki</w:t>
      </w:r>
      <w:proofErr w:type="spellEnd"/>
      <w:r w:rsidRPr="00440C21">
        <w:rPr>
          <w:rFonts w:ascii="Calibri" w:eastAsia="Calibri" w:hAnsi="Calibri" w:cs="Calibri"/>
          <w:sz w:val="24"/>
          <w:szCs w:val="24"/>
        </w:rPr>
        <w:t xml:space="preserve">, M., </w:t>
      </w:r>
      <w:proofErr w:type="spellStart"/>
      <w:r w:rsidRPr="00440C21">
        <w:rPr>
          <w:rFonts w:ascii="Calibri" w:eastAsia="Calibri" w:hAnsi="Calibri" w:cs="Calibri"/>
          <w:sz w:val="24"/>
          <w:szCs w:val="24"/>
        </w:rPr>
        <w:t>Jaworski</w:t>
      </w:r>
      <w:proofErr w:type="spellEnd"/>
      <w:r w:rsidRPr="00440C21">
        <w:rPr>
          <w:rFonts w:ascii="Calibri" w:eastAsia="Calibri" w:hAnsi="Calibri" w:cs="Calibri"/>
          <w:sz w:val="24"/>
          <w:szCs w:val="24"/>
        </w:rPr>
        <w:t xml:space="preserve">, P. and </w:t>
      </w:r>
      <w:proofErr w:type="spellStart"/>
      <w:r w:rsidRPr="00440C21">
        <w:rPr>
          <w:rFonts w:ascii="Calibri" w:eastAsia="Calibri" w:hAnsi="Calibri" w:cs="Calibri"/>
          <w:sz w:val="24"/>
          <w:szCs w:val="24"/>
        </w:rPr>
        <w:t>Liberadzki</w:t>
      </w:r>
      <w:proofErr w:type="spellEnd"/>
      <w:r w:rsidRPr="00440C21">
        <w:rPr>
          <w:rFonts w:ascii="Calibri" w:eastAsia="Calibri" w:hAnsi="Calibri" w:cs="Calibri"/>
          <w:sz w:val="24"/>
          <w:szCs w:val="24"/>
        </w:rPr>
        <w:t xml:space="preserve">, K. (2021). Spread Analysis of the Sustainability-Linked Bonds Tied to an Issuer’s Greenhouse Gases Emissions Reduction Target. Energies, [online] 14(23), p.7918. </w:t>
      </w:r>
      <w:proofErr w:type="spellStart"/>
      <w:r w:rsidRPr="00440C21">
        <w:rPr>
          <w:rFonts w:ascii="Calibri" w:eastAsia="Calibri" w:hAnsi="Calibri" w:cs="Calibri"/>
          <w:sz w:val="24"/>
          <w:szCs w:val="24"/>
        </w:rPr>
        <w:t>doi:https</w:t>
      </w:r>
      <w:proofErr w:type="spellEnd"/>
      <w:r w:rsidRPr="00440C21">
        <w:rPr>
          <w:rFonts w:ascii="Calibri" w:eastAsia="Calibri" w:hAnsi="Calibri" w:cs="Calibri"/>
          <w:sz w:val="24"/>
          <w:szCs w:val="24"/>
        </w:rPr>
        <w:t>://doi.org/10.3390/en14237918.[Accessed 10 Jun. 2026].</w:t>
      </w:r>
    </w:p>
    <w:p w14:paraId="4E9CF10F"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McKinsey &amp; Company (2020). Perspectives on Retail and Consumer Goods. [online] McKinsey. Available at: https://www.mckinsey.com/~/media/McKinsey/Industries/Retail/Our%20Insights/Perspectives%20on%20retail%20and%20consumer%20goods%20Number%208/Perspectives-on-Retail-and-Consumer-Goods_Issue-8.pdf. [Accessed 10 Jun. 2026]</w:t>
      </w:r>
    </w:p>
    <w:p w14:paraId="75D8B412"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Meng</w:t>
      </w:r>
      <w:proofErr w:type="spellEnd"/>
      <w:r w:rsidRPr="00440C21">
        <w:rPr>
          <w:rFonts w:ascii="Calibri" w:eastAsia="Calibri" w:hAnsi="Calibri" w:cs="Calibri"/>
          <w:sz w:val="24"/>
          <w:szCs w:val="24"/>
        </w:rPr>
        <w:t>, S. (2024). Operation Management of Grocery Retailer in the UK: A Case of Tesco. Pacific International Journal, 7(2), pp.136–142.</w:t>
      </w:r>
    </w:p>
    <w:p w14:paraId="15811EC3"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Mullins, L.J. and Christy, G. (2016) </w:t>
      </w:r>
      <w:r w:rsidRPr="00440C21">
        <w:rPr>
          <w:rFonts w:ascii="Calibri" w:eastAsia="Calibri" w:hAnsi="Calibri" w:cs="Calibri"/>
          <w:i/>
          <w:iCs/>
          <w:sz w:val="24"/>
          <w:szCs w:val="24"/>
        </w:rPr>
        <w:t>Management and Organisational Behaviour</w:t>
      </w:r>
      <w:r w:rsidRPr="00440C21">
        <w:rPr>
          <w:rFonts w:ascii="Calibri" w:eastAsia="Calibri" w:hAnsi="Calibri" w:cs="Calibri"/>
          <w:sz w:val="24"/>
          <w:szCs w:val="24"/>
        </w:rPr>
        <w:t xml:space="preserve">. 11th </w:t>
      </w:r>
      <w:proofErr w:type="spellStart"/>
      <w:r w:rsidRPr="00440C21">
        <w:rPr>
          <w:rFonts w:ascii="Calibri" w:eastAsia="Calibri" w:hAnsi="Calibri" w:cs="Calibri"/>
          <w:sz w:val="24"/>
          <w:szCs w:val="24"/>
        </w:rPr>
        <w:t>edn</w:t>
      </w:r>
      <w:proofErr w:type="spellEnd"/>
      <w:r w:rsidRPr="00440C21">
        <w:rPr>
          <w:rFonts w:ascii="Calibri" w:eastAsia="Calibri" w:hAnsi="Calibri" w:cs="Calibri"/>
          <w:sz w:val="24"/>
          <w:szCs w:val="24"/>
        </w:rPr>
        <w:t>. Harlow: Pearson Education Limited.</w:t>
      </w:r>
    </w:p>
    <w:p w14:paraId="1585DB03"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Ocran</w:t>
      </w:r>
      <w:proofErr w:type="spellEnd"/>
      <w:r w:rsidRPr="00440C21">
        <w:rPr>
          <w:rFonts w:ascii="Calibri" w:eastAsia="Calibri" w:hAnsi="Calibri" w:cs="Calibri"/>
          <w:sz w:val="24"/>
          <w:szCs w:val="24"/>
        </w:rPr>
        <w:t xml:space="preserve">, J. (2023). The Tesco Group and Sustainable Operations Management House No. PB44, Community 25, </w:t>
      </w:r>
      <w:proofErr w:type="spellStart"/>
      <w:r w:rsidRPr="00440C21">
        <w:rPr>
          <w:rFonts w:ascii="Calibri" w:eastAsia="Calibri" w:hAnsi="Calibri" w:cs="Calibri"/>
          <w:sz w:val="24"/>
          <w:szCs w:val="24"/>
        </w:rPr>
        <w:t>Tema</w:t>
      </w:r>
      <w:proofErr w:type="spellEnd"/>
      <w:r w:rsidRPr="00440C21">
        <w:rPr>
          <w:rFonts w:ascii="Calibri" w:eastAsia="Calibri" w:hAnsi="Calibri" w:cs="Calibri"/>
          <w:sz w:val="24"/>
          <w:szCs w:val="24"/>
        </w:rPr>
        <w:t xml:space="preserve">, Ghana. J Ear Environ </w:t>
      </w:r>
      <w:proofErr w:type="spellStart"/>
      <w:r w:rsidRPr="00440C21">
        <w:rPr>
          <w:rFonts w:ascii="Calibri" w:eastAsia="Calibri" w:hAnsi="Calibri" w:cs="Calibri"/>
          <w:sz w:val="24"/>
          <w:szCs w:val="24"/>
        </w:rPr>
        <w:t>Sci</w:t>
      </w:r>
      <w:proofErr w:type="spellEnd"/>
      <w:r w:rsidRPr="00440C21">
        <w:rPr>
          <w:rFonts w:ascii="Calibri" w:eastAsia="Calibri" w:hAnsi="Calibri" w:cs="Calibri"/>
          <w:sz w:val="24"/>
          <w:szCs w:val="24"/>
        </w:rPr>
        <w:t xml:space="preserve"> Res, [online] 5(12), pp.1–6. </w:t>
      </w:r>
      <w:proofErr w:type="spellStart"/>
      <w:r w:rsidRPr="00440C21">
        <w:rPr>
          <w:rFonts w:ascii="Calibri" w:eastAsia="Calibri" w:hAnsi="Calibri" w:cs="Calibri"/>
          <w:sz w:val="24"/>
          <w:szCs w:val="24"/>
        </w:rPr>
        <w:t>doi:https</w:t>
      </w:r>
      <w:proofErr w:type="spellEnd"/>
      <w:r w:rsidRPr="00440C21">
        <w:rPr>
          <w:rFonts w:ascii="Calibri" w:eastAsia="Calibri" w:hAnsi="Calibri" w:cs="Calibri"/>
          <w:sz w:val="24"/>
          <w:szCs w:val="24"/>
        </w:rPr>
        <w:t>://doi.org/10.47363/JEESR/2023(5)212.‌[Accessed 10 Jun. 2026].</w:t>
      </w:r>
    </w:p>
    <w:p w14:paraId="4B2FB018"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Peakflo</w:t>
      </w:r>
      <w:proofErr w:type="spellEnd"/>
      <w:r w:rsidRPr="00440C21">
        <w:rPr>
          <w:rFonts w:ascii="Calibri" w:eastAsia="Calibri" w:hAnsi="Calibri" w:cs="Calibri"/>
          <w:sz w:val="24"/>
          <w:szCs w:val="24"/>
        </w:rPr>
        <w:t xml:space="preserve"> (2024). Tesco Accounting Scandal: Overstating Profits by £326 Million. [online] www.linkedin.com. Available at: https://www.linkedin.com/pulse/tesco-accounting-scandal-overstating-profits-326-million-peakflo-rojmc.[Accessed 10 Jun. 2026].</w:t>
      </w:r>
    </w:p>
    <w:p w14:paraId="7F8376C9"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Prabhakar</w:t>
      </w:r>
      <w:proofErr w:type="spellEnd"/>
      <w:r w:rsidRPr="00440C21">
        <w:rPr>
          <w:rFonts w:ascii="Calibri" w:eastAsia="Calibri" w:hAnsi="Calibri" w:cs="Calibri"/>
          <w:sz w:val="24"/>
          <w:szCs w:val="24"/>
        </w:rPr>
        <w:t xml:space="preserve">, K. and Gilmour, D. (2024). Case study A Case Study on Tesco: Examining Sustainable Development through the Lens of the Built Environment. [online] </w:t>
      </w:r>
      <w:proofErr w:type="spellStart"/>
      <w:r w:rsidRPr="00440C21">
        <w:rPr>
          <w:rFonts w:ascii="Calibri" w:eastAsia="Calibri" w:hAnsi="Calibri" w:cs="Calibri"/>
          <w:sz w:val="24"/>
          <w:szCs w:val="24"/>
        </w:rPr>
        <w:t>doi:https</w:t>
      </w:r>
      <w:proofErr w:type="spellEnd"/>
      <w:r w:rsidRPr="00440C21">
        <w:rPr>
          <w:rFonts w:ascii="Calibri" w:eastAsia="Calibri" w:hAnsi="Calibri" w:cs="Calibri"/>
          <w:sz w:val="24"/>
          <w:szCs w:val="24"/>
        </w:rPr>
        <w:t>://doi.org/10.13140/RG.2.2.30122.94401.[Accessed 10 Jun. 2026].</w:t>
      </w:r>
    </w:p>
    <w:p w14:paraId="7170F6B3"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Schnurrenberger</w:t>
      </w:r>
      <w:proofErr w:type="spellEnd"/>
      <w:r w:rsidRPr="00440C21">
        <w:rPr>
          <w:rFonts w:ascii="Calibri" w:eastAsia="Calibri" w:hAnsi="Calibri" w:cs="Calibri"/>
          <w:sz w:val="24"/>
          <w:szCs w:val="24"/>
        </w:rPr>
        <w:t>, E. (2026). In 2020, Tesco became the first supermarket to directly price match Aldi. [online] LinkedIn. Available at: https://www.linkedin.com/posts/eric-schnurrenberger_in-2020-tesco-became-the-first-supermarket-activity-7430154757312475136-nCzi [Accessed 31 Mar. 2026].</w:t>
      </w:r>
    </w:p>
    <w:p w14:paraId="15B530A2"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(2023). Tesco’s ambitious net zero targets validated by Science Based Targets Initiative. [online] www.tescoplc.com. Available at: https://www.tescoplc.com/tesco-s-ambitious-net-zero-targets-validated-by-science-based-targets-initiative/.[Accessed 10 Jun. 2026].</w:t>
      </w:r>
    </w:p>
    <w:p w14:paraId="63177737"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(2020). Tesco Aldi price match. [online] www.tescoplc.com. Available at: https://www.tescoplc.com/tesco-aldi-price-match.[Accessed 10 Jun. 2026]</w:t>
      </w:r>
    </w:p>
    <w:p w14:paraId="164553F2"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(2023). Corporate Governance. [online] Tesco PLC. Available at: https://www.tescoplc.com/investors/corporate-governance.[Accessed 10 Jun. 2026].</w:t>
      </w:r>
    </w:p>
    <w:p w14:paraId="7CB23205"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(2023). Diversity, Equity and Inclusion. [online] tescoplc.com. Available at: https://www.tescoplc.com/sustainability/colleagues/diversity-equity-and-inclusion.[Accessed 10 Jun. 2026].</w:t>
      </w:r>
    </w:p>
    <w:p w14:paraId="5B35D21E"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(2023). Tesco rapid delivery service Whoosh now available from 1,000 stores as it exceeds rollout target by 25%. [online] www.tescoplc.com. Available at: https://www.tescoplc.com/tesco-rapid-delivery-service-whoosh-now-available-from-1-000-stores-as-it-exceeds-rollout-target-by-25/.[Accessed 10 Jun. 2026].</w:t>
      </w:r>
    </w:p>
    <w:p w14:paraId="3ACA9CBE"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(2024). Tesco recommits to famous ‘Every Little Helps’ tagline in major new ad campaign. [online] Available at: https://www.tescoplc.com/tesco-recommits-to-famous-every-little-helps-tagline-in-major-new-ad-campaign/.[Accessed 10 Jun. 2026].</w:t>
      </w:r>
    </w:p>
    <w:p w14:paraId="09EC08AF"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(2025). Available at: https://www.tescoplc.com/media/757608/community-grants-factsheet-v2.pdf.[Accessed 10 Jun. 2026]</w:t>
      </w:r>
    </w:p>
    <w:p w14:paraId="3F15C504"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(2025). Core Purpose and Values. [online] Tesco PLC. Available at: https://www.tescoplc.com/about/how-we-do-business/core-purpose-and-values/. [Accessed 10 Jun. 2026]</w:t>
      </w:r>
    </w:p>
    <w:p w14:paraId="41340112"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(2025). Tesco PLC. [online] Tesco Plc. Available at: https://www.tescoplc.com/.[Accessed 10 Jun. 2026]</w:t>
      </w:r>
    </w:p>
    <w:p w14:paraId="0319E87C"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Tesco Plc (2026). Plant-based food back in growth for first time in years thanks to veg-led scratch cooking trend. [online] Available at: https://www.tescoplc.com/plant-based-food-back-in-growth-for-first-time-in-years-thanks-to-veg-led-scratch-cooking-trend/.[Accessed 10 Jun. 2026].</w:t>
      </w:r>
    </w:p>
    <w:p w14:paraId="13F88177" w14:textId="77777777" w:rsidR="00A35FFE" w:rsidRPr="00440C21" w:rsidRDefault="00A35FFE">
      <w:pPr>
        <w:spacing w:before="200" w:after="200" w:line="360" w:lineRule="auto"/>
        <w:jc w:val="both"/>
        <w:rPr>
          <w:rFonts w:ascii="Calibri" w:eastAsia="Calibri" w:hAnsi="Calibri" w:cs="Calibri"/>
          <w:sz w:val="24"/>
          <w:szCs w:val="24"/>
        </w:rPr>
      </w:pPr>
      <w:proofErr w:type="spellStart"/>
      <w:r w:rsidRPr="00440C21">
        <w:rPr>
          <w:rFonts w:ascii="Calibri" w:eastAsia="Calibri" w:hAnsi="Calibri" w:cs="Calibri"/>
          <w:sz w:val="24"/>
          <w:szCs w:val="24"/>
        </w:rPr>
        <w:t>Ullash</w:t>
      </w:r>
      <w:proofErr w:type="spellEnd"/>
      <w:r w:rsidRPr="00440C21">
        <w:rPr>
          <w:rFonts w:ascii="Calibri" w:eastAsia="Calibri" w:hAnsi="Calibri" w:cs="Calibri"/>
          <w:sz w:val="24"/>
          <w:szCs w:val="24"/>
        </w:rPr>
        <w:t xml:space="preserve">, S. </w:t>
      </w:r>
      <w:proofErr w:type="spellStart"/>
      <w:r w:rsidRPr="00440C21">
        <w:rPr>
          <w:rFonts w:ascii="Calibri" w:eastAsia="Calibri" w:hAnsi="Calibri" w:cs="Calibri"/>
          <w:sz w:val="24"/>
          <w:szCs w:val="24"/>
        </w:rPr>
        <w:t>shorif</w:t>
      </w:r>
      <w:proofErr w:type="spellEnd"/>
      <w:r w:rsidRPr="00440C21">
        <w:rPr>
          <w:rFonts w:ascii="Calibri" w:eastAsia="Calibri" w:hAnsi="Calibri" w:cs="Calibri"/>
          <w:sz w:val="24"/>
          <w:szCs w:val="24"/>
        </w:rPr>
        <w:t xml:space="preserve"> (2023). Organizational Theory and Practice of Tesco PLC. [online] www.linkedin.com. Available at: https://www.linkedin.com/pulse/organizational-theory-practice-tesco-plc-sanadiule-shorif-ullash.[Accessed 10 Jun. 2026].</w:t>
      </w:r>
    </w:p>
    <w:p w14:paraId="3F8B7059"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 xml:space="preserve">Wolford, B. (2025). What is GDPR, the </w:t>
      </w:r>
      <w:proofErr w:type="spellStart"/>
      <w:r w:rsidRPr="00440C21">
        <w:rPr>
          <w:rFonts w:ascii="Calibri" w:eastAsia="Calibri" w:hAnsi="Calibri" w:cs="Calibri"/>
          <w:sz w:val="24"/>
          <w:szCs w:val="24"/>
        </w:rPr>
        <w:t>eu’s</w:t>
      </w:r>
      <w:proofErr w:type="spellEnd"/>
      <w:r w:rsidRPr="00440C21">
        <w:rPr>
          <w:rFonts w:ascii="Calibri" w:eastAsia="Calibri" w:hAnsi="Calibri" w:cs="Calibri"/>
          <w:sz w:val="24"/>
          <w:szCs w:val="24"/>
        </w:rPr>
        <w:t xml:space="preserve"> new data protection law? [online] GDPR.EU. Available at: https://gdpr.eu/what-is-gdpr/.[Accessed 10 Jun. 2026].</w:t>
      </w:r>
    </w:p>
    <w:p w14:paraId="6361E710" w14:textId="77777777" w:rsidR="00A35FFE" w:rsidRPr="00440C21" w:rsidRDefault="00A35FFE">
      <w:pPr>
        <w:spacing w:before="200" w:after="200" w:line="360" w:lineRule="auto"/>
        <w:jc w:val="both"/>
        <w:rPr>
          <w:rFonts w:ascii="Calibri" w:eastAsia="Calibri" w:hAnsi="Calibri" w:cs="Calibri"/>
          <w:sz w:val="24"/>
          <w:szCs w:val="24"/>
        </w:rPr>
      </w:pPr>
      <w:r w:rsidRPr="00440C21">
        <w:rPr>
          <w:rFonts w:ascii="Calibri" w:eastAsia="Calibri" w:hAnsi="Calibri" w:cs="Calibri"/>
          <w:sz w:val="24"/>
          <w:szCs w:val="24"/>
        </w:rPr>
        <w:t>‌</w:t>
      </w:r>
      <w:proofErr w:type="spellStart"/>
      <w:r w:rsidRPr="00440C21">
        <w:rPr>
          <w:rFonts w:ascii="Calibri" w:eastAsia="Calibri" w:hAnsi="Calibri" w:cs="Calibri"/>
          <w:sz w:val="24"/>
          <w:szCs w:val="24"/>
        </w:rPr>
        <w:t>Yawson</w:t>
      </w:r>
      <w:proofErr w:type="spellEnd"/>
      <w:r w:rsidRPr="00440C21">
        <w:rPr>
          <w:rFonts w:ascii="Calibri" w:eastAsia="Calibri" w:hAnsi="Calibri" w:cs="Calibri"/>
          <w:sz w:val="24"/>
          <w:szCs w:val="24"/>
        </w:rPr>
        <w:t xml:space="preserve">, D.E. and </w:t>
      </w:r>
      <w:proofErr w:type="spellStart"/>
      <w:r w:rsidRPr="00440C21">
        <w:rPr>
          <w:rFonts w:ascii="Calibri" w:eastAsia="Calibri" w:hAnsi="Calibri" w:cs="Calibri"/>
          <w:sz w:val="24"/>
          <w:szCs w:val="24"/>
        </w:rPr>
        <w:t>Yamoah</w:t>
      </w:r>
      <w:proofErr w:type="spellEnd"/>
      <w:r w:rsidRPr="00440C21">
        <w:rPr>
          <w:rFonts w:ascii="Calibri" w:eastAsia="Calibri" w:hAnsi="Calibri" w:cs="Calibri"/>
          <w:sz w:val="24"/>
          <w:szCs w:val="24"/>
        </w:rPr>
        <w:t>, F.A. (2022). The TESCO Club Card Loyalty Programme: the Gold Standard. Contemporary Retail Marketing in Emerging Economies, pp.77–87.</w:t>
      </w:r>
    </w:p>
    <w:p w14:paraId="470042DC" w14:textId="77777777" w:rsidR="007B5817" w:rsidRDefault="007B5817"/>
    <w:sectPr w:rsidR="007B5817">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A60F5" w14:textId="77777777" w:rsidR="00BA4160" w:rsidRPr="00440C21" w:rsidRDefault="00BA4160">
      <w:pPr>
        <w:spacing w:line="240" w:lineRule="auto"/>
      </w:pPr>
      <w:r w:rsidRPr="00440C21">
        <w:separator/>
      </w:r>
    </w:p>
  </w:endnote>
  <w:endnote w:type="continuationSeparator" w:id="0">
    <w:p w14:paraId="5E617CA6" w14:textId="77777777" w:rsidR="00BA4160" w:rsidRPr="00440C21" w:rsidRDefault="00BA4160">
      <w:pPr>
        <w:spacing w:line="240" w:lineRule="auto"/>
      </w:pPr>
      <w:r w:rsidRPr="00440C2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99EBDB6-B02A-44F7-9650-49B34F0539A3}"/>
    <w:embedBold r:id="rId2" w:fontKey="{2AF98013-CBCE-446B-8427-1C740BE22998}"/>
    <w:embedItalic r:id="rId3" w:fontKey="{E2A3569D-E5B4-4752-A229-DF27B612DA7C}"/>
    <w:embedBoldItalic r:id="rId4" w:fontKey="{074A38AF-366B-43DC-97F3-71F6C6DD088C}"/>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FBD783E4-DE5F-5E4E-9EDD-08E6A11E195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765F" w14:textId="77777777" w:rsidR="007B5817" w:rsidRPr="00440C21" w:rsidRDefault="00A758E6">
    <w:pPr>
      <w:jc w:val="right"/>
      <w:rPr>
        <w:rFonts w:ascii="Calibri" w:eastAsia="Calibri" w:hAnsi="Calibri" w:cs="Calibri"/>
        <w:sz w:val="24"/>
        <w:szCs w:val="24"/>
      </w:rPr>
    </w:pPr>
    <w:r w:rsidRPr="00440C21">
      <w:rPr>
        <w:rFonts w:ascii="Calibri" w:eastAsia="Calibri" w:hAnsi="Calibri" w:cs="Calibri"/>
        <w:sz w:val="24"/>
        <w:szCs w:val="24"/>
      </w:rPr>
      <w:fldChar w:fldCharType="begin"/>
    </w:r>
    <w:r w:rsidRPr="00440C21">
      <w:rPr>
        <w:rFonts w:ascii="Calibri" w:eastAsia="Calibri" w:hAnsi="Calibri" w:cs="Calibri"/>
        <w:sz w:val="24"/>
        <w:szCs w:val="24"/>
      </w:rPr>
      <w:instrText>PAGE</w:instrText>
    </w:r>
    <w:r w:rsidRPr="00440C21">
      <w:rPr>
        <w:rFonts w:ascii="Calibri" w:eastAsia="Calibri" w:hAnsi="Calibri" w:cs="Calibri"/>
        <w:sz w:val="24"/>
        <w:szCs w:val="24"/>
      </w:rPr>
      <w:fldChar w:fldCharType="separate"/>
    </w:r>
    <w:r w:rsidR="00A35FFE" w:rsidRPr="00440C21">
      <w:rPr>
        <w:rFonts w:ascii="Calibri" w:eastAsia="Calibri" w:hAnsi="Calibri" w:cs="Calibri"/>
        <w:sz w:val="24"/>
        <w:szCs w:val="24"/>
      </w:rPr>
      <w:t>1</w:t>
    </w:r>
    <w:r w:rsidRPr="00440C21">
      <w:rPr>
        <w:rFonts w:ascii="Calibri" w:eastAsia="Calibri" w:hAnsi="Calibri" w:cs="Calibri"/>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1C040" w14:textId="77777777" w:rsidR="00BA4160" w:rsidRPr="00440C21" w:rsidRDefault="00BA4160">
      <w:pPr>
        <w:spacing w:line="240" w:lineRule="auto"/>
      </w:pPr>
      <w:r w:rsidRPr="00440C21">
        <w:separator/>
      </w:r>
    </w:p>
  </w:footnote>
  <w:footnote w:type="continuationSeparator" w:id="0">
    <w:p w14:paraId="045D2BFD" w14:textId="77777777" w:rsidR="00BA4160" w:rsidRPr="00440C21" w:rsidRDefault="00BA4160">
      <w:pPr>
        <w:spacing w:line="240" w:lineRule="auto"/>
      </w:pPr>
      <w:r w:rsidRPr="00440C2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1FA56" w14:textId="77777777" w:rsidR="007B5817" w:rsidRPr="00440C21" w:rsidRDefault="007B581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5817"/>
    <w:rsid w:val="00262122"/>
    <w:rsid w:val="00440C21"/>
    <w:rsid w:val="007B5817"/>
    <w:rsid w:val="00A35FFE"/>
    <w:rsid w:val="00A758E6"/>
    <w:rsid w:val="00B03C50"/>
    <w:rsid w:val="00BA4160"/>
    <w:rsid w:val="00D82E26"/>
    <w:rsid w:val="00D90FCD"/>
    <w:rsid w:val="00E32C25"/>
    <w:rsid w:val="00E53B0A"/>
    <w:rsid w:val="00EA03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75BB"/>
  <w15:docId w15:val="{A8A24FC4-246A-464C-9082-F0BA6D554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color w:val="1F1F1F"/>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4940</Words>
  <Characters>28159</Characters>
  <Application>Microsoft Office Word</Application>
  <DocSecurity>0</DocSecurity>
  <Lines>234</Lines>
  <Paragraphs>66</Paragraphs>
  <ScaleCrop>false</ScaleCrop>
  <Company/>
  <LinksUpToDate>false</LinksUpToDate>
  <CharactersWithSpaces>33033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bob</cp:lastModifiedBy>
  <cp:revision>4</cp:revision>
  <dcterms:created xsi:type="dcterms:W3CDTF">2026-07-13T11:53:00Z</dcterms:created>
  <dcterms:modified xsi:type="dcterms:W3CDTF">2026-07-13T11:56:00Z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96cb1b19-2695-4396-a2b9-490f37fe439a</vt:lpwstr>
  </property>
</Properties>
</file>