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B61CE" w14:textId="77777777" w:rsidR="00020693" w:rsidRPr="00E03738" w:rsidRDefault="00020693" w:rsidP="00020693">
      <w:pPr>
        <w:numPr>
          <w:ilvl w:val="0"/>
          <w:numId w:val="1"/>
        </w:numPr>
      </w:pPr>
      <w:r w:rsidRPr="00E03738">
        <w:t>Examine the presentation of the identity and significance of Jesus (= Christology) in </w:t>
      </w:r>
      <w:r w:rsidRPr="00E03738">
        <w:rPr>
          <w:b/>
          <w:bCs/>
        </w:rPr>
        <w:t>either</w:t>
      </w:r>
      <w:r w:rsidRPr="00E03738">
        <w:t> the Gospel of Mark </w:t>
      </w:r>
      <w:r w:rsidRPr="00E03738">
        <w:rPr>
          <w:b/>
          <w:bCs/>
        </w:rPr>
        <w:t>or</w:t>
      </w:r>
      <w:r w:rsidRPr="00E03738">
        <w:t> the Gospel of Matthew </w:t>
      </w:r>
      <w:r w:rsidRPr="00E03738">
        <w:rPr>
          <w:b/>
          <w:bCs/>
        </w:rPr>
        <w:t>or</w:t>
      </w:r>
      <w:r w:rsidRPr="00E03738">
        <w:t> the Gospel of John.</w:t>
      </w:r>
    </w:p>
    <w:p w14:paraId="021C7317" w14:textId="77777777" w:rsidR="00D42596" w:rsidRDefault="00D42596"/>
    <w:p w14:paraId="5CE68E94" w14:textId="480EFD77" w:rsidR="00C95836" w:rsidRDefault="00C95836">
      <w:r>
        <w:t xml:space="preserve">Douglas Estes concludes that the purpose of the gospel of John is to show that Jesus is the </w:t>
      </w:r>
      <w:r w:rsidR="00E76380">
        <w:t>Messiah</w:t>
      </w:r>
      <w:r>
        <w:t>.</w:t>
      </w:r>
      <w:r w:rsidR="00E76380">
        <w:rPr>
          <w:rStyle w:val="FootnoteReference"/>
        </w:rPr>
        <w:footnoteReference w:id="1"/>
      </w:r>
      <w:r>
        <w:t xml:space="preserve"> </w:t>
      </w:r>
      <w:r w:rsidR="00E76380">
        <w:t>If this is the case why then not introduce and name Jesus from the beginning, instead readers are introduced to</w:t>
      </w:r>
      <w:r w:rsidR="00A01920">
        <w:t xml:space="preserve"> the</w:t>
      </w:r>
      <w:r w:rsidR="00E76380">
        <w:t xml:space="preserve"> </w:t>
      </w:r>
      <w:r w:rsidR="00A01920">
        <w:t>Word</w:t>
      </w:r>
      <w:r w:rsidR="00E42947">
        <w:t xml:space="preserve">. </w:t>
      </w:r>
      <w:r w:rsidR="00E76380">
        <w:t>(</w:t>
      </w:r>
      <w:proofErr w:type="spellStart"/>
      <w:r w:rsidR="00E76380">
        <w:t>Jhn</w:t>
      </w:r>
      <w:proofErr w:type="spellEnd"/>
      <w:r w:rsidR="00E42947">
        <w:t xml:space="preserve"> </w:t>
      </w:r>
      <w:r w:rsidR="00E76380">
        <w:t>1:1) When studying the gospel of John there is a wide range of literature available</w:t>
      </w:r>
      <w:r w:rsidR="005B4DEC">
        <w:t xml:space="preserve"> with different opinions, some of which will be examined here</w:t>
      </w:r>
      <w:r w:rsidR="00E76380">
        <w:t xml:space="preserve">. </w:t>
      </w:r>
      <w:r w:rsidR="00020693">
        <w:t xml:space="preserve">Scholars </w:t>
      </w:r>
      <w:r w:rsidR="005B4DEC">
        <w:t>can</w:t>
      </w:r>
      <w:r w:rsidR="00020693">
        <w:t xml:space="preserve"> agree that John is believed to be written between 66 and 70 CE.</w:t>
      </w:r>
      <w:r w:rsidR="00020693">
        <w:rPr>
          <w:rStyle w:val="FootnoteReference"/>
        </w:rPr>
        <w:footnoteReference w:id="2"/>
      </w:r>
      <w:r w:rsidR="00020693">
        <w:t xml:space="preserve"> </w:t>
      </w:r>
      <w:r>
        <w:t xml:space="preserve">Within the Gospel of John Jesus </w:t>
      </w:r>
      <w:r w:rsidR="00E76380">
        <w:t xml:space="preserve">is quoted as </w:t>
      </w:r>
      <w:r>
        <w:t>speak</w:t>
      </w:r>
      <w:r w:rsidR="00E76380">
        <w:t>ing</w:t>
      </w:r>
      <w:r>
        <w:t xml:space="preserve"> in long philosophical discourses rather than in parables, more importantly especially in identifying the significance and identity of Jesus is that he speaks of his identity rather than morality.</w:t>
      </w:r>
      <w:r>
        <w:rPr>
          <w:rStyle w:val="FootnoteReference"/>
        </w:rPr>
        <w:footnoteReference w:id="3"/>
      </w:r>
      <w:r w:rsidR="00E76380">
        <w:t xml:space="preserve"> Despite containing more direct speech of Jesus, some </w:t>
      </w:r>
      <w:r w:rsidR="00965564">
        <w:t xml:space="preserve">such as Sung Lim </w:t>
      </w:r>
      <w:r w:rsidR="00E76380">
        <w:t>argue that the speech in itself is more ambiguous</w:t>
      </w:r>
      <w:r w:rsidR="00965564">
        <w:t>.</w:t>
      </w:r>
      <w:r w:rsidR="00965564">
        <w:rPr>
          <w:rStyle w:val="FootnoteReference"/>
        </w:rPr>
        <w:footnoteReference w:id="4"/>
      </w:r>
      <w:r w:rsidR="00965564">
        <w:t xml:space="preserve"> The ambiguity</w:t>
      </w:r>
      <w:r w:rsidR="001327DD">
        <w:t xml:space="preserve"> more</w:t>
      </w:r>
      <w:r w:rsidR="00965564">
        <w:t xml:space="preserve"> importantly does not come from what is said, but because of who</w:t>
      </w:r>
      <w:r w:rsidR="00E44FAB">
        <w:t xml:space="preserve"> said it, namely</w:t>
      </w:r>
      <w:r w:rsidR="00965564">
        <w:t xml:space="preserve"> Jesus. </w:t>
      </w:r>
    </w:p>
    <w:p w14:paraId="364C709F" w14:textId="16F0F2B9" w:rsidR="003B6566" w:rsidRDefault="00E76380">
      <w:r>
        <w:t>The gospel of John can also be described as dualistic in nature</w:t>
      </w:r>
      <w:r w:rsidR="00020693">
        <w:t>.</w:t>
      </w:r>
      <w:r>
        <w:t xml:space="preserve"> In understanding the term dualism</w:t>
      </w:r>
      <w:r w:rsidR="005511F8">
        <w:t xml:space="preserve"> Douglas</w:t>
      </w:r>
      <w:r w:rsidR="006107B4">
        <w:t xml:space="preserve"> Estes cites Michael Pye’s definition</w:t>
      </w:r>
      <w:r>
        <w:t>,</w:t>
      </w:r>
      <w:r w:rsidR="006107B4">
        <w:t xml:space="preserve"> ‘a system of religious or philosophical thought which distinguishes sharply between two fundamental principles’.</w:t>
      </w:r>
      <w:r w:rsidR="006107B4">
        <w:rPr>
          <w:rStyle w:val="FootnoteReference"/>
        </w:rPr>
        <w:footnoteReference w:id="5"/>
      </w:r>
      <w:r w:rsidR="006107B4">
        <w:t xml:space="preserve"> </w:t>
      </w:r>
      <w:r>
        <w:t>Dualism was the first alternative interpretation of the gospel of John.</w:t>
      </w:r>
      <w:r>
        <w:rPr>
          <w:rStyle w:val="FootnoteReference"/>
        </w:rPr>
        <w:footnoteReference w:id="6"/>
      </w:r>
      <w:r>
        <w:t xml:space="preserve"> Whether it was intended to be dualistic in nature or not</w:t>
      </w:r>
      <w:r w:rsidR="005511F8">
        <w:t>,</w:t>
      </w:r>
      <w:r>
        <w:t xml:space="preserve"> even those</w:t>
      </w:r>
      <w:r w:rsidR="006107B4">
        <w:t xml:space="preserve"> who challenge</w:t>
      </w:r>
      <w:r>
        <w:t xml:space="preserve"> this understanding</w:t>
      </w:r>
      <w:r w:rsidR="006107B4">
        <w:t xml:space="preserve"> can agree that the gospel </w:t>
      </w:r>
      <w:r w:rsidR="00020693">
        <w:t xml:space="preserve">is </w:t>
      </w:r>
      <w:r>
        <w:t xml:space="preserve">at least </w:t>
      </w:r>
      <w:r w:rsidR="00020693">
        <w:t>dualistic sounding.</w:t>
      </w:r>
      <w:r w:rsidR="00020693">
        <w:rPr>
          <w:rStyle w:val="FootnoteReference"/>
        </w:rPr>
        <w:footnoteReference w:id="7"/>
      </w:r>
      <w:r w:rsidR="00020693">
        <w:t xml:space="preserve"> </w:t>
      </w:r>
      <w:r w:rsidR="006107B4">
        <w:t>Th</w:t>
      </w:r>
      <w:r w:rsidR="00C95836">
        <w:t>e nature of this is</w:t>
      </w:r>
      <w:r w:rsidR="006107B4">
        <w:t xml:space="preserve"> evident through the bold</w:t>
      </w:r>
      <w:r w:rsidR="001F1B75">
        <w:t xml:space="preserve"> contrasting</w:t>
      </w:r>
      <w:r w:rsidR="006107B4">
        <w:t xml:space="preserve"> propositions that John uses from the outset.</w:t>
      </w:r>
      <w:r w:rsidR="006107B4">
        <w:rPr>
          <w:rStyle w:val="FootnoteReference"/>
        </w:rPr>
        <w:footnoteReference w:id="8"/>
      </w:r>
      <w:r w:rsidR="006107B4">
        <w:t xml:space="preserve"> </w:t>
      </w:r>
      <w:r w:rsidR="00C95836">
        <w:t>Bold propositions that are described</w:t>
      </w:r>
      <w:r w:rsidR="001F1B75">
        <w:t xml:space="preserve"> as</w:t>
      </w:r>
      <w:r w:rsidR="00C95836">
        <w:t xml:space="preserve"> using polarising language in order to convey his theological arguments.</w:t>
      </w:r>
      <w:r w:rsidR="00C95836">
        <w:rPr>
          <w:rStyle w:val="FootnoteReference"/>
        </w:rPr>
        <w:footnoteReference w:id="9"/>
      </w:r>
      <w:r w:rsidR="00C95836">
        <w:t xml:space="preserve"> What then do these bold propositions, polarising language, and differing opinions on the gospel have to say about Jesus? This is the question that will be answered within this essay by examining </w:t>
      </w:r>
      <w:r w:rsidR="0034016F">
        <w:t xml:space="preserve">and </w:t>
      </w:r>
      <w:r w:rsidR="003332F3">
        <w:t>study</w:t>
      </w:r>
      <w:r w:rsidR="0034016F">
        <w:t>ing</w:t>
      </w:r>
      <w:r w:rsidR="003332F3">
        <w:t xml:space="preserve"> </w:t>
      </w:r>
      <w:r w:rsidR="0034016F">
        <w:t xml:space="preserve">the </w:t>
      </w:r>
      <w:r w:rsidR="003332F3">
        <w:t>opinions</w:t>
      </w:r>
      <w:r w:rsidR="00C95836">
        <w:t xml:space="preserve"> of others to determine if there is a theme that can be agreed on in respect of Jesus identity and his significance. </w:t>
      </w:r>
    </w:p>
    <w:p w14:paraId="372DC295" w14:textId="50170856" w:rsidR="00B17D02" w:rsidRDefault="003B6566">
      <w:r>
        <w:t>One who adopts the dualism found within John is Lim</w:t>
      </w:r>
      <w:r w:rsidR="009B2DBD">
        <w:t>. Lim</w:t>
      </w:r>
      <w:r>
        <w:t xml:space="preserve"> argues that there is more to be found in </w:t>
      </w:r>
      <w:r w:rsidR="00025025">
        <w:t>Jesus’</w:t>
      </w:r>
      <w:r>
        <w:t xml:space="preserve"> identity through the minor characters that are found within John such as </w:t>
      </w:r>
      <w:r w:rsidR="00037A10">
        <w:t xml:space="preserve">Nicodemus, the Samaritan woman and </w:t>
      </w:r>
      <w:r w:rsidR="00836B57">
        <w:t>Pilate.</w:t>
      </w:r>
      <w:r w:rsidR="00D80786">
        <w:rPr>
          <w:rStyle w:val="FootnoteReference"/>
        </w:rPr>
        <w:footnoteReference w:id="10"/>
      </w:r>
      <w:r w:rsidR="00836B57">
        <w:t xml:space="preserve"> </w:t>
      </w:r>
      <w:r w:rsidR="000A7BB2">
        <w:t>Lim</w:t>
      </w:r>
      <w:r w:rsidR="001F7450">
        <w:t xml:space="preserve"> find</w:t>
      </w:r>
      <w:r w:rsidR="000A7BB2">
        <w:t>s</w:t>
      </w:r>
      <w:r w:rsidR="001F7450">
        <w:t xml:space="preserve"> duality within</w:t>
      </w:r>
      <w:r w:rsidR="00F71A68">
        <w:t xml:space="preserve"> the context</w:t>
      </w:r>
      <w:r w:rsidR="00F41CA0">
        <w:t xml:space="preserve"> of the sociocultural background to the gospel of John.</w:t>
      </w:r>
      <w:r w:rsidR="00B6350D">
        <w:rPr>
          <w:rStyle w:val="FootnoteReference"/>
        </w:rPr>
        <w:footnoteReference w:id="11"/>
      </w:r>
      <w:r w:rsidR="00E50A80">
        <w:t xml:space="preserve"> The significance regarding </w:t>
      </w:r>
      <w:r w:rsidR="004B3279">
        <w:t xml:space="preserve">the timing in which John was recorded </w:t>
      </w:r>
      <w:r w:rsidR="00113F2E">
        <w:t xml:space="preserve">as Lim </w:t>
      </w:r>
      <w:r w:rsidR="00113F2E">
        <w:lastRenderedPageBreak/>
        <w:t xml:space="preserve">records is that the Jewish people were in between </w:t>
      </w:r>
      <w:r w:rsidR="00147B9D">
        <w:t>home and the world as they had become separated under roman rule.</w:t>
      </w:r>
      <w:r w:rsidR="00147B9D">
        <w:rPr>
          <w:rStyle w:val="FootnoteReference"/>
        </w:rPr>
        <w:footnoteReference w:id="12"/>
      </w:r>
      <w:r w:rsidR="00147B9D">
        <w:t xml:space="preserve"> </w:t>
      </w:r>
      <w:r w:rsidR="008B759F">
        <w:t>Th</w:t>
      </w:r>
      <w:r w:rsidR="003E4739">
        <w:t xml:space="preserve">e diasporic experience </w:t>
      </w:r>
      <w:r w:rsidR="00025025">
        <w:t xml:space="preserve">resulted in the Jews finding themselves in a state of hybridity, being socially and culturally in-between. </w:t>
      </w:r>
      <w:r w:rsidR="00526954">
        <w:t xml:space="preserve">The impact of this Lim argues has an impact on how Jesus is then identified. Just as the </w:t>
      </w:r>
      <w:r w:rsidR="00AE2D5B">
        <w:t>Jews</w:t>
      </w:r>
      <w:r w:rsidR="00526954">
        <w:t xml:space="preserve"> were in</w:t>
      </w:r>
      <w:r w:rsidR="00AE2D5B">
        <w:t xml:space="preserve"> </w:t>
      </w:r>
      <w:r w:rsidR="00526954">
        <w:t>between, so Jesus is portrayed within the Gospel as being in between</w:t>
      </w:r>
      <w:r w:rsidR="008C3F55">
        <w:t xml:space="preserve"> and therefore leaving the reader </w:t>
      </w:r>
      <w:r w:rsidR="00AC2C92">
        <w:t xml:space="preserve">to interpret Jesus identity from two different but simultaneous perspectives, one from </w:t>
      </w:r>
      <w:r w:rsidR="00F10D64">
        <w:t>above</w:t>
      </w:r>
      <w:r w:rsidR="00AC2C92">
        <w:t xml:space="preserve">, and one from </w:t>
      </w:r>
      <w:r w:rsidR="00F10D64">
        <w:t>bellow</w:t>
      </w:r>
      <w:r w:rsidR="00AC2C92">
        <w:t>.</w:t>
      </w:r>
      <w:r w:rsidR="00AC2C92">
        <w:rPr>
          <w:rStyle w:val="FootnoteReference"/>
        </w:rPr>
        <w:footnoteReference w:id="13"/>
      </w:r>
      <w:r w:rsidR="00AC2C92">
        <w:t xml:space="preserve"> </w:t>
      </w:r>
      <w:r w:rsidR="006644A6">
        <w:t>This is evidence</w:t>
      </w:r>
      <w:r w:rsidR="0073449F">
        <w:t>d</w:t>
      </w:r>
      <w:r w:rsidR="006644A6">
        <w:t xml:space="preserve"> within the scriptures whereby Jesus is portrayed as the word becoming flesh</w:t>
      </w:r>
      <w:r w:rsidR="00E42947">
        <w:t xml:space="preserve">. </w:t>
      </w:r>
      <w:r w:rsidR="006644A6">
        <w:t>(</w:t>
      </w:r>
      <w:proofErr w:type="spellStart"/>
      <w:r w:rsidR="006644A6">
        <w:t>Jhn</w:t>
      </w:r>
      <w:proofErr w:type="spellEnd"/>
      <w:r w:rsidR="00E42947">
        <w:t xml:space="preserve"> </w:t>
      </w:r>
      <w:r w:rsidR="006644A6">
        <w:t xml:space="preserve">1:14) </w:t>
      </w:r>
      <w:r w:rsidR="00D939B9">
        <w:t xml:space="preserve">The importance of understanding </w:t>
      </w:r>
      <w:r w:rsidR="00665D55">
        <w:t>Jesus’</w:t>
      </w:r>
      <w:r w:rsidR="00D939B9">
        <w:t xml:space="preserve"> </w:t>
      </w:r>
      <w:r w:rsidR="005E23AB">
        <w:t>duality then allows readers to understand the scriptures</w:t>
      </w:r>
      <w:r w:rsidR="005D167F">
        <w:t xml:space="preserve"> when discussing the minor characters in John. </w:t>
      </w:r>
      <w:r w:rsidR="00E43EFF">
        <w:t xml:space="preserve">When examining the story of Nicodemus Lim argues that the </w:t>
      </w:r>
      <w:r w:rsidR="009473A8">
        <w:t>Greek word used for being born</w:t>
      </w:r>
      <w:r w:rsidR="00C92D33">
        <w:t xml:space="preserve"> again </w:t>
      </w:r>
      <w:r w:rsidR="00F10D64">
        <w:t>can simultaneously mean to be born</w:t>
      </w:r>
      <w:r w:rsidR="00FF7533">
        <w:t xml:space="preserve"> and born</w:t>
      </w:r>
      <w:r w:rsidR="00F10D64">
        <w:t xml:space="preserve"> from above.</w:t>
      </w:r>
      <w:r w:rsidR="00A6486F">
        <w:rPr>
          <w:rStyle w:val="FootnoteReference"/>
        </w:rPr>
        <w:footnoteReference w:id="14"/>
      </w:r>
      <w:r w:rsidR="00F10D64">
        <w:t xml:space="preserve"> </w:t>
      </w:r>
      <w:r w:rsidR="003F1AB8">
        <w:t xml:space="preserve">Similarly Lim continues when examining the Greek for being lifted up, to mean both </w:t>
      </w:r>
      <w:r w:rsidR="0032389F">
        <w:t>being lifted up from bellow and being crucified from above.</w:t>
      </w:r>
      <w:r w:rsidR="0032389F">
        <w:rPr>
          <w:rStyle w:val="FootnoteReference"/>
        </w:rPr>
        <w:footnoteReference w:id="15"/>
      </w:r>
      <w:r w:rsidR="00EF4B15">
        <w:t xml:space="preserve"> </w:t>
      </w:r>
      <w:r w:rsidR="008A51E4">
        <w:t>Lim then argues that Joh</w:t>
      </w:r>
      <w:r w:rsidR="00EA569C">
        <w:t>n</w:t>
      </w:r>
      <w:r w:rsidR="008A51E4">
        <w:t xml:space="preserve"> portrays Jesus as a dynamic character and it is crucial to understand </w:t>
      </w:r>
      <w:r w:rsidR="00247942">
        <w:t>Jesus’</w:t>
      </w:r>
      <w:r w:rsidR="008A51E4">
        <w:t xml:space="preserve"> identity </w:t>
      </w:r>
      <w:r w:rsidR="00247942">
        <w:t xml:space="preserve">as two-fold. Ontologically he </w:t>
      </w:r>
      <w:r w:rsidR="00EA569C">
        <w:t xml:space="preserve">is </w:t>
      </w:r>
      <w:r w:rsidR="00247942">
        <w:t>depicted as being between heaven and earth, socially he is both Jew and Galilean, and finally he is both ruled</w:t>
      </w:r>
      <w:r w:rsidR="00C3466C">
        <w:t xml:space="preserve"> and ruler.</w:t>
      </w:r>
      <w:r w:rsidR="00053BB4">
        <w:rPr>
          <w:rStyle w:val="FootnoteReference"/>
        </w:rPr>
        <w:footnoteReference w:id="16"/>
      </w:r>
      <w:r w:rsidR="00C3466C">
        <w:t xml:space="preserve"> </w:t>
      </w:r>
      <w:r w:rsidR="00311D58" w:rsidRPr="000864E3">
        <w:t xml:space="preserve">Understanding this duality </w:t>
      </w:r>
      <w:r w:rsidR="009010DD" w:rsidRPr="000864E3">
        <w:t>of Jesus</w:t>
      </w:r>
      <w:r w:rsidR="000864E3">
        <w:t xml:space="preserve"> therefore</w:t>
      </w:r>
      <w:r w:rsidR="009010DD" w:rsidRPr="000864E3">
        <w:t xml:space="preserve"> may be difficult for some such as Nicodemus as</w:t>
      </w:r>
      <w:r w:rsidR="002F10A5" w:rsidRPr="000864E3">
        <w:t xml:space="preserve"> Jesus often taught in parables.</w:t>
      </w:r>
      <w:r w:rsidR="009010DD" w:rsidRPr="000864E3">
        <w:t xml:space="preserve"> </w:t>
      </w:r>
      <w:r w:rsidR="002F10A5" w:rsidRPr="000864E3">
        <w:t xml:space="preserve">A parable </w:t>
      </w:r>
      <w:r w:rsidR="0024348F" w:rsidRPr="000864E3">
        <w:t xml:space="preserve">can be </w:t>
      </w:r>
      <w:r w:rsidR="00EB1509" w:rsidRPr="000864E3">
        <w:t>defined</w:t>
      </w:r>
      <w:r w:rsidR="0024348F" w:rsidRPr="000864E3">
        <w:t xml:space="preserve"> as a</w:t>
      </w:r>
      <w:r w:rsidR="002F10A5" w:rsidRPr="000864E3">
        <w:t xml:space="preserve"> story which is </w:t>
      </w:r>
      <w:r w:rsidR="00D17B13" w:rsidRPr="000864E3">
        <w:t xml:space="preserve">used intentionally </w:t>
      </w:r>
      <w:r w:rsidR="00EB1509" w:rsidRPr="000864E3">
        <w:t>and</w:t>
      </w:r>
      <w:r w:rsidR="00D17B13" w:rsidRPr="000864E3">
        <w:t xml:space="preserve"> </w:t>
      </w:r>
      <w:r w:rsidR="00BE5333" w:rsidRPr="000864E3">
        <w:t>hold</w:t>
      </w:r>
      <w:r w:rsidR="00EB1509" w:rsidRPr="000864E3">
        <w:t>s</w:t>
      </w:r>
      <w:r w:rsidR="00BE5333" w:rsidRPr="000864E3">
        <w:t xml:space="preserve"> a signi</w:t>
      </w:r>
      <w:r w:rsidR="002A6004" w:rsidRPr="000864E3">
        <w:t>fied meaning</w:t>
      </w:r>
      <w:r w:rsidR="00714803" w:rsidRPr="000864E3">
        <w:rPr>
          <w:rStyle w:val="FootnoteReference"/>
        </w:rPr>
        <w:footnoteReference w:id="17"/>
      </w:r>
      <w:r w:rsidR="002A6004" w:rsidRPr="000864E3">
        <w:t>.</w:t>
      </w:r>
      <w:r w:rsidR="002A6004">
        <w:t xml:space="preserve"> </w:t>
      </w:r>
      <w:r w:rsidR="0007564B">
        <w:t>When quoting Isiah</w:t>
      </w:r>
      <w:r w:rsidR="00472D90">
        <w:t xml:space="preserve"> within Matthew</w:t>
      </w:r>
      <w:r w:rsidR="0007564B">
        <w:t xml:space="preserve"> he explains that the disciples are able to understand the parables, however there are those</w:t>
      </w:r>
      <w:r w:rsidR="00B17D02">
        <w:t xml:space="preserve">, </w:t>
      </w:r>
    </w:p>
    <w:p w14:paraId="08198EEB" w14:textId="598923AB" w:rsidR="00B17D02" w:rsidRDefault="000A49A6" w:rsidP="00B17D02">
      <w:pPr>
        <w:ind w:left="720"/>
      </w:pPr>
      <w:r>
        <w:t xml:space="preserve">You will indeed listen but never understand, and you will indeed look but never perceive. For this </w:t>
      </w:r>
      <w:proofErr w:type="gramStart"/>
      <w:r>
        <w:t>peoples</w:t>
      </w:r>
      <w:proofErr w:type="gramEnd"/>
      <w:r>
        <w:t xml:space="preserve"> heart has grown dull, and their ears are hard of hearing, and they have shut their eyes</w:t>
      </w:r>
      <w:r w:rsidR="00D30CC1">
        <w:t>, so that they might not look with their eyes, and hear with their ears</w:t>
      </w:r>
      <w:r w:rsidR="008E579B">
        <w:t xml:space="preserve">. </w:t>
      </w:r>
      <w:r w:rsidR="00D30CC1">
        <w:t>(Mat</w:t>
      </w:r>
      <w:r w:rsidR="008E579B">
        <w:t xml:space="preserve"> </w:t>
      </w:r>
      <w:r w:rsidR="00D30CC1">
        <w:t>13:</w:t>
      </w:r>
      <w:r w:rsidR="00E50FA5">
        <w:t>14-15)</w:t>
      </w:r>
    </w:p>
    <w:p w14:paraId="0A8AE69A" w14:textId="65AA106F" w:rsidR="003B6566" w:rsidRDefault="00E50FA5">
      <w:r>
        <w:t xml:space="preserve">Reading </w:t>
      </w:r>
      <w:r w:rsidR="0007564B">
        <w:t>this</w:t>
      </w:r>
      <w:r>
        <w:t xml:space="preserve"> particular scripture</w:t>
      </w:r>
      <w:r w:rsidR="0007564B">
        <w:t xml:space="preserve"> in light of </w:t>
      </w:r>
      <w:r w:rsidR="008E579B">
        <w:t>Lim’s</w:t>
      </w:r>
      <w:r w:rsidR="0007564B">
        <w:t xml:space="preserve"> analysis leaves one to wonder w</w:t>
      </w:r>
      <w:r w:rsidR="00792BCD">
        <w:t>h</w:t>
      </w:r>
      <w:r w:rsidR="0007564B">
        <w:t xml:space="preserve">ether those </w:t>
      </w:r>
      <w:r>
        <w:t xml:space="preserve">that </w:t>
      </w:r>
      <w:r w:rsidR="0007564B">
        <w:t>do not hear or see</w:t>
      </w:r>
      <w:r>
        <w:t xml:space="preserve"> is</w:t>
      </w:r>
      <w:r w:rsidR="0007564B">
        <w:t xml:space="preserve"> because they do not understand </w:t>
      </w:r>
      <w:r w:rsidR="00F56C88">
        <w:t>Jesus’</w:t>
      </w:r>
      <w:r w:rsidR="0007564B">
        <w:t xml:space="preserve"> identity or position within the world. </w:t>
      </w:r>
    </w:p>
    <w:p w14:paraId="1FE5E98B" w14:textId="308B25E0" w:rsidR="00483D1D" w:rsidRDefault="00483D1D">
      <w:r>
        <w:t xml:space="preserve">The intentional ambiguity therefore found within Jesus words is one that is echoed with Douglas </w:t>
      </w:r>
      <w:r w:rsidR="00E5589D">
        <w:t xml:space="preserve">Estes. Estes </w:t>
      </w:r>
      <w:r w:rsidR="00C874B0">
        <w:t xml:space="preserve">finds ambiguity in the way in which </w:t>
      </w:r>
      <w:r w:rsidR="00F56C88">
        <w:t>John’s</w:t>
      </w:r>
      <w:r w:rsidR="00C874B0">
        <w:t xml:space="preserve"> gospel has been understood or interpreted. He does not </w:t>
      </w:r>
      <w:r w:rsidR="00D47F80">
        <w:t>explicitly</w:t>
      </w:r>
      <w:r w:rsidR="00C874B0">
        <w:t xml:space="preserve"> </w:t>
      </w:r>
      <w:r w:rsidR="009447E4">
        <w:t xml:space="preserve">call the text ambiguous but his questions surrounding it leads one to understand he does not wish to </w:t>
      </w:r>
      <w:r w:rsidR="00D47F80">
        <w:t>discount other ways of understanding the gospel of John.</w:t>
      </w:r>
      <w:r w:rsidR="00D47F80">
        <w:rPr>
          <w:rStyle w:val="FootnoteReference"/>
        </w:rPr>
        <w:footnoteReference w:id="18"/>
      </w:r>
      <w:r w:rsidR="00D47F80">
        <w:t xml:space="preserve"> </w:t>
      </w:r>
      <w:r w:rsidR="00CA7118">
        <w:t>Estes p</w:t>
      </w:r>
      <w:r w:rsidR="00D40E30">
        <w:t>ur</w:t>
      </w:r>
      <w:r w:rsidR="00CA7118">
        <w:t xml:space="preserve">poses reading John through the </w:t>
      </w:r>
      <w:r w:rsidR="00D40E30">
        <w:t>lens</w:t>
      </w:r>
      <w:r w:rsidR="00CA7118">
        <w:t xml:space="preserve"> of a paradox. A paradox simply described as a remarkable claim that seems contradictory or illogical</w:t>
      </w:r>
      <w:r w:rsidR="000B1797">
        <w:t>.</w:t>
      </w:r>
      <w:r w:rsidR="000B1797">
        <w:rPr>
          <w:rStyle w:val="FootnoteReference"/>
        </w:rPr>
        <w:footnoteReference w:id="19"/>
      </w:r>
      <w:r w:rsidR="000B1797">
        <w:t xml:space="preserve"> </w:t>
      </w:r>
      <w:r w:rsidR="005D417B">
        <w:t xml:space="preserve">To understand how paradoxes are found within John Estes examines the first chapter specifically verses one through </w:t>
      </w:r>
      <w:r w:rsidR="00DB026A">
        <w:t>fourteen.</w:t>
      </w:r>
      <w:r w:rsidR="005D417B">
        <w:t xml:space="preserve"> To dis</w:t>
      </w:r>
      <w:r w:rsidR="00C235FB">
        <w:t>s</w:t>
      </w:r>
      <w:r w:rsidR="005D417B">
        <w:t xml:space="preserve">ect and understand what </w:t>
      </w:r>
      <w:r w:rsidR="00902366">
        <w:t>the gospel is conveying in respect of Jesus Estes argues that</w:t>
      </w:r>
      <w:r w:rsidR="00D7142E">
        <w:t xml:space="preserve"> like Lim, </w:t>
      </w:r>
      <w:r w:rsidR="00902366">
        <w:t xml:space="preserve">one must understand the context in which it was written, and understand how those who read it at the time would </w:t>
      </w:r>
      <w:r w:rsidR="00D7142E">
        <w:t>receive it</w:t>
      </w:r>
      <w:r w:rsidR="00902366">
        <w:t xml:space="preserve">. </w:t>
      </w:r>
    </w:p>
    <w:p w14:paraId="04677B41" w14:textId="3EDD5E8F" w:rsidR="00A07572" w:rsidRDefault="00A07572">
      <w:r>
        <w:t>The idea of light in ancient terms would be understood potentially as having three different meanings, firstly</w:t>
      </w:r>
      <w:r w:rsidR="00051463">
        <w:t xml:space="preserve"> literal light such as daylight or artificial light such as a fire</w:t>
      </w:r>
      <w:r>
        <w:t xml:space="preserve">, </w:t>
      </w:r>
      <w:r w:rsidR="00051463">
        <w:t xml:space="preserve">secondly </w:t>
      </w:r>
      <w:r w:rsidR="00531347">
        <w:t xml:space="preserve">as a metaphor </w:t>
      </w:r>
      <w:r w:rsidR="00531347">
        <w:lastRenderedPageBreak/>
        <w:t>to symbolise a divine nature or being, and finally as a though</w:t>
      </w:r>
      <w:r w:rsidR="00767EFB">
        <w:t>t</w:t>
      </w:r>
      <w:r w:rsidR="00531347">
        <w:t xml:space="preserve"> of </w:t>
      </w:r>
      <w:r w:rsidR="00005DAE">
        <w:t>fire leaving one’s eyes to meet with the fire emitted by other light sources in order to see.</w:t>
      </w:r>
      <w:r w:rsidR="00005DAE">
        <w:rPr>
          <w:rStyle w:val="FootnoteReference"/>
        </w:rPr>
        <w:footnoteReference w:id="20"/>
      </w:r>
      <w:r w:rsidR="00005DAE">
        <w:t xml:space="preserve"> </w:t>
      </w:r>
    </w:p>
    <w:p w14:paraId="4E80D82D" w14:textId="1B4D4E09" w:rsidR="00005DAE" w:rsidRDefault="00005DAE">
      <w:r>
        <w:t xml:space="preserve">In contrast </w:t>
      </w:r>
      <w:r w:rsidR="00897B43">
        <w:t>darkness</w:t>
      </w:r>
      <w:r w:rsidR="006E2BF9">
        <w:t xml:space="preserve"> also has three meanings, first being literal night or lack of light, the second metaphorically meaning a blight or despair and </w:t>
      </w:r>
      <w:r w:rsidR="00402247">
        <w:t xml:space="preserve">finally the absence of </w:t>
      </w:r>
      <w:r w:rsidR="00897B43">
        <w:t>emitting</w:t>
      </w:r>
      <w:r w:rsidR="00402247">
        <w:t xml:space="preserve"> light, and the lack of the ability to see</w:t>
      </w:r>
      <w:r w:rsidR="007E25D3">
        <w:t>.</w:t>
      </w:r>
      <w:r w:rsidR="00897B43">
        <w:rPr>
          <w:rStyle w:val="FootnoteReference"/>
        </w:rPr>
        <w:footnoteReference w:id="21"/>
      </w:r>
      <w:r w:rsidR="007E25D3">
        <w:t xml:space="preserve"> </w:t>
      </w:r>
      <w:r w:rsidR="00086060">
        <w:t xml:space="preserve">Therefore in ancient thinking darkness </w:t>
      </w:r>
      <w:r w:rsidR="00B52C8E">
        <w:t>in terms of both</w:t>
      </w:r>
      <w:r w:rsidR="00A3094B">
        <w:t xml:space="preserve"> the</w:t>
      </w:r>
      <w:r w:rsidR="00B52C8E">
        <w:t xml:space="preserve"> literal and metaphorically was inevitable and would eventually come to all. </w:t>
      </w:r>
      <w:r w:rsidR="00251270">
        <w:t xml:space="preserve">The light sources they knew and understood would eventually follow darkness, with sundown each day, and any source of artificial light such as fire, eventually burning out. </w:t>
      </w:r>
      <w:r w:rsidR="0012186C">
        <w:t>Understanding the darkness metaphorically they understood that</w:t>
      </w:r>
      <w:r w:rsidR="00B52C8E">
        <w:t xml:space="preserve"> all people would see death eventually. </w:t>
      </w:r>
    </w:p>
    <w:p w14:paraId="7B192EAD" w14:textId="315776A0" w:rsidR="0012186C" w:rsidRDefault="00D742A9">
      <w:r>
        <w:t xml:space="preserve">With this now being understood one can begin to understand the nature of Jesus that the gospel is portraying from the outset. </w:t>
      </w:r>
    </w:p>
    <w:p w14:paraId="7F77DA57" w14:textId="1CF51BBB" w:rsidR="00626757" w:rsidRDefault="00626757">
      <w:r>
        <w:tab/>
        <w:t xml:space="preserve">In him was life, and the life was the light of all people. The light shines in the darkness and the darkness did not overtake it. </w:t>
      </w:r>
      <w:r w:rsidR="00C10A5E">
        <w:t>There was a man sent from God whos</w:t>
      </w:r>
      <w:r w:rsidR="00DB476A">
        <w:t>e</w:t>
      </w:r>
      <w:r w:rsidR="00C10A5E">
        <w:t xml:space="preserve"> name was John. He came as a witness to testify to the light, so that all might believe through him. He himself was not the light, but he came to testify to the light</w:t>
      </w:r>
      <w:r w:rsidR="008E579B">
        <w:t xml:space="preserve">. </w:t>
      </w:r>
      <w:r w:rsidR="00DB476A">
        <w:t>(</w:t>
      </w:r>
      <w:proofErr w:type="spellStart"/>
      <w:r w:rsidR="00DB476A">
        <w:t>Jhn</w:t>
      </w:r>
      <w:proofErr w:type="spellEnd"/>
      <w:r w:rsidR="008E579B">
        <w:t xml:space="preserve"> </w:t>
      </w:r>
      <w:r w:rsidR="00DB476A">
        <w:t>1:4-8)</w:t>
      </w:r>
    </w:p>
    <w:p w14:paraId="7E119928" w14:textId="4676C663" w:rsidR="00DB476A" w:rsidRDefault="008A74BA">
      <w:r>
        <w:t xml:space="preserve">The paradox found within this scripture is the declaration that </w:t>
      </w:r>
      <w:r w:rsidR="008B5AD5">
        <w:t xml:space="preserve">the light shines in the darkness and the darkness did not overtake it. </w:t>
      </w:r>
      <w:r w:rsidR="00D00813">
        <w:t xml:space="preserve">The gospel acknowledges that </w:t>
      </w:r>
      <w:r w:rsidR="00837997">
        <w:t>there is life or ‘light’ in the world that is comparable to death.</w:t>
      </w:r>
      <w:r w:rsidR="00DD2CD9">
        <w:rPr>
          <w:rStyle w:val="FootnoteReference"/>
        </w:rPr>
        <w:footnoteReference w:id="22"/>
      </w:r>
      <w:r w:rsidR="00837997">
        <w:t xml:space="preserve"> The statement is not in respect of that light, but the light that does not </w:t>
      </w:r>
      <w:r w:rsidR="0082192F">
        <w:t xml:space="preserve">yield to darkness. </w:t>
      </w:r>
      <w:r w:rsidR="008B5AD5">
        <w:t xml:space="preserve">That statement would </w:t>
      </w:r>
      <w:r w:rsidR="00D77C7F">
        <w:t xml:space="preserve">and should be </w:t>
      </w:r>
      <w:r w:rsidR="000418EC">
        <w:t>illogical, however the identity of Jesus is revealed through this in understanding that Jesus is God</w:t>
      </w:r>
      <w:r w:rsidR="00D91B19">
        <w:t>. He was in the beginning with him and without him nothing came into being</w:t>
      </w:r>
      <w:r w:rsidR="008E579B">
        <w:t xml:space="preserve">. </w:t>
      </w:r>
      <w:r w:rsidR="00B146DB">
        <w:t>(</w:t>
      </w:r>
      <w:proofErr w:type="spellStart"/>
      <w:r w:rsidR="00B146DB">
        <w:t>Jhn</w:t>
      </w:r>
      <w:proofErr w:type="spellEnd"/>
      <w:r w:rsidR="008E579B">
        <w:t xml:space="preserve"> </w:t>
      </w:r>
      <w:r w:rsidR="00B146DB">
        <w:t>1:2-3</w:t>
      </w:r>
      <w:r w:rsidR="009953E3">
        <w:t>)</w:t>
      </w:r>
      <w:r w:rsidR="00B146DB">
        <w:t xml:space="preserve"> </w:t>
      </w:r>
      <w:r w:rsidR="009C7D63">
        <w:t xml:space="preserve">Later in John Jesus </w:t>
      </w:r>
      <w:r w:rsidR="00B146DB">
        <w:t>declares this</w:t>
      </w:r>
      <w:r w:rsidR="000C77A8">
        <w:t xml:space="preserve"> himself</w:t>
      </w:r>
      <w:r w:rsidR="00B146DB">
        <w:t xml:space="preserve"> calling himself</w:t>
      </w:r>
      <w:r w:rsidR="000C77A8">
        <w:t xml:space="preserve"> the light of the world</w:t>
      </w:r>
      <w:r w:rsidR="008E579B">
        <w:t xml:space="preserve">. </w:t>
      </w:r>
      <w:r w:rsidR="00D465E2">
        <w:t>(</w:t>
      </w:r>
      <w:proofErr w:type="spellStart"/>
      <w:r w:rsidR="00D465E2">
        <w:t>Jhn</w:t>
      </w:r>
      <w:proofErr w:type="spellEnd"/>
      <w:r w:rsidR="008E579B">
        <w:t xml:space="preserve"> </w:t>
      </w:r>
      <w:r w:rsidR="00D465E2">
        <w:t>8:12)</w:t>
      </w:r>
      <w:r w:rsidR="00DF5D7F">
        <w:t xml:space="preserve"> This statement may be illogical </w:t>
      </w:r>
      <w:r w:rsidR="005519C2">
        <w:t xml:space="preserve">however with the full revelation of scripture that Jesus is said to have rose from the dead, the statement that the light was not overtaken by the darkness </w:t>
      </w:r>
      <w:r w:rsidR="004C3526">
        <w:t>is then supporting the</w:t>
      </w:r>
      <w:r w:rsidR="00C96D8B">
        <w:t>n the introduction and the foundation</w:t>
      </w:r>
      <w:r w:rsidR="00D072A7">
        <w:t xml:space="preserve"> message</w:t>
      </w:r>
      <w:r w:rsidR="00C96D8B">
        <w:t xml:space="preserve"> on which the gospel of John </w:t>
      </w:r>
      <w:r w:rsidR="00D072A7">
        <w:t>is conveying.</w:t>
      </w:r>
      <w:r w:rsidR="00D072A7">
        <w:rPr>
          <w:rStyle w:val="FootnoteReference"/>
        </w:rPr>
        <w:footnoteReference w:id="23"/>
      </w:r>
      <w:r w:rsidR="00D072A7">
        <w:t xml:space="preserve"> </w:t>
      </w:r>
      <w:r w:rsidR="0000078C">
        <w:t>The gospel of John for Estes remains dualistic therefore</w:t>
      </w:r>
      <w:r w:rsidR="009579D1">
        <w:t xml:space="preserve"> </w:t>
      </w:r>
      <w:r w:rsidR="0000078C">
        <w:t xml:space="preserve">in the </w:t>
      </w:r>
      <w:r w:rsidR="00FA48A7">
        <w:t xml:space="preserve">logical </w:t>
      </w:r>
      <w:r w:rsidR="0000078C">
        <w:t>polarising opposite</w:t>
      </w:r>
      <w:r w:rsidR="009579D1">
        <w:t>s</w:t>
      </w:r>
      <w:r w:rsidR="009E1925">
        <w:t xml:space="preserve"> throughout</w:t>
      </w:r>
      <w:r w:rsidR="009579D1">
        <w:t>.</w:t>
      </w:r>
      <w:r w:rsidR="009579D1">
        <w:rPr>
          <w:rStyle w:val="FootnoteReference"/>
        </w:rPr>
        <w:footnoteReference w:id="24"/>
      </w:r>
      <w:r w:rsidR="0000078C">
        <w:t xml:space="preserve"> </w:t>
      </w:r>
      <w:r w:rsidR="009579D1">
        <w:t>The</w:t>
      </w:r>
      <w:r w:rsidR="0000078C">
        <w:t xml:space="preserve"> message </w:t>
      </w:r>
      <w:r w:rsidR="00FA48A7">
        <w:t xml:space="preserve">however </w:t>
      </w:r>
      <w:r w:rsidR="0000078C">
        <w:t xml:space="preserve">is </w:t>
      </w:r>
      <w:r w:rsidR="009579D1">
        <w:t>a paradox which is to be understood t</w:t>
      </w:r>
      <w:r w:rsidR="0027010F">
        <w:t>hat Jesus is God, he is the light</w:t>
      </w:r>
      <w:r w:rsidR="00B24050">
        <w:t xml:space="preserve"> </w:t>
      </w:r>
      <w:r w:rsidR="00DF1B86">
        <w:t xml:space="preserve">both literal and metaphorically understood with the light as sited earlier representing a divine nature. </w:t>
      </w:r>
      <w:r w:rsidR="000A5EF1">
        <w:t xml:space="preserve">The scripture therefore reveals that Jesus literally </w:t>
      </w:r>
      <w:r w:rsidR="00125AEE">
        <w:t>dies as all other people do, however he is not overtaken by the darkness in both</w:t>
      </w:r>
      <w:r w:rsidR="0042647E">
        <w:t xml:space="preserve"> the</w:t>
      </w:r>
      <w:r w:rsidR="00125AEE">
        <w:t xml:space="preserve"> physical death, and his divinity. </w:t>
      </w:r>
    </w:p>
    <w:p w14:paraId="226D95DD" w14:textId="4C2F6A2D" w:rsidR="00B44F09" w:rsidRDefault="00446120">
      <w:r>
        <w:t xml:space="preserve">The introduction of Jesus within the </w:t>
      </w:r>
      <w:r w:rsidR="00177B89">
        <w:t>beginning of John is unique in that it portrays God as entering the world through the embodied form of speech</w:t>
      </w:r>
      <w:r w:rsidR="00BB03F1">
        <w:t>.</w:t>
      </w:r>
      <w:r w:rsidR="008D6CC2">
        <w:rPr>
          <w:rStyle w:val="FootnoteReference"/>
        </w:rPr>
        <w:footnoteReference w:id="25"/>
      </w:r>
      <w:r w:rsidR="00BB03F1">
        <w:t xml:space="preserve"> </w:t>
      </w:r>
      <w:r w:rsidR="00692D8D">
        <w:t>‘In the beginning was the word</w:t>
      </w:r>
      <w:r w:rsidR="00120C03">
        <w:t xml:space="preserve">. </w:t>
      </w:r>
      <w:r w:rsidR="00692D8D">
        <w:t>(</w:t>
      </w:r>
      <w:proofErr w:type="spellStart"/>
      <w:r w:rsidR="00120C03">
        <w:t>J</w:t>
      </w:r>
      <w:r w:rsidR="00692D8D">
        <w:t>hn</w:t>
      </w:r>
      <w:proofErr w:type="spellEnd"/>
      <w:r w:rsidR="00120C03">
        <w:t xml:space="preserve"> </w:t>
      </w:r>
      <w:r w:rsidR="00692D8D">
        <w:t xml:space="preserve">1:1). </w:t>
      </w:r>
      <w:r w:rsidR="0093500C">
        <w:t xml:space="preserve">Deborah Forger argues that the auditory senses are intentionally utilised to reveal Jesus </w:t>
      </w:r>
      <w:r w:rsidR="00597D0E">
        <w:t xml:space="preserve">and they </w:t>
      </w:r>
      <w:r w:rsidR="00597D0E">
        <w:lastRenderedPageBreak/>
        <w:t xml:space="preserve">form a </w:t>
      </w:r>
      <w:r w:rsidR="00FD1234">
        <w:t>pivotal</w:t>
      </w:r>
      <w:r w:rsidR="00597D0E">
        <w:t xml:space="preserve"> but underappreciated role.</w:t>
      </w:r>
      <w:r w:rsidR="00FD1234">
        <w:rPr>
          <w:rStyle w:val="FootnoteReference"/>
        </w:rPr>
        <w:footnoteReference w:id="26"/>
      </w:r>
      <w:r w:rsidR="00597D0E">
        <w:t xml:space="preserve"> This role may </w:t>
      </w:r>
      <w:r w:rsidR="00FD1234">
        <w:t xml:space="preserve">assist in identifying who Jesus is through the gospel of John. </w:t>
      </w:r>
      <w:r w:rsidR="00377987">
        <w:t xml:space="preserve">Forger notes that the recorded miracles found within John </w:t>
      </w:r>
      <w:r w:rsidR="008D01E7">
        <w:t>come about from what Jesus speaks.</w:t>
      </w:r>
      <w:r w:rsidR="008D01E7">
        <w:rPr>
          <w:rStyle w:val="FootnoteReference"/>
        </w:rPr>
        <w:footnoteReference w:id="27"/>
      </w:r>
      <w:r w:rsidR="008D01E7">
        <w:t xml:space="preserve"> Th</w:t>
      </w:r>
      <w:r w:rsidR="000A3FC1">
        <w:t>e idea of speaking things into being is what is found within the creation account within Genesis chapter 1</w:t>
      </w:r>
      <w:r w:rsidR="00120C03">
        <w:t xml:space="preserve">. </w:t>
      </w:r>
      <w:r w:rsidR="00E610CC">
        <w:t>(Gen</w:t>
      </w:r>
      <w:r w:rsidR="00120C03">
        <w:t xml:space="preserve"> </w:t>
      </w:r>
      <w:r w:rsidR="00E610CC">
        <w:t>1)</w:t>
      </w:r>
      <w:r w:rsidR="00120C03">
        <w:t xml:space="preserve"> </w:t>
      </w:r>
      <w:r w:rsidR="003F1746">
        <w:t xml:space="preserve">The corelation between the two does then appear to be significant. Especially when considering that when studying parables </w:t>
      </w:r>
      <w:r w:rsidR="00C90A38">
        <w:t xml:space="preserve">some scholars </w:t>
      </w:r>
      <w:r w:rsidR="009F12CF">
        <w:t xml:space="preserve">believe </w:t>
      </w:r>
      <w:r w:rsidR="00EC36E7">
        <w:t>the stories to be the very words of Jesus and are therefore hearing the very thoughts and mind of God.</w:t>
      </w:r>
      <w:r w:rsidR="00EC36E7">
        <w:rPr>
          <w:rStyle w:val="FootnoteReference"/>
        </w:rPr>
        <w:footnoteReference w:id="28"/>
      </w:r>
      <w:r w:rsidR="00EC36E7">
        <w:t xml:space="preserve"> </w:t>
      </w:r>
      <w:r w:rsidR="00122AE0">
        <w:t>Forger expands on this, she states that speaking forms sounds. Sounds are perce</w:t>
      </w:r>
      <w:r w:rsidR="005824AF">
        <w:t xml:space="preserve">ptible and to be understood, Jesus therefore speaking miracles into being, and God being </w:t>
      </w:r>
      <w:r w:rsidR="001E3E61">
        <w:t>the word is therefore the God of Israel becoming a tangible bodily sense to his people.</w:t>
      </w:r>
      <w:r w:rsidR="001E3E61">
        <w:rPr>
          <w:rStyle w:val="FootnoteReference"/>
        </w:rPr>
        <w:footnoteReference w:id="29"/>
      </w:r>
      <w:r w:rsidR="001E3E61">
        <w:t xml:space="preserve"> God is being able to be perceived</w:t>
      </w:r>
      <w:r w:rsidR="0094272E">
        <w:t xml:space="preserve"> and understood by his people</w:t>
      </w:r>
      <w:r w:rsidR="001148B9">
        <w:t xml:space="preserve"> through Jesus words</w:t>
      </w:r>
      <w:r w:rsidR="0094272E">
        <w:t xml:space="preserve">, this is supported by the gospel of John where it states that </w:t>
      </w:r>
      <w:r w:rsidR="00630142">
        <w:t>‘</w:t>
      </w:r>
      <w:r w:rsidR="00A92A49">
        <w:t>He was in the world, and the world came into being through him</w:t>
      </w:r>
      <w:r w:rsidR="00120C03">
        <w:t xml:space="preserve">. </w:t>
      </w:r>
      <w:r w:rsidR="00A92A49">
        <w:t>(</w:t>
      </w:r>
      <w:proofErr w:type="spellStart"/>
      <w:r w:rsidR="00120C03">
        <w:t>J</w:t>
      </w:r>
      <w:r w:rsidR="00A92A49">
        <w:t>hn</w:t>
      </w:r>
      <w:proofErr w:type="spellEnd"/>
      <w:r w:rsidR="00120C03">
        <w:t xml:space="preserve"> </w:t>
      </w:r>
      <w:r w:rsidR="00A92A49">
        <w:t xml:space="preserve">1:10) As well as </w:t>
      </w:r>
      <w:r w:rsidR="00F12344">
        <w:t>‘And the Word became flesh and lived among us</w:t>
      </w:r>
      <w:r w:rsidR="00120C03">
        <w:t xml:space="preserve">. </w:t>
      </w:r>
      <w:r w:rsidR="00F12344">
        <w:t>(</w:t>
      </w:r>
      <w:proofErr w:type="spellStart"/>
      <w:r w:rsidR="00120C03">
        <w:t>J</w:t>
      </w:r>
      <w:r w:rsidR="00F12344">
        <w:t>hn</w:t>
      </w:r>
      <w:proofErr w:type="spellEnd"/>
      <w:r w:rsidR="00120C03">
        <w:t xml:space="preserve"> </w:t>
      </w:r>
      <w:r w:rsidR="00F12344">
        <w:t>1:14)</w:t>
      </w:r>
    </w:p>
    <w:p w14:paraId="73129A34" w14:textId="7AAE17A2" w:rsidR="00B142F9" w:rsidRDefault="003468FF">
      <w:r>
        <w:t>In conclusion t</w:t>
      </w:r>
      <w:r w:rsidR="004D7989">
        <w:t>he</w:t>
      </w:r>
      <w:r w:rsidR="00C53177">
        <w:t xml:space="preserve">re are many different </w:t>
      </w:r>
      <w:r w:rsidR="00CA766A">
        <w:t xml:space="preserve">views and opinions </w:t>
      </w:r>
      <w:r w:rsidR="00D70A92">
        <w:t xml:space="preserve">from scholars </w:t>
      </w:r>
      <w:r w:rsidR="00092B24">
        <w:t>and authors as to</w:t>
      </w:r>
      <w:r w:rsidR="00CA766A">
        <w:t xml:space="preserve"> what is the correct way to understand the gospel of John. What is apparent </w:t>
      </w:r>
      <w:r w:rsidR="001A7767">
        <w:t>is</w:t>
      </w:r>
      <w:r w:rsidR="00CA766A">
        <w:t xml:space="preserve"> the gospel regardless of </w:t>
      </w:r>
      <w:r w:rsidR="00A00A43">
        <w:t xml:space="preserve">which approach is taken </w:t>
      </w:r>
      <w:r w:rsidR="001A7767">
        <w:t xml:space="preserve">appears to address the same issue. This issue being the nature and identity of Jesus. </w:t>
      </w:r>
      <w:r w:rsidR="004D6DC9">
        <w:t xml:space="preserve">If understood </w:t>
      </w:r>
      <w:r w:rsidR="00923CBA">
        <w:t xml:space="preserve">utilising the duality then one can determine that Jesus is the light in the darkness. As a paradox the understanding develops further </w:t>
      </w:r>
      <w:r w:rsidR="00340DB8">
        <w:t>with respect of what that actually means</w:t>
      </w:r>
      <w:r w:rsidR="001C0067">
        <w:t xml:space="preserve">. Focusing on the language outside of the polarising nature of the text one then can draw on significance in God being the word, </w:t>
      </w:r>
      <w:r w:rsidR="007477B0">
        <w:t>and the identity of Jesus found through the word becoming flesh. From the beginning of John Jesus is introduced as being there at the beginning</w:t>
      </w:r>
      <w:r w:rsidR="00120C03">
        <w:t xml:space="preserve">. </w:t>
      </w:r>
      <w:r w:rsidR="00EE3904">
        <w:t>(</w:t>
      </w:r>
      <w:proofErr w:type="spellStart"/>
      <w:r w:rsidR="00EE3904">
        <w:t>Jhn</w:t>
      </w:r>
      <w:proofErr w:type="spellEnd"/>
      <w:r w:rsidR="00120C03">
        <w:t xml:space="preserve"> </w:t>
      </w:r>
      <w:r w:rsidR="00EE3904">
        <w:t>1:</w:t>
      </w:r>
      <w:r w:rsidR="000515BC">
        <w:t>2</w:t>
      </w:r>
      <w:r w:rsidR="00120C03">
        <w:t>)</w:t>
      </w:r>
      <w:r w:rsidR="007477B0">
        <w:t xml:space="preserve"> He is significant </w:t>
      </w:r>
      <w:r w:rsidR="00EE3904">
        <w:t>in his nature as his claim is to be God in human form</w:t>
      </w:r>
      <w:r w:rsidR="0062121C">
        <w:t xml:space="preserve"> and those who understand this claim and identify with this are said to </w:t>
      </w:r>
      <w:r w:rsidR="00D21BFD">
        <w:t>never walk in darkness and share in the light of life</w:t>
      </w:r>
      <w:r w:rsidR="00120C03">
        <w:t>. (</w:t>
      </w:r>
      <w:proofErr w:type="spellStart"/>
      <w:r w:rsidR="00120C03">
        <w:t>J</w:t>
      </w:r>
      <w:r w:rsidR="00D21BFD">
        <w:t>hn</w:t>
      </w:r>
      <w:proofErr w:type="spellEnd"/>
      <w:r w:rsidR="00120C03">
        <w:t xml:space="preserve"> </w:t>
      </w:r>
      <w:r w:rsidR="00D21BFD">
        <w:t>8:12)</w:t>
      </w:r>
      <w:r w:rsidR="00120C03">
        <w:t xml:space="preserve"> </w:t>
      </w:r>
    </w:p>
    <w:p w14:paraId="15A817DA" w14:textId="4F84FC87" w:rsidR="003468FF" w:rsidRDefault="00B142F9">
      <w:r>
        <w:t xml:space="preserve">Whereas each author will argue their own case for the stance that they take. </w:t>
      </w:r>
      <w:r w:rsidR="00DE7B55">
        <w:t xml:space="preserve">It can </w:t>
      </w:r>
      <w:r w:rsidR="000427ED">
        <w:t xml:space="preserve">be argued that all three which have been examined within this text can all be correct at the same time, as they all complement each other’s work when studying the gospel of John with a view of identifying the nature and significance of Jesus. </w:t>
      </w:r>
    </w:p>
    <w:p w14:paraId="5B91665C" w14:textId="7E496441" w:rsidR="00006809" w:rsidRDefault="00006809">
      <w:r>
        <w:t xml:space="preserve">I have not utilised AI during the writing of this essay, all sources are referenced within the bibliography. </w:t>
      </w:r>
    </w:p>
    <w:p w14:paraId="41C30E1D" w14:textId="2196FFA9" w:rsidR="00006809" w:rsidRDefault="00006809">
      <w:r>
        <w:tab/>
      </w:r>
      <w:r>
        <w:tab/>
      </w:r>
      <w:r>
        <w:tab/>
      </w:r>
      <w:r>
        <w:tab/>
      </w:r>
      <w:r>
        <w:tab/>
      </w:r>
      <w:r>
        <w:tab/>
      </w:r>
      <w:r>
        <w:tab/>
      </w:r>
      <w:r>
        <w:tab/>
      </w:r>
      <w:r>
        <w:tab/>
      </w:r>
      <w:r>
        <w:tab/>
      </w:r>
      <w:r>
        <w:rPr>
          <w:i/>
          <w:iCs/>
        </w:rPr>
        <w:t xml:space="preserve">Word count 1861. </w:t>
      </w:r>
    </w:p>
    <w:p w14:paraId="467A1EE1" w14:textId="77777777" w:rsidR="00006809" w:rsidRDefault="00006809"/>
    <w:p w14:paraId="462AC876" w14:textId="77777777" w:rsidR="00006809" w:rsidRDefault="00006809"/>
    <w:p w14:paraId="6301BDAC" w14:textId="33A6A384" w:rsidR="00006809" w:rsidRDefault="00EE0CB8">
      <w:r>
        <w:lastRenderedPageBreak/>
        <w:t xml:space="preserve">Bibliography </w:t>
      </w:r>
    </w:p>
    <w:p w14:paraId="18FA8208" w14:textId="77777777" w:rsidR="00EE0CB8" w:rsidRDefault="00EE0CB8"/>
    <w:p w14:paraId="0B130B7E" w14:textId="77777777" w:rsidR="00EE0CB8" w:rsidRDefault="00EE0CB8"/>
    <w:p w14:paraId="1E7AAD7F" w14:textId="635EB6A1" w:rsidR="00EE0CB8" w:rsidRPr="00E42947" w:rsidRDefault="00EE0CB8">
      <w:r w:rsidRPr="00E42947">
        <w:t xml:space="preserve">Cook, A. (1980) </w:t>
      </w:r>
      <w:r w:rsidRPr="00E42947">
        <w:rPr>
          <w:i/>
          <w:iCs/>
        </w:rPr>
        <w:t>Myth and Language</w:t>
      </w:r>
      <w:r w:rsidRPr="00E42947">
        <w:t>. Bloomington: Indiana University Press</w:t>
      </w:r>
    </w:p>
    <w:p w14:paraId="7EE4F7BE" w14:textId="77777777" w:rsidR="00EE0CB8" w:rsidRPr="00E42947" w:rsidRDefault="00EE0CB8"/>
    <w:p w14:paraId="15CA6BFE" w14:textId="61EB328C" w:rsidR="00EE0CB8" w:rsidRPr="00E42947" w:rsidRDefault="00EE0CB8">
      <w:r w:rsidRPr="00E42947">
        <w:t xml:space="preserve">Estes, </w:t>
      </w:r>
      <w:r w:rsidRPr="00E42947">
        <w:t xml:space="preserve">Douglas, </w:t>
      </w:r>
      <w:r w:rsidRPr="00E42947">
        <w:t xml:space="preserve">2020. ‘DUALISM OR PARADOX? A NEW “LIGHT” ON THE GOSPEL OF JOHN’, </w:t>
      </w:r>
      <w:r w:rsidRPr="00E42947">
        <w:rPr>
          <w:i/>
          <w:iCs/>
        </w:rPr>
        <w:t>Journal of Theological Studies</w:t>
      </w:r>
      <w:r w:rsidRPr="00E42947">
        <w:t>, 71.1, pp. 90–118, doi:10.1093/</w:t>
      </w:r>
      <w:proofErr w:type="spellStart"/>
      <w:r w:rsidRPr="00E42947">
        <w:t>jts</w:t>
      </w:r>
      <w:proofErr w:type="spellEnd"/>
      <w:r w:rsidRPr="00E42947">
        <w:t>/flz168</w:t>
      </w:r>
    </w:p>
    <w:p w14:paraId="40CF8CE3" w14:textId="77777777" w:rsidR="00006809" w:rsidRPr="00E42947" w:rsidRDefault="00006809"/>
    <w:p w14:paraId="0119DFC1" w14:textId="79F27421" w:rsidR="00EE0CB8" w:rsidRPr="00E42947" w:rsidRDefault="00EE0CB8">
      <w:r w:rsidRPr="00E42947">
        <w:t xml:space="preserve">Forger, </w:t>
      </w:r>
      <w:r w:rsidRPr="00E42947">
        <w:t>Deborah</w:t>
      </w:r>
      <w:r w:rsidRPr="00E42947">
        <w:t xml:space="preserve">2020. ‘Jesus as God’s Word(s): Aurality, Epistemology and Embodiment in the Gospel of John’, </w:t>
      </w:r>
      <w:r w:rsidRPr="00E42947">
        <w:rPr>
          <w:i/>
          <w:iCs/>
        </w:rPr>
        <w:t>Journal for the Study of the New Testament</w:t>
      </w:r>
      <w:r w:rsidRPr="00E42947">
        <w:t xml:space="preserve"> (London, England), 42.3, pp. 274–302, doi:10.1177/0142064X19890489</w:t>
      </w:r>
    </w:p>
    <w:p w14:paraId="7646FCE0" w14:textId="77777777" w:rsidR="00EE0CB8" w:rsidRPr="00E42947" w:rsidRDefault="00EE0CB8"/>
    <w:p w14:paraId="2A5C368E" w14:textId="2EA5A8DF" w:rsidR="00EE0CB8" w:rsidRPr="00E42947" w:rsidRDefault="00EE0CB8">
      <w:r w:rsidRPr="00E42947">
        <w:t xml:space="preserve">John – The Gospel According To, </w:t>
      </w:r>
      <w:hyperlink r:id="rId7" w:history="1">
        <w:r w:rsidRPr="00E42947">
          <w:rPr>
            <w:rStyle w:val="Hyperlink"/>
          </w:rPr>
          <w:t>https://www.bibleodyssey.org/dictionary/john-the-gospel-according-to/</w:t>
        </w:r>
      </w:hyperlink>
      <w:r w:rsidRPr="00E42947">
        <w:t xml:space="preserve"> [Accessed 9</w:t>
      </w:r>
      <w:r w:rsidRPr="00E42947">
        <w:rPr>
          <w:vertAlign w:val="superscript"/>
        </w:rPr>
        <w:t>th</w:t>
      </w:r>
      <w:r w:rsidRPr="00E42947">
        <w:t xml:space="preserve"> July 2026].</w:t>
      </w:r>
    </w:p>
    <w:p w14:paraId="29B4BF66" w14:textId="77777777" w:rsidR="00EE0CB8" w:rsidRPr="00E42947" w:rsidRDefault="00EE0CB8"/>
    <w:p w14:paraId="512CE1B3" w14:textId="77905B4E" w:rsidR="00EE0CB8" w:rsidRPr="00E42947" w:rsidRDefault="00EE0CB8">
      <w:r w:rsidRPr="00E42947">
        <w:t>Lim,</w:t>
      </w:r>
      <w:r w:rsidRPr="00E42947">
        <w:t xml:space="preserve"> Sung Uk</w:t>
      </w:r>
      <w:r w:rsidRPr="00E42947">
        <w:t xml:space="preserve"> 2021. </w:t>
      </w:r>
      <w:r w:rsidRPr="00E42947">
        <w:rPr>
          <w:i/>
          <w:iCs/>
        </w:rPr>
        <w:t>Otherness and Identity in the Gospel of John</w:t>
      </w:r>
      <w:r w:rsidRPr="00E42947">
        <w:t xml:space="preserve"> (Basingstoke: Palgrave Macmillan)</w:t>
      </w:r>
    </w:p>
    <w:p w14:paraId="009ADD11" w14:textId="77777777" w:rsidR="00006809" w:rsidRPr="00E42947" w:rsidRDefault="00006809"/>
    <w:p w14:paraId="61F5E0EE" w14:textId="0C4614AF" w:rsidR="00006809" w:rsidRPr="00E42947" w:rsidRDefault="00EE0CB8">
      <w:r w:rsidRPr="00E42947">
        <w:t xml:space="preserve">Strong, J.D. (2021) </w:t>
      </w:r>
      <w:r w:rsidRPr="00E42947">
        <w:rPr>
          <w:i/>
          <w:iCs/>
        </w:rPr>
        <w:t xml:space="preserve">The Fables of Jesus in the Gospel of Luke </w:t>
      </w:r>
      <w:proofErr w:type="gramStart"/>
      <w:r w:rsidRPr="00E42947">
        <w:rPr>
          <w:i/>
          <w:iCs/>
        </w:rPr>
        <w:t>A</w:t>
      </w:r>
      <w:proofErr w:type="gramEnd"/>
      <w:r w:rsidRPr="00E42947">
        <w:rPr>
          <w:i/>
          <w:iCs/>
        </w:rPr>
        <w:t xml:space="preserve"> New Foundation for the Study of Parables</w:t>
      </w:r>
      <w:r w:rsidRPr="00E42947">
        <w:t>. 1st ed. Paderborn: Brill Deutschland GmbH,</w:t>
      </w:r>
    </w:p>
    <w:p w14:paraId="594147D1" w14:textId="77777777" w:rsidR="00E42947" w:rsidRPr="00E42947" w:rsidRDefault="00E42947"/>
    <w:p w14:paraId="4B7F3E1E" w14:textId="517316AF" w:rsidR="00E42947" w:rsidRPr="00E42947" w:rsidRDefault="00E42947">
      <w:r w:rsidRPr="00E42947">
        <w:t xml:space="preserve">The Holy Bible, NRSV </w:t>
      </w:r>
      <w:r w:rsidRPr="00E42947">
        <w:t>https://www.biblegateway.com/</w:t>
      </w:r>
    </w:p>
    <w:p w14:paraId="41CB37FA" w14:textId="77777777" w:rsidR="00006809" w:rsidRDefault="00006809"/>
    <w:p w14:paraId="2F5C2E36" w14:textId="77777777" w:rsidR="00006809" w:rsidRDefault="00006809"/>
    <w:p w14:paraId="1BE1B02C" w14:textId="77777777" w:rsidR="00006809" w:rsidRDefault="00006809"/>
    <w:p w14:paraId="22182786" w14:textId="77777777" w:rsidR="00006809" w:rsidRDefault="00006809"/>
    <w:p w14:paraId="0850017B" w14:textId="77777777" w:rsidR="00006809" w:rsidRDefault="00006809"/>
    <w:p w14:paraId="6AA5DD72" w14:textId="77777777" w:rsidR="00006809" w:rsidRDefault="00006809"/>
    <w:p w14:paraId="7B0A67B3" w14:textId="77777777" w:rsidR="00006809" w:rsidRDefault="00006809"/>
    <w:p w14:paraId="059C1D99" w14:textId="77777777" w:rsidR="00006809" w:rsidRDefault="00006809"/>
    <w:p w14:paraId="0A5B9039" w14:textId="77777777" w:rsidR="00006809" w:rsidRDefault="00006809"/>
    <w:p w14:paraId="451C4845" w14:textId="77777777" w:rsidR="00006809" w:rsidRDefault="00006809"/>
    <w:p w14:paraId="41C1FAD0" w14:textId="77777777" w:rsidR="00006809" w:rsidRDefault="00006809"/>
    <w:p w14:paraId="603B9624" w14:textId="77777777" w:rsidR="00006809" w:rsidRDefault="00006809"/>
    <w:p w14:paraId="1CD051F1" w14:textId="77777777" w:rsidR="00006809" w:rsidRDefault="00006809"/>
    <w:p w14:paraId="1788090F" w14:textId="77777777" w:rsidR="00006809" w:rsidRDefault="00006809"/>
    <w:p w14:paraId="4976B451" w14:textId="77777777" w:rsidR="00006809" w:rsidRDefault="00006809"/>
    <w:p w14:paraId="47DB67D6" w14:textId="77777777" w:rsidR="00006809" w:rsidRDefault="00006809"/>
    <w:p w14:paraId="672946D4" w14:textId="77777777" w:rsidR="00006809" w:rsidRDefault="00006809"/>
    <w:p w14:paraId="513F81EE" w14:textId="77777777" w:rsidR="00006809" w:rsidRDefault="00006809"/>
    <w:p w14:paraId="1BD113FE" w14:textId="77777777" w:rsidR="00006809" w:rsidRDefault="00006809"/>
    <w:p w14:paraId="656D9167" w14:textId="77777777" w:rsidR="00006809" w:rsidRDefault="00006809"/>
    <w:p w14:paraId="5F29FDEC" w14:textId="77777777" w:rsidR="00006809" w:rsidRPr="00006809" w:rsidRDefault="00006809"/>
    <w:sectPr w:rsidR="00006809" w:rsidRPr="000068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A46DF" w14:textId="77777777" w:rsidR="00415A28" w:rsidRDefault="00415A28" w:rsidP="00020693">
      <w:pPr>
        <w:spacing w:after="0" w:line="240" w:lineRule="auto"/>
      </w:pPr>
      <w:r>
        <w:separator/>
      </w:r>
    </w:p>
  </w:endnote>
  <w:endnote w:type="continuationSeparator" w:id="0">
    <w:p w14:paraId="07159F2B" w14:textId="77777777" w:rsidR="00415A28" w:rsidRDefault="00415A28" w:rsidP="00020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B5AAD" w14:textId="77777777" w:rsidR="00415A28" w:rsidRDefault="00415A28" w:rsidP="00020693">
      <w:pPr>
        <w:spacing w:after="0" w:line="240" w:lineRule="auto"/>
      </w:pPr>
      <w:r>
        <w:separator/>
      </w:r>
    </w:p>
  </w:footnote>
  <w:footnote w:type="continuationSeparator" w:id="0">
    <w:p w14:paraId="7EE76709" w14:textId="77777777" w:rsidR="00415A28" w:rsidRDefault="00415A28" w:rsidP="00020693">
      <w:pPr>
        <w:spacing w:after="0" w:line="240" w:lineRule="auto"/>
      </w:pPr>
      <w:r>
        <w:continuationSeparator/>
      </w:r>
    </w:p>
  </w:footnote>
  <w:footnote w:id="1">
    <w:p w14:paraId="13044084" w14:textId="5F24F6E0" w:rsidR="00E76380" w:rsidRPr="005A3F3E" w:rsidRDefault="00E76380">
      <w:pPr>
        <w:pStyle w:val="FootnoteText"/>
      </w:pPr>
      <w:r w:rsidRPr="005A3F3E">
        <w:rPr>
          <w:rStyle w:val="FootnoteReference"/>
        </w:rPr>
        <w:footnoteRef/>
      </w:r>
      <w:r w:rsidRPr="005A3F3E">
        <w:t xml:space="preserve"> </w:t>
      </w:r>
      <w:r w:rsidR="00006809" w:rsidRPr="005A3F3E">
        <w:t xml:space="preserve">Douglas </w:t>
      </w:r>
      <w:r w:rsidRPr="005A3F3E">
        <w:t>Estes,</w:t>
      </w:r>
      <w:r w:rsidR="00006809" w:rsidRPr="005A3F3E">
        <w:t xml:space="preserve"> </w:t>
      </w:r>
      <w:r w:rsidRPr="005A3F3E">
        <w:t xml:space="preserve">2020. ‘DUALISM OR PARADOX? A NEW “LIGHT” ON THE GOSPEL OF JOHN’, </w:t>
      </w:r>
      <w:r w:rsidRPr="005A3F3E">
        <w:rPr>
          <w:i/>
          <w:iCs/>
        </w:rPr>
        <w:t>Journal of Theological Studies</w:t>
      </w:r>
      <w:r w:rsidRPr="005A3F3E">
        <w:t>, 71.1, pp. 90–118, doi:10.1093/</w:t>
      </w:r>
      <w:proofErr w:type="spellStart"/>
      <w:r w:rsidRPr="005A3F3E">
        <w:t>jts</w:t>
      </w:r>
      <w:proofErr w:type="spellEnd"/>
      <w:r w:rsidRPr="005A3F3E">
        <w:t>/flz168 p. 117.</w:t>
      </w:r>
    </w:p>
  </w:footnote>
  <w:footnote w:id="2">
    <w:p w14:paraId="2744F312" w14:textId="7F71C85B" w:rsidR="00020693" w:rsidRPr="005A3F3E" w:rsidRDefault="00020693" w:rsidP="00020693">
      <w:pPr>
        <w:rPr>
          <w:sz w:val="20"/>
          <w:szCs w:val="20"/>
        </w:rPr>
      </w:pPr>
      <w:r w:rsidRPr="005A3F3E">
        <w:rPr>
          <w:rStyle w:val="FootnoteReference"/>
          <w:sz w:val="20"/>
          <w:szCs w:val="20"/>
        </w:rPr>
        <w:footnoteRef/>
      </w:r>
      <w:r w:rsidRPr="005A3F3E">
        <w:rPr>
          <w:sz w:val="20"/>
          <w:szCs w:val="20"/>
        </w:rPr>
        <w:t xml:space="preserve"> </w:t>
      </w:r>
      <w:r w:rsidR="00006809" w:rsidRPr="005A3F3E">
        <w:rPr>
          <w:sz w:val="20"/>
          <w:szCs w:val="20"/>
        </w:rPr>
        <w:t xml:space="preserve">Sung Uk </w:t>
      </w:r>
      <w:r w:rsidRPr="005A3F3E">
        <w:rPr>
          <w:sz w:val="20"/>
          <w:szCs w:val="20"/>
        </w:rPr>
        <w:t xml:space="preserve">Lim,2021. </w:t>
      </w:r>
      <w:r w:rsidRPr="005A3F3E">
        <w:rPr>
          <w:i/>
          <w:iCs/>
          <w:sz w:val="20"/>
          <w:szCs w:val="20"/>
        </w:rPr>
        <w:t>Otherness and Identity in the Gospel of John</w:t>
      </w:r>
      <w:r w:rsidRPr="005A3F3E">
        <w:rPr>
          <w:sz w:val="20"/>
          <w:szCs w:val="20"/>
        </w:rPr>
        <w:t xml:space="preserve"> (Basingstoke: Palgrave Macmillan) p. 37. </w:t>
      </w:r>
    </w:p>
  </w:footnote>
  <w:footnote w:id="3">
    <w:p w14:paraId="27F1F2F0" w14:textId="4CC2046D" w:rsidR="00C95836" w:rsidRPr="005A3F3E" w:rsidRDefault="00C95836" w:rsidP="00C95836">
      <w:pPr>
        <w:rPr>
          <w:sz w:val="20"/>
          <w:szCs w:val="20"/>
        </w:rPr>
      </w:pPr>
      <w:r w:rsidRPr="005A3F3E">
        <w:rPr>
          <w:rStyle w:val="FootnoteReference"/>
          <w:sz w:val="20"/>
          <w:szCs w:val="20"/>
        </w:rPr>
        <w:footnoteRef/>
      </w:r>
      <w:r w:rsidRPr="005A3F3E">
        <w:rPr>
          <w:sz w:val="20"/>
          <w:szCs w:val="20"/>
        </w:rPr>
        <w:t xml:space="preserve"> John – The Gospel According To, </w:t>
      </w:r>
      <w:hyperlink r:id="rId1" w:history="1">
        <w:r w:rsidRPr="005A3F3E">
          <w:rPr>
            <w:rStyle w:val="Hyperlink"/>
            <w:sz w:val="20"/>
            <w:szCs w:val="20"/>
          </w:rPr>
          <w:t>https://www.bibleodyssey.org/dictionary/john-the-gospel-according-to/</w:t>
        </w:r>
      </w:hyperlink>
      <w:r w:rsidRPr="005A3F3E">
        <w:rPr>
          <w:sz w:val="20"/>
          <w:szCs w:val="20"/>
        </w:rPr>
        <w:t xml:space="preserve"> [Accessed 9</w:t>
      </w:r>
      <w:r w:rsidRPr="005A3F3E">
        <w:rPr>
          <w:sz w:val="20"/>
          <w:szCs w:val="20"/>
          <w:vertAlign w:val="superscript"/>
        </w:rPr>
        <w:t>th</w:t>
      </w:r>
      <w:r w:rsidRPr="005A3F3E">
        <w:rPr>
          <w:sz w:val="20"/>
          <w:szCs w:val="20"/>
        </w:rPr>
        <w:t xml:space="preserve"> July 2026]. </w:t>
      </w:r>
    </w:p>
  </w:footnote>
  <w:footnote w:id="4">
    <w:p w14:paraId="4214D1C3" w14:textId="477BEA6E" w:rsidR="00965564" w:rsidRPr="005A3F3E" w:rsidRDefault="00965564" w:rsidP="00965564">
      <w:pPr>
        <w:rPr>
          <w:sz w:val="20"/>
          <w:szCs w:val="20"/>
        </w:rPr>
      </w:pPr>
      <w:r w:rsidRPr="005A3F3E">
        <w:rPr>
          <w:rStyle w:val="FootnoteReference"/>
          <w:sz w:val="20"/>
          <w:szCs w:val="20"/>
        </w:rPr>
        <w:footnoteRef/>
      </w:r>
      <w:r w:rsidRPr="005A3F3E">
        <w:rPr>
          <w:sz w:val="20"/>
          <w:szCs w:val="20"/>
        </w:rPr>
        <w:t xml:space="preserve"> </w:t>
      </w:r>
      <w:r w:rsidR="00006809" w:rsidRPr="005A3F3E">
        <w:rPr>
          <w:sz w:val="20"/>
          <w:szCs w:val="20"/>
        </w:rPr>
        <w:t xml:space="preserve">Sung Uk </w:t>
      </w:r>
      <w:r w:rsidRPr="005A3F3E">
        <w:rPr>
          <w:sz w:val="20"/>
          <w:szCs w:val="20"/>
        </w:rPr>
        <w:t xml:space="preserve">Lim, 2021. </w:t>
      </w:r>
      <w:r w:rsidRPr="005A3F3E">
        <w:rPr>
          <w:i/>
          <w:iCs/>
          <w:sz w:val="20"/>
          <w:szCs w:val="20"/>
        </w:rPr>
        <w:t>Otherness and Identity in the Gospel of John</w:t>
      </w:r>
      <w:r w:rsidRPr="005A3F3E">
        <w:rPr>
          <w:sz w:val="20"/>
          <w:szCs w:val="20"/>
        </w:rPr>
        <w:t xml:space="preserve"> (Basingstoke: Palgrave Macmillan) p. 37. </w:t>
      </w:r>
    </w:p>
  </w:footnote>
  <w:footnote w:id="5">
    <w:p w14:paraId="221A7B99" w14:textId="631CFB88" w:rsidR="006107B4" w:rsidRPr="005A3F3E" w:rsidRDefault="006107B4" w:rsidP="006107B4">
      <w:pPr>
        <w:rPr>
          <w:sz w:val="20"/>
          <w:szCs w:val="20"/>
        </w:rPr>
      </w:pPr>
      <w:r w:rsidRPr="005A3F3E">
        <w:rPr>
          <w:rStyle w:val="FootnoteReference"/>
          <w:sz w:val="20"/>
          <w:szCs w:val="20"/>
        </w:rPr>
        <w:footnoteRef/>
      </w:r>
      <w:r w:rsidRPr="005A3F3E">
        <w:rPr>
          <w:sz w:val="20"/>
          <w:szCs w:val="20"/>
        </w:rPr>
        <w:t xml:space="preserve"> </w:t>
      </w:r>
      <w:r w:rsidR="003A242B" w:rsidRPr="005A3F3E">
        <w:rPr>
          <w:sz w:val="20"/>
          <w:szCs w:val="20"/>
        </w:rPr>
        <w:t xml:space="preserve">Douglas </w:t>
      </w:r>
      <w:r w:rsidRPr="005A3F3E">
        <w:rPr>
          <w:sz w:val="20"/>
          <w:szCs w:val="20"/>
        </w:rPr>
        <w:t xml:space="preserve">Estes, 2020. ‘DUALISM OR PARADOX? A NEW “LIGHT” ON THE GOSPEL OF JOHN’, </w:t>
      </w:r>
      <w:r w:rsidRPr="005A3F3E">
        <w:rPr>
          <w:i/>
          <w:iCs/>
          <w:sz w:val="20"/>
          <w:szCs w:val="20"/>
        </w:rPr>
        <w:t>Journal of Theological Studies</w:t>
      </w:r>
      <w:r w:rsidRPr="005A3F3E">
        <w:rPr>
          <w:sz w:val="20"/>
          <w:szCs w:val="20"/>
        </w:rPr>
        <w:t xml:space="preserve">, p. 92. </w:t>
      </w:r>
    </w:p>
  </w:footnote>
  <w:footnote w:id="6">
    <w:p w14:paraId="32850C31" w14:textId="7AFA93DC" w:rsidR="00E76380" w:rsidRPr="005A3F3E" w:rsidRDefault="00E76380">
      <w:pPr>
        <w:pStyle w:val="FootnoteText"/>
      </w:pPr>
      <w:r w:rsidRPr="005A3F3E">
        <w:rPr>
          <w:rStyle w:val="FootnoteReference"/>
        </w:rPr>
        <w:footnoteRef/>
      </w:r>
      <w:r w:rsidRPr="005A3F3E">
        <w:t xml:space="preserve"> </w:t>
      </w:r>
      <w:r w:rsidR="005A3F3E" w:rsidRPr="005A3F3E">
        <w:t xml:space="preserve">Ibid. </w:t>
      </w:r>
      <w:r w:rsidRPr="005A3F3E">
        <w:t xml:space="preserve"> p. 94.</w:t>
      </w:r>
    </w:p>
  </w:footnote>
  <w:footnote w:id="7">
    <w:p w14:paraId="6E09F37B" w14:textId="4ECEF8B1" w:rsidR="00020693" w:rsidRPr="005A3F3E" w:rsidRDefault="00020693" w:rsidP="006107B4">
      <w:pPr>
        <w:rPr>
          <w:sz w:val="20"/>
          <w:szCs w:val="20"/>
        </w:rPr>
      </w:pPr>
      <w:r w:rsidRPr="005A3F3E">
        <w:rPr>
          <w:rStyle w:val="FootnoteReference"/>
          <w:sz w:val="20"/>
          <w:szCs w:val="20"/>
        </w:rPr>
        <w:footnoteRef/>
      </w:r>
      <w:r w:rsidRPr="005A3F3E">
        <w:rPr>
          <w:sz w:val="20"/>
          <w:szCs w:val="20"/>
        </w:rPr>
        <w:t xml:space="preserve"> </w:t>
      </w:r>
      <w:r w:rsidR="005A3F3E" w:rsidRPr="005A3F3E">
        <w:rPr>
          <w:sz w:val="20"/>
          <w:szCs w:val="20"/>
        </w:rPr>
        <w:t>Ibid.</w:t>
      </w:r>
      <w:r w:rsidRPr="005A3F3E">
        <w:rPr>
          <w:sz w:val="20"/>
          <w:szCs w:val="20"/>
        </w:rPr>
        <w:t xml:space="preserve"> p. 96. </w:t>
      </w:r>
    </w:p>
  </w:footnote>
  <w:footnote w:id="8">
    <w:p w14:paraId="2B5F3982" w14:textId="6A084E51" w:rsidR="006107B4" w:rsidRPr="005A3F3E" w:rsidRDefault="006107B4" w:rsidP="006107B4">
      <w:pPr>
        <w:rPr>
          <w:sz w:val="20"/>
          <w:szCs w:val="20"/>
        </w:rPr>
      </w:pPr>
      <w:r w:rsidRPr="005A3F3E">
        <w:rPr>
          <w:rStyle w:val="FootnoteReference"/>
          <w:sz w:val="20"/>
          <w:szCs w:val="20"/>
        </w:rPr>
        <w:footnoteRef/>
      </w:r>
      <w:r w:rsidRPr="005A3F3E">
        <w:rPr>
          <w:sz w:val="20"/>
          <w:szCs w:val="20"/>
        </w:rPr>
        <w:t xml:space="preserve"> </w:t>
      </w:r>
      <w:r w:rsidR="005A3F3E" w:rsidRPr="005A3F3E">
        <w:rPr>
          <w:sz w:val="20"/>
          <w:szCs w:val="20"/>
        </w:rPr>
        <w:t>Ibid.</w:t>
      </w:r>
      <w:r w:rsidRPr="005A3F3E">
        <w:rPr>
          <w:sz w:val="20"/>
          <w:szCs w:val="20"/>
        </w:rPr>
        <w:t xml:space="preserve"> p. 92. </w:t>
      </w:r>
    </w:p>
  </w:footnote>
  <w:footnote w:id="9">
    <w:p w14:paraId="3D3FB76C" w14:textId="23ABC844" w:rsidR="00C95836" w:rsidRPr="005A3F3E" w:rsidRDefault="00C95836" w:rsidP="005A3F3E">
      <w:pPr>
        <w:rPr>
          <w:sz w:val="20"/>
          <w:szCs w:val="20"/>
        </w:rPr>
      </w:pPr>
      <w:r w:rsidRPr="005A3F3E">
        <w:rPr>
          <w:rStyle w:val="FootnoteReference"/>
          <w:sz w:val="20"/>
          <w:szCs w:val="20"/>
        </w:rPr>
        <w:footnoteRef/>
      </w:r>
      <w:r w:rsidRPr="005A3F3E">
        <w:rPr>
          <w:sz w:val="20"/>
          <w:szCs w:val="20"/>
        </w:rPr>
        <w:t xml:space="preserve"> </w:t>
      </w:r>
      <w:r w:rsidR="005A3F3E" w:rsidRPr="005A3F3E">
        <w:rPr>
          <w:sz w:val="20"/>
          <w:szCs w:val="20"/>
        </w:rPr>
        <w:t xml:space="preserve">Ibid. </w:t>
      </w:r>
      <w:r w:rsidRPr="005A3F3E">
        <w:rPr>
          <w:sz w:val="20"/>
          <w:szCs w:val="20"/>
        </w:rPr>
        <w:t xml:space="preserve"> p. 92. </w:t>
      </w:r>
    </w:p>
  </w:footnote>
  <w:footnote w:id="10">
    <w:p w14:paraId="7638F08B" w14:textId="34371031" w:rsidR="00D80786" w:rsidRPr="005A3F3E" w:rsidRDefault="00D80786">
      <w:pPr>
        <w:pStyle w:val="FootnoteText"/>
      </w:pPr>
      <w:r w:rsidRPr="005A3F3E">
        <w:rPr>
          <w:rStyle w:val="FootnoteReference"/>
        </w:rPr>
        <w:footnoteRef/>
      </w:r>
      <w:r w:rsidRPr="005A3F3E">
        <w:t xml:space="preserve"> </w:t>
      </w:r>
      <w:r w:rsidR="005A3F3E" w:rsidRPr="005A3F3E">
        <w:t xml:space="preserve">Sung Uk </w:t>
      </w:r>
      <w:r w:rsidRPr="005A3F3E">
        <w:t xml:space="preserve">Lim, 2021. </w:t>
      </w:r>
      <w:r w:rsidRPr="005A3F3E">
        <w:rPr>
          <w:i/>
          <w:iCs/>
        </w:rPr>
        <w:t>Otherness and Identity in the Gospel of John</w:t>
      </w:r>
      <w:r w:rsidRPr="005A3F3E">
        <w:t xml:space="preserve"> (Basingstoke: Palgrave Macmillan) p. 94.</w:t>
      </w:r>
    </w:p>
  </w:footnote>
  <w:footnote w:id="11">
    <w:p w14:paraId="6038F485" w14:textId="2FCC7753" w:rsidR="00B6350D" w:rsidRDefault="00B6350D" w:rsidP="00E50A80">
      <w:r w:rsidRPr="005A3F3E">
        <w:rPr>
          <w:rStyle w:val="FootnoteReference"/>
          <w:sz w:val="20"/>
          <w:szCs w:val="20"/>
        </w:rPr>
        <w:footnoteRef/>
      </w:r>
      <w:r w:rsidRPr="005A3F3E">
        <w:rPr>
          <w:sz w:val="20"/>
          <w:szCs w:val="20"/>
        </w:rPr>
        <w:t xml:space="preserve"> </w:t>
      </w:r>
      <w:r w:rsidR="005A3F3E" w:rsidRPr="005A3F3E">
        <w:rPr>
          <w:sz w:val="20"/>
          <w:szCs w:val="20"/>
        </w:rPr>
        <w:t xml:space="preserve">Ibid. </w:t>
      </w:r>
      <w:r w:rsidR="00E50A80" w:rsidRPr="005A3F3E">
        <w:rPr>
          <w:sz w:val="20"/>
          <w:szCs w:val="20"/>
        </w:rPr>
        <w:t>p. 3</w:t>
      </w:r>
      <w:r w:rsidR="008B759F" w:rsidRPr="005A3F3E">
        <w:rPr>
          <w:sz w:val="20"/>
          <w:szCs w:val="20"/>
        </w:rPr>
        <w:t>6</w:t>
      </w:r>
      <w:r w:rsidR="00E50A80" w:rsidRPr="005A3F3E">
        <w:rPr>
          <w:sz w:val="20"/>
          <w:szCs w:val="20"/>
        </w:rPr>
        <w:t>.</w:t>
      </w:r>
    </w:p>
  </w:footnote>
  <w:footnote w:id="12">
    <w:p w14:paraId="01283B84" w14:textId="2312864E" w:rsidR="00147B9D" w:rsidRPr="005A3F3E" w:rsidRDefault="00147B9D">
      <w:pPr>
        <w:pStyle w:val="FootnoteText"/>
      </w:pPr>
      <w:r w:rsidRPr="005A3F3E">
        <w:rPr>
          <w:rStyle w:val="FootnoteReference"/>
        </w:rPr>
        <w:footnoteRef/>
      </w:r>
      <w:r w:rsidRPr="005A3F3E">
        <w:t xml:space="preserve"> </w:t>
      </w:r>
      <w:r w:rsidR="005A3F3E" w:rsidRPr="005A3F3E">
        <w:t xml:space="preserve">Sung Uk </w:t>
      </w:r>
      <w:r w:rsidRPr="005A3F3E">
        <w:t xml:space="preserve">Lim, 2021. </w:t>
      </w:r>
      <w:r w:rsidRPr="005A3F3E">
        <w:rPr>
          <w:i/>
          <w:iCs/>
        </w:rPr>
        <w:t>Otherness and Identity in the Gospel of John</w:t>
      </w:r>
      <w:r w:rsidRPr="005A3F3E">
        <w:t xml:space="preserve"> (Basingstoke: Palgrave Macmillan) p. 3</w:t>
      </w:r>
      <w:r w:rsidR="008B759F" w:rsidRPr="005A3F3E">
        <w:t>6</w:t>
      </w:r>
      <w:r w:rsidRPr="005A3F3E">
        <w:t>.</w:t>
      </w:r>
    </w:p>
  </w:footnote>
  <w:footnote w:id="13">
    <w:p w14:paraId="1304121A" w14:textId="51113AF8" w:rsidR="00AC2C92" w:rsidRPr="005A3F3E" w:rsidRDefault="00AC2C92">
      <w:pPr>
        <w:pStyle w:val="FootnoteText"/>
      </w:pPr>
      <w:r w:rsidRPr="005A3F3E">
        <w:rPr>
          <w:rStyle w:val="FootnoteReference"/>
        </w:rPr>
        <w:footnoteRef/>
      </w:r>
      <w:r w:rsidRPr="005A3F3E">
        <w:t xml:space="preserve"> </w:t>
      </w:r>
      <w:r w:rsidR="005A3F3E" w:rsidRPr="005A3F3E">
        <w:t xml:space="preserve">Ibid. </w:t>
      </w:r>
      <w:r w:rsidRPr="005A3F3E">
        <w:t>p. 37.</w:t>
      </w:r>
    </w:p>
  </w:footnote>
  <w:footnote w:id="14">
    <w:p w14:paraId="1F989C89" w14:textId="7C93E6FC" w:rsidR="00A6486F" w:rsidRPr="005A3F3E" w:rsidRDefault="00A6486F">
      <w:pPr>
        <w:pStyle w:val="FootnoteText"/>
      </w:pPr>
      <w:r w:rsidRPr="005A3F3E">
        <w:rPr>
          <w:rStyle w:val="FootnoteReference"/>
        </w:rPr>
        <w:footnoteRef/>
      </w:r>
      <w:r w:rsidRPr="005A3F3E">
        <w:t xml:space="preserve"> </w:t>
      </w:r>
      <w:r w:rsidR="005A3F3E" w:rsidRPr="005A3F3E">
        <w:t xml:space="preserve">Ibid. </w:t>
      </w:r>
      <w:r w:rsidRPr="005A3F3E">
        <w:t>p. 37.</w:t>
      </w:r>
    </w:p>
  </w:footnote>
  <w:footnote w:id="15">
    <w:p w14:paraId="4712DC46" w14:textId="040CDD56" w:rsidR="0032389F" w:rsidRPr="005A3F3E" w:rsidRDefault="0032389F">
      <w:pPr>
        <w:pStyle w:val="FootnoteText"/>
      </w:pPr>
      <w:r w:rsidRPr="005A3F3E">
        <w:rPr>
          <w:rStyle w:val="FootnoteReference"/>
        </w:rPr>
        <w:footnoteRef/>
      </w:r>
      <w:r w:rsidRPr="005A3F3E">
        <w:t xml:space="preserve"> </w:t>
      </w:r>
      <w:r w:rsidR="005A3F3E" w:rsidRPr="005A3F3E">
        <w:t xml:space="preserve">Ibid. </w:t>
      </w:r>
      <w:r w:rsidRPr="005A3F3E">
        <w:t>p. 3</w:t>
      </w:r>
      <w:r w:rsidR="00D80786" w:rsidRPr="005A3F3E">
        <w:t>8.</w:t>
      </w:r>
    </w:p>
  </w:footnote>
  <w:footnote w:id="16">
    <w:p w14:paraId="3C1546AD" w14:textId="42991362" w:rsidR="00053BB4" w:rsidRPr="005A3F3E" w:rsidRDefault="00053BB4">
      <w:pPr>
        <w:pStyle w:val="FootnoteText"/>
      </w:pPr>
      <w:r w:rsidRPr="005A3F3E">
        <w:rPr>
          <w:rStyle w:val="FootnoteReference"/>
        </w:rPr>
        <w:footnoteRef/>
      </w:r>
      <w:r w:rsidRPr="005A3F3E">
        <w:t xml:space="preserve"> </w:t>
      </w:r>
      <w:r w:rsidR="005A3F3E" w:rsidRPr="005A3F3E">
        <w:t xml:space="preserve">Ibid. </w:t>
      </w:r>
      <w:r w:rsidRPr="005A3F3E">
        <w:t xml:space="preserve">p. 39. </w:t>
      </w:r>
    </w:p>
  </w:footnote>
  <w:footnote w:id="17">
    <w:p w14:paraId="78375E27" w14:textId="2F74D289" w:rsidR="00714803" w:rsidRPr="005A3F3E" w:rsidRDefault="00714803">
      <w:pPr>
        <w:pStyle w:val="FootnoteText"/>
      </w:pPr>
      <w:r w:rsidRPr="005A3F3E">
        <w:rPr>
          <w:rStyle w:val="FootnoteReference"/>
        </w:rPr>
        <w:footnoteRef/>
      </w:r>
      <w:r w:rsidRPr="005A3F3E">
        <w:t xml:space="preserve"> </w:t>
      </w:r>
      <w:r w:rsidR="00EE0CB8">
        <w:t xml:space="preserve">A. </w:t>
      </w:r>
      <w:r w:rsidR="00BF5B60" w:rsidRPr="005A3F3E">
        <w:t xml:space="preserve">Cook, 1980 </w:t>
      </w:r>
      <w:r w:rsidR="00BF5B60" w:rsidRPr="005A3F3E">
        <w:rPr>
          <w:i/>
          <w:iCs/>
        </w:rPr>
        <w:t>Myth and Language</w:t>
      </w:r>
      <w:r w:rsidR="00BF5B60" w:rsidRPr="005A3F3E">
        <w:t xml:space="preserve">. Bloomington: Indiana University Press p. </w:t>
      </w:r>
      <w:r w:rsidR="00CA56D7" w:rsidRPr="005A3F3E">
        <w:t xml:space="preserve">309. </w:t>
      </w:r>
    </w:p>
  </w:footnote>
  <w:footnote w:id="18">
    <w:p w14:paraId="4D3C1FBC" w14:textId="646D28AA" w:rsidR="00D47F80" w:rsidRPr="005A3F3E" w:rsidRDefault="00D47F80" w:rsidP="000B1797">
      <w:pPr>
        <w:rPr>
          <w:sz w:val="20"/>
          <w:szCs w:val="20"/>
        </w:rPr>
      </w:pPr>
      <w:r w:rsidRPr="005A3F3E">
        <w:rPr>
          <w:rStyle w:val="FootnoteReference"/>
          <w:sz w:val="20"/>
          <w:szCs w:val="20"/>
        </w:rPr>
        <w:footnoteRef/>
      </w:r>
      <w:r w:rsidRPr="005A3F3E">
        <w:rPr>
          <w:sz w:val="20"/>
          <w:szCs w:val="20"/>
        </w:rPr>
        <w:t xml:space="preserve"> </w:t>
      </w:r>
      <w:r w:rsidR="005A3F3E" w:rsidRPr="005A3F3E">
        <w:rPr>
          <w:sz w:val="20"/>
          <w:szCs w:val="20"/>
        </w:rPr>
        <w:t xml:space="preserve">Douglas </w:t>
      </w:r>
      <w:r w:rsidR="0047541F" w:rsidRPr="005A3F3E">
        <w:rPr>
          <w:sz w:val="20"/>
          <w:szCs w:val="20"/>
        </w:rPr>
        <w:t xml:space="preserve">Estes, 2020. ‘DUALISM OR PARADOX? A NEW “LIGHT” ON THE GOSPEL OF JOHN’, </w:t>
      </w:r>
      <w:r w:rsidR="0047541F" w:rsidRPr="005A3F3E">
        <w:rPr>
          <w:i/>
          <w:iCs/>
          <w:sz w:val="20"/>
          <w:szCs w:val="20"/>
        </w:rPr>
        <w:t>Journal of Theological Studies</w:t>
      </w:r>
      <w:r w:rsidR="0047541F" w:rsidRPr="005A3F3E">
        <w:rPr>
          <w:sz w:val="20"/>
          <w:szCs w:val="20"/>
        </w:rPr>
        <w:t>, 71.1, pp. 90–118, doi:10.1093/</w:t>
      </w:r>
      <w:proofErr w:type="spellStart"/>
      <w:r w:rsidR="0047541F" w:rsidRPr="005A3F3E">
        <w:rPr>
          <w:sz w:val="20"/>
          <w:szCs w:val="20"/>
        </w:rPr>
        <w:t>jts</w:t>
      </w:r>
      <w:proofErr w:type="spellEnd"/>
      <w:r w:rsidR="0047541F" w:rsidRPr="005A3F3E">
        <w:rPr>
          <w:sz w:val="20"/>
          <w:szCs w:val="20"/>
        </w:rPr>
        <w:t xml:space="preserve">/flz168 p.92. </w:t>
      </w:r>
    </w:p>
  </w:footnote>
  <w:footnote w:id="19">
    <w:p w14:paraId="749D153E" w14:textId="6BC7B50D" w:rsidR="000B1797" w:rsidRDefault="000B1797">
      <w:pPr>
        <w:pStyle w:val="FootnoteText"/>
      </w:pPr>
      <w:r w:rsidRPr="005A3F3E">
        <w:rPr>
          <w:rStyle w:val="FootnoteReference"/>
        </w:rPr>
        <w:footnoteRef/>
      </w:r>
      <w:r w:rsidRPr="005A3F3E">
        <w:t xml:space="preserve"> </w:t>
      </w:r>
      <w:r w:rsidR="005A3F3E" w:rsidRPr="005A3F3E">
        <w:t xml:space="preserve">Douglas </w:t>
      </w:r>
      <w:r w:rsidRPr="005A3F3E">
        <w:t xml:space="preserve">Estes, 2020. ‘DUALISM OR PARADOX? A NEW “LIGHT” ON THE GOSPEL OF JOHN’, </w:t>
      </w:r>
      <w:r w:rsidRPr="005A3F3E">
        <w:rPr>
          <w:i/>
          <w:iCs/>
        </w:rPr>
        <w:t>Journal of Theological Studies</w:t>
      </w:r>
      <w:r w:rsidRPr="005A3F3E">
        <w:t>, p.98.</w:t>
      </w:r>
    </w:p>
  </w:footnote>
  <w:footnote w:id="20">
    <w:p w14:paraId="42EDD147" w14:textId="50C9850E" w:rsidR="00005DAE" w:rsidRPr="00EE0CB8" w:rsidRDefault="00005DAE">
      <w:pPr>
        <w:pStyle w:val="FootnoteText"/>
      </w:pPr>
      <w:r>
        <w:rPr>
          <w:rStyle w:val="FootnoteReference"/>
        </w:rPr>
        <w:footnoteRef/>
      </w:r>
      <w:r>
        <w:t xml:space="preserve"> </w:t>
      </w:r>
      <w:r w:rsidR="005A3F3E" w:rsidRPr="00EE0CB8">
        <w:t xml:space="preserve">Douglas </w:t>
      </w:r>
      <w:r w:rsidRPr="00EE0CB8">
        <w:t xml:space="preserve">Estes, 2020. ‘DUALISM OR PARADOX? A NEW “LIGHT” ON THE GOSPEL OF JOHN’, </w:t>
      </w:r>
      <w:r w:rsidRPr="00EE0CB8">
        <w:rPr>
          <w:i/>
          <w:iCs/>
        </w:rPr>
        <w:t>Journal of Theological Studies</w:t>
      </w:r>
      <w:r w:rsidRPr="00EE0CB8">
        <w:t>, 71.1, pp. 90–118, doi:10.1093/</w:t>
      </w:r>
      <w:proofErr w:type="spellStart"/>
      <w:r w:rsidRPr="00EE0CB8">
        <w:t>jts</w:t>
      </w:r>
      <w:proofErr w:type="spellEnd"/>
      <w:r w:rsidRPr="00EE0CB8">
        <w:t xml:space="preserve">/flz168 p.110. </w:t>
      </w:r>
    </w:p>
  </w:footnote>
  <w:footnote w:id="21">
    <w:p w14:paraId="7D56CA2C" w14:textId="3B3A4093" w:rsidR="00897B43" w:rsidRPr="00EE0CB8" w:rsidRDefault="00897B43">
      <w:pPr>
        <w:pStyle w:val="FootnoteText"/>
      </w:pPr>
      <w:r w:rsidRPr="00EE0CB8">
        <w:rPr>
          <w:rStyle w:val="FootnoteReference"/>
        </w:rPr>
        <w:footnoteRef/>
      </w:r>
      <w:r w:rsidR="005A3F3E" w:rsidRPr="00EE0CB8">
        <w:t xml:space="preserve">Ibid. </w:t>
      </w:r>
      <w:r w:rsidRPr="00EE0CB8">
        <w:t xml:space="preserve">p.110. </w:t>
      </w:r>
    </w:p>
  </w:footnote>
  <w:footnote w:id="22">
    <w:p w14:paraId="428366F0" w14:textId="2F2904B7" w:rsidR="00DD2CD9" w:rsidRPr="00EE0CB8" w:rsidRDefault="00DD2CD9">
      <w:pPr>
        <w:pStyle w:val="FootnoteText"/>
      </w:pPr>
      <w:r w:rsidRPr="00EE0CB8">
        <w:rPr>
          <w:rStyle w:val="FootnoteReference"/>
        </w:rPr>
        <w:footnoteRef/>
      </w:r>
      <w:r w:rsidR="005A3F3E" w:rsidRPr="00EE0CB8">
        <w:t>Ibid. p</w:t>
      </w:r>
      <w:r w:rsidR="00BB2636" w:rsidRPr="00EE0CB8">
        <w:t>.</w:t>
      </w:r>
      <w:r w:rsidR="00EE0CB8" w:rsidRPr="00EE0CB8">
        <w:t xml:space="preserve"> </w:t>
      </w:r>
      <w:r w:rsidR="00BB2636" w:rsidRPr="00EE0CB8">
        <w:t>111-112.</w:t>
      </w:r>
    </w:p>
  </w:footnote>
  <w:footnote w:id="23">
    <w:p w14:paraId="4F161003" w14:textId="15118418" w:rsidR="00D072A7" w:rsidRPr="00EE0CB8" w:rsidRDefault="00D072A7">
      <w:pPr>
        <w:pStyle w:val="FootnoteText"/>
      </w:pPr>
      <w:r w:rsidRPr="00EE0CB8">
        <w:rPr>
          <w:rStyle w:val="FootnoteReference"/>
        </w:rPr>
        <w:footnoteRef/>
      </w:r>
      <w:r w:rsidR="00EE0CB8" w:rsidRPr="00EE0CB8">
        <w:t xml:space="preserve">Ibid. </w:t>
      </w:r>
      <w:r w:rsidRPr="00EE0CB8">
        <w:t>p.114.</w:t>
      </w:r>
    </w:p>
  </w:footnote>
  <w:footnote w:id="24">
    <w:p w14:paraId="066D5A8B" w14:textId="2F75BB36" w:rsidR="009579D1" w:rsidRPr="00EE0CB8" w:rsidRDefault="009579D1">
      <w:pPr>
        <w:pStyle w:val="FootnoteText"/>
      </w:pPr>
      <w:r w:rsidRPr="00EE0CB8">
        <w:rPr>
          <w:rStyle w:val="FootnoteReference"/>
        </w:rPr>
        <w:footnoteRef/>
      </w:r>
      <w:r w:rsidR="00EE0CB8" w:rsidRPr="00EE0CB8">
        <w:t xml:space="preserve">Ibid. </w:t>
      </w:r>
      <w:r w:rsidRPr="00EE0CB8">
        <w:t>p.112.</w:t>
      </w:r>
    </w:p>
  </w:footnote>
  <w:footnote w:id="25">
    <w:p w14:paraId="6C0BB047" w14:textId="0CA9053E" w:rsidR="008D6CC2" w:rsidRDefault="008D6CC2" w:rsidP="00692D8D">
      <w:r w:rsidRPr="00EE0CB8">
        <w:rPr>
          <w:rStyle w:val="FootnoteReference"/>
          <w:sz w:val="20"/>
          <w:szCs w:val="20"/>
        </w:rPr>
        <w:footnoteRef/>
      </w:r>
      <w:r w:rsidR="00EE0CB8">
        <w:rPr>
          <w:sz w:val="20"/>
          <w:szCs w:val="20"/>
        </w:rPr>
        <w:t xml:space="preserve">Deborah </w:t>
      </w:r>
      <w:proofErr w:type="gramStart"/>
      <w:r w:rsidR="00692D8D" w:rsidRPr="00EE0CB8">
        <w:rPr>
          <w:sz w:val="20"/>
          <w:szCs w:val="20"/>
        </w:rPr>
        <w:t>Forger,</w:t>
      </w:r>
      <w:r w:rsidR="00EE0CB8">
        <w:rPr>
          <w:sz w:val="20"/>
          <w:szCs w:val="20"/>
        </w:rPr>
        <w:t xml:space="preserve"> </w:t>
      </w:r>
      <w:r w:rsidR="00692D8D" w:rsidRPr="00EE0CB8">
        <w:rPr>
          <w:sz w:val="20"/>
          <w:szCs w:val="20"/>
        </w:rPr>
        <w:t xml:space="preserve"> 2020</w:t>
      </w:r>
      <w:proofErr w:type="gramEnd"/>
      <w:r w:rsidR="00692D8D" w:rsidRPr="00EE0CB8">
        <w:rPr>
          <w:sz w:val="20"/>
          <w:szCs w:val="20"/>
        </w:rPr>
        <w:t xml:space="preserve">. ‘Jesus as God’s Word(s): Aurality, Epistemology and Embodiment in the Gospel of John’, </w:t>
      </w:r>
      <w:r w:rsidR="00692D8D" w:rsidRPr="00EE0CB8">
        <w:rPr>
          <w:i/>
          <w:iCs/>
          <w:sz w:val="20"/>
          <w:szCs w:val="20"/>
        </w:rPr>
        <w:t>Journal for the Study of the New Testament</w:t>
      </w:r>
      <w:r w:rsidR="00692D8D" w:rsidRPr="00EE0CB8">
        <w:rPr>
          <w:sz w:val="20"/>
          <w:szCs w:val="20"/>
        </w:rPr>
        <w:t xml:space="preserve"> (London, England), 42.3, pp. 274–302, doi:10.1177/0142064X19890489 p</w:t>
      </w:r>
      <w:r w:rsidR="00EE0CB8" w:rsidRPr="00EE0CB8">
        <w:rPr>
          <w:sz w:val="20"/>
          <w:szCs w:val="20"/>
        </w:rPr>
        <w:t>.</w:t>
      </w:r>
      <w:r w:rsidR="00692D8D" w:rsidRPr="00EE0CB8">
        <w:rPr>
          <w:sz w:val="20"/>
          <w:szCs w:val="20"/>
        </w:rPr>
        <w:t xml:space="preserve"> 276.</w:t>
      </w:r>
      <w:r w:rsidR="00692D8D">
        <w:t xml:space="preserve"> </w:t>
      </w:r>
    </w:p>
  </w:footnote>
  <w:footnote w:id="26">
    <w:p w14:paraId="405EF20F" w14:textId="5B24E1B8" w:rsidR="00FD1234" w:rsidRPr="00EE0CB8" w:rsidRDefault="00FD1234" w:rsidP="00FD1234">
      <w:pPr>
        <w:rPr>
          <w:sz w:val="20"/>
          <w:szCs w:val="20"/>
        </w:rPr>
      </w:pPr>
      <w:r>
        <w:rPr>
          <w:rStyle w:val="FootnoteReference"/>
        </w:rPr>
        <w:footnoteRef/>
      </w:r>
      <w:r>
        <w:t xml:space="preserve"> </w:t>
      </w:r>
      <w:r w:rsidR="00EE0CB8" w:rsidRPr="00EE0CB8">
        <w:rPr>
          <w:sz w:val="20"/>
          <w:szCs w:val="20"/>
        </w:rPr>
        <w:t xml:space="preserve">Deborah </w:t>
      </w:r>
      <w:r w:rsidRPr="00EE0CB8">
        <w:rPr>
          <w:sz w:val="20"/>
          <w:szCs w:val="20"/>
        </w:rPr>
        <w:t xml:space="preserve">Forger, 2020. ‘Jesus as God’s Word(s): Aurality, Epistemology and Embodiment in the Gospel of John’, </w:t>
      </w:r>
      <w:r w:rsidRPr="00EE0CB8">
        <w:rPr>
          <w:i/>
          <w:iCs/>
          <w:sz w:val="20"/>
          <w:szCs w:val="20"/>
        </w:rPr>
        <w:t>Journal for the Study of the New Testament</w:t>
      </w:r>
      <w:r w:rsidRPr="00EE0CB8">
        <w:rPr>
          <w:sz w:val="20"/>
          <w:szCs w:val="20"/>
        </w:rPr>
        <w:t xml:space="preserve"> (London, England), 42.3, pp. 274–302, doi:10.1177/0142064X19890489 p.276. </w:t>
      </w:r>
    </w:p>
  </w:footnote>
  <w:footnote w:id="27">
    <w:p w14:paraId="62D623A8" w14:textId="1E1D1441" w:rsidR="008D01E7" w:rsidRPr="00EE0CB8" w:rsidRDefault="008D01E7" w:rsidP="008D01E7">
      <w:pPr>
        <w:rPr>
          <w:sz w:val="20"/>
          <w:szCs w:val="20"/>
        </w:rPr>
      </w:pPr>
      <w:r w:rsidRPr="00EE0CB8">
        <w:rPr>
          <w:rStyle w:val="FootnoteReference"/>
          <w:sz w:val="20"/>
          <w:szCs w:val="20"/>
        </w:rPr>
        <w:footnoteRef/>
      </w:r>
      <w:r w:rsidRPr="00EE0CB8">
        <w:rPr>
          <w:sz w:val="20"/>
          <w:szCs w:val="20"/>
        </w:rPr>
        <w:t xml:space="preserve"> </w:t>
      </w:r>
      <w:r w:rsidR="00EE0CB8" w:rsidRPr="00EE0CB8">
        <w:rPr>
          <w:sz w:val="20"/>
          <w:szCs w:val="20"/>
        </w:rPr>
        <w:t xml:space="preserve">Deborah </w:t>
      </w:r>
      <w:r w:rsidRPr="00EE0CB8">
        <w:rPr>
          <w:sz w:val="20"/>
          <w:szCs w:val="20"/>
        </w:rPr>
        <w:t xml:space="preserve">Forger, 2020. ‘Jesus as God’s Word(s): Aurality, Epistemology and Embodiment in the Gospel of John’, </w:t>
      </w:r>
      <w:r w:rsidRPr="00EE0CB8">
        <w:rPr>
          <w:i/>
          <w:iCs/>
          <w:sz w:val="20"/>
          <w:szCs w:val="20"/>
        </w:rPr>
        <w:t>Journal for the Study of the New Testament</w:t>
      </w:r>
      <w:r w:rsidRPr="00EE0CB8">
        <w:rPr>
          <w:sz w:val="20"/>
          <w:szCs w:val="20"/>
        </w:rPr>
        <w:t xml:space="preserve"> (London, England), p. 275. </w:t>
      </w:r>
    </w:p>
  </w:footnote>
  <w:footnote w:id="28">
    <w:p w14:paraId="49D7F3FE" w14:textId="33612BB9" w:rsidR="00EC36E7" w:rsidRPr="00EE0CB8" w:rsidRDefault="00EC36E7" w:rsidP="0079102C">
      <w:pPr>
        <w:rPr>
          <w:sz w:val="20"/>
          <w:szCs w:val="20"/>
        </w:rPr>
      </w:pPr>
      <w:r w:rsidRPr="00EE0CB8">
        <w:rPr>
          <w:rStyle w:val="FootnoteReference"/>
          <w:sz w:val="20"/>
          <w:szCs w:val="20"/>
        </w:rPr>
        <w:footnoteRef/>
      </w:r>
      <w:r w:rsidRPr="00EE0CB8">
        <w:rPr>
          <w:sz w:val="20"/>
          <w:szCs w:val="20"/>
        </w:rPr>
        <w:t xml:space="preserve"> </w:t>
      </w:r>
      <w:r w:rsidR="00EE0CB8">
        <w:rPr>
          <w:sz w:val="20"/>
          <w:szCs w:val="20"/>
        </w:rPr>
        <w:t xml:space="preserve">J. D. </w:t>
      </w:r>
      <w:proofErr w:type="gramStart"/>
      <w:r w:rsidR="0079102C" w:rsidRPr="00EE0CB8">
        <w:rPr>
          <w:sz w:val="20"/>
          <w:szCs w:val="20"/>
        </w:rPr>
        <w:t>Strong,  2021</w:t>
      </w:r>
      <w:proofErr w:type="gramEnd"/>
      <w:r w:rsidR="0079102C" w:rsidRPr="00EE0CB8">
        <w:rPr>
          <w:sz w:val="20"/>
          <w:szCs w:val="20"/>
        </w:rPr>
        <w:t xml:space="preserve"> </w:t>
      </w:r>
      <w:r w:rsidR="0079102C" w:rsidRPr="00EE0CB8">
        <w:rPr>
          <w:i/>
          <w:iCs/>
          <w:sz w:val="20"/>
          <w:szCs w:val="20"/>
        </w:rPr>
        <w:t xml:space="preserve">The Fables of Jesus in the Gospel of Luke </w:t>
      </w:r>
      <w:proofErr w:type="gramStart"/>
      <w:r w:rsidR="0079102C" w:rsidRPr="00EE0CB8">
        <w:rPr>
          <w:i/>
          <w:iCs/>
          <w:sz w:val="20"/>
          <w:szCs w:val="20"/>
        </w:rPr>
        <w:t>A</w:t>
      </w:r>
      <w:proofErr w:type="gramEnd"/>
      <w:r w:rsidR="0079102C" w:rsidRPr="00EE0CB8">
        <w:rPr>
          <w:i/>
          <w:iCs/>
          <w:sz w:val="20"/>
          <w:szCs w:val="20"/>
        </w:rPr>
        <w:t xml:space="preserve"> New Foundation for the Study of Parables</w:t>
      </w:r>
      <w:r w:rsidR="0079102C" w:rsidRPr="00EE0CB8">
        <w:rPr>
          <w:sz w:val="20"/>
          <w:szCs w:val="20"/>
        </w:rPr>
        <w:t xml:space="preserve">. 1st ed. Paderborn: Brill Deutschland GmbH, p. 10. </w:t>
      </w:r>
    </w:p>
  </w:footnote>
  <w:footnote w:id="29">
    <w:p w14:paraId="1B738ADA" w14:textId="1D0D4AC5" w:rsidR="001E3E61" w:rsidRDefault="001E3E61" w:rsidP="0094272E">
      <w:r w:rsidRPr="00EE0CB8">
        <w:rPr>
          <w:rStyle w:val="FootnoteReference"/>
          <w:sz w:val="20"/>
          <w:szCs w:val="20"/>
        </w:rPr>
        <w:footnoteRef/>
      </w:r>
      <w:r w:rsidRPr="00EE0CB8">
        <w:rPr>
          <w:sz w:val="20"/>
          <w:szCs w:val="20"/>
        </w:rPr>
        <w:t xml:space="preserve"> </w:t>
      </w:r>
      <w:r w:rsidR="00EE0CB8" w:rsidRPr="00EE0CB8">
        <w:rPr>
          <w:sz w:val="20"/>
          <w:szCs w:val="20"/>
        </w:rPr>
        <w:t xml:space="preserve">Deborah </w:t>
      </w:r>
      <w:r w:rsidR="0094272E" w:rsidRPr="00EE0CB8">
        <w:rPr>
          <w:sz w:val="20"/>
          <w:szCs w:val="20"/>
        </w:rPr>
        <w:t xml:space="preserve">Forger, 2020. ‘Jesus as God’s Word(s): Aurality, Epistemology and Embodiment in the Gospel of John’, </w:t>
      </w:r>
      <w:r w:rsidR="0094272E" w:rsidRPr="00EE0CB8">
        <w:rPr>
          <w:i/>
          <w:iCs/>
          <w:sz w:val="20"/>
          <w:szCs w:val="20"/>
        </w:rPr>
        <w:t>Journal for the Study of the New Testament</w:t>
      </w:r>
      <w:r w:rsidR="0094272E" w:rsidRPr="00EE0CB8">
        <w:rPr>
          <w:sz w:val="20"/>
          <w:szCs w:val="20"/>
        </w:rPr>
        <w:t xml:space="preserve"> (London, England), 42.3, pp. 274–302, doi:10.1177/0142064X19890489 p. 276.</w:t>
      </w:r>
      <w:r w:rsidR="0094272E">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761CCE"/>
    <w:multiLevelType w:val="multilevel"/>
    <w:tmpl w:val="7BAC0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3042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693"/>
    <w:rsid w:val="0000078C"/>
    <w:rsid w:val="00005DAE"/>
    <w:rsid w:val="00006809"/>
    <w:rsid w:val="00020693"/>
    <w:rsid w:val="00025025"/>
    <w:rsid w:val="00025620"/>
    <w:rsid w:val="000332BE"/>
    <w:rsid w:val="00037A10"/>
    <w:rsid w:val="000418EC"/>
    <w:rsid w:val="000427ED"/>
    <w:rsid w:val="00051463"/>
    <w:rsid w:val="000515BC"/>
    <w:rsid w:val="00053BB4"/>
    <w:rsid w:val="0007564B"/>
    <w:rsid w:val="00086060"/>
    <w:rsid w:val="000864E3"/>
    <w:rsid w:val="00092B24"/>
    <w:rsid w:val="000A3FC1"/>
    <w:rsid w:val="000A49A6"/>
    <w:rsid w:val="000A5EF1"/>
    <w:rsid w:val="000A7BB2"/>
    <w:rsid w:val="000B1797"/>
    <w:rsid w:val="000C77A8"/>
    <w:rsid w:val="00113F2E"/>
    <w:rsid w:val="001148B9"/>
    <w:rsid w:val="00120C03"/>
    <w:rsid w:val="0012186C"/>
    <w:rsid w:val="00122AE0"/>
    <w:rsid w:val="00125AEE"/>
    <w:rsid w:val="001327DD"/>
    <w:rsid w:val="00147B9D"/>
    <w:rsid w:val="00177B89"/>
    <w:rsid w:val="001A7767"/>
    <w:rsid w:val="001C0067"/>
    <w:rsid w:val="001E3E61"/>
    <w:rsid w:val="001F1B75"/>
    <w:rsid w:val="001F7450"/>
    <w:rsid w:val="0024348F"/>
    <w:rsid w:val="00247942"/>
    <w:rsid w:val="00251270"/>
    <w:rsid w:val="0027010F"/>
    <w:rsid w:val="002A6004"/>
    <w:rsid w:val="002D4219"/>
    <w:rsid w:val="002F10A5"/>
    <w:rsid w:val="00311D58"/>
    <w:rsid w:val="0032389F"/>
    <w:rsid w:val="003332F3"/>
    <w:rsid w:val="0034016F"/>
    <w:rsid w:val="00340DB8"/>
    <w:rsid w:val="003468FF"/>
    <w:rsid w:val="00377987"/>
    <w:rsid w:val="003A242B"/>
    <w:rsid w:val="003B6566"/>
    <w:rsid w:val="003E4739"/>
    <w:rsid w:val="003F1746"/>
    <w:rsid w:val="003F1AB8"/>
    <w:rsid w:val="00402247"/>
    <w:rsid w:val="00415A28"/>
    <w:rsid w:val="0042647E"/>
    <w:rsid w:val="00446120"/>
    <w:rsid w:val="00472D90"/>
    <w:rsid w:val="0047541F"/>
    <w:rsid w:val="00483D1D"/>
    <w:rsid w:val="004A0365"/>
    <w:rsid w:val="004B3279"/>
    <w:rsid w:val="004B3F98"/>
    <w:rsid w:val="004C3526"/>
    <w:rsid w:val="004D6DC9"/>
    <w:rsid w:val="004D7989"/>
    <w:rsid w:val="00526954"/>
    <w:rsid w:val="00531347"/>
    <w:rsid w:val="005511F8"/>
    <w:rsid w:val="005519C2"/>
    <w:rsid w:val="005824AF"/>
    <w:rsid w:val="00597D0E"/>
    <w:rsid w:val="005A3F3E"/>
    <w:rsid w:val="005B4DEC"/>
    <w:rsid w:val="005D167F"/>
    <w:rsid w:val="005D417B"/>
    <w:rsid w:val="005E23AB"/>
    <w:rsid w:val="006107B4"/>
    <w:rsid w:val="00610CA5"/>
    <w:rsid w:val="0062121C"/>
    <w:rsid w:val="00626757"/>
    <w:rsid w:val="00630142"/>
    <w:rsid w:val="00641910"/>
    <w:rsid w:val="006644A6"/>
    <w:rsid w:val="00665D55"/>
    <w:rsid w:val="00692D8D"/>
    <w:rsid w:val="006E2BF9"/>
    <w:rsid w:val="00714803"/>
    <w:rsid w:val="0073449F"/>
    <w:rsid w:val="007477B0"/>
    <w:rsid w:val="00767EFB"/>
    <w:rsid w:val="00783118"/>
    <w:rsid w:val="0079102C"/>
    <w:rsid w:val="00792BCD"/>
    <w:rsid w:val="007D3056"/>
    <w:rsid w:val="007E25D3"/>
    <w:rsid w:val="007E6CF6"/>
    <w:rsid w:val="0082192F"/>
    <w:rsid w:val="00836B57"/>
    <w:rsid w:val="00837997"/>
    <w:rsid w:val="00843962"/>
    <w:rsid w:val="0087722E"/>
    <w:rsid w:val="008952D8"/>
    <w:rsid w:val="00897B43"/>
    <w:rsid w:val="008A51E4"/>
    <w:rsid w:val="008A74BA"/>
    <w:rsid w:val="008B5AD5"/>
    <w:rsid w:val="008B759F"/>
    <w:rsid w:val="008C3F55"/>
    <w:rsid w:val="008D01E7"/>
    <w:rsid w:val="008D6CC2"/>
    <w:rsid w:val="008E579B"/>
    <w:rsid w:val="009010DD"/>
    <w:rsid w:val="00902366"/>
    <w:rsid w:val="00923CBA"/>
    <w:rsid w:val="0093500C"/>
    <w:rsid w:val="0094272E"/>
    <w:rsid w:val="009447E4"/>
    <w:rsid w:val="009473A8"/>
    <w:rsid w:val="009579D1"/>
    <w:rsid w:val="00965564"/>
    <w:rsid w:val="009953E3"/>
    <w:rsid w:val="009B2DBD"/>
    <w:rsid w:val="009C7D63"/>
    <w:rsid w:val="009D7E9C"/>
    <w:rsid w:val="009E1925"/>
    <w:rsid w:val="009E7913"/>
    <w:rsid w:val="009F12CF"/>
    <w:rsid w:val="00A00A43"/>
    <w:rsid w:val="00A01920"/>
    <w:rsid w:val="00A07572"/>
    <w:rsid w:val="00A15060"/>
    <w:rsid w:val="00A3094B"/>
    <w:rsid w:val="00A6486F"/>
    <w:rsid w:val="00A65B8D"/>
    <w:rsid w:val="00A92A49"/>
    <w:rsid w:val="00AC2C92"/>
    <w:rsid w:val="00AE2D5B"/>
    <w:rsid w:val="00B142F9"/>
    <w:rsid w:val="00B146DB"/>
    <w:rsid w:val="00B17D02"/>
    <w:rsid w:val="00B24050"/>
    <w:rsid w:val="00B44F09"/>
    <w:rsid w:val="00B52C8E"/>
    <w:rsid w:val="00B6350D"/>
    <w:rsid w:val="00BB03F1"/>
    <w:rsid w:val="00BB2636"/>
    <w:rsid w:val="00BE5333"/>
    <w:rsid w:val="00BF5B60"/>
    <w:rsid w:val="00C10A5E"/>
    <w:rsid w:val="00C235FB"/>
    <w:rsid w:val="00C3466C"/>
    <w:rsid w:val="00C37E35"/>
    <w:rsid w:val="00C53177"/>
    <w:rsid w:val="00C62B84"/>
    <w:rsid w:val="00C874B0"/>
    <w:rsid w:val="00C90A38"/>
    <w:rsid w:val="00C92D33"/>
    <w:rsid w:val="00C95836"/>
    <w:rsid w:val="00C96D8B"/>
    <w:rsid w:val="00CA56D7"/>
    <w:rsid w:val="00CA7118"/>
    <w:rsid w:val="00CA766A"/>
    <w:rsid w:val="00D00813"/>
    <w:rsid w:val="00D072A7"/>
    <w:rsid w:val="00D17B13"/>
    <w:rsid w:val="00D21BFD"/>
    <w:rsid w:val="00D30CC1"/>
    <w:rsid w:val="00D40E30"/>
    <w:rsid w:val="00D42596"/>
    <w:rsid w:val="00D465E2"/>
    <w:rsid w:val="00D47F80"/>
    <w:rsid w:val="00D543D0"/>
    <w:rsid w:val="00D70A92"/>
    <w:rsid w:val="00D7142E"/>
    <w:rsid w:val="00D742A9"/>
    <w:rsid w:val="00D77C7F"/>
    <w:rsid w:val="00D80786"/>
    <w:rsid w:val="00D91B19"/>
    <w:rsid w:val="00D939B9"/>
    <w:rsid w:val="00DB026A"/>
    <w:rsid w:val="00DB476A"/>
    <w:rsid w:val="00DD2CD9"/>
    <w:rsid w:val="00DE7B55"/>
    <w:rsid w:val="00DF1B86"/>
    <w:rsid w:val="00DF5D7F"/>
    <w:rsid w:val="00E134F3"/>
    <w:rsid w:val="00E42947"/>
    <w:rsid w:val="00E43EFF"/>
    <w:rsid w:val="00E44FAB"/>
    <w:rsid w:val="00E50A80"/>
    <w:rsid w:val="00E50FA5"/>
    <w:rsid w:val="00E5589D"/>
    <w:rsid w:val="00E610CC"/>
    <w:rsid w:val="00E72D65"/>
    <w:rsid w:val="00E76380"/>
    <w:rsid w:val="00EA569C"/>
    <w:rsid w:val="00EB1509"/>
    <w:rsid w:val="00EC36E7"/>
    <w:rsid w:val="00ED21D3"/>
    <w:rsid w:val="00EE0CB8"/>
    <w:rsid w:val="00EE3904"/>
    <w:rsid w:val="00EF4B15"/>
    <w:rsid w:val="00F10D64"/>
    <w:rsid w:val="00F12344"/>
    <w:rsid w:val="00F41CA0"/>
    <w:rsid w:val="00F56C88"/>
    <w:rsid w:val="00F71A68"/>
    <w:rsid w:val="00FA48A7"/>
    <w:rsid w:val="00FD1234"/>
    <w:rsid w:val="00FF7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5945F"/>
  <w15:chartTrackingRefBased/>
  <w15:docId w15:val="{A4BC6621-6445-4B09-8FBF-7A51CC4F4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693"/>
  </w:style>
  <w:style w:type="paragraph" w:styleId="Heading1">
    <w:name w:val="heading 1"/>
    <w:basedOn w:val="Normal"/>
    <w:next w:val="Normal"/>
    <w:link w:val="Heading1Char"/>
    <w:uiPriority w:val="9"/>
    <w:qFormat/>
    <w:rsid w:val="000206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206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06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206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06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06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06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06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06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6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206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206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06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06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06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06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06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0693"/>
    <w:rPr>
      <w:rFonts w:eastAsiaTheme="majorEastAsia" w:cstheme="majorBidi"/>
      <w:color w:val="272727" w:themeColor="text1" w:themeTint="D8"/>
    </w:rPr>
  </w:style>
  <w:style w:type="paragraph" w:styleId="Title">
    <w:name w:val="Title"/>
    <w:basedOn w:val="Normal"/>
    <w:next w:val="Normal"/>
    <w:link w:val="TitleChar"/>
    <w:uiPriority w:val="10"/>
    <w:qFormat/>
    <w:rsid w:val="000206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06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06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06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0693"/>
    <w:pPr>
      <w:spacing w:before="160"/>
      <w:jc w:val="center"/>
    </w:pPr>
    <w:rPr>
      <w:i/>
      <w:iCs/>
      <w:color w:val="404040" w:themeColor="text1" w:themeTint="BF"/>
    </w:rPr>
  </w:style>
  <w:style w:type="character" w:customStyle="1" w:styleId="QuoteChar">
    <w:name w:val="Quote Char"/>
    <w:basedOn w:val="DefaultParagraphFont"/>
    <w:link w:val="Quote"/>
    <w:uiPriority w:val="29"/>
    <w:rsid w:val="00020693"/>
    <w:rPr>
      <w:i/>
      <w:iCs/>
      <w:color w:val="404040" w:themeColor="text1" w:themeTint="BF"/>
    </w:rPr>
  </w:style>
  <w:style w:type="paragraph" w:styleId="ListParagraph">
    <w:name w:val="List Paragraph"/>
    <w:basedOn w:val="Normal"/>
    <w:uiPriority w:val="34"/>
    <w:qFormat/>
    <w:rsid w:val="00020693"/>
    <w:pPr>
      <w:ind w:left="720"/>
      <w:contextualSpacing/>
    </w:pPr>
  </w:style>
  <w:style w:type="character" w:styleId="IntenseEmphasis">
    <w:name w:val="Intense Emphasis"/>
    <w:basedOn w:val="DefaultParagraphFont"/>
    <w:uiPriority w:val="21"/>
    <w:qFormat/>
    <w:rsid w:val="00020693"/>
    <w:rPr>
      <w:i/>
      <w:iCs/>
      <w:color w:val="2F5496" w:themeColor="accent1" w:themeShade="BF"/>
    </w:rPr>
  </w:style>
  <w:style w:type="paragraph" w:styleId="IntenseQuote">
    <w:name w:val="Intense Quote"/>
    <w:basedOn w:val="Normal"/>
    <w:next w:val="Normal"/>
    <w:link w:val="IntenseQuoteChar"/>
    <w:uiPriority w:val="30"/>
    <w:qFormat/>
    <w:rsid w:val="000206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0693"/>
    <w:rPr>
      <w:i/>
      <w:iCs/>
      <w:color w:val="2F5496" w:themeColor="accent1" w:themeShade="BF"/>
    </w:rPr>
  </w:style>
  <w:style w:type="character" w:styleId="IntenseReference">
    <w:name w:val="Intense Reference"/>
    <w:basedOn w:val="DefaultParagraphFont"/>
    <w:uiPriority w:val="32"/>
    <w:qFormat/>
    <w:rsid w:val="00020693"/>
    <w:rPr>
      <w:b/>
      <w:bCs/>
      <w:smallCaps/>
      <w:color w:val="2F5496" w:themeColor="accent1" w:themeShade="BF"/>
      <w:spacing w:val="5"/>
    </w:rPr>
  </w:style>
  <w:style w:type="paragraph" w:styleId="FootnoteText">
    <w:name w:val="footnote text"/>
    <w:basedOn w:val="Normal"/>
    <w:link w:val="FootnoteTextChar"/>
    <w:uiPriority w:val="99"/>
    <w:semiHidden/>
    <w:unhideWhenUsed/>
    <w:rsid w:val="000206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20693"/>
    <w:rPr>
      <w:sz w:val="20"/>
      <w:szCs w:val="20"/>
    </w:rPr>
  </w:style>
  <w:style w:type="character" w:styleId="FootnoteReference">
    <w:name w:val="footnote reference"/>
    <w:basedOn w:val="DefaultParagraphFont"/>
    <w:uiPriority w:val="99"/>
    <w:semiHidden/>
    <w:unhideWhenUsed/>
    <w:rsid w:val="00020693"/>
    <w:rPr>
      <w:vertAlign w:val="superscript"/>
    </w:rPr>
  </w:style>
  <w:style w:type="character" w:styleId="Hyperlink">
    <w:name w:val="Hyperlink"/>
    <w:basedOn w:val="DefaultParagraphFont"/>
    <w:uiPriority w:val="99"/>
    <w:unhideWhenUsed/>
    <w:rsid w:val="00C95836"/>
    <w:rPr>
      <w:color w:val="0563C1" w:themeColor="hyperlink"/>
      <w:u w:val="single"/>
    </w:rPr>
  </w:style>
  <w:style w:type="character" w:styleId="UnresolvedMention">
    <w:name w:val="Unresolved Mention"/>
    <w:basedOn w:val="DefaultParagraphFont"/>
    <w:uiPriority w:val="99"/>
    <w:semiHidden/>
    <w:unhideWhenUsed/>
    <w:rsid w:val="00C958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ibleodyssey.org/dictionary/john-the-gospel-according-t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bibleodyssey.org/dictionary/john-the-gospel-according-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1338</TotalTime>
  <Pages>6</Pages>
  <Words>1848</Words>
  <Characters>10536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Chick</dc:creator>
  <cp:keywords/>
  <dc:description/>
  <cp:lastModifiedBy>Marcus Chick</cp:lastModifiedBy>
  <cp:revision>202</cp:revision>
  <dcterms:created xsi:type="dcterms:W3CDTF">2026-07-09T13:00:00Z</dcterms:created>
  <dcterms:modified xsi:type="dcterms:W3CDTF">2026-07-14T19:40:00Z</dcterms:modified>
</cp:coreProperties>
</file>