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C6D63" w14:textId="77777777" w:rsidR="0093022B" w:rsidRPr="008B1F37" w:rsidRDefault="00D332FC" w:rsidP="008B1F37">
      <w:pPr>
        <w:spacing w:line="276" w:lineRule="auto"/>
        <w:jc w:val="center"/>
        <w:rPr>
          <w:b/>
          <w:sz w:val="32"/>
          <w:szCs w:val="32"/>
          <w:u w:val="single"/>
        </w:rPr>
      </w:pPr>
      <w:r w:rsidRPr="008B1F37">
        <w:rPr>
          <w:b/>
          <w:sz w:val="32"/>
          <w:szCs w:val="32"/>
          <w:u w:val="single"/>
        </w:rPr>
        <w:t>“Using an example of your choice, discuss the issues that arise in the presentation of a site or collection that could be termed ‘difficult heritage’”</w:t>
      </w:r>
    </w:p>
    <w:p w14:paraId="395D32C7" w14:textId="77777777" w:rsidR="00D332FC" w:rsidRDefault="00D332FC" w:rsidP="00A817A4">
      <w:pPr>
        <w:spacing w:line="276" w:lineRule="auto"/>
      </w:pPr>
    </w:p>
    <w:p w14:paraId="71A730C2" w14:textId="28F7BEBC" w:rsidR="00C73CAB" w:rsidRDefault="0053056B" w:rsidP="00A817A4">
      <w:pPr>
        <w:spacing w:line="276" w:lineRule="auto"/>
        <w:rPr>
          <w:rFonts w:cstheme="minorHAnsi"/>
          <w:sz w:val="24"/>
        </w:rPr>
      </w:pPr>
      <w:r w:rsidRPr="008B1F37">
        <w:rPr>
          <w:rFonts w:cstheme="minorHAnsi"/>
          <w:sz w:val="24"/>
        </w:rPr>
        <w:t xml:space="preserve">For this essay, I have decided to focus on the </w:t>
      </w:r>
      <w:r w:rsidR="00C73CAB" w:rsidRPr="008B1F37">
        <w:rPr>
          <w:rFonts w:cstheme="minorHAnsi"/>
          <w:sz w:val="24"/>
        </w:rPr>
        <w:t>German association of ‘heritage’ with ‘an undesirable legacy’</w:t>
      </w:r>
      <w:r w:rsidRPr="008B1F37">
        <w:rPr>
          <w:rFonts w:cstheme="minorHAnsi"/>
          <w:sz w:val="24"/>
        </w:rPr>
        <w:t>.</w:t>
      </w:r>
      <w:r w:rsidRPr="008B1F37">
        <w:rPr>
          <w:rStyle w:val="FootnoteReference"/>
          <w:rFonts w:cstheme="minorHAnsi"/>
          <w:sz w:val="24"/>
        </w:rPr>
        <w:footnoteReference w:id="1"/>
      </w:r>
      <w:r w:rsidR="00C73CAB" w:rsidRPr="008B1F37">
        <w:rPr>
          <w:rFonts w:cstheme="minorHAnsi"/>
          <w:sz w:val="24"/>
        </w:rPr>
        <w:t xml:space="preserve"> </w:t>
      </w:r>
      <w:r w:rsidR="00F820A1">
        <w:rPr>
          <w:rFonts w:cstheme="minorHAnsi"/>
          <w:sz w:val="24"/>
        </w:rPr>
        <w:t xml:space="preserve">I have been fortunate to find an extensive study of Nuremberg by Sharon MacDonald, who has </w:t>
      </w:r>
      <w:proofErr w:type="gramStart"/>
      <w:r w:rsidR="00F820A1">
        <w:rPr>
          <w:rFonts w:cstheme="minorHAnsi"/>
          <w:sz w:val="24"/>
        </w:rPr>
        <w:t>written</w:t>
      </w:r>
      <w:proofErr w:type="gramEnd"/>
      <w:r w:rsidR="00F820A1">
        <w:rPr>
          <w:rFonts w:cstheme="minorHAnsi"/>
          <w:sz w:val="24"/>
        </w:rPr>
        <w:t xml:space="preserve"> several articles during her in-depth study of the treatment of Nazi history post-war.</w:t>
      </w:r>
      <w:r w:rsidR="00F820A1">
        <w:rPr>
          <w:rStyle w:val="FootnoteReference"/>
          <w:rFonts w:cstheme="minorHAnsi"/>
          <w:sz w:val="24"/>
        </w:rPr>
        <w:footnoteReference w:id="2"/>
      </w:r>
      <w:r w:rsidR="00F820A1">
        <w:rPr>
          <w:rFonts w:cstheme="minorHAnsi"/>
          <w:sz w:val="24"/>
        </w:rPr>
        <w:t xml:space="preserve"> </w:t>
      </w:r>
      <w:r w:rsidR="004704E1" w:rsidRPr="008B1F37">
        <w:rPr>
          <w:rFonts w:cstheme="minorHAnsi"/>
          <w:sz w:val="24"/>
        </w:rPr>
        <w:t xml:space="preserve">Heritage is always closely tied in with the concept of ‘identity’, and the identity of an entire culture or country, even a continent. </w:t>
      </w:r>
      <w:r w:rsidRPr="008B1F37">
        <w:rPr>
          <w:rFonts w:cstheme="minorHAnsi"/>
          <w:sz w:val="24"/>
        </w:rPr>
        <w:t>T</w:t>
      </w:r>
      <w:r w:rsidR="00C73CAB" w:rsidRPr="008B1F37">
        <w:rPr>
          <w:rFonts w:cstheme="minorHAnsi"/>
          <w:sz w:val="24"/>
        </w:rPr>
        <w:t>he idea of heritage in Germany has come to be associated with a particular facet of their past</w:t>
      </w:r>
      <w:r w:rsidR="004704E1" w:rsidRPr="008B1F37">
        <w:rPr>
          <w:rFonts w:cstheme="minorHAnsi"/>
          <w:sz w:val="24"/>
        </w:rPr>
        <w:t xml:space="preserve"> and identity that they are not always willing to acknowledge</w:t>
      </w:r>
      <w:r w:rsidR="00C73CAB" w:rsidRPr="008B1F37">
        <w:rPr>
          <w:rFonts w:cstheme="minorHAnsi"/>
          <w:sz w:val="24"/>
        </w:rPr>
        <w:t xml:space="preserve">: </w:t>
      </w:r>
      <w:r w:rsidR="003561AC">
        <w:rPr>
          <w:rFonts w:cstheme="minorHAnsi"/>
          <w:sz w:val="24"/>
        </w:rPr>
        <w:t>F</w:t>
      </w:r>
      <w:r w:rsidR="00C73CAB" w:rsidRPr="008B1F37">
        <w:rPr>
          <w:rFonts w:cstheme="minorHAnsi"/>
          <w:sz w:val="24"/>
        </w:rPr>
        <w:t>ascism and the Nazis.</w:t>
      </w:r>
      <w:r w:rsidRPr="008B1F37">
        <w:rPr>
          <w:rStyle w:val="FootnoteReference"/>
          <w:rFonts w:cstheme="minorHAnsi"/>
          <w:sz w:val="24"/>
        </w:rPr>
        <w:footnoteReference w:id="3"/>
      </w:r>
      <w:r w:rsidRPr="008B1F37">
        <w:rPr>
          <w:rFonts w:cstheme="minorHAnsi"/>
          <w:sz w:val="24"/>
        </w:rPr>
        <w:t xml:space="preserve"> </w:t>
      </w:r>
      <w:r w:rsidR="00461779" w:rsidRPr="008B1F37">
        <w:rPr>
          <w:rFonts w:cstheme="minorHAnsi"/>
          <w:sz w:val="24"/>
        </w:rPr>
        <w:t>MacDonald writes that “</w:t>
      </w:r>
      <w:r w:rsidR="00461779" w:rsidRPr="008B1F37">
        <w:rPr>
          <w:rFonts w:cstheme="minorHAnsi"/>
          <w:i/>
          <w:sz w:val="24"/>
        </w:rPr>
        <w:t>the physical remains of the past offer up an identity that many of those in the present wish to distance themselves from”,</w:t>
      </w:r>
      <w:r w:rsidR="00461779" w:rsidRPr="008B1F37">
        <w:rPr>
          <w:rStyle w:val="FootnoteReference"/>
          <w:rFonts w:cstheme="minorHAnsi"/>
          <w:i/>
          <w:sz w:val="24"/>
        </w:rPr>
        <w:footnoteReference w:id="4"/>
      </w:r>
      <w:r w:rsidR="00461779" w:rsidRPr="008B1F37">
        <w:rPr>
          <w:rFonts w:cstheme="minorHAnsi"/>
          <w:sz w:val="24"/>
        </w:rPr>
        <w:t xml:space="preserve"> which I feel is a very accurate way to describe the attitude shown towards Nazi history. </w:t>
      </w:r>
      <w:r w:rsidRPr="008B1F37">
        <w:rPr>
          <w:rFonts w:cstheme="minorHAnsi"/>
          <w:sz w:val="24"/>
        </w:rPr>
        <w:t>This view c</w:t>
      </w:r>
      <w:r w:rsidR="00202D4D" w:rsidRPr="008B1F37">
        <w:rPr>
          <w:rFonts w:cstheme="minorHAnsi"/>
          <w:sz w:val="24"/>
        </w:rPr>
        <w:t>halleng</w:t>
      </w:r>
      <w:r w:rsidR="00247C8F" w:rsidRPr="008B1F37">
        <w:rPr>
          <w:rFonts w:cstheme="minorHAnsi"/>
          <w:sz w:val="24"/>
        </w:rPr>
        <w:t>es</w:t>
      </w:r>
      <w:r w:rsidR="00202D4D" w:rsidRPr="008B1F37">
        <w:rPr>
          <w:rFonts w:cstheme="minorHAnsi"/>
          <w:sz w:val="24"/>
        </w:rPr>
        <w:t xml:space="preserve"> the idea</w:t>
      </w:r>
      <w:r w:rsidR="00247C8F" w:rsidRPr="008B1F37">
        <w:rPr>
          <w:rFonts w:cstheme="minorHAnsi"/>
          <w:sz w:val="24"/>
        </w:rPr>
        <w:t xml:space="preserve"> prevalent in most countries </w:t>
      </w:r>
      <w:r w:rsidR="00202D4D" w:rsidRPr="008B1F37">
        <w:rPr>
          <w:rFonts w:cstheme="minorHAnsi"/>
          <w:sz w:val="24"/>
        </w:rPr>
        <w:t>that all heritage is a</w:t>
      </w:r>
      <w:r w:rsidR="0063778B" w:rsidRPr="008B1F37">
        <w:rPr>
          <w:rFonts w:cstheme="minorHAnsi"/>
          <w:sz w:val="24"/>
        </w:rPr>
        <w:t xml:space="preserve"> positive thing to be “</w:t>
      </w:r>
      <w:r w:rsidR="0063778B" w:rsidRPr="008B1F37">
        <w:rPr>
          <w:rFonts w:cstheme="minorHAnsi"/>
          <w:i/>
          <w:sz w:val="24"/>
        </w:rPr>
        <w:t>cherished and celebrated”.</w:t>
      </w:r>
      <w:r w:rsidRPr="008B1F37">
        <w:rPr>
          <w:rStyle w:val="FootnoteReference"/>
          <w:rFonts w:cstheme="minorHAnsi"/>
          <w:i/>
          <w:sz w:val="24"/>
        </w:rPr>
        <w:footnoteReference w:id="5"/>
      </w:r>
      <w:r w:rsidR="00203CA1" w:rsidRPr="008B1F37">
        <w:rPr>
          <w:rFonts w:cstheme="minorHAnsi"/>
          <w:i/>
          <w:sz w:val="24"/>
        </w:rPr>
        <w:t xml:space="preserve"> </w:t>
      </w:r>
      <w:r w:rsidR="00203CA1" w:rsidRPr="008B1F37">
        <w:rPr>
          <w:rFonts w:cstheme="minorHAnsi"/>
          <w:sz w:val="24"/>
        </w:rPr>
        <w:t xml:space="preserve">I find this concept fascinating, as it is so much at odds with what we are taught in the UK: that our history and heritage as the British Empire was something to be proud of, that we were once ‘the Greatest Empire in the World.’ Despite our own history having dark corners, the German people even now live under the shadow of their troubled </w:t>
      </w:r>
      <w:r w:rsidR="00402ABD" w:rsidRPr="008B1F37">
        <w:rPr>
          <w:rFonts w:cstheme="minorHAnsi"/>
          <w:sz w:val="24"/>
        </w:rPr>
        <w:t>past</w:t>
      </w:r>
      <w:r w:rsidR="00402ABD">
        <w:rPr>
          <w:rFonts w:cstheme="minorHAnsi"/>
          <w:sz w:val="24"/>
        </w:rPr>
        <w:t xml:space="preserve"> and</w:t>
      </w:r>
      <w:r w:rsidR="00C37EF0">
        <w:rPr>
          <w:rFonts w:cstheme="minorHAnsi"/>
          <w:sz w:val="24"/>
        </w:rPr>
        <w:t xml:space="preserve"> </w:t>
      </w:r>
      <w:r w:rsidR="00AE2F03">
        <w:rPr>
          <w:rFonts w:cstheme="minorHAnsi"/>
          <w:sz w:val="24"/>
        </w:rPr>
        <w:t>must</w:t>
      </w:r>
      <w:r w:rsidR="00C37EF0">
        <w:rPr>
          <w:rFonts w:cstheme="minorHAnsi"/>
          <w:sz w:val="24"/>
        </w:rPr>
        <w:t xml:space="preserve"> live with a heritage that unsettles them.</w:t>
      </w:r>
      <w:r w:rsidR="00C37EF0">
        <w:rPr>
          <w:rStyle w:val="FootnoteReference"/>
          <w:rFonts w:cstheme="minorHAnsi"/>
          <w:sz w:val="24"/>
        </w:rPr>
        <w:footnoteReference w:id="6"/>
      </w:r>
    </w:p>
    <w:p w14:paraId="435D00BF" w14:textId="77777777" w:rsidR="001B1DA0" w:rsidRPr="008B1F37" w:rsidRDefault="001B1DA0" w:rsidP="00A817A4">
      <w:pPr>
        <w:spacing w:line="276" w:lineRule="auto"/>
        <w:rPr>
          <w:rFonts w:cstheme="minorHAnsi"/>
          <w:sz w:val="24"/>
        </w:rPr>
      </w:pPr>
    </w:p>
    <w:p w14:paraId="36067C03" w14:textId="61F2800B" w:rsidR="001961A1" w:rsidRDefault="00C973C8" w:rsidP="00A817A4">
      <w:pPr>
        <w:spacing w:line="276" w:lineRule="auto"/>
        <w:rPr>
          <w:rFonts w:cstheme="minorHAnsi"/>
          <w:sz w:val="24"/>
        </w:rPr>
      </w:pPr>
      <w:r w:rsidRPr="008B1F37">
        <w:rPr>
          <w:rFonts w:cstheme="minorHAnsi"/>
          <w:sz w:val="24"/>
        </w:rPr>
        <w:t>Built between 1933 and 1938,</w:t>
      </w:r>
      <w:r w:rsidRPr="008B1F37">
        <w:rPr>
          <w:rStyle w:val="FootnoteReference"/>
          <w:rFonts w:cstheme="minorHAnsi"/>
          <w:sz w:val="24"/>
        </w:rPr>
        <w:footnoteReference w:id="7"/>
      </w:r>
      <w:r w:rsidRPr="008B1F37">
        <w:rPr>
          <w:rFonts w:cstheme="minorHAnsi"/>
          <w:sz w:val="24"/>
        </w:rPr>
        <w:t xml:space="preserve"> </w:t>
      </w:r>
      <w:r w:rsidR="001961A1" w:rsidRPr="008B1F37">
        <w:rPr>
          <w:rFonts w:cstheme="minorHAnsi"/>
          <w:sz w:val="24"/>
        </w:rPr>
        <w:t>Nuremberg is one of the biggest reminders of the Nazi regime,</w:t>
      </w:r>
      <w:r w:rsidR="0053056B" w:rsidRPr="008B1F37">
        <w:rPr>
          <w:rStyle w:val="FootnoteReference"/>
          <w:rFonts w:cstheme="minorHAnsi"/>
          <w:sz w:val="24"/>
        </w:rPr>
        <w:footnoteReference w:id="8"/>
      </w:r>
      <w:r w:rsidR="001961A1" w:rsidRPr="008B1F37">
        <w:rPr>
          <w:rFonts w:cstheme="minorHAnsi"/>
          <w:sz w:val="24"/>
        </w:rPr>
        <w:t xml:space="preserve"> and is the largest existing site of Nazi architecture.</w:t>
      </w:r>
      <w:r w:rsidR="0053056B" w:rsidRPr="008B1F37">
        <w:rPr>
          <w:rStyle w:val="FootnoteReference"/>
          <w:rFonts w:cstheme="minorHAnsi"/>
          <w:sz w:val="24"/>
        </w:rPr>
        <w:footnoteReference w:id="9"/>
      </w:r>
      <w:r w:rsidR="001961A1" w:rsidRPr="008B1F37">
        <w:rPr>
          <w:rFonts w:cstheme="minorHAnsi"/>
          <w:sz w:val="24"/>
        </w:rPr>
        <w:t xml:space="preserve"> Its hi</w:t>
      </w:r>
      <w:r w:rsidR="003178BA" w:rsidRPr="008B1F37">
        <w:rPr>
          <w:rFonts w:cstheme="minorHAnsi"/>
          <w:sz w:val="24"/>
        </w:rPr>
        <w:t>story is difficult, as it was the site of Nazi Party rallies, their marching grounds, and was the site from which laws were passed denying Jewish citizenship.</w:t>
      </w:r>
      <w:r w:rsidR="0053056B" w:rsidRPr="008B1F37">
        <w:rPr>
          <w:rStyle w:val="FootnoteReference"/>
          <w:rFonts w:cstheme="minorHAnsi"/>
          <w:sz w:val="24"/>
        </w:rPr>
        <w:t xml:space="preserve"> </w:t>
      </w:r>
      <w:r w:rsidR="0053056B" w:rsidRPr="008B1F37">
        <w:rPr>
          <w:rStyle w:val="FootnoteReference"/>
          <w:rFonts w:cstheme="minorHAnsi"/>
          <w:sz w:val="24"/>
        </w:rPr>
        <w:footnoteReference w:id="10"/>
      </w:r>
      <w:r w:rsidR="00EA2CF4" w:rsidRPr="008B1F37">
        <w:rPr>
          <w:rFonts w:cstheme="minorHAnsi"/>
          <w:sz w:val="24"/>
        </w:rPr>
        <w:t xml:space="preserve"> Nuremberg was also the site of the Nuremberg Trials, where Nazi war criminals were tried for their crimes after the fact</w:t>
      </w:r>
      <w:r w:rsidR="00CB7326">
        <w:rPr>
          <w:rFonts w:cstheme="minorHAnsi"/>
          <w:sz w:val="24"/>
        </w:rPr>
        <w:t>,</w:t>
      </w:r>
      <w:r w:rsidR="0053056B" w:rsidRPr="008B1F37">
        <w:rPr>
          <w:rStyle w:val="FootnoteReference"/>
          <w:rFonts w:cstheme="minorHAnsi"/>
          <w:sz w:val="24"/>
        </w:rPr>
        <w:footnoteReference w:id="11"/>
      </w:r>
      <w:r w:rsidR="00CB7326">
        <w:rPr>
          <w:rFonts w:cstheme="minorHAnsi"/>
          <w:sz w:val="24"/>
        </w:rPr>
        <w:t xml:space="preserve"> which confuses the associations of the site further, as for some, this was a site on which justice was meted out on the oppressive Nazi Regime.</w:t>
      </w:r>
      <w:r w:rsidR="00EA2CF4" w:rsidRPr="008B1F37">
        <w:rPr>
          <w:rFonts w:cstheme="minorHAnsi"/>
          <w:sz w:val="24"/>
        </w:rPr>
        <w:t xml:space="preserve"> The </w:t>
      </w:r>
      <w:r w:rsidR="00317155">
        <w:rPr>
          <w:rFonts w:cstheme="minorHAnsi"/>
          <w:sz w:val="24"/>
        </w:rPr>
        <w:t>site</w:t>
      </w:r>
      <w:r w:rsidR="00EA2CF4" w:rsidRPr="008B1F37">
        <w:rPr>
          <w:rFonts w:cstheme="minorHAnsi"/>
          <w:sz w:val="24"/>
        </w:rPr>
        <w:t xml:space="preserve"> is steeped in dark history, which is often difficult to come to terms to and presents those who wish to preserve the heritage of Germany with several dilemmas as to how best to present this history in a compassionate manner that is considerate of those who suffered under Hitler and</w:t>
      </w:r>
      <w:r w:rsidR="00CC14C5" w:rsidRPr="008B1F37">
        <w:rPr>
          <w:rFonts w:cstheme="minorHAnsi"/>
          <w:sz w:val="24"/>
        </w:rPr>
        <w:t xml:space="preserve"> the Third Reich.</w:t>
      </w:r>
    </w:p>
    <w:p w14:paraId="2F270BFA" w14:textId="77777777" w:rsidR="001B1DA0" w:rsidRDefault="001B1DA0" w:rsidP="00A817A4">
      <w:pPr>
        <w:spacing w:line="276" w:lineRule="auto"/>
        <w:rPr>
          <w:rFonts w:cstheme="minorHAnsi"/>
          <w:sz w:val="24"/>
        </w:rPr>
      </w:pPr>
    </w:p>
    <w:p w14:paraId="1E13301C" w14:textId="19AF239D" w:rsidR="00AE2F03" w:rsidRDefault="00AE2F03" w:rsidP="00AE2F03">
      <w:pPr>
        <w:spacing w:line="276" w:lineRule="auto"/>
        <w:rPr>
          <w:rFonts w:cstheme="minorHAnsi"/>
          <w:sz w:val="24"/>
        </w:rPr>
      </w:pPr>
      <w:r>
        <w:rPr>
          <w:rFonts w:cstheme="minorHAnsi"/>
          <w:sz w:val="24"/>
        </w:rPr>
        <w:t xml:space="preserve">The concept of difficult heritage in terms of the Nazis cannot be discussed without incorporating </w:t>
      </w:r>
      <w:r w:rsidRPr="008B1F37">
        <w:rPr>
          <w:rFonts w:cstheme="minorHAnsi"/>
          <w:i/>
          <w:sz w:val="24"/>
        </w:rPr>
        <w:t>Thanatourism</w:t>
      </w:r>
      <w:r>
        <w:rPr>
          <w:rFonts w:cstheme="minorHAnsi"/>
          <w:sz w:val="24"/>
        </w:rPr>
        <w:t xml:space="preserve">, or Dark Tourism. </w:t>
      </w:r>
      <w:r>
        <w:rPr>
          <w:rFonts w:cstheme="minorHAnsi"/>
          <w:i/>
          <w:sz w:val="24"/>
        </w:rPr>
        <w:t>Thanatourism</w:t>
      </w:r>
      <w:r>
        <w:rPr>
          <w:rFonts w:cstheme="minorHAnsi"/>
          <w:sz w:val="24"/>
        </w:rPr>
        <w:t xml:space="preserve"> is a term used to describe sites that are rather more macabre, or have darker associations than traditional sites, such as Nuremberg or Auschwitz. Many humans have a grim fascination with the macabre, which is why Nazi sites and Holocaust history are so attractive to </w:t>
      </w:r>
      <w:r>
        <w:rPr>
          <w:rFonts w:cstheme="minorHAnsi"/>
          <w:sz w:val="24"/>
        </w:rPr>
        <w:lastRenderedPageBreak/>
        <w:t>tourists</w:t>
      </w:r>
      <w:r w:rsidR="009B0F87">
        <w:rPr>
          <w:rFonts w:cstheme="minorHAnsi"/>
          <w:sz w:val="24"/>
        </w:rPr>
        <w:t>,</w:t>
      </w:r>
      <w:r>
        <w:rPr>
          <w:rStyle w:val="FootnoteReference"/>
          <w:rFonts w:cstheme="minorHAnsi"/>
          <w:sz w:val="24"/>
        </w:rPr>
        <w:footnoteReference w:id="12"/>
      </w:r>
      <w:r>
        <w:rPr>
          <w:rFonts w:cstheme="minorHAnsi"/>
          <w:sz w:val="24"/>
        </w:rPr>
        <w:t xml:space="preserve"> </w:t>
      </w:r>
      <w:r w:rsidR="009B0F87">
        <w:rPr>
          <w:rFonts w:cstheme="minorHAnsi"/>
          <w:sz w:val="24"/>
        </w:rPr>
        <w:t xml:space="preserve">as well as serving as pilgrimage sites for those who still uphold their ideals, such as the Neo-Nazi Party. </w:t>
      </w:r>
      <w:r w:rsidR="00416E78">
        <w:rPr>
          <w:rFonts w:cstheme="minorHAnsi"/>
          <w:sz w:val="24"/>
        </w:rPr>
        <w:t xml:space="preserve">The phenomenon of </w:t>
      </w:r>
      <w:r w:rsidR="00416E78">
        <w:rPr>
          <w:rFonts w:cstheme="minorHAnsi"/>
          <w:i/>
          <w:sz w:val="24"/>
        </w:rPr>
        <w:t>Thanatourism</w:t>
      </w:r>
      <w:r>
        <w:rPr>
          <w:rFonts w:cstheme="minorHAnsi"/>
          <w:sz w:val="24"/>
        </w:rPr>
        <w:t xml:space="preserve"> can cause great discomfort to those living in and around these sites, especially in the case of the German people, who wish to move past the shadow of the Nazis, yet it is one of their greatest sources of tourism</w:t>
      </w:r>
      <w:r w:rsidR="00416E78">
        <w:rPr>
          <w:rFonts w:cstheme="minorHAnsi"/>
          <w:sz w:val="24"/>
        </w:rPr>
        <w:t>,</w:t>
      </w:r>
      <w:r>
        <w:rPr>
          <w:rStyle w:val="FootnoteReference"/>
          <w:rFonts w:cstheme="minorHAnsi"/>
          <w:sz w:val="24"/>
        </w:rPr>
        <w:footnoteReference w:id="13"/>
      </w:r>
      <w:r w:rsidR="00416E78">
        <w:rPr>
          <w:rFonts w:cstheme="minorHAnsi"/>
          <w:sz w:val="24"/>
        </w:rPr>
        <w:t xml:space="preserve"> and is something that will be forever tied intrinsically to their identities as Germans.</w:t>
      </w:r>
    </w:p>
    <w:p w14:paraId="7D8D6C2E" w14:textId="77777777" w:rsidR="001B1DA0" w:rsidRPr="008B1F37" w:rsidRDefault="001B1DA0" w:rsidP="00AE2F03">
      <w:pPr>
        <w:spacing w:line="276" w:lineRule="auto"/>
        <w:rPr>
          <w:rFonts w:cstheme="minorHAnsi"/>
          <w:sz w:val="24"/>
        </w:rPr>
      </w:pPr>
    </w:p>
    <w:p w14:paraId="31D04A8B" w14:textId="0BB33AE9" w:rsidR="0047355F" w:rsidRDefault="00D24440" w:rsidP="00A817A4">
      <w:pPr>
        <w:spacing w:line="276" w:lineRule="auto"/>
        <w:rPr>
          <w:rFonts w:cstheme="minorHAnsi"/>
          <w:sz w:val="24"/>
        </w:rPr>
      </w:pPr>
      <w:r w:rsidRPr="008B1F37">
        <w:rPr>
          <w:rFonts w:cstheme="minorHAnsi"/>
          <w:sz w:val="24"/>
        </w:rPr>
        <w:t xml:space="preserve">It is often debated whether Nazi sites and architecture should be allowed to remain, or whether these physical reminders should be destroyed </w:t>
      </w:r>
      <w:r w:rsidR="00AB3611" w:rsidRPr="008B1F37">
        <w:rPr>
          <w:rFonts w:cstheme="minorHAnsi"/>
          <w:sz w:val="24"/>
        </w:rPr>
        <w:t xml:space="preserve">or altered </w:t>
      </w:r>
      <w:r w:rsidRPr="008B1F37">
        <w:rPr>
          <w:rFonts w:cstheme="minorHAnsi"/>
          <w:sz w:val="24"/>
        </w:rPr>
        <w:t>to “</w:t>
      </w:r>
      <w:r w:rsidRPr="008B1F37">
        <w:rPr>
          <w:rFonts w:cstheme="minorHAnsi"/>
          <w:i/>
          <w:sz w:val="24"/>
        </w:rPr>
        <w:t>obliterate an ugly past or to try to shape changing identities.”</w:t>
      </w:r>
      <w:r w:rsidRPr="008B1F37">
        <w:rPr>
          <w:rStyle w:val="FootnoteReference"/>
          <w:rFonts w:cstheme="minorHAnsi"/>
          <w:i/>
          <w:sz w:val="24"/>
        </w:rPr>
        <w:footnoteReference w:id="14"/>
      </w:r>
      <w:r w:rsidR="00AB3611" w:rsidRPr="008B1F37">
        <w:rPr>
          <w:rFonts w:cstheme="minorHAnsi"/>
          <w:i/>
          <w:sz w:val="24"/>
        </w:rPr>
        <w:t xml:space="preserve"> </w:t>
      </w:r>
      <w:r w:rsidR="00AB3611" w:rsidRPr="008B1F37">
        <w:rPr>
          <w:rFonts w:cstheme="minorHAnsi"/>
          <w:sz w:val="24"/>
        </w:rPr>
        <w:t xml:space="preserve">This is a particularly relevant argument </w:t>
      </w:r>
      <w:r w:rsidR="00416E78">
        <w:rPr>
          <w:rFonts w:cstheme="minorHAnsi"/>
          <w:sz w:val="24"/>
        </w:rPr>
        <w:t xml:space="preserve">when </w:t>
      </w:r>
      <w:r w:rsidR="00AB3611" w:rsidRPr="008B1F37">
        <w:rPr>
          <w:rFonts w:cstheme="minorHAnsi"/>
          <w:sz w:val="24"/>
        </w:rPr>
        <w:t>applied to Nuremberg, as the site was constructed by the Nazis as a lasting monument to the power of the Third Reich</w:t>
      </w:r>
      <w:r w:rsidR="00416E78">
        <w:rPr>
          <w:rFonts w:cstheme="minorHAnsi"/>
          <w:sz w:val="24"/>
        </w:rPr>
        <w:t>,</w:t>
      </w:r>
      <w:r w:rsidR="00AB3611" w:rsidRPr="008B1F37">
        <w:rPr>
          <w:rStyle w:val="FootnoteReference"/>
          <w:rFonts w:cstheme="minorHAnsi"/>
          <w:sz w:val="24"/>
        </w:rPr>
        <w:footnoteReference w:id="15"/>
      </w:r>
      <w:r w:rsidR="0047355F" w:rsidRPr="008B1F37">
        <w:rPr>
          <w:rFonts w:cstheme="minorHAnsi"/>
          <w:sz w:val="24"/>
        </w:rPr>
        <w:t xml:space="preserve"> </w:t>
      </w:r>
      <w:r w:rsidR="00416E78">
        <w:rPr>
          <w:rFonts w:cstheme="minorHAnsi"/>
          <w:sz w:val="24"/>
        </w:rPr>
        <w:t xml:space="preserve">and even now its social agency is evident, and must be carefully managed to avoid inspiring awe in those who visit the site. </w:t>
      </w:r>
      <w:r w:rsidR="0047355F" w:rsidRPr="008B1F37">
        <w:rPr>
          <w:rFonts w:cstheme="minorHAnsi"/>
          <w:sz w:val="24"/>
        </w:rPr>
        <w:t>The debates of what to do with the remnants of Nazi culture are still actively pursued in Germany, with many people concerned that by choosing to destroy or cover up this part of their history, they would be choosing to forget what had happened.</w:t>
      </w:r>
      <w:r w:rsidR="0047355F" w:rsidRPr="008B1F37">
        <w:rPr>
          <w:rStyle w:val="FootnoteReference"/>
          <w:rFonts w:cstheme="minorHAnsi"/>
          <w:sz w:val="24"/>
        </w:rPr>
        <w:footnoteReference w:id="16"/>
      </w:r>
      <w:r w:rsidR="0047355F" w:rsidRPr="008B1F37">
        <w:rPr>
          <w:rFonts w:cstheme="minorHAnsi"/>
          <w:sz w:val="24"/>
        </w:rPr>
        <w:t xml:space="preserve"> By choosing to maintain and preserve these parts of their history</w:t>
      </w:r>
      <w:r w:rsidR="00E01438" w:rsidRPr="008B1F37">
        <w:rPr>
          <w:rFonts w:cstheme="minorHAnsi"/>
          <w:sz w:val="24"/>
        </w:rPr>
        <w:t xml:space="preserve">, historians are choosing to become active participants in keeping a sense of </w:t>
      </w:r>
      <w:r w:rsidR="00E01438" w:rsidRPr="008B1F37">
        <w:rPr>
          <w:rFonts w:cstheme="minorHAnsi"/>
          <w:i/>
          <w:sz w:val="24"/>
        </w:rPr>
        <w:t>“historical consciousness”</w:t>
      </w:r>
      <w:r w:rsidR="002E2AE1" w:rsidRPr="008B1F37">
        <w:rPr>
          <w:rStyle w:val="FootnoteReference"/>
          <w:rFonts w:cstheme="minorHAnsi"/>
          <w:i/>
          <w:sz w:val="24"/>
        </w:rPr>
        <w:footnoteReference w:id="17"/>
      </w:r>
      <w:r w:rsidR="002E2AE1" w:rsidRPr="008B1F37">
        <w:rPr>
          <w:rFonts w:cstheme="minorHAnsi"/>
          <w:i/>
          <w:sz w:val="24"/>
        </w:rPr>
        <w:t xml:space="preserve">, </w:t>
      </w:r>
      <w:r w:rsidR="002E2AE1" w:rsidRPr="008B1F37">
        <w:rPr>
          <w:rFonts w:cstheme="minorHAnsi"/>
          <w:sz w:val="24"/>
        </w:rPr>
        <w:t>in order that the past can be remembered and learn</w:t>
      </w:r>
      <w:r w:rsidR="006267A2" w:rsidRPr="008B1F37">
        <w:rPr>
          <w:rFonts w:cstheme="minorHAnsi"/>
          <w:sz w:val="24"/>
        </w:rPr>
        <w:t>ed</w:t>
      </w:r>
      <w:r w:rsidR="002E2AE1" w:rsidRPr="008B1F37">
        <w:rPr>
          <w:rFonts w:cstheme="minorHAnsi"/>
          <w:sz w:val="24"/>
        </w:rPr>
        <w:t xml:space="preserve"> from, to prevent such atrocities from ever being repeated.</w:t>
      </w:r>
      <w:r w:rsidR="00E0547D" w:rsidRPr="008B1F37">
        <w:rPr>
          <w:rFonts w:cstheme="minorHAnsi"/>
          <w:sz w:val="24"/>
        </w:rPr>
        <w:t xml:space="preserve"> As quoted by MacDonald, Jörn Rüsen describes historical consciousness as </w:t>
      </w:r>
      <w:r w:rsidR="00E0547D" w:rsidRPr="008B1F37">
        <w:rPr>
          <w:rFonts w:cstheme="minorHAnsi"/>
          <w:i/>
          <w:sz w:val="24"/>
        </w:rPr>
        <w:t>“theoris[ing] people’s awareness of the past, history and historicity.”</w:t>
      </w:r>
      <w:r w:rsidR="00E0547D" w:rsidRPr="008B1F37">
        <w:rPr>
          <w:rStyle w:val="FootnoteReference"/>
          <w:rFonts w:cstheme="minorHAnsi"/>
          <w:i/>
          <w:sz w:val="24"/>
        </w:rPr>
        <w:footnoteReference w:id="18"/>
      </w:r>
      <w:r w:rsidR="00E0547D" w:rsidRPr="008B1F37">
        <w:rPr>
          <w:rFonts w:cstheme="minorHAnsi"/>
          <w:i/>
          <w:sz w:val="24"/>
        </w:rPr>
        <w:t xml:space="preserve"> </w:t>
      </w:r>
      <w:r w:rsidR="0058563D">
        <w:rPr>
          <w:rFonts w:cstheme="minorHAnsi"/>
          <w:sz w:val="24"/>
        </w:rPr>
        <w:t xml:space="preserve">One of the main arguments against preserving such buildings, which is still debated today, is the fear that by memorialising sites such as Nuremberg, they may be opening the gates to </w:t>
      </w:r>
      <w:r w:rsidR="0058563D">
        <w:rPr>
          <w:rFonts w:cstheme="minorHAnsi"/>
          <w:i/>
          <w:sz w:val="24"/>
        </w:rPr>
        <w:t>“enlisting new generations of Fascist sympathisers.</w:t>
      </w:r>
      <w:r w:rsidR="0058563D">
        <w:rPr>
          <w:rFonts w:cstheme="minorHAnsi"/>
          <w:sz w:val="24"/>
        </w:rPr>
        <w:t>”</w:t>
      </w:r>
      <w:r w:rsidR="0058563D">
        <w:rPr>
          <w:rStyle w:val="FootnoteReference"/>
          <w:rFonts w:cstheme="minorHAnsi"/>
          <w:sz w:val="24"/>
        </w:rPr>
        <w:footnoteReference w:id="19"/>
      </w:r>
    </w:p>
    <w:p w14:paraId="77A29055" w14:textId="77777777" w:rsidR="001B1DA0" w:rsidRPr="0058563D" w:rsidRDefault="001B1DA0" w:rsidP="00A817A4">
      <w:pPr>
        <w:spacing w:line="276" w:lineRule="auto"/>
        <w:rPr>
          <w:rFonts w:cstheme="minorHAnsi"/>
          <w:sz w:val="24"/>
        </w:rPr>
      </w:pPr>
    </w:p>
    <w:p w14:paraId="1EC88CF7" w14:textId="2A880E40" w:rsidR="00731105" w:rsidRDefault="00E0547D" w:rsidP="00A817A4">
      <w:pPr>
        <w:spacing w:line="276" w:lineRule="auto"/>
        <w:rPr>
          <w:rFonts w:cstheme="minorHAnsi"/>
          <w:sz w:val="24"/>
        </w:rPr>
      </w:pPr>
      <w:r w:rsidRPr="008B1F37">
        <w:rPr>
          <w:rFonts w:cstheme="minorHAnsi"/>
          <w:sz w:val="24"/>
        </w:rPr>
        <w:t xml:space="preserve">Another layer of the preservation debate came to the fore in the 1970s and 80s, and was centred </w:t>
      </w:r>
      <w:r w:rsidR="008D72D2" w:rsidRPr="008B1F37">
        <w:rPr>
          <w:rFonts w:cstheme="minorHAnsi"/>
          <w:sz w:val="24"/>
        </w:rPr>
        <w:t>on</w:t>
      </w:r>
      <w:r w:rsidRPr="008B1F37">
        <w:rPr>
          <w:rFonts w:cstheme="minorHAnsi"/>
          <w:sz w:val="24"/>
        </w:rPr>
        <w:t xml:space="preserve"> the natural decay of the site due to the passage of time, and whether or not the buildings should be restored or demolished.</w:t>
      </w:r>
      <w:r w:rsidRPr="008B1F37">
        <w:rPr>
          <w:rStyle w:val="FootnoteReference"/>
          <w:rFonts w:cstheme="minorHAnsi"/>
          <w:sz w:val="24"/>
        </w:rPr>
        <w:footnoteReference w:id="20"/>
      </w:r>
      <w:r w:rsidR="008D5740" w:rsidRPr="008B1F37">
        <w:rPr>
          <w:rFonts w:cstheme="minorHAnsi"/>
          <w:sz w:val="24"/>
        </w:rPr>
        <w:t xml:space="preserve"> The issues that </w:t>
      </w:r>
      <w:r w:rsidR="00C973C8" w:rsidRPr="008B1F37">
        <w:rPr>
          <w:rFonts w:cstheme="minorHAnsi"/>
          <w:sz w:val="24"/>
        </w:rPr>
        <w:t>arose with this debate were some of the most conflicted, as it had already been decided to preserve them as a memorial, however the idea of restoring something that had been a symbol of fear and terror to so many seemed like a step too far for some. In 1973, it was decided that the site would be designated worthy of monument protection,</w:t>
      </w:r>
      <w:r w:rsidR="00C973C8" w:rsidRPr="008B1F37">
        <w:rPr>
          <w:rStyle w:val="FootnoteReference"/>
          <w:rFonts w:cstheme="minorHAnsi"/>
          <w:sz w:val="24"/>
        </w:rPr>
        <w:footnoteReference w:id="21"/>
      </w:r>
      <w:r w:rsidR="00C973C8" w:rsidRPr="008B1F37">
        <w:rPr>
          <w:rFonts w:cstheme="minorHAnsi"/>
          <w:sz w:val="24"/>
        </w:rPr>
        <w:t xml:space="preserve"> as the significance of the buildings for both their architectural uniqueness, and for their status as “</w:t>
      </w:r>
      <w:r w:rsidR="00C973C8" w:rsidRPr="008B1F37">
        <w:rPr>
          <w:rFonts w:cstheme="minorHAnsi"/>
          <w:i/>
          <w:sz w:val="24"/>
        </w:rPr>
        <w:t>witnesses to the past”</w:t>
      </w:r>
      <w:r w:rsidR="00C973C8" w:rsidRPr="008B1F37">
        <w:rPr>
          <w:rStyle w:val="FootnoteReference"/>
          <w:rFonts w:cstheme="minorHAnsi"/>
          <w:i/>
          <w:sz w:val="24"/>
        </w:rPr>
        <w:footnoteReference w:id="22"/>
      </w:r>
      <w:r w:rsidR="00C973C8" w:rsidRPr="008B1F37">
        <w:rPr>
          <w:rFonts w:cstheme="minorHAnsi"/>
          <w:sz w:val="24"/>
        </w:rPr>
        <w:t xml:space="preserve"> were hard to ignore.</w:t>
      </w:r>
      <w:r w:rsidR="00F1291F" w:rsidRPr="008B1F37">
        <w:rPr>
          <w:rFonts w:cstheme="minorHAnsi"/>
          <w:sz w:val="24"/>
        </w:rPr>
        <w:t xml:space="preserve"> This marked a new stage in Germany’s acknowledgement of their past, as many people would have preferred for this part of their history to be forgotten, yet it was decided that this site constituted part of their heritage, and could not simply be ignored. This decision was not universally accepted however, as can be show</w:t>
      </w:r>
      <w:r w:rsidR="001B7913">
        <w:rPr>
          <w:rFonts w:cstheme="minorHAnsi"/>
          <w:sz w:val="24"/>
        </w:rPr>
        <w:t>n</w:t>
      </w:r>
      <w:r w:rsidR="00F1291F" w:rsidRPr="008B1F37">
        <w:rPr>
          <w:rFonts w:cstheme="minorHAnsi"/>
          <w:sz w:val="24"/>
        </w:rPr>
        <w:t xml:space="preserve"> from the many letters of complaint written to newspapers in Germany.</w:t>
      </w:r>
      <w:r w:rsidR="00F1291F" w:rsidRPr="008B1F37">
        <w:rPr>
          <w:rStyle w:val="FootnoteReference"/>
          <w:rFonts w:cstheme="minorHAnsi"/>
          <w:sz w:val="24"/>
        </w:rPr>
        <w:footnoteReference w:id="23"/>
      </w:r>
      <w:r w:rsidR="00F1291F" w:rsidRPr="008B1F37">
        <w:rPr>
          <w:rFonts w:cstheme="minorHAnsi"/>
          <w:sz w:val="24"/>
        </w:rPr>
        <w:t xml:space="preserve"> One of the more convincing arguments </w:t>
      </w:r>
      <w:r w:rsidR="00F1291F" w:rsidRPr="008B1F37">
        <w:rPr>
          <w:rFonts w:cstheme="minorHAnsi"/>
          <w:sz w:val="24"/>
        </w:rPr>
        <w:lastRenderedPageBreak/>
        <w:t>against preserving the site was that “</w:t>
      </w:r>
      <w:r w:rsidR="00F1291F" w:rsidRPr="008B1F37">
        <w:rPr>
          <w:rFonts w:cstheme="minorHAnsi"/>
          <w:i/>
          <w:sz w:val="24"/>
        </w:rPr>
        <w:t>the Nazis had destroyed the historically significant buildings of other political persuasions, and so their architecture should likewise be removed.”</w:t>
      </w:r>
      <w:r w:rsidR="00F1291F" w:rsidRPr="008B1F37">
        <w:rPr>
          <w:rStyle w:val="FootnoteReference"/>
          <w:rFonts w:cstheme="minorHAnsi"/>
          <w:i/>
          <w:sz w:val="24"/>
        </w:rPr>
        <w:footnoteReference w:id="24"/>
      </w:r>
      <w:r w:rsidR="00F1291F" w:rsidRPr="008B1F37">
        <w:rPr>
          <w:rFonts w:cstheme="minorHAnsi"/>
          <w:sz w:val="24"/>
        </w:rPr>
        <w:t xml:space="preserve"> Convincing though this was, the counter arguments outweighed it, with many people being of the opinion that to forget the past would be to trivialise it, and to ignore the still-ongoing suffering of those who had been victimised under the reign of Hitler.</w:t>
      </w:r>
      <w:r w:rsidR="00F1291F" w:rsidRPr="008B1F37">
        <w:rPr>
          <w:rStyle w:val="FootnoteReference"/>
          <w:rFonts w:cstheme="minorHAnsi"/>
          <w:sz w:val="24"/>
        </w:rPr>
        <w:footnoteReference w:id="25"/>
      </w:r>
      <w:r w:rsidR="001B7913">
        <w:rPr>
          <w:rFonts w:cstheme="minorHAnsi"/>
          <w:sz w:val="24"/>
        </w:rPr>
        <w:t xml:space="preserve"> These two arguments, among others mentioned throughout this essay, are still prevalent in current debates regarding the future of sites associated with the Nazi Regime. Such questions are posed to visitors to the site of Nuremberg by the tour guides assigned there, </w:t>
      </w:r>
      <w:proofErr w:type="gramStart"/>
      <w:r w:rsidR="001B7913">
        <w:rPr>
          <w:rFonts w:cstheme="minorHAnsi"/>
          <w:sz w:val="24"/>
        </w:rPr>
        <w:t>in order to</w:t>
      </w:r>
      <w:proofErr w:type="gramEnd"/>
      <w:r w:rsidR="001B7913">
        <w:rPr>
          <w:rFonts w:cstheme="minorHAnsi"/>
          <w:sz w:val="24"/>
        </w:rPr>
        <w:t xml:space="preserve"> get them to think deeper about the impact of the site.</w:t>
      </w:r>
      <w:r w:rsidR="001B7913">
        <w:rPr>
          <w:rStyle w:val="FootnoteReference"/>
          <w:rFonts w:cstheme="minorHAnsi"/>
          <w:sz w:val="24"/>
        </w:rPr>
        <w:footnoteReference w:id="26"/>
      </w:r>
    </w:p>
    <w:p w14:paraId="285C5119" w14:textId="77777777" w:rsidR="001B1DA0" w:rsidRPr="008B1F37" w:rsidRDefault="001B1DA0" w:rsidP="00A817A4">
      <w:pPr>
        <w:spacing w:line="276" w:lineRule="auto"/>
        <w:rPr>
          <w:rFonts w:cstheme="minorHAnsi"/>
          <w:sz w:val="24"/>
        </w:rPr>
      </w:pPr>
    </w:p>
    <w:p w14:paraId="0ED4AABD" w14:textId="3D3FFF5F" w:rsidR="008D72D2" w:rsidRPr="00D3013B" w:rsidRDefault="00F1291F" w:rsidP="002E1BBB">
      <w:pPr>
        <w:spacing w:line="240" w:lineRule="auto"/>
        <w:rPr>
          <w:rFonts w:cstheme="minorHAnsi"/>
          <w:sz w:val="24"/>
        </w:rPr>
      </w:pPr>
      <w:r w:rsidRPr="008B1F37">
        <w:rPr>
          <w:rFonts w:cstheme="minorHAnsi"/>
          <w:sz w:val="24"/>
        </w:rPr>
        <w:t>One of the major factors in Germany’s decision to face up to its past was the generational shift in the 1960s, when those who had been children or unborn during the time of Hitler began to hold their parents responsible for not facing up to what the Nazis had done, and accused the older generation of “</w:t>
      </w:r>
      <w:r w:rsidRPr="008B1F37">
        <w:rPr>
          <w:rFonts w:cstheme="minorHAnsi"/>
          <w:i/>
          <w:sz w:val="24"/>
        </w:rPr>
        <w:t>having ‘repressed’ their memories… leading to a malaise or sickness in German society.”</w:t>
      </w:r>
      <w:r w:rsidRPr="008B1F37">
        <w:rPr>
          <w:rStyle w:val="FootnoteReference"/>
          <w:rFonts w:cstheme="minorHAnsi"/>
          <w:i/>
          <w:sz w:val="24"/>
        </w:rPr>
        <w:footnoteReference w:id="27"/>
      </w:r>
      <w:r w:rsidRPr="008B1F37">
        <w:rPr>
          <w:rFonts w:cstheme="minorHAnsi"/>
          <w:i/>
          <w:sz w:val="24"/>
        </w:rPr>
        <w:t xml:space="preserve"> </w:t>
      </w:r>
      <w:r w:rsidRPr="008B1F37">
        <w:rPr>
          <w:rFonts w:cstheme="minorHAnsi"/>
          <w:sz w:val="24"/>
        </w:rPr>
        <w:t>In the face of this new generation of ‘responsible’</w:t>
      </w:r>
      <w:r w:rsidR="00CE5638" w:rsidRPr="008B1F37">
        <w:rPr>
          <w:rFonts w:cstheme="minorHAnsi"/>
          <w:sz w:val="24"/>
        </w:rPr>
        <w:t xml:space="preserve"> thinking, Nuremberg became the centre of the debates over the preservation of Nazi sites. Its use between the Nuremberg Trials and the 1960s was mainly as storage, or for sports training</w:t>
      </w:r>
      <w:r w:rsidR="00CE5638" w:rsidRPr="008B1F37">
        <w:rPr>
          <w:rStyle w:val="FootnoteReference"/>
          <w:rFonts w:cstheme="minorHAnsi"/>
          <w:sz w:val="24"/>
        </w:rPr>
        <w:footnoteReference w:id="28"/>
      </w:r>
      <w:r w:rsidR="00CE5638" w:rsidRPr="008B1F37">
        <w:rPr>
          <w:rFonts w:cstheme="minorHAnsi"/>
          <w:sz w:val="24"/>
        </w:rPr>
        <w:t>, which was viewed by those in civic institutions, especially the Pedagogical Institute</w:t>
      </w:r>
      <w:r w:rsidR="00CE5638" w:rsidRPr="008B1F37">
        <w:rPr>
          <w:rStyle w:val="FootnoteReference"/>
          <w:rFonts w:cstheme="minorHAnsi"/>
          <w:sz w:val="24"/>
        </w:rPr>
        <w:footnoteReference w:id="29"/>
      </w:r>
      <w:r w:rsidR="00CE5638" w:rsidRPr="008B1F37">
        <w:rPr>
          <w:rFonts w:cstheme="minorHAnsi"/>
          <w:sz w:val="24"/>
        </w:rPr>
        <w:t xml:space="preserve"> as just another example of how willing the previous generation had been to forget what had happened. They advocated for the use of Nuremberg as an educational site, with the implementation of information board</w:t>
      </w:r>
      <w:r w:rsidR="001B7913">
        <w:rPr>
          <w:rFonts w:cstheme="minorHAnsi"/>
          <w:sz w:val="24"/>
        </w:rPr>
        <w:t>s</w:t>
      </w:r>
      <w:r w:rsidR="00CE5638" w:rsidRPr="008B1F37">
        <w:rPr>
          <w:rFonts w:cstheme="minorHAnsi"/>
          <w:sz w:val="24"/>
        </w:rPr>
        <w:t xml:space="preserve"> in both German and English, as well as a centre for fascist studies.</w:t>
      </w:r>
      <w:r w:rsidR="00CE5638" w:rsidRPr="008B1F37">
        <w:rPr>
          <w:rStyle w:val="FootnoteReference"/>
          <w:rFonts w:cstheme="minorHAnsi"/>
          <w:sz w:val="24"/>
        </w:rPr>
        <w:footnoteReference w:id="30"/>
      </w:r>
      <w:r w:rsidR="00CE5638" w:rsidRPr="008B1F37">
        <w:rPr>
          <w:rFonts w:cstheme="minorHAnsi"/>
          <w:sz w:val="24"/>
        </w:rPr>
        <w:t xml:space="preserve"> The boards were finally completed in the 1980s,</w:t>
      </w:r>
      <w:r w:rsidR="00CE5638" w:rsidRPr="008B1F37">
        <w:rPr>
          <w:rStyle w:val="FootnoteReference"/>
          <w:rFonts w:cstheme="minorHAnsi"/>
          <w:sz w:val="24"/>
        </w:rPr>
        <w:footnoteReference w:id="31"/>
      </w:r>
      <w:r w:rsidR="00CE5638" w:rsidRPr="008B1F37">
        <w:rPr>
          <w:rFonts w:cstheme="minorHAnsi"/>
          <w:sz w:val="24"/>
        </w:rPr>
        <w:t xml:space="preserve"> however the ‘fascist studies’ centre was not completed until 2001, when the Documentation</w:t>
      </w:r>
      <w:r w:rsidR="008D72D2" w:rsidRPr="008B1F37">
        <w:rPr>
          <w:rFonts w:cstheme="minorHAnsi"/>
          <w:sz w:val="24"/>
        </w:rPr>
        <w:t xml:space="preserve"> Centre of the Nazi Party Rallies was opened on the site of</w:t>
      </w:r>
      <w:r w:rsidR="001845F1" w:rsidRPr="008B1F37">
        <w:rPr>
          <w:rFonts w:cstheme="minorHAnsi"/>
          <w:sz w:val="24"/>
        </w:rPr>
        <w:t xml:space="preserve"> the former Congress Hall.</w:t>
      </w:r>
      <w:r w:rsidR="008D72D2" w:rsidRPr="008B1F37">
        <w:rPr>
          <w:rFonts w:cstheme="minorHAnsi"/>
          <w:sz w:val="24"/>
        </w:rPr>
        <w:t xml:space="preserve"> </w:t>
      </w:r>
      <w:r w:rsidR="008D72D2" w:rsidRPr="008B1F37">
        <w:rPr>
          <w:rStyle w:val="FootnoteReference"/>
          <w:rFonts w:cstheme="minorHAnsi"/>
          <w:sz w:val="24"/>
        </w:rPr>
        <w:footnoteReference w:id="32"/>
      </w:r>
      <w:r w:rsidR="001845F1" w:rsidRPr="008B1F37">
        <w:rPr>
          <w:rFonts w:cstheme="minorHAnsi"/>
          <w:sz w:val="24"/>
        </w:rPr>
        <w:t xml:space="preserve"> Its purpose was to “</w:t>
      </w:r>
      <w:r w:rsidR="001845F1" w:rsidRPr="008B1F37">
        <w:rPr>
          <w:rFonts w:cstheme="minorHAnsi"/>
          <w:i/>
          <w:sz w:val="24"/>
        </w:rPr>
        <w:t>[link] the preservation of the buildings with an educational mission.”</w:t>
      </w:r>
      <w:r w:rsidR="001845F1" w:rsidRPr="008B1F37">
        <w:rPr>
          <w:rStyle w:val="FootnoteReference"/>
          <w:rFonts w:cstheme="minorHAnsi"/>
          <w:i/>
          <w:sz w:val="24"/>
        </w:rPr>
        <w:footnoteReference w:id="33"/>
      </w:r>
      <w:r w:rsidR="00D3013B">
        <w:rPr>
          <w:rFonts w:cstheme="minorHAnsi"/>
          <w:i/>
          <w:sz w:val="24"/>
        </w:rPr>
        <w:t xml:space="preserve">  </w:t>
      </w:r>
      <w:r w:rsidR="0018310B">
        <w:rPr>
          <w:rFonts w:cstheme="minorHAnsi"/>
          <w:sz w:val="24"/>
        </w:rPr>
        <w:t xml:space="preserve">Even now, </w:t>
      </w:r>
      <w:r w:rsidR="002E1BBB">
        <w:rPr>
          <w:rFonts w:cstheme="minorHAnsi"/>
          <w:sz w:val="24"/>
        </w:rPr>
        <w:t>the current generation of ‘young people’ struggle to come to terms with their country’s past.</w:t>
      </w:r>
      <w:r w:rsidR="002E1BBB">
        <w:rPr>
          <w:rStyle w:val="FootnoteReference"/>
          <w:rFonts w:cstheme="minorHAnsi"/>
          <w:sz w:val="24"/>
        </w:rPr>
        <w:footnoteReference w:id="34"/>
      </w:r>
      <w:r w:rsidR="002E1BBB">
        <w:rPr>
          <w:rFonts w:cstheme="minorHAnsi"/>
          <w:sz w:val="24"/>
        </w:rPr>
        <w:t xml:space="preserve"> A study undertaken by Anton Popov and Dušan Deák discussed the concept of ‘difficult heritage’ with groups of young people from around Europe,</w:t>
      </w:r>
      <w:r w:rsidR="002E1BBB">
        <w:rPr>
          <w:rStyle w:val="FootnoteReference"/>
          <w:rFonts w:cstheme="minorHAnsi"/>
          <w:sz w:val="24"/>
        </w:rPr>
        <w:footnoteReference w:id="35"/>
      </w:r>
      <w:r w:rsidR="002E1BBB">
        <w:rPr>
          <w:rFonts w:cstheme="minorHAnsi"/>
          <w:sz w:val="24"/>
        </w:rPr>
        <w:t xml:space="preserve"> and the results of their German participants were particularly interesting. Many of them emphasised “</w:t>
      </w:r>
      <w:r w:rsidR="002E1BBB">
        <w:rPr>
          <w:rFonts w:cstheme="minorHAnsi"/>
          <w:i/>
          <w:sz w:val="24"/>
        </w:rPr>
        <w:t>this must not happen again</w:t>
      </w:r>
      <w:r w:rsidR="002E1BBB">
        <w:rPr>
          <w:rFonts w:cstheme="minorHAnsi"/>
          <w:sz w:val="24"/>
        </w:rPr>
        <w:t>”</w:t>
      </w:r>
      <w:r w:rsidR="002E1BBB">
        <w:rPr>
          <w:rStyle w:val="FootnoteReference"/>
          <w:rFonts w:cstheme="minorHAnsi"/>
          <w:sz w:val="24"/>
        </w:rPr>
        <w:footnoteReference w:id="36"/>
      </w:r>
      <w:r w:rsidR="002E1BBB">
        <w:rPr>
          <w:rFonts w:cstheme="minorHAnsi"/>
          <w:sz w:val="24"/>
        </w:rPr>
        <w:t>, which is a clear step forward from the collective guilt held by their predecessors, who still felt responsible for their parents’ allowing the Nazis to rise to power and commit such atrocities.</w:t>
      </w:r>
      <w:r w:rsidR="002E1BBB">
        <w:rPr>
          <w:rStyle w:val="FootnoteReference"/>
          <w:rFonts w:cstheme="minorHAnsi"/>
          <w:sz w:val="24"/>
        </w:rPr>
        <w:footnoteReference w:id="37"/>
      </w:r>
      <w:r w:rsidR="002E1BBB">
        <w:rPr>
          <w:rFonts w:cstheme="minorHAnsi"/>
          <w:sz w:val="24"/>
        </w:rPr>
        <w:t xml:space="preserve"> However, despite this, several participants felt that Germany may never fully recover from the stain of Nazism, as “</w:t>
      </w:r>
      <w:r w:rsidR="002E1BBB">
        <w:rPr>
          <w:rFonts w:cstheme="minorHAnsi"/>
          <w:i/>
          <w:sz w:val="24"/>
        </w:rPr>
        <w:t>when you go abroad as a German… you get confronted with remarks on Hitler or something like that.”</w:t>
      </w:r>
      <w:r w:rsidR="002E1BBB">
        <w:rPr>
          <w:rStyle w:val="FootnoteReference"/>
          <w:rFonts w:cstheme="minorHAnsi"/>
          <w:i/>
          <w:sz w:val="24"/>
        </w:rPr>
        <w:footnoteReference w:id="38"/>
      </w:r>
      <w:r w:rsidR="00D3013B">
        <w:rPr>
          <w:rFonts w:cstheme="minorHAnsi"/>
          <w:sz w:val="24"/>
        </w:rPr>
        <w:t xml:space="preserve"> This unwillingness from the rest of the world to forgive the current generation of Germans for the crimes committed by the Nazis has left a lasting impact on the way that this difficult heritage is presented to visitors.</w:t>
      </w:r>
    </w:p>
    <w:p w14:paraId="2D6C27C7" w14:textId="77777777" w:rsidR="001B1DA0" w:rsidRPr="002E1BBB" w:rsidRDefault="001B1DA0" w:rsidP="002E1BBB">
      <w:pPr>
        <w:spacing w:line="240" w:lineRule="auto"/>
        <w:rPr>
          <w:rFonts w:cstheme="minorHAnsi"/>
          <w:i/>
          <w:sz w:val="24"/>
        </w:rPr>
      </w:pPr>
    </w:p>
    <w:p w14:paraId="0FA6C152" w14:textId="1B9E43DE" w:rsidR="00D44B91" w:rsidRDefault="00731105" w:rsidP="00A817A4">
      <w:pPr>
        <w:spacing w:line="276" w:lineRule="auto"/>
        <w:rPr>
          <w:rFonts w:cstheme="minorHAnsi"/>
          <w:sz w:val="24"/>
        </w:rPr>
      </w:pPr>
      <w:r w:rsidRPr="008B1F37">
        <w:rPr>
          <w:rFonts w:cstheme="minorHAnsi"/>
          <w:sz w:val="24"/>
        </w:rPr>
        <w:lastRenderedPageBreak/>
        <w:t>Despite the decisions made to use the site for educational purposes, this did not ease the debates for or against taking measures to preserve and restore the buildings.</w:t>
      </w:r>
      <w:r w:rsidRPr="008B1F37">
        <w:rPr>
          <w:rStyle w:val="FootnoteReference"/>
          <w:rFonts w:cstheme="minorHAnsi"/>
          <w:sz w:val="24"/>
        </w:rPr>
        <w:footnoteReference w:id="39"/>
      </w:r>
      <w:r w:rsidRPr="008B1F37">
        <w:rPr>
          <w:rFonts w:cstheme="minorHAnsi"/>
          <w:sz w:val="24"/>
        </w:rPr>
        <w:t xml:space="preserve"> And it is easy to understand both sides of the argument. It was the opinion of some that allowing the building to fall into total ruin would be to add to its allure, and detract from the seriousness of what it was intended to represent.</w:t>
      </w:r>
      <w:r w:rsidRPr="008B1F37">
        <w:rPr>
          <w:rStyle w:val="FootnoteReference"/>
          <w:rFonts w:cstheme="minorHAnsi"/>
          <w:sz w:val="24"/>
        </w:rPr>
        <w:footnoteReference w:id="40"/>
      </w:r>
      <w:r w:rsidRPr="008B1F37">
        <w:rPr>
          <w:rFonts w:cstheme="minorHAnsi"/>
          <w:sz w:val="24"/>
        </w:rPr>
        <w:t xml:space="preserve"> On the other hand, restoring the buildings could be seen as glorifying these symbol of an oppressive and hateful regime that Germany had worked hard to rise above</w:t>
      </w:r>
      <w:r w:rsidR="00A70C9B" w:rsidRPr="008B1F37">
        <w:rPr>
          <w:rFonts w:cstheme="minorHAnsi"/>
          <w:sz w:val="24"/>
        </w:rPr>
        <w:t>, and would “</w:t>
      </w:r>
      <w:r w:rsidR="00A70C9B" w:rsidRPr="008B1F37">
        <w:rPr>
          <w:rFonts w:cstheme="minorHAnsi"/>
          <w:i/>
          <w:sz w:val="24"/>
        </w:rPr>
        <w:t>imbue them once again with the agency with which they had originally been invested.</w:t>
      </w:r>
      <w:r w:rsidR="00A70C9B" w:rsidRPr="008B1F37">
        <w:rPr>
          <w:rFonts w:cstheme="minorHAnsi"/>
          <w:sz w:val="24"/>
        </w:rPr>
        <w:t>”</w:t>
      </w:r>
      <w:r w:rsidR="00A70C9B" w:rsidRPr="008B1F37">
        <w:rPr>
          <w:rStyle w:val="FootnoteReference"/>
          <w:rFonts w:cstheme="minorHAnsi"/>
          <w:sz w:val="24"/>
        </w:rPr>
        <w:footnoteReference w:id="41"/>
      </w:r>
      <w:r w:rsidR="0093307E" w:rsidRPr="008B1F37">
        <w:rPr>
          <w:rFonts w:cstheme="minorHAnsi"/>
          <w:sz w:val="24"/>
        </w:rPr>
        <w:t xml:space="preserve"> These two extreme views battled throughout the 1970s and 80s, until Hermann Glaser, the Culture Minister, provided a compromising solution that would avoid both of the extremes.</w:t>
      </w:r>
      <w:r w:rsidR="0093307E" w:rsidRPr="008B1F37">
        <w:rPr>
          <w:rStyle w:val="FootnoteReference"/>
          <w:rFonts w:cstheme="minorHAnsi"/>
          <w:sz w:val="24"/>
        </w:rPr>
        <w:footnoteReference w:id="42"/>
      </w:r>
      <w:r w:rsidR="0093307E" w:rsidRPr="008B1F37">
        <w:rPr>
          <w:rFonts w:cstheme="minorHAnsi"/>
          <w:sz w:val="24"/>
        </w:rPr>
        <w:t xml:space="preserve"> Glaser proposed that the buildings be allowed to remain in their state of semi-disrepair, but not allowed to fall completely into ruin.</w:t>
      </w:r>
      <w:r w:rsidR="0093307E" w:rsidRPr="008B1F37">
        <w:rPr>
          <w:rStyle w:val="FootnoteReference"/>
          <w:rFonts w:cstheme="minorHAnsi"/>
          <w:sz w:val="24"/>
        </w:rPr>
        <w:footnoteReference w:id="43"/>
      </w:r>
      <w:r w:rsidR="0093307E" w:rsidRPr="008B1F37">
        <w:rPr>
          <w:rFonts w:cstheme="minorHAnsi"/>
          <w:sz w:val="24"/>
        </w:rPr>
        <w:t xml:space="preserve"> By allowing this ‘calculated neglect’, it would further neutralise the residual Nazi power that the site still held, while not allowing what had transpired to be forgotten.</w:t>
      </w:r>
      <w:r w:rsidR="0093307E" w:rsidRPr="008B1F37">
        <w:rPr>
          <w:rStyle w:val="FootnoteReference"/>
          <w:rFonts w:cstheme="minorHAnsi"/>
          <w:sz w:val="24"/>
        </w:rPr>
        <w:footnoteReference w:id="44"/>
      </w:r>
      <w:r w:rsidR="0093307E" w:rsidRPr="008B1F37">
        <w:rPr>
          <w:rFonts w:cstheme="minorHAnsi"/>
          <w:sz w:val="24"/>
        </w:rPr>
        <w:t xml:space="preserve"> Glaser further suggested that the site continue to be used for trivial pursuits, such as motor-racing, storage and leisure activities such as tennis.</w:t>
      </w:r>
      <w:r w:rsidR="0093307E" w:rsidRPr="008B1F37">
        <w:rPr>
          <w:rStyle w:val="FootnoteReference"/>
          <w:rFonts w:cstheme="minorHAnsi"/>
          <w:sz w:val="24"/>
        </w:rPr>
        <w:footnoteReference w:id="45"/>
      </w:r>
      <w:r w:rsidR="0093307E" w:rsidRPr="008B1F37">
        <w:rPr>
          <w:rFonts w:cstheme="minorHAnsi"/>
          <w:sz w:val="24"/>
        </w:rPr>
        <w:t xml:space="preserve"> His argument was that this method of ‘trivialisation’ or ‘</w:t>
      </w:r>
      <w:r w:rsidR="0093307E" w:rsidRPr="008B1F37">
        <w:rPr>
          <w:rFonts w:cstheme="minorHAnsi"/>
          <w:i/>
          <w:sz w:val="24"/>
        </w:rPr>
        <w:t>trivialisierung’</w:t>
      </w:r>
      <w:r w:rsidR="0093307E" w:rsidRPr="008B1F37">
        <w:rPr>
          <w:rStyle w:val="FootnoteReference"/>
          <w:rFonts w:cstheme="minorHAnsi"/>
          <w:i/>
          <w:sz w:val="24"/>
        </w:rPr>
        <w:footnoteReference w:id="46"/>
      </w:r>
      <w:r w:rsidR="0093307E" w:rsidRPr="008B1F37">
        <w:rPr>
          <w:rFonts w:cstheme="minorHAnsi"/>
          <w:i/>
          <w:sz w:val="24"/>
        </w:rPr>
        <w:t xml:space="preserve">, </w:t>
      </w:r>
      <w:r w:rsidR="0093307E" w:rsidRPr="008B1F37">
        <w:rPr>
          <w:rFonts w:cstheme="minorHAnsi"/>
          <w:sz w:val="24"/>
        </w:rPr>
        <w:t>would show a refusal to allow them to gain any kind of status as ‘glorified heritage’, while still allowing them to be preserved for posterity and reflection.</w:t>
      </w:r>
      <w:r w:rsidR="0093307E" w:rsidRPr="008B1F37">
        <w:rPr>
          <w:rStyle w:val="FootnoteReference"/>
          <w:rFonts w:cstheme="minorHAnsi"/>
          <w:sz w:val="24"/>
        </w:rPr>
        <w:footnoteReference w:id="47"/>
      </w:r>
      <w:r w:rsidR="00D3013B">
        <w:rPr>
          <w:rFonts w:cstheme="minorHAnsi"/>
          <w:sz w:val="24"/>
        </w:rPr>
        <w:t xml:space="preserve"> The proposals put forward by Glaser were implemented to great success, and still remain in place today.</w:t>
      </w:r>
      <w:bookmarkStart w:id="0" w:name="_GoBack"/>
      <w:bookmarkEnd w:id="0"/>
    </w:p>
    <w:p w14:paraId="6B76BD85" w14:textId="77777777" w:rsidR="001B1DA0" w:rsidRPr="008B1F37" w:rsidRDefault="001B1DA0" w:rsidP="00A817A4">
      <w:pPr>
        <w:spacing w:line="276" w:lineRule="auto"/>
        <w:rPr>
          <w:rFonts w:cstheme="minorHAnsi"/>
          <w:sz w:val="24"/>
        </w:rPr>
      </w:pPr>
    </w:p>
    <w:p w14:paraId="0B532429" w14:textId="45518E3A" w:rsidR="00D44B91" w:rsidRDefault="00D44B91" w:rsidP="00A817A4">
      <w:pPr>
        <w:spacing w:line="276" w:lineRule="auto"/>
        <w:rPr>
          <w:rFonts w:cstheme="minorHAnsi"/>
          <w:sz w:val="24"/>
        </w:rPr>
      </w:pPr>
      <w:r w:rsidRPr="008B1F37">
        <w:rPr>
          <w:rFonts w:cstheme="minorHAnsi"/>
          <w:sz w:val="24"/>
        </w:rPr>
        <w:t xml:space="preserve">By combining Glaser’s </w:t>
      </w:r>
      <w:r w:rsidRPr="008B1F37">
        <w:rPr>
          <w:rFonts w:cstheme="minorHAnsi"/>
          <w:i/>
          <w:sz w:val="24"/>
        </w:rPr>
        <w:t xml:space="preserve">trivialisierung </w:t>
      </w:r>
      <w:r w:rsidRPr="008B1F37">
        <w:rPr>
          <w:rFonts w:cstheme="minorHAnsi"/>
          <w:sz w:val="24"/>
        </w:rPr>
        <w:t xml:space="preserve">with the education initiatives started by the Pedagogical Institute, the </w:t>
      </w:r>
      <w:r w:rsidR="007920F8" w:rsidRPr="008B1F37">
        <w:rPr>
          <w:rFonts w:cstheme="minorHAnsi"/>
          <w:sz w:val="24"/>
        </w:rPr>
        <w:t xml:space="preserve">historians charged with the preservation of the </w:t>
      </w:r>
      <w:r w:rsidRPr="008B1F37">
        <w:rPr>
          <w:rFonts w:cstheme="minorHAnsi"/>
          <w:sz w:val="24"/>
        </w:rPr>
        <w:t>site of Nuremberg was able to start addressing some of the issues that came with its difficult heritage.</w:t>
      </w:r>
      <w:r w:rsidR="005908A6" w:rsidRPr="008B1F37">
        <w:rPr>
          <w:rFonts w:cstheme="minorHAnsi"/>
          <w:sz w:val="24"/>
        </w:rPr>
        <w:t xml:space="preserve"> However, with the success of these initiatives, such as the ‘alternative’ tourist brochure acknowledging the Nazi heritage, and the </w:t>
      </w:r>
      <w:r w:rsidR="000D1D4A" w:rsidRPr="008B1F37">
        <w:rPr>
          <w:rFonts w:cstheme="minorHAnsi"/>
          <w:sz w:val="24"/>
        </w:rPr>
        <w:t xml:space="preserve">permanent </w:t>
      </w:r>
      <w:r w:rsidR="005908A6" w:rsidRPr="008B1F37">
        <w:rPr>
          <w:rFonts w:cstheme="minorHAnsi"/>
          <w:sz w:val="24"/>
        </w:rPr>
        <w:t xml:space="preserve">exhibition </w:t>
      </w:r>
      <w:r w:rsidR="000D1D4A" w:rsidRPr="008B1F37">
        <w:rPr>
          <w:rFonts w:cstheme="minorHAnsi"/>
          <w:sz w:val="24"/>
        </w:rPr>
        <w:t xml:space="preserve">started in 1985 </w:t>
      </w:r>
      <w:r w:rsidR="005908A6" w:rsidRPr="008B1F37">
        <w:rPr>
          <w:rFonts w:cstheme="minorHAnsi"/>
          <w:sz w:val="24"/>
        </w:rPr>
        <w:t>dealing with Nazi heritage that was housed in the Zeppelin Building,</w:t>
      </w:r>
      <w:r w:rsidR="005908A6" w:rsidRPr="008B1F37">
        <w:rPr>
          <w:rStyle w:val="FootnoteReference"/>
          <w:rFonts w:cstheme="minorHAnsi"/>
          <w:sz w:val="24"/>
        </w:rPr>
        <w:footnoteReference w:id="48"/>
      </w:r>
      <w:r w:rsidR="005908A6" w:rsidRPr="008B1F37">
        <w:rPr>
          <w:rFonts w:cstheme="minorHAnsi"/>
          <w:sz w:val="24"/>
        </w:rPr>
        <w:t xml:space="preserve"> came new challenges and problems for debate.</w:t>
      </w:r>
      <w:r w:rsidR="000D1D4A" w:rsidRPr="008B1F37">
        <w:rPr>
          <w:rFonts w:cstheme="minorHAnsi"/>
          <w:sz w:val="24"/>
        </w:rPr>
        <w:t xml:space="preserve"> The Zeppelin Building was not fully equipped for heating, and there had been problems with damp, which limited the exhibition to the summer months.</w:t>
      </w:r>
      <w:r w:rsidR="000D1D4A" w:rsidRPr="008B1F37">
        <w:rPr>
          <w:rStyle w:val="FootnoteReference"/>
          <w:rFonts w:cstheme="minorHAnsi"/>
          <w:sz w:val="24"/>
        </w:rPr>
        <w:footnoteReference w:id="49"/>
      </w:r>
      <w:r w:rsidR="000D1D4A" w:rsidRPr="008B1F37">
        <w:rPr>
          <w:rFonts w:cstheme="minorHAnsi"/>
          <w:sz w:val="24"/>
        </w:rPr>
        <w:t xml:space="preserve"> While the exhibition had been praised for its attempts to deal with the ‘Nazi heritage problem’, many saw the attempt as half-hearted and minimal, and felt that not enough was being done to review options for allowing this exhibition year-round.</w:t>
      </w:r>
      <w:r w:rsidR="000D1D4A" w:rsidRPr="008B1F37">
        <w:rPr>
          <w:rStyle w:val="FootnoteReference"/>
          <w:rFonts w:cstheme="minorHAnsi"/>
          <w:sz w:val="24"/>
        </w:rPr>
        <w:footnoteReference w:id="50"/>
      </w:r>
      <w:r w:rsidR="005418D1" w:rsidRPr="008B1F37">
        <w:rPr>
          <w:rFonts w:cstheme="minorHAnsi"/>
          <w:sz w:val="24"/>
        </w:rPr>
        <w:t xml:space="preserve"> Another pressing issue was whether the construction of a museum on site would be the most appropriate way of tackling Nazi history, and if so, would housing it in an existing building serve to ‘sanctify’ the building that had such dark and ‘undesirable’ associations?</w:t>
      </w:r>
      <w:r w:rsidR="005418D1" w:rsidRPr="008B1F37">
        <w:rPr>
          <w:rStyle w:val="FootnoteReference"/>
          <w:rFonts w:cstheme="minorHAnsi"/>
          <w:sz w:val="24"/>
        </w:rPr>
        <w:footnoteReference w:id="51"/>
      </w:r>
      <w:r w:rsidR="00F95DBF" w:rsidRPr="008B1F37">
        <w:rPr>
          <w:rFonts w:cstheme="minorHAnsi"/>
          <w:sz w:val="24"/>
        </w:rPr>
        <w:t xml:space="preserve"> Museums often have the cultural association of consecrated ground, and many feared that by placing Nazi </w:t>
      </w:r>
      <w:r w:rsidR="004462EB" w:rsidRPr="008B1F37">
        <w:rPr>
          <w:rFonts w:cstheme="minorHAnsi"/>
          <w:sz w:val="24"/>
        </w:rPr>
        <w:t>artefacts</w:t>
      </w:r>
      <w:r w:rsidR="00F95DBF" w:rsidRPr="008B1F37">
        <w:rPr>
          <w:rFonts w:cstheme="minorHAnsi"/>
          <w:sz w:val="24"/>
        </w:rPr>
        <w:t xml:space="preserve"> and teaching about th</w:t>
      </w:r>
      <w:r w:rsidR="004462EB" w:rsidRPr="008B1F37">
        <w:rPr>
          <w:rFonts w:cstheme="minorHAnsi"/>
          <w:sz w:val="24"/>
        </w:rPr>
        <w:t>eir history</w:t>
      </w:r>
      <w:r w:rsidR="00F95DBF" w:rsidRPr="008B1F37">
        <w:rPr>
          <w:rFonts w:cstheme="minorHAnsi"/>
          <w:sz w:val="24"/>
        </w:rPr>
        <w:t xml:space="preserve"> in such a place would be tantamount to </w:t>
      </w:r>
      <w:r w:rsidR="004462EB" w:rsidRPr="008B1F37">
        <w:rPr>
          <w:rFonts w:cstheme="minorHAnsi"/>
          <w:sz w:val="24"/>
        </w:rPr>
        <w:t>sacrilege</w:t>
      </w:r>
      <w:r w:rsidR="00F95DBF" w:rsidRPr="008B1F37">
        <w:rPr>
          <w:rFonts w:cstheme="minorHAnsi"/>
          <w:sz w:val="24"/>
        </w:rPr>
        <w:t>.</w:t>
      </w:r>
      <w:r w:rsidR="00F95DBF" w:rsidRPr="008B1F37">
        <w:rPr>
          <w:rStyle w:val="FootnoteReference"/>
          <w:rFonts w:cstheme="minorHAnsi"/>
          <w:sz w:val="24"/>
        </w:rPr>
        <w:footnoteReference w:id="52"/>
      </w:r>
      <w:r w:rsidR="004B19E3" w:rsidRPr="008B1F37">
        <w:rPr>
          <w:rFonts w:cstheme="minorHAnsi"/>
          <w:sz w:val="24"/>
        </w:rPr>
        <w:t xml:space="preserve"> It would seem that another compromise would have to be found.</w:t>
      </w:r>
    </w:p>
    <w:p w14:paraId="64CA2B19" w14:textId="77777777" w:rsidR="001B1DA0" w:rsidRPr="008B1F37" w:rsidRDefault="001B1DA0" w:rsidP="00A817A4">
      <w:pPr>
        <w:spacing w:line="276" w:lineRule="auto"/>
        <w:rPr>
          <w:rFonts w:cstheme="minorHAnsi"/>
          <w:sz w:val="24"/>
        </w:rPr>
      </w:pPr>
    </w:p>
    <w:p w14:paraId="22F3A9A4" w14:textId="3AE44ABB" w:rsidR="00AF6920" w:rsidRDefault="00164C27" w:rsidP="00A817A4">
      <w:pPr>
        <w:spacing w:line="276" w:lineRule="auto"/>
        <w:rPr>
          <w:rFonts w:cstheme="minorHAnsi"/>
          <w:sz w:val="24"/>
        </w:rPr>
      </w:pPr>
      <w:r w:rsidRPr="008B1F37">
        <w:rPr>
          <w:rFonts w:cstheme="minorHAnsi"/>
          <w:sz w:val="24"/>
        </w:rPr>
        <w:t xml:space="preserve">During the design and construction of the Documentation Centre, great pains were taken to avoid creating </w:t>
      </w:r>
      <w:r w:rsidR="005B71A7" w:rsidRPr="008B1F37">
        <w:rPr>
          <w:rFonts w:cstheme="minorHAnsi"/>
          <w:sz w:val="24"/>
        </w:rPr>
        <w:t>the</w:t>
      </w:r>
      <w:r w:rsidRPr="008B1F37">
        <w:rPr>
          <w:rFonts w:cstheme="minorHAnsi"/>
          <w:sz w:val="24"/>
        </w:rPr>
        <w:t xml:space="preserve"> ‘perfect space’ that was expected in a museum, to avoid the issues of glorification and sanctity.</w:t>
      </w:r>
      <w:r w:rsidRPr="008B1F37">
        <w:rPr>
          <w:rStyle w:val="FootnoteReference"/>
          <w:rFonts w:cstheme="minorHAnsi"/>
          <w:sz w:val="24"/>
        </w:rPr>
        <w:footnoteReference w:id="53"/>
      </w:r>
      <w:r w:rsidRPr="008B1F37">
        <w:rPr>
          <w:rFonts w:cstheme="minorHAnsi"/>
          <w:sz w:val="24"/>
        </w:rPr>
        <w:t xml:space="preserve"> The building itself was not restored, merely enough to conform to health and safety standards. The inner façade, which had not been completed by the Nazis, was left in its state of bare-brick walls, with glass panes erected to protect them.</w:t>
      </w:r>
      <w:r w:rsidRPr="008B1F37">
        <w:rPr>
          <w:rStyle w:val="FootnoteReference"/>
          <w:rFonts w:cstheme="minorHAnsi"/>
          <w:sz w:val="24"/>
        </w:rPr>
        <w:footnoteReference w:id="54"/>
      </w:r>
      <w:r w:rsidR="005F6B64" w:rsidRPr="008B1F37">
        <w:rPr>
          <w:rFonts w:cstheme="minorHAnsi"/>
          <w:sz w:val="24"/>
        </w:rPr>
        <w:t xml:space="preserve"> </w:t>
      </w:r>
      <w:r w:rsidR="00AF6920">
        <w:rPr>
          <w:rFonts w:cstheme="minorHAnsi"/>
          <w:sz w:val="24"/>
        </w:rPr>
        <w:t>Unfortunately, the exterior of the building can come across as impressive, which can present an issue in the avoidance of glorification.</w:t>
      </w:r>
      <w:r w:rsidR="00AF6920">
        <w:rPr>
          <w:rStyle w:val="FootnoteReference"/>
          <w:rFonts w:cstheme="minorHAnsi"/>
          <w:sz w:val="24"/>
        </w:rPr>
        <w:footnoteReference w:id="55"/>
      </w:r>
      <w:r w:rsidR="00AF6920">
        <w:rPr>
          <w:rFonts w:cstheme="minorHAnsi"/>
          <w:sz w:val="24"/>
        </w:rPr>
        <w:t xml:space="preserve"> Tour guides at the site are given a series of questions about the building to pose to their groups which aim to neutralise this, such as asking them what they think about the stones used to build it,</w:t>
      </w:r>
      <w:r w:rsidR="00AF6920">
        <w:rPr>
          <w:rStyle w:val="FootnoteReference"/>
          <w:rFonts w:cstheme="minorHAnsi"/>
          <w:sz w:val="24"/>
        </w:rPr>
        <w:footnoteReference w:id="56"/>
      </w:r>
      <w:r w:rsidR="00AF6920">
        <w:rPr>
          <w:rFonts w:cstheme="minorHAnsi"/>
          <w:sz w:val="24"/>
        </w:rPr>
        <w:t xml:space="preserve"> which can then be led into a discussion about the concentration camp prisoners who quarried the stone.</w:t>
      </w:r>
      <w:r w:rsidR="00AF6920">
        <w:rPr>
          <w:rStyle w:val="FootnoteReference"/>
          <w:rFonts w:cstheme="minorHAnsi"/>
          <w:sz w:val="24"/>
        </w:rPr>
        <w:footnoteReference w:id="57"/>
      </w:r>
      <w:r w:rsidR="005C7403">
        <w:rPr>
          <w:rFonts w:cstheme="minorHAnsi"/>
          <w:sz w:val="24"/>
        </w:rPr>
        <w:t xml:space="preserve"> This</w:t>
      </w:r>
      <w:r w:rsidR="00B16632">
        <w:rPr>
          <w:rFonts w:cstheme="minorHAnsi"/>
          <w:sz w:val="24"/>
        </w:rPr>
        <w:t xml:space="preserve"> ‘façade-peeling’</w:t>
      </w:r>
      <w:r w:rsidR="005C7403">
        <w:rPr>
          <w:rFonts w:cstheme="minorHAnsi"/>
          <w:sz w:val="24"/>
        </w:rPr>
        <w:t xml:space="preserve"> can often be sufficient enough to break </w:t>
      </w:r>
      <w:r w:rsidR="00B16632">
        <w:rPr>
          <w:rFonts w:cstheme="minorHAnsi"/>
          <w:sz w:val="24"/>
        </w:rPr>
        <w:t>the illusion</w:t>
      </w:r>
      <w:r w:rsidR="005C7403">
        <w:rPr>
          <w:rFonts w:cstheme="minorHAnsi"/>
          <w:sz w:val="24"/>
        </w:rPr>
        <w:t>, and bring back the reality of this building’s history.</w:t>
      </w:r>
    </w:p>
    <w:p w14:paraId="6313A9F2" w14:textId="77777777" w:rsidR="001B1DA0" w:rsidRDefault="001B1DA0" w:rsidP="00A817A4">
      <w:pPr>
        <w:spacing w:line="276" w:lineRule="auto"/>
        <w:rPr>
          <w:rFonts w:cstheme="minorHAnsi"/>
          <w:sz w:val="24"/>
        </w:rPr>
      </w:pPr>
    </w:p>
    <w:p w14:paraId="5D82F9D5" w14:textId="046B83BB" w:rsidR="00253186" w:rsidRDefault="005F6B64" w:rsidP="00A817A4">
      <w:pPr>
        <w:spacing w:line="276" w:lineRule="auto"/>
        <w:rPr>
          <w:rFonts w:cstheme="minorHAnsi"/>
          <w:sz w:val="24"/>
        </w:rPr>
      </w:pPr>
      <w:r w:rsidRPr="008B1F37">
        <w:rPr>
          <w:rFonts w:cstheme="minorHAnsi"/>
          <w:sz w:val="24"/>
        </w:rPr>
        <w:t>Another decision made by the museum designer, Gunther Domenig,</w:t>
      </w:r>
      <w:r w:rsidRPr="008B1F37">
        <w:rPr>
          <w:rStyle w:val="FootnoteReference"/>
          <w:rFonts w:cstheme="minorHAnsi"/>
          <w:sz w:val="24"/>
        </w:rPr>
        <w:footnoteReference w:id="58"/>
      </w:r>
      <w:r w:rsidR="00BD5DC4" w:rsidRPr="008B1F37">
        <w:rPr>
          <w:rFonts w:cstheme="minorHAnsi"/>
          <w:sz w:val="24"/>
        </w:rPr>
        <w:t xml:space="preserve"> was to create a glass and steel ‘spear’ or ‘stake’ that ran through the length of the building, st</w:t>
      </w:r>
      <w:r w:rsidR="005C7403">
        <w:rPr>
          <w:rFonts w:cstheme="minorHAnsi"/>
          <w:sz w:val="24"/>
        </w:rPr>
        <w:t>i</w:t>
      </w:r>
      <w:r w:rsidR="00BD5DC4" w:rsidRPr="008B1F37">
        <w:rPr>
          <w:rFonts w:cstheme="minorHAnsi"/>
          <w:sz w:val="24"/>
        </w:rPr>
        <w:t>ck</w:t>
      </w:r>
      <w:r w:rsidR="005C7403">
        <w:rPr>
          <w:rFonts w:cstheme="minorHAnsi"/>
          <w:sz w:val="24"/>
        </w:rPr>
        <w:t>ing</w:t>
      </w:r>
      <w:r w:rsidR="00BD5DC4" w:rsidRPr="008B1F37">
        <w:rPr>
          <w:rFonts w:cstheme="minorHAnsi"/>
          <w:sz w:val="24"/>
        </w:rPr>
        <w:t xml:space="preserve"> out of the front.</w:t>
      </w:r>
      <w:r w:rsidR="00BD5DC4" w:rsidRPr="008B1F37">
        <w:rPr>
          <w:rStyle w:val="FootnoteReference"/>
          <w:rFonts w:cstheme="minorHAnsi"/>
          <w:sz w:val="24"/>
        </w:rPr>
        <w:footnoteReference w:id="59"/>
      </w:r>
      <w:r w:rsidR="00BD5DC4" w:rsidRPr="008B1F37">
        <w:rPr>
          <w:rFonts w:cstheme="minorHAnsi"/>
          <w:sz w:val="24"/>
        </w:rPr>
        <w:t xml:space="preserve"> </w:t>
      </w:r>
      <w:r w:rsidR="00F93921" w:rsidRPr="008B1F37">
        <w:rPr>
          <w:rFonts w:cstheme="minorHAnsi"/>
          <w:sz w:val="24"/>
        </w:rPr>
        <w:t>I see this</w:t>
      </w:r>
      <w:r w:rsidR="00BD5DC4" w:rsidRPr="008B1F37">
        <w:rPr>
          <w:rFonts w:cstheme="minorHAnsi"/>
          <w:sz w:val="24"/>
        </w:rPr>
        <w:t xml:space="preserve"> as a metaphor for putting a stake through the heart of Germany’s Nazi history, so that its ideology may never again </w:t>
      </w:r>
      <w:proofErr w:type="gramStart"/>
      <w:r w:rsidR="00BD5DC4" w:rsidRPr="008B1F37">
        <w:rPr>
          <w:rFonts w:cstheme="minorHAnsi"/>
          <w:sz w:val="24"/>
        </w:rPr>
        <w:t>rise up</w:t>
      </w:r>
      <w:proofErr w:type="gramEnd"/>
      <w:r w:rsidR="00BD5DC4" w:rsidRPr="008B1F37">
        <w:rPr>
          <w:rFonts w:cstheme="minorHAnsi"/>
          <w:sz w:val="24"/>
        </w:rPr>
        <w:t xml:space="preserve"> from the dead to gain power.</w:t>
      </w:r>
      <w:r w:rsidR="005B71A7" w:rsidRPr="008B1F37">
        <w:rPr>
          <w:rFonts w:cstheme="minorHAnsi"/>
          <w:sz w:val="24"/>
        </w:rPr>
        <w:t xml:space="preserve"> </w:t>
      </w:r>
      <w:r w:rsidR="004704E1" w:rsidRPr="008B1F37">
        <w:rPr>
          <w:rFonts w:cstheme="minorHAnsi"/>
          <w:sz w:val="24"/>
        </w:rPr>
        <w:t>MacDonald refers to a quote from David Lowenthal, which I feel is particularly appropriate to describe the difference between the effect of traditional heritage sites and the effect of Nuremberg, which is intended to be purely a historical site: “</w:t>
      </w:r>
      <w:r w:rsidR="004704E1" w:rsidRPr="008B1F37">
        <w:rPr>
          <w:rFonts w:cstheme="minorHAnsi"/>
          <w:i/>
          <w:sz w:val="24"/>
        </w:rPr>
        <w:t>Where history remains remote and critical in it view towards the past, heritage thrives on personal immediacy and embraces the past as building blocks of identity.”</w:t>
      </w:r>
      <w:r w:rsidR="004704E1" w:rsidRPr="008B1F37">
        <w:rPr>
          <w:rStyle w:val="FootnoteReference"/>
          <w:rFonts w:cstheme="minorHAnsi"/>
          <w:i/>
          <w:sz w:val="24"/>
        </w:rPr>
        <w:footnoteReference w:id="60"/>
      </w:r>
      <w:r w:rsidR="004704E1" w:rsidRPr="008B1F37">
        <w:rPr>
          <w:rFonts w:cstheme="minorHAnsi"/>
          <w:sz w:val="24"/>
        </w:rPr>
        <w:t xml:space="preserve"> By designing the Centre in this way, it can be far removed from traditional ‘heritage’ sites, which are designed in such a way that the visitors are engaged by and feel part of the site. Domenig was able to fulfil the wishes to create an educational space without having to surrender to one of the extremes described above, thus avoiding one of the pitfalls associated with difficult heritage.</w:t>
      </w:r>
    </w:p>
    <w:p w14:paraId="2BA9561B" w14:textId="77777777" w:rsidR="001B1DA0" w:rsidRDefault="001B1DA0" w:rsidP="00A817A4">
      <w:pPr>
        <w:spacing w:line="276" w:lineRule="auto"/>
        <w:rPr>
          <w:rFonts w:cstheme="minorHAnsi"/>
          <w:sz w:val="24"/>
        </w:rPr>
      </w:pPr>
    </w:p>
    <w:p w14:paraId="67C0E900" w14:textId="1A5913FD" w:rsidR="00B16632" w:rsidRDefault="004B3CFB" w:rsidP="00A817A4">
      <w:pPr>
        <w:spacing w:line="276" w:lineRule="auto"/>
        <w:rPr>
          <w:rFonts w:cstheme="minorHAnsi"/>
          <w:sz w:val="24"/>
        </w:rPr>
      </w:pPr>
      <w:r>
        <w:rPr>
          <w:rFonts w:cstheme="minorHAnsi"/>
          <w:sz w:val="24"/>
        </w:rPr>
        <w:t>Nuremberg’s contribution to historical education is not just a collection of buildings. Tour guides employed at the site play a vital role in the education of visitors, and in some ways, I feel they have the hardest job. Every day they show people around Nuremberg and must be mindful of the way they present the site to be sensitive to its difficult history.</w:t>
      </w:r>
      <w:r w:rsidR="00B26048">
        <w:rPr>
          <w:rFonts w:cstheme="minorHAnsi"/>
          <w:sz w:val="24"/>
        </w:rPr>
        <w:t xml:space="preserve"> Here, the ‘mediation’ between visitors and site is completely different to most other sites, as they are showing people around a site “</w:t>
      </w:r>
      <w:r w:rsidR="00F424AA">
        <w:rPr>
          <w:rFonts w:cstheme="minorHAnsi"/>
          <w:i/>
          <w:sz w:val="24"/>
        </w:rPr>
        <w:t xml:space="preserve">that was built </w:t>
      </w:r>
      <w:proofErr w:type="gramStart"/>
      <w:r w:rsidR="00F424AA">
        <w:rPr>
          <w:rFonts w:cstheme="minorHAnsi"/>
          <w:i/>
          <w:sz w:val="24"/>
        </w:rPr>
        <w:t>in order to</w:t>
      </w:r>
      <w:proofErr w:type="gramEnd"/>
      <w:r w:rsidR="00F424AA">
        <w:rPr>
          <w:rFonts w:cstheme="minorHAnsi"/>
          <w:i/>
          <w:sz w:val="24"/>
        </w:rPr>
        <w:t xml:space="preserve"> enlist visitors to fascist sympathies.”</w:t>
      </w:r>
      <w:r w:rsidR="00F424AA">
        <w:rPr>
          <w:rStyle w:val="FootnoteReference"/>
          <w:rFonts w:cstheme="minorHAnsi"/>
          <w:i/>
          <w:sz w:val="24"/>
        </w:rPr>
        <w:footnoteReference w:id="61"/>
      </w:r>
      <w:r w:rsidR="00F424AA">
        <w:rPr>
          <w:rFonts w:cstheme="minorHAnsi"/>
          <w:sz w:val="24"/>
        </w:rPr>
        <w:t xml:space="preserve"> Here, the task of “</w:t>
      </w:r>
      <w:r w:rsidR="00F424AA">
        <w:rPr>
          <w:rFonts w:cstheme="minorHAnsi"/>
          <w:i/>
          <w:sz w:val="24"/>
        </w:rPr>
        <w:t>selecting, glossing and interpreting sights”</w:t>
      </w:r>
      <w:r w:rsidR="00F424AA">
        <w:rPr>
          <w:rStyle w:val="FootnoteReference"/>
          <w:rFonts w:cstheme="minorHAnsi"/>
          <w:i/>
          <w:sz w:val="24"/>
        </w:rPr>
        <w:footnoteReference w:id="62"/>
      </w:r>
      <w:r w:rsidR="00F424AA">
        <w:rPr>
          <w:rFonts w:cstheme="minorHAnsi"/>
          <w:sz w:val="24"/>
        </w:rPr>
        <w:t xml:space="preserve"> is more important than normal, as these ‘cultural brokers’</w:t>
      </w:r>
      <w:r w:rsidR="00F424AA">
        <w:rPr>
          <w:rStyle w:val="FootnoteReference"/>
          <w:rFonts w:cstheme="minorHAnsi"/>
          <w:sz w:val="24"/>
        </w:rPr>
        <w:footnoteReference w:id="63"/>
      </w:r>
      <w:r w:rsidR="00F424AA">
        <w:rPr>
          <w:rFonts w:cstheme="minorHAnsi"/>
          <w:sz w:val="24"/>
        </w:rPr>
        <w:t xml:space="preserve"> have to be very careful not to come across as insensitive. There is a great chasm between the ideals of National Socialism and those of modern countries, and this chasm must </w:t>
      </w:r>
      <w:r w:rsidR="00F424AA">
        <w:rPr>
          <w:rFonts w:cstheme="minorHAnsi"/>
          <w:sz w:val="24"/>
        </w:rPr>
        <w:lastRenderedPageBreak/>
        <w:t>be broached in a way that is respectful of those who suffered under the regime, without glorifying any aspect of the Nazi’s history.</w:t>
      </w:r>
      <w:r w:rsidR="00613571">
        <w:rPr>
          <w:rStyle w:val="FootnoteReference"/>
          <w:rFonts w:cstheme="minorHAnsi"/>
          <w:sz w:val="24"/>
        </w:rPr>
        <w:footnoteReference w:id="64"/>
      </w:r>
      <w:r w:rsidR="000E55F1">
        <w:rPr>
          <w:rFonts w:cstheme="minorHAnsi"/>
          <w:sz w:val="24"/>
        </w:rPr>
        <w:t xml:space="preserve"> For this reason, </w:t>
      </w:r>
      <w:r w:rsidR="00AA1A9A">
        <w:rPr>
          <w:rFonts w:cstheme="minorHAnsi"/>
          <w:sz w:val="24"/>
        </w:rPr>
        <w:t xml:space="preserve">the tours at Nuremberg are run by a company called </w:t>
      </w:r>
      <w:r w:rsidR="00AA1A9A">
        <w:rPr>
          <w:rFonts w:cstheme="minorHAnsi"/>
          <w:i/>
          <w:sz w:val="24"/>
        </w:rPr>
        <w:t xml:space="preserve">Geschichte für Alle </w:t>
      </w:r>
      <w:r w:rsidR="00AA1A9A">
        <w:rPr>
          <w:rFonts w:cstheme="minorHAnsi"/>
          <w:sz w:val="24"/>
        </w:rPr>
        <w:t>(GfA),</w:t>
      </w:r>
      <w:r w:rsidR="00AA1A9A">
        <w:rPr>
          <w:rStyle w:val="FootnoteReference"/>
          <w:rFonts w:cstheme="minorHAnsi"/>
          <w:sz w:val="24"/>
        </w:rPr>
        <w:footnoteReference w:id="65"/>
      </w:r>
      <w:r w:rsidR="00AA1A9A">
        <w:rPr>
          <w:rFonts w:cstheme="minorHAnsi"/>
          <w:sz w:val="24"/>
        </w:rPr>
        <w:t xml:space="preserve"> which was founded</w:t>
      </w:r>
      <w:r w:rsidR="006B5162">
        <w:rPr>
          <w:rFonts w:cstheme="minorHAnsi"/>
          <w:sz w:val="24"/>
        </w:rPr>
        <w:t xml:space="preserve"> in 1986</w:t>
      </w:r>
      <w:r w:rsidR="00AA1A9A">
        <w:rPr>
          <w:rFonts w:cstheme="minorHAnsi"/>
          <w:sz w:val="24"/>
        </w:rPr>
        <w:t xml:space="preserve"> by a group of history students at the University of Erlangen-Nürnberg.</w:t>
      </w:r>
      <w:r w:rsidR="00AA1A9A">
        <w:rPr>
          <w:rStyle w:val="FootnoteReference"/>
          <w:rFonts w:cstheme="minorHAnsi"/>
          <w:sz w:val="24"/>
        </w:rPr>
        <w:footnoteReference w:id="66"/>
      </w:r>
      <w:r w:rsidR="006B5162">
        <w:rPr>
          <w:rFonts w:cstheme="minorHAnsi"/>
          <w:sz w:val="24"/>
        </w:rPr>
        <w:t xml:space="preserve"> Even now, GfA recruits mainly from history students at the University</w:t>
      </w:r>
      <w:r w:rsidR="00717331">
        <w:rPr>
          <w:rFonts w:cstheme="minorHAnsi"/>
          <w:sz w:val="24"/>
        </w:rPr>
        <w:t>,</w:t>
      </w:r>
      <w:r w:rsidR="006B5162">
        <w:rPr>
          <w:rStyle w:val="FootnoteReference"/>
          <w:rFonts w:cstheme="minorHAnsi"/>
          <w:sz w:val="24"/>
        </w:rPr>
        <w:footnoteReference w:id="67"/>
      </w:r>
      <w:r w:rsidR="00717331">
        <w:rPr>
          <w:rFonts w:cstheme="minorHAnsi"/>
          <w:sz w:val="24"/>
        </w:rPr>
        <w:t xml:space="preserve"> and go through intensive training before they are allowed to give tours.</w:t>
      </w:r>
      <w:r w:rsidR="00717331">
        <w:rPr>
          <w:rStyle w:val="FootnoteReference"/>
          <w:rFonts w:cstheme="minorHAnsi"/>
          <w:sz w:val="24"/>
        </w:rPr>
        <w:footnoteReference w:id="68"/>
      </w:r>
      <w:r w:rsidR="00717331">
        <w:rPr>
          <w:rFonts w:cstheme="minorHAnsi"/>
          <w:sz w:val="24"/>
        </w:rPr>
        <w:t xml:space="preserve"> As these are students of the very history they are presenting, they may well be better equipped than most to present this site sensitively.</w:t>
      </w:r>
      <w:r w:rsidR="00840219">
        <w:rPr>
          <w:rFonts w:cstheme="minorHAnsi"/>
          <w:sz w:val="24"/>
        </w:rPr>
        <w:t xml:space="preserve"> </w:t>
      </w:r>
    </w:p>
    <w:p w14:paraId="6660A401" w14:textId="77777777" w:rsidR="001B1DA0" w:rsidRDefault="001B1DA0" w:rsidP="00A817A4">
      <w:pPr>
        <w:spacing w:line="276" w:lineRule="auto"/>
        <w:rPr>
          <w:rFonts w:cstheme="minorHAnsi"/>
          <w:sz w:val="24"/>
        </w:rPr>
      </w:pPr>
    </w:p>
    <w:p w14:paraId="633F0A25" w14:textId="2480A510" w:rsidR="004B3CFB" w:rsidRDefault="00540707" w:rsidP="00A817A4">
      <w:pPr>
        <w:spacing w:line="276" w:lineRule="auto"/>
        <w:rPr>
          <w:rFonts w:cstheme="minorHAnsi"/>
          <w:sz w:val="24"/>
        </w:rPr>
      </w:pPr>
      <w:r>
        <w:rPr>
          <w:rFonts w:cstheme="minorHAnsi"/>
          <w:sz w:val="24"/>
        </w:rPr>
        <w:t>As sites such as Nuremberg can evoke strong emotional reactions from visitors, these guides must always be prepared to deal with such situations.</w:t>
      </w:r>
      <w:r>
        <w:rPr>
          <w:rStyle w:val="FootnoteReference"/>
          <w:rFonts w:cstheme="minorHAnsi"/>
          <w:sz w:val="24"/>
        </w:rPr>
        <w:footnoteReference w:id="69"/>
      </w:r>
      <w:r>
        <w:rPr>
          <w:rFonts w:cstheme="minorHAnsi"/>
          <w:sz w:val="24"/>
        </w:rPr>
        <w:t xml:space="preserve"> In some cases, the opposite extreme can occur, as Nazi sites are also popular with groups such as the Neo-Nazis, which can cause discomfort for those who interact with them but do not share their views. Tour guides may also be required to deal with any difficulties that may arise from such interactions, </w:t>
      </w:r>
      <w:r w:rsidR="00F40CCE">
        <w:rPr>
          <w:rFonts w:cstheme="minorHAnsi"/>
          <w:sz w:val="24"/>
        </w:rPr>
        <w:t>including the polite shutting down of any inappropriate questions or comments,</w:t>
      </w:r>
      <w:r w:rsidR="00F40CCE">
        <w:rPr>
          <w:rStyle w:val="FootnoteReference"/>
          <w:rFonts w:cstheme="minorHAnsi"/>
          <w:sz w:val="24"/>
        </w:rPr>
        <w:footnoteReference w:id="70"/>
      </w:r>
      <w:r w:rsidR="00F40CCE">
        <w:rPr>
          <w:rFonts w:cstheme="minorHAnsi"/>
          <w:sz w:val="24"/>
        </w:rPr>
        <w:t xml:space="preserve"> </w:t>
      </w:r>
      <w:r>
        <w:rPr>
          <w:rFonts w:cstheme="minorHAnsi"/>
          <w:sz w:val="24"/>
        </w:rPr>
        <w:t>despite their own feelings on the matter, as happened with one former tour guide interviewed by MacDonald.</w:t>
      </w:r>
      <w:r>
        <w:rPr>
          <w:rStyle w:val="FootnoteReference"/>
          <w:rFonts w:cstheme="minorHAnsi"/>
          <w:sz w:val="24"/>
        </w:rPr>
        <w:footnoteReference w:id="71"/>
      </w:r>
      <w:r>
        <w:rPr>
          <w:rFonts w:cstheme="minorHAnsi"/>
          <w:sz w:val="24"/>
        </w:rPr>
        <w:t xml:space="preserve"> The woman was inspired to become a tour guide while living in Wunsiedel, where Rudolf Hess is buried.</w:t>
      </w:r>
      <w:r>
        <w:rPr>
          <w:rStyle w:val="FootnoteReference"/>
          <w:rFonts w:cstheme="minorHAnsi"/>
          <w:sz w:val="24"/>
        </w:rPr>
        <w:footnoteReference w:id="72"/>
      </w:r>
      <w:r>
        <w:rPr>
          <w:rFonts w:cstheme="minorHAnsi"/>
          <w:sz w:val="24"/>
        </w:rPr>
        <w:t xml:space="preserve"> Seeing Neo-Nazi pilgrims coming to the site inspired her to seek a different way of educating people, and to present Nazi history as the atrocity that it was, not something to be venerated.</w:t>
      </w:r>
      <w:r>
        <w:rPr>
          <w:rStyle w:val="FootnoteReference"/>
          <w:rFonts w:cstheme="minorHAnsi"/>
          <w:sz w:val="24"/>
        </w:rPr>
        <w:footnoteReference w:id="73"/>
      </w:r>
      <w:r w:rsidR="00B16632">
        <w:rPr>
          <w:rFonts w:cstheme="minorHAnsi"/>
          <w:sz w:val="24"/>
        </w:rPr>
        <w:t xml:space="preserve"> Another responsibility of GfA tour guides, as mentioned above is that of ‘façade-peeling’.</w:t>
      </w:r>
      <w:r w:rsidR="00B16632">
        <w:rPr>
          <w:rStyle w:val="FootnoteReference"/>
          <w:rFonts w:cstheme="minorHAnsi"/>
          <w:sz w:val="24"/>
        </w:rPr>
        <w:footnoteReference w:id="74"/>
      </w:r>
      <w:r w:rsidR="00EB2F5D">
        <w:rPr>
          <w:rFonts w:cstheme="minorHAnsi"/>
          <w:sz w:val="24"/>
        </w:rPr>
        <w:t xml:space="preserve"> While guiding groups around the site, some parts of the exhibit can be misleading, such as photographs of groups of healthy-looking men with shovels, however the truth was that they were the minority, and the less-healthy men were grouped at the back of the photograph so that they were not spotted.</w:t>
      </w:r>
      <w:r w:rsidR="00EB2F5D">
        <w:rPr>
          <w:rStyle w:val="FootnoteReference"/>
          <w:rFonts w:cstheme="minorHAnsi"/>
          <w:sz w:val="24"/>
        </w:rPr>
        <w:footnoteReference w:id="75"/>
      </w:r>
      <w:r w:rsidR="006C4910">
        <w:rPr>
          <w:rFonts w:cstheme="minorHAnsi"/>
          <w:sz w:val="24"/>
        </w:rPr>
        <w:t xml:space="preserve"> It is also important to remind visitors that though the site is peaceful now, and was the site of the Nuremberg Trials, which brought justice to many, it was also the site of anti-Semitic propaganda, the laws that denied Jews citizenship, and also the train station where many Jews were deported to concentration camps.</w:t>
      </w:r>
      <w:r w:rsidR="006C4910">
        <w:rPr>
          <w:rStyle w:val="FootnoteReference"/>
          <w:rFonts w:cstheme="minorHAnsi"/>
          <w:sz w:val="24"/>
        </w:rPr>
        <w:footnoteReference w:id="76"/>
      </w:r>
    </w:p>
    <w:p w14:paraId="76492376" w14:textId="77777777" w:rsidR="001B1DA0" w:rsidRDefault="001B1DA0" w:rsidP="00A817A4">
      <w:pPr>
        <w:spacing w:line="276" w:lineRule="auto"/>
        <w:rPr>
          <w:rFonts w:cstheme="minorHAnsi"/>
          <w:sz w:val="24"/>
        </w:rPr>
      </w:pPr>
    </w:p>
    <w:p w14:paraId="5B707283" w14:textId="6EE25F19" w:rsidR="00DF76E0" w:rsidRDefault="00DF76E0" w:rsidP="00A817A4">
      <w:pPr>
        <w:spacing w:line="276" w:lineRule="auto"/>
        <w:rPr>
          <w:rFonts w:cstheme="minorHAnsi"/>
          <w:sz w:val="24"/>
        </w:rPr>
      </w:pPr>
      <w:r>
        <w:rPr>
          <w:rFonts w:cstheme="minorHAnsi"/>
          <w:sz w:val="24"/>
        </w:rPr>
        <w:t>Writing six years after her initial study of Nuremberg, Sharon MacDonald returned to assess whether the ‘difficult heritage’ of Nuremberg was still as much of an issue as it had been in the past.</w:t>
      </w:r>
      <w:r>
        <w:rPr>
          <w:rStyle w:val="FootnoteReference"/>
          <w:rFonts w:cstheme="minorHAnsi"/>
          <w:sz w:val="24"/>
        </w:rPr>
        <w:footnoteReference w:id="77"/>
      </w:r>
      <w:r w:rsidR="004507A6">
        <w:rPr>
          <w:rFonts w:cstheme="minorHAnsi"/>
          <w:sz w:val="24"/>
        </w:rPr>
        <w:t xml:space="preserve"> </w:t>
      </w:r>
      <w:r w:rsidR="001E3271">
        <w:rPr>
          <w:rFonts w:cstheme="minorHAnsi"/>
          <w:sz w:val="24"/>
        </w:rPr>
        <w:t>She found that Germany has “</w:t>
      </w:r>
      <w:r w:rsidR="001E3271">
        <w:rPr>
          <w:rFonts w:cstheme="minorHAnsi"/>
          <w:i/>
          <w:sz w:val="24"/>
        </w:rPr>
        <w:t>taken a lead in addressing its uncomfortable past”</w:t>
      </w:r>
      <w:r w:rsidR="00206EEC">
        <w:rPr>
          <w:rFonts w:cstheme="minorHAnsi"/>
          <w:sz w:val="24"/>
        </w:rPr>
        <w:t>,</w:t>
      </w:r>
      <w:r w:rsidR="00206EEC">
        <w:rPr>
          <w:rStyle w:val="FootnoteReference"/>
          <w:rFonts w:cstheme="minorHAnsi"/>
          <w:sz w:val="24"/>
        </w:rPr>
        <w:footnoteReference w:id="78"/>
      </w:r>
      <w:r w:rsidR="00206EEC">
        <w:rPr>
          <w:rFonts w:cstheme="minorHAnsi"/>
          <w:sz w:val="24"/>
        </w:rPr>
        <w:t xml:space="preserve"> and have been making efforts to publicly acknowledge the crimes committed by Hitler and the Nazis.</w:t>
      </w:r>
      <w:r w:rsidR="00206EEC">
        <w:rPr>
          <w:rStyle w:val="FootnoteReference"/>
          <w:rFonts w:cstheme="minorHAnsi"/>
          <w:sz w:val="24"/>
        </w:rPr>
        <w:footnoteReference w:id="79"/>
      </w:r>
      <w:r w:rsidR="0093022B">
        <w:rPr>
          <w:rFonts w:cstheme="minorHAnsi"/>
          <w:sz w:val="24"/>
        </w:rPr>
        <w:t xml:space="preserve"> These changes have also been reflected in their attitude towards heritage sites, which have become better funded and great effort has been expended </w:t>
      </w:r>
      <w:r w:rsidR="0093022B">
        <w:rPr>
          <w:rFonts w:cstheme="minorHAnsi"/>
          <w:sz w:val="24"/>
        </w:rPr>
        <w:lastRenderedPageBreak/>
        <w:t>to improve the education provided by these sites to the public, as well as to quell those who would seek to glorify the oppressive Nazi regime.</w:t>
      </w:r>
      <w:r w:rsidR="0093022B">
        <w:rPr>
          <w:rStyle w:val="FootnoteReference"/>
          <w:rFonts w:cstheme="minorHAnsi"/>
          <w:sz w:val="24"/>
        </w:rPr>
        <w:footnoteReference w:id="80"/>
      </w:r>
    </w:p>
    <w:p w14:paraId="7D673E62" w14:textId="77777777" w:rsidR="001B1DA0" w:rsidRPr="001E3271" w:rsidRDefault="001B1DA0" w:rsidP="00A817A4">
      <w:pPr>
        <w:spacing w:line="276" w:lineRule="auto"/>
        <w:rPr>
          <w:rFonts w:cstheme="minorHAnsi"/>
          <w:sz w:val="24"/>
        </w:rPr>
      </w:pPr>
    </w:p>
    <w:p w14:paraId="38A13FBE" w14:textId="0303DAD3" w:rsidR="0093022B" w:rsidRDefault="00097039" w:rsidP="00A817A4">
      <w:pPr>
        <w:spacing w:line="276" w:lineRule="auto"/>
        <w:rPr>
          <w:rFonts w:cstheme="minorHAnsi"/>
          <w:sz w:val="24"/>
        </w:rPr>
      </w:pPr>
      <w:r>
        <w:rPr>
          <w:rFonts w:cstheme="minorHAnsi"/>
          <w:sz w:val="24"/>
        </w:rPr>
        <w:t>As I have studied this site, it has become clear to me that Nuremberg is steeped in ‘difficult heritage’, which to me merely serves to emphasise the great efforts that have been expended to make this site as sensitive as possible, from its preservation in the 1970s and 80s to the modern day with those who maintain the site.</w:t>
      </w:r>
      <w:r w:rsidR="00BD28FA">
        <w:rPr>
          <w:rFonts w:cstheme="minorHAnsi"/>
          <w:sz w:val="24"/>
        </w:rPr>
        <w:t xml:space="preserve"> Th</w:t>
      </w:r>
      <w:r w:rsidR="00D25410">
        <w:rPr>
          <w:rFonts w:cstheme="minorHAnsi"/>
          <w:sz w:val="24"/>
        </w:rPr>
        <w:t xml:space="preserve">ose who navigate the </w:t>
      </w:r>
      <w:r w:rsidR="00BD28FA">
        <w:rPr>
          <w:rFonts w:cstheme="minorHAnsi"/>
          <w:sz w:val="24"/>
        </w:rPr>
        <w:t xml:space="preserve">myriad difficulties inherent in managing a site such as Nuremberg </w:t>
      </w:r>
      <w:r w:rsidR="00D25410">
        <w:rPr>
          <w:rFonts w:cstheme="minorHAnsi"/>
          <w:sz w:val="24"/>
        </w:rPr>
        <w:t>ought to be acknowledged for the contributions that they have made to helping the world come to terms with the stain caused by the Nazi Regime, and the scars that they have left behind in our collective consciousness.</w:t>
      </w:r>
      <w:r w:rsidR="00827625">
        <w:rPr>
          <w:rFonts w:cstheme="minorHAnsi"/>
          <w:sz w:val="24"/>
        </w:rPr>
        <w:t xml:space="preserve"> It has amazed me the scope of the responsibilities demanded by Nuremberg’s caretakers, from </w:t>
      </w:r>
      <w:r w:rsidR="00BD542A">
        <w:rPr>
          <w:rFonts w:cstheme="minorHAnsi"/>
          <w:sz w:val="24"/>
        </w:rPr>
        <w:t xml:space="preserve">the </w:t>
      </w:r>
      <w:r w:rsidR="00827625">
        <w:rPr>
          <w:rFonts w:cstheme="minorHAnsi"/>
          <w:sz w:val="24"/>
        </w:rPr>
        <w:t>careful and tactful navigation of the painful past by the tour guides, to the minute details taken care of by the curators, designers and architects of the exhibitions in the Zeppelin Building and especially the Documentation Centre.</w:t>
      </w:r>
      <w:r w:rsidR="00317155">
        <w:rPr>
          <w:rFonts w:cstheme="minorHAnsi"/>
          <w:sz w:val="24"/>
        </w:rPr>
        <w:t xml:space="preserve"> Even the steps taken immediately following Hitler’s defeat show the willingness of the German people to remove the difficult aspects of their heritage by blasting off the swastikas from the buildings at Nuremberg.</w:t>
      </w:r>
      <w:r w:rsidR="00317155">
        <w:rPr>
          <w:rStyle w:val="FootnoteReference"/>
          <w:rFonts w:cstheme="minorHAnsi"/>
          <w:sz w:val="24"/>
        </w:rPr>
        <w:footnoteReference w:id="81"/>
      </w:r>
      <w:r w:rsidR="00E02183">
        <w:rPr>
          <w:rFonts w:cstheme="minorHAnsi"/>
          <w:sz w:val="24"/>
        </w:rPr>
        <w:t xml:space="preserve"> </w:t>
      </w:r>
      <w:r w:rsidR="006E6FEA">
        <w:rPr>
          <w:rFonts w:cstheme="minorHAnsi"/>
          <w:sz w:val="24"/>
        </w:rPr>
        <w:t xml:space="preserve">All of these efforts have paid off, as the presentation of the site has been undertaken in a way that is very aware of the problems that have arisen as part of its ‘difficult heritage’, and in a way that has done the site justice, while holding sacred the memories of those who suffered through the ‘reign of terror’ perpetrated by the Nazi Regime. I have found this study to be very </w:t>
      </w:r>
      <w:r w:rsidR="001B1DA0">
        <w:rPr>
          <w:rFonts w:cstheme="minorHAnsi"/>
          <w:sz w:val="24"/>
        </w:rPr>
        <w:t>enlightening and</w:t>
      </w:r>
      <w:r w:rsidR="006E6FEA">
        <w:rPr>
          <w:rFonts w:cstheme="minorHAnsi"/>
          <w:sz w:val="24"/>
        </w:rPr>
        <w:t xml:space="preserve"> would consider visiting the site myself to better understand the true scope of what has been achieved here.</w:t>
      </w:r>
    </w:p>
    <w:p w14:paraId="286DDD2D" w14:textId="77777777" w:rsidR="0093022B" w:rsidRDefault="0093022B">
      <w:pPr>
        <w:rPr>
          <w:rFonts w:cstheme="minorHAnsi"/>
          <w:sz w:val="24"/>
        </w:rPr>
      </w:pPr>
      <w:r>
        <w:rPr>
          <w:rFonts w:cstheme="minorHAnsi"/>
          <w:sz w:val="24"/>
        </w:rPr>
        <w:br w:type="page"/>
      </w:r>
    </w:p>
    <w:p w14:paraId="4433BB72" w14:textId="0327437E" w:rsidR="00097039" w:rsidRDefault="0093022B" w:rsidP="0093022B">
      <w:pPr>
        <w:spacing w:line="276" w:lineRule="auto"/>
        <w:jc w:val="center"/>
        <w:rPr>
          <w:rFonts w:cstheme="minorHAnsi"/>
          <w:b/>
          <w:sz w:val="28"/>
          <w:u w:val="single"/>
        </w:rPr>
      </w:pPr>
      <w:r>
        <w:rPr>
          <w:rFonts w:cstheme="minorHAnsi"/>
          <w:b/>
          <w:sz w:val="28"/>
          <w:u w:val="single"/>
        </w:rPr>
        <w:lastRenderedPageBreak/>
        <w:t>Bibliography</w:t>
      </w:r>
    </w:p>
    <w:p w14:paraId="5AB32DBB" w14:textId="1AF03B7D" w:rsidR="0093022B" w:rsidRDefault="0093022B" w:rsidP="0093022B">
      <w:pPr>
        <w:spacing w:line="276" w:lineRule="auto"/>
        <w:rPr>
          <w:rFonts w:cstheme="minorHAnsi"/>
          <w:sz w:val="28"/>
        </w:rPr>
      </w:pPr>
      <w:r>
        <w:rPr>
          <w:rFonts w:cstheme="minorHAnsi"/>
          <w:sz w:val="28"/>
        </w:rPr>
        <w:t xml:space="preserve">MacDonald, S. 2006a ‘Undesirable Heritage: Fascist Material Culture and Historical Consciousness in Nuremberg’. </w:t>
      </w:r>
      <w:r>
        <w:rPr>
          <w:rFonts w:cstheme="minorHAnsi"/>
          <w:i/>
          <w:sz w:val="28"/>
        </w:rPr>
        <w:t>International Journal of Heritage Studies</w:t>
      </w:r>
      <w:r>
        <w:rPr>
          <w:rFonts w:cstheme="minorHAnsi"/>
          <w:sz w:val="28"/>
        </w:rPr>
        <w:t xml:space="preserve"> 12:1. 9-28</w:t>
      </w:r>
    </w:p>
    <w:p w14:paraId="0D26F305" w14:textId="2A45BAAB" w:rsidR="0093022B" w:rsidRDefault="0093022B" w:rsidP="0093022B">
      <w:pPr>
        <w:spacing w:line="276" w:lineRule="auto"/>
        <w:rPr>
          <w:rFonts w:cstheme="minorHAnsi"/>
          <w:sz w:val="28"/>
        </w:rPr>
      </w:pPr>
    </w:p>
    <w:p w14:paraId="50170045" w14:textId="5B80581F" w:rsidR="0093022B" w:rsidRDefault="0093022B" w:rsidP="0093022B">
      <w:pPr>
        <w:spacing w:line="276" w:lineRule="auto"/>
        <w:rPr>
          <w:rFonts w:cstheme="minorHAnsi"/>
          <w:sz w:val="28"/>
        </w:rPr>
      </w:pPr>
      <w:r>
        <w:rPr>
          <w:rFonts w:cstheme="minorHAnsi"/>
          <w:sz w:val="28"/>
        </w:rPr>
        <w:t xml:space="preserve">MacDonald, S. 2006b. ‘Mediating Heritage: Tour Guides at the Former Nazi Party Rally Ground, Nuremberg’. </w:t>
      </w:r>
      <w:r>
        <w:rPr>
          <w:rFonts w:cstheme="minorHAnsi"/>
          <w:i/>
          <w:sz w:val="28"/>
        </w:rPr>
        <w:t>Tourist Studies</w:t>
      </w:r>
      <w:r>
        <w:rPr>
          <w:rFonts w:cstheme="minorHAnsi"/>
          <w:sz w:val="28"/>
        </w:rPr>
        <w:t xml:space="preserve"> 6(2). 119-138</w:t>
      </w:r>
    </w:p>
    <w:p w14:paraId="25272799" w14:textId="6A26CCF4" w:rsidR="0093022B" w:rsidRDefault="0093022B" w:rsidP="0093022B">
      <w:pPr>
        <w:spacing w:line="276" w:lineRule="auto"/>
        <w:rPr>
          <w:rFonts w:cstheme="minorHAnsi"/>
          <w:sz w:val="28"/>
        </w:rPr>
      </w:pPr>
    </w:p>
    <w:p w14:paraId="6D91AB91" w14:textId="684BBF25" w:rsidR="0093022B" w:rsidRDefault="0093022B" w:rsidP="0093022B">
      <w:pPr>
        <w:spacing w:line="276" w:lineRule="auto"/>
        <w:rPr>
          <w:rFonts w:cstheme="minorHAnsi"/>
          <w:sz w:val="28"/>
        </w:rPr>
      </w:pPr>
      <w:r>
        <w:rPr>
          <w:rFonts w:cstheme="minorHAnsi"/>
          <w:sz w:val="28"/>
        </w:rPr>
        <w:t xml:space="preserve">MacDonald, S. 2006c. ‘Words in Stone? Agency and Identity in a Nazi Landscape’ </w:t>
      </w:r>
      <w:r>
        <w:rPr>
          <w:rFonts w:cstheme="minorHAnsi"/>
          <w:i/>
          <w:sz w:val="28"/>
        </w:rPr>
        <w:t>Journal of Material Culture</w:t>
      </w:r>
      <w:r>
        <w:rPr>
          <w:rFonts w:cstheme="minorHAnsi"/>
          <w:sz w:val="28"/>
        </w:rPr>
        <w:t xml:space="preserve"> 11 (1/2). 105-126</w:t>
      </w:r>
    </w:p>
    <w:p w14:paraId="3CF0D9BD" w14:textId="7EDE05B1" w:rsidR="0093022B" w:rsidRDefault="0093022B" w:rsidP="0093022B">
      <w:pPr>
        <w:spacing w:line="276" w:lineRule="auto"/>
        <w:rPr>
          <w:rFonts w:cstheme="minorHAnsi"/>
          <w:sz w:val="28"/>
        </w:rPr>
      </w:pPr>
    </w:p>
    <w:p w14:paraId="268D55EE" w14:textId="5AF46F6A" w:rsidR="0093022B" w:rsidRPr="0093022B" w:rsidRDefault="0093022B" w:rsidP="0093022B">
      <w:pPr>
        <w:spacing w:line="276" w:lineRule="auto"/>
        <w:rPr>
          <w:rFonts w:cstheme="minorHAnsi"/>
          <w:sz w:val="28"/>
        </w:rPr>
      </w:pPr>
      <w:r>
        <w:rPr>
          <w:rFonts w:cstheme="minorHAnsi"/>
          <w:sz w:val="28"/>
        </w:rPr>
        <w:t xml:space="preserve">MacDonald, S. 2012. ‘Is Difficult Heritage Still Difficult? Why Public Acknowledgement of Past Perpetuation May No Longer Be So Unsettling to Collective Identities’ </w:t>
      </w:r>
      <w:r>
        <w:rPr>
          <w:rFonts w:cstheme="minorHAnsi"/>
          <w:i/>
          <w:sz w:val="28"/>
        </w:rPr>
        <w:t>Museum International</w:t>
      </w:r>
      <w:r>
        <w:rPr>
          <w:rFonts w:cstheme="minorHAnsi"/>
          <w:sz w:val="28"/>
        </w:rPr>
        <w:t xml:space="preserve"> 265-268. 6-22</w:t>
      </w:r>
    </w:p>
    <w:p w14:paraId="1D32A806" w14:textId="77777777" w:rsidR="0093022B" w:rsidRDefault="0093022B" w:rsidP="0093022B">
      <w:pPr>
        <w:spacing w:line="276" w:lineRule="auto"/>
        <w:rPr>
          <w:rFonts w:cstheme="minorHAnsi"/>
          <w:sz w:val="28"/>
        </w:rPr>
      </w:pPr>
    </w:p>
    <w:p w14:paraId="0AB791E8" w14:textId="1D8B4C13" w:rsidR="0093022B" w:rsidRDefault="0093022B" w:rsidP="0093022B">
      <w:pPr>
        <w:spacing w:line="276" w:lineRule="auto"/>
        <w:rPr>
          <w:rFonts w:cstheme="minorHAnsi"/>
          <w:sz w:val="28"/>
        </w:rPr>
      </w:pPr>
      <w:proofErr w:type="spellStart"/>
      <w:r w:rsidRPr="0093022B">
        <w:rPr>
          <w:rFonts w:cstheme="minorHAnsi"/>
          <w:sz w:val="28"/>
        </w:rPr>
        <w:t>Museen</w:t>
      </w:r>
      <w:proofErr w:type="spellEnd"/>
      <w:r w:rsidRPr="0093022B">
        <w:rPr>
          <w:rFonts w:cstheme="minorHAnsi"/>
          <w:sz w:val="28"/>
        </w:rPr>
        <w:t xml:space="preserve"> der Stadt Nurnberg n.d. 'The Future of the Nazi Party Rally Grounds' https://museums.nuernberg.de/documentation-center/the-site/the-future-of-the-nazi-party-rally-grounds/ [Accessed 30th April 2018]</w:t>
      </w:r>
    </w:p>
    <w:p w14:paraId="03F236B2" w14:textId="7E28EA35" w:rsidR="004347A1" w:rsidRDefault="004347A1" w:rsidP="0093022B">
      <w:pPr>
        <w:spacing w:line="276" w:lineRule="auto"/>
        <w:rPr>
          <w:rFonts w:cstheme="minorHAnsi"/>
          <w:sz w:val="28"/>
        </w:rPr>
      </w:pPr>
    </w:p>
    <w:p w14:paraId="02ADDF28" w14:textId="74E31127" w:rsidR="004347A1" w:rsidRPr="004347A1" w:rsidRDefault="004347A1" w:rsidP="0093022B">
      <w:pPr>
        <w:spacing w:line="276" w:lineRule="auto"/>
        <w:rPr>
          <w:rFonts w:cstheme="minorHAnsi"/>
          <w:sz w:val="28"/>
        </w:rPr>
      </w:pPr>
      <w:r>
        <w:rPr>
          <w:rFonts w:cstheme="minorHAnsi"/>
          <w:sz w:val="28"/>
        </w:rPr>
        <w:t xml:space="preserve">Popov, A. and Dušan, D. 2015. ‘Making Sense of the ‘Difficult’ Past: Transmission of Political Heritage and Memory-Work Among Young People Across Europe’. </w:t>
      </w:r>
      <w:r>
        <w:rPr>
          <w:rFonts w:cstheme="minorHAnsi"/>
          <w:i/>
          <w:sz w:val="28"/>
        </w:rPr>
        <w:t>The Sociological Review</w:t>
      </w:r>
      <w:r>
        <w:rPr>
          <w:rFonts w:cstheme="minorHAnsi"/>
          <w:sz w:val="28"/>
        </w:rPr>
        <w:t xml:space="preserve"> </w:t>
      </w:r>
      <w:proofErr w:type="gramStart"/>
      <w:r>
        <w:rPr>
          <w:rFonts w:cstheme="minorHAnsi"/>
          <w:sz w:val="28"/>
        </w:rPr>
        <w:t>63:S</w:t>
      </w:r>
      <w:proofErr w:type="gramEnd"/>
      <w:r>
        <w:rPr>
          <w:rFonts w:cstheme="minorHAnsi"/>
          <w:sz w:val="28"/>
        </w:rPr>
        <w:t>2. 36-52</w:t>
      </w:r>
    </w:p>
    <w:sectPr w:rsidR="004347A1" w:rsidRPr="004347A1" w:rsidSect="00F93921">
      <w:headerReference w:type="default" r:id="rId7"/>
      <w:pgSz w:w="11906" w:h="16838"/>
      <w:pgMar w:top="1440" w:right="566" w:bottom="568"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4F1E3" w14:textId="77777777" w:rsidR="000F2BCE" w:rsidRDefault="000F2BCE" w:rsidP="0053056B">
      <w:pPr>
        <w:spacing w:after="0" w:line="240" w:lineRule="auto"/>
      </w:pPr>
      <w:r>
        <w:separator/>
      </w:r>
    </w:p>
  </w:endnote>
  <w:endnote w:type="continuationSeparator" w:id="0">
    <w:p w14:paraId="409E5160" w14:textId="77777777" w:rsidR="000F2BCE" w:rsidRDefault="000F2BCE" w:rsidP="00530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1B2B8" w14:textId="77777777" w:rsidR="000F2BCE" w:rsidRDefault="000F2BCE" w:rsidP="0053056B">
      <w:pPr>
        <w:spacing w:after="0" w:line="240" w:lineRule="auto"/>
      </w:pPr>
      <w:r>
        <w:separator/>
      </w:r>
    </w:p>
  </w:footnote>
  <w:footnote w:type="continuationSeparator" w:id="0">
    <w:p w14:paraId="51127E45" w14:textId="77777777" w:rsidR="000F2BCE" w:rsidRDefault="000F2BCE" w:rsidP="0053056B">
      <w:pPr>
        <w:spacing w:after="0" w:line="240" w:lineRule="auto"/>
      </w:pPr>
      <w:r>
        <w:continuationSeparator/>
      </w:r>
    </w:p>
  </w:footnote>
  <w:footnote w:id="1">
    <w:p w14:paraId="6C6A687B" w14:textId="19815C72" w:rsidR="0093022B" w:rsidRDefault="0093022B">
      <w:pPr>
        <w:pStyle w:val="FootnoteText"/>
      </w:pPr>
      <w:r>
        <w:rPr>
          <w:rStyle w:val="FootnoteReference"/>
        </w:rPr>
        <w:footnoteRef/>
      </w:r>
      <w:r>
        <w:t xml:space="preserve"> MacDonald 2006a:9</w:t>
      </w:r>
    </w:p>
  </w:footnote>
  <w:footnote w:id="2">
    <w:p w14:paraId="2028B5B1" w14:textId="3B4C989F" w:rsidR="0093022B" w:rsidRDefault="0093022B">
      <w:pPr>
        <w:pStyle w:val="FootnoteText"/>
      </w:pPr>
      <w:r>
        <w:rPr>
          <w:rStyle w:val="FootnoteReference"/>
        </w:rPr>
        <w:footnoteRef/>
      </w:r>
      <w:r>
        <w:t xml:space="preserve"> MacDonald 2006b:120</w:t>
      </w:r>
    </w:p>
  </w:footnote>
  <w:footnote w:id="3">
    <w:p w14:paraId="49372CD8" w14:textId="12C43B09" w:rsidR="0093022B" w:rsidRDefault="0093022B">
      <w:pPr>
        <w:pStyle w:val="FootnoteText"/>
      </w:pPr>
      <w:r>
        <w:rPr>
          <w:rStyle w:val="FootnoteReference"/>
        </w:rPr>
        <w:footnoteRef/>
      </w:r>
      <w:r>
        <w:t xml:space="preserve"> MacDonald 2006a:10</w:t>
      </w:r>
    </w:p>
  </w:footnote>
  <w:footnote w:id="4">
    <w:p w14:paraId="64C0458A" w14:textId="0D1995E6" w:rsidR="0093022B" w:rsidRDefault="0093022B" w:rsidP="00461779">
      <w:pPr>
        <w:pStyle w:val="FootnoteText"/>
      </w:pPr>
      <w:r>
        <w:rPr>
          <w:rStyle w:val="FootnoteReference"/>
        </w:rPr>
        <w:footnoteRef/>
      </w:r>
      <w:r>
        <w:t xml:space="preserve"> MacDonald 2006a:11</w:t>
      </w:r>
    </w:p>
  </w:footnote>
  <w:footnote w:id="5">
    <w:p w14:paraId="3F38AEA0" w14:textId="299852ED" w:rsidR="0093022B" w:rsidRDefault="0093022B">
      <w:pPr>
        <w:pStyle w:val="FootnoteText"/>
      </w:pPr>
      <w:r>
        <w:rPr>
          <w:rStyle w:val="FootnoteReference"/>
        </w:rPr>
        <w:footnoteRef/>
      </w:r>
      <w:r>
        <w:t xml:space="preserve"> MacDonald 2006a:10</w:t>
      </w:r>
    </w:p>
  </w:footnote>
  <w:footnote w:id="6">
    <w:p w14:paraId="71C5BF09" w14:textId="53B214AE" w:rsidR="0093022B" w:rsidRDefault="0093022B">
      <w:pPr>
        <w:pStyle w:val="FootnoteText"/>
      </w:pPr>
      <w:r>
        <w:rPr>
          <w:rStyle w:val="FootnoteReference"/>
        </w:rPr>
        <w:footnoteRef/>
      </w:r>
      <w:r>
        <w:t xml:space="preserve"> MacDonald 2006a:23</w:t>
      </w:r>
    </w:p>
  </w:footnote>
  <w:footnote w:id="7">
    <w:p w14:paraId="7C9014C0" w14:textId="71D03518" w:rsidR="0093022B" w:rsidRDefault="0093022B">
      <w:pPr>
        <w:pStyle w:val="FootnoteText"/>
      </w:pPr>
      <w:r>
        <w:rPr>
          <w:rStyle w:val="FootnoteReference"/>
        </w:rPr>
        <w:footnoteRef/>
      </w:r>
      <w:r>
        <w:t xml:space="preserve"> MacDonald 2006a:13</w:t>
      </w:r>
    </w:p>
  </w:footnote>
  <w:footnote w:id="8">
    <w:p w14:paraId="3E7907C8" w14:textId="5B91CA69" w:rsidR="0093022B" w:rsidRDefault="0093022B">
      <w:pPr>
        <w:pStyle w:val="FootnoteText"/>
      </w:pPr>
      <w:r>
        <w:rPr>
          <w:rStyle w:val="FootnoteReference"/>
        </w:rPr>
        <w:footnoteRef/>
      </w:r>
      <w:r>
        <w:t xml:space="preserve"> MacDonald 2006a:10</w:t>
      </w:r>
    </w:p>
  </w:footnote>
  <w:footnote w:id="9">
    <w:p w14:paraId="442C4B36" w14:textId="030EFF2E" w:rsidR="0093022B" w:rsidRDefault="0093022B">
      <w:pPr>
        <w:pStyle w:val="FootnoteText"/>
      </w:pPr>
      <w:r>
        <w:rPr>
          <w:rStyle w:val="FootnoteReference"/>
        </w:rPr>
        <w:footnoteRef/>
      </w:r>
      <w:r>
        <w:t xml:space="preserve"> MacDonald 2006a:10</w:t>
      </w:r>
    </w:p>
  </w:footnote>
  <w:footnote w:id="10">
    <w:p w14:paraId="724E425C" w14:textId="716043CD" w:rsidR="0093022B" w:rsidRDefault="0093022B" w:rsidP="0053056B">
      <w:pPr>
        <w:pStyle w:val="FootnoteText"/>
      </w:pPr>
      <w:r>
        <w:rPr>
          <w:rStyle w:val="FootnoteReference"/>
        </w:rPr>
        <w:footnoteRef/>
      </w:r>
      <w:r>
        <w:t xml:space="preserve"> MacDonald 2006a:10</w:t>
      </w:r>
    </w:p>
  </w:footnote>
  <w:footnote w:id="11">
    <w:p w14:paraId="3F54CB44" w14:textId="1516033E" w:rsidR="0093022B" w:rsidRDefault="0093022B">
      <w:pPr>
        <w:pStyle w:val="FootnoteText"/>
      </w:pPr>
      <w:r>
        <w:rPr>
          <w:rStyle w:val="FootnoteReference"/>
        </w:rPr>
        <w:footnoteRef/>
      </w:r>
      <w:r>
        <w:t xml:space="preserve"> MacDonald 2006a:10</w:t>
      </w:r>
    </w:p>
  </w:footnote>
  <w:footnote w:id="12">
    <w:p w14:paraId="61295F29" w14:textId="77777777" w:rsidR="0093022B" w:rsidRDefault="0093022B" w:rsidP="00AE2F03">
      <w:pPr>
        <w:pStyle w:val="FootnoteText"/>
      </w:pPr>
      <w:r>
        <w:rPr>
          <w:rStyle w:val="FootnoteReference"/>
        </w:rPr>
        <w:footnoteRef/>
      </w:r>
      <w:r>
        <w:t xml:space="preserve"> MacDonald 2006a:22</w:t>
      </w:r>
    </w:p>
  </w:footnote>
  <w:footnote w:id="13">
    <w:p w14:paraId="0B34A28E" w14:textId="77777777" w:rsidR="0093022B" w:rsidRDefault="0093022B" w:rsidP="00AE2F03">
      <w:pPr>
        <w:pStyle w:val="FootnoteText"/>
      </w:pPr>
      <w:r>
        <w:rPr>
          <w:rStyle w:val="FootnoteReference"/>
        </w:rPr>
        <w:footnoteRef/>
      </w:r>
      <w:r>
        <w:t xml:space="preserve"> MacDonald 2006a:22</w:t>
      </w:r>
    </w:p>
  </w:footnote>
  <w:footnote w:id="14">
    <w:p w14:paraId="3306D5AF" w14:textId="08871DFF" w:rsidR="0093022B" w:rsidRDefault="0093022B">
      <w:pPr>
        <w:pStyle w:val="FootnoteText"/>
      </w:pPr>
      <w:r>
        <w:rPr>
          <w:rStyle w:val="FootnoteReference"/>
        </w:rPr>
        <w:footnoteRef/>
      </w:r>
      <w:r>
        <w:t xml:space="preserve"> MacDonald 2006a:11</w:t>
      </w:r>
    </w:p>
  </w:footnote>
  <w:footnote w:id="15">
    <w:p w14:paraId="28405638" w14:textId="42966327" w:rsidR="0093022B" w:rsidRDefault="0093022B">
      <w:pPr>
        <w:pStyle w:val="FootnoteText"/>
      </w:pPr>
      <w:r>
        <w:rPr>
          <w:rStyle w:val="FootnoteReference"/>
        </w:rPr>
        <w:footnoteRef/>
      </w:r>
      <w:r>
        <w:t xml:space="preserve"> MacDonald 2006a:11</w:t>
      </w:r>
    </w:p>
  </w:footnote>
  <w:footnote w:id="16">
    <w:p w14:paraId="47386C4C" w14:textId="1E66ACC1" w:rsidR="0093022B" w:rsidRDefault="0093022B">
      <w:pPr>
        <w:pStyle w:val="FootnoteText"/>
      </w:pPr>
      <w:r>
        <w:rPr>
          <w:rStyle w:val="FootnoteReference"/>
        </w:rPr>
        <w:footnoteRef/>
      </w:r>
      <w:r>
        <w:t xml:space="preserve"> MacDonald 2006a:12</w:t>
      </w:r>
    </w:p>
  </w:footnote>
  <w:footnote w:id="17">
    <w:p w14:paraId="5A9F8429" w14:textId="63FE3CEE" w:rsidR="0093022B" w:rsidRDefault="0093022B">
      <w:pPr>
        <w:pStyle w:val="FootnoteText"/>
      </w:pPr>
      <w:r>
        <w:rPr>
          <w:rStyle w:val="FootnoteReference"/>
        </w:rPr>
        <w:footnoteRef/>
      </w:r>
      <w:r>
        <w:t xml:space="preserve"> MacDonald 2006a:12</w:t>
      </w:r>
    </w:p>
  </w:footnote>
  <w:footnote w:id="18">
    <w:p w14:paraId="349E0FF5" w14:textId="44DBC9C3" w:rsidR="0093022B" w:rsidRDefault="0093022B">
      <w:pPr>
        <w:pStyle w:val="FootnoteText"/>
      </w:pPr>
      <w:r>
        <w:rPr>
          <w:rStyle w:val="FootnoteReference"/>
        </w:rPr>
        <w:footnoteRef/>
      </w:r>
      <w:r>
        <w:t xml:space="preserve"> MacDonald 2006a:12</w:t>
      </w:r>
    </w:p>
  </w:footnote>
  <w:footnote w:id="19">
    <w:p w14:paraId="62B19989" w14:textId="35ECB139" w:rsidR="0093022B" w:rsidRDefault="0093022B">
      <w:pPr>
        <w:pStyle w:val="FootnoteText"/>
      </w:pPr>
      <w:r>
        <w:rPr>
          <w:rStyle w:val="FootnoteReference"/>
        </w:rPr>
        <w:footnoteRef/>
      </w:r>
      <w:r>
        <w:t xml:space="preserve"> MacDonald 2006c:106</w:t>
      </w:r>
    </w:p>
  </w:footnote>
  <w:footnote w:id="20">
    <w:p w14:paraId="2ED6F588" w14:textId="3ED81043" w:rsidR="0093022B" w:rsidRDefault="0093022B">
      <w:pPr>
        <w:pStyle w:val="FootnoteText"/>
      </w:pPr>
      <w:r>
        <w:rPr>
          <w:rStyle w:val="FootnoteReference"/>
        </w:rPr>
        <w:footnoteRef/>
      </w:r>
      <w:r>
        <w:t xml:space="preserve"> MacDonald 2006a:13</w:t>
      </w:r>
    </w:p>
  </w:footnote>
  <w:footnote w:id="21">
    <w:p w14:paraId="07963FD8" w14:textId="01F4ACB1" w:rsidR="0093022B" w:rsidRDefault="0093022B">
      <w:pPr>
        <w:pStyle w:val="FootnoteText"/>
      </w:pPr>
      <w:r>
        <w:rPr>
          <w:rStyle w:val="FootnoteReference"/>
        </w:rPr>
        <w:footnoteRef/>
      </w:r>
      <w:r>
        <w:t xml:space="preserve"> MacDonald 2006a:17</w:t>
      </w:r>
    </w:p>
  </w:footnote>
  <w:footnote w:id="22">
    <w:p w14:paraId="2A1C085A" w14:textId="2291A751" w:rsidR="0093022B" w:rsidRDefault="0093022B">
      <w:pPr>
        <w:pStyle w:val="FootnoteText"/>
      </w:pPr>
      <w:r>
        <w:rPr>
          <w:rStyle w:val="FootnoteReference"/>
        </w:rPr>
        <w:footnoteRef/>
      </w:r>
      <w:r>
        <w:t xml:space="preserve"> MacDonald 2006a:17</w:t>
      </w:r>
    </w:p>
  </w:footnote>
  <w:footnote w:id="23">
    <w:p w14:paraId="10793818" w14:textId="48CC9DED" w:rsidR="0093022B" w:rsidRDefault="0093022B">
      <w:pPr>
        <w:pStyle w:val="FootnoteText"/>
      </w:pPr>
      <w:r>
        <w:rPr>
          <w:rStyle w:val="FootnoteReference"/>
        </w:rPr>
        <w:footnoteRef/>
      </w:r>
      <w:r>
        <w:t xml:space="preserve"> MacDonald 2006a:17</w:t>
      </w:r>
    </w:p>
  </w:footnote>
  <w:footnote w:id="24">
    <w:p w14:paraId="1569AA91" w14:textId="6CD37339" w:rsidR="0093022B" w:rsidRDefault="0093022B">
      <w:pPr>
        <w:pStyle w:val="FootnoteText"/>
      </w:pPr>
      <w:r>
        <w:rPr>
          <w:rStyle w:val="FootnoteReference"/>
        </w:rPr>
        <w:footnoteRef/>
      </w:r>
      <w:r>
        <w:t xml:space="preserve"> MacDonald 2006a:18</w:t>
      </w:r>
    </w:p>
  </w:footnote>
  <w:footnote w:id="25">
    <w:p w14:paraId="11C138D9" w14:textId="06F841A7" w:rsidR="0093022B" w:rsidRDefault="0093022B">
      <w:pPr>
        <w:pStyle w:val="FootnoteText"/>
      </w:pPr>
      <w:r>
        <w:rPr>
          <w:rStyle w:val="FootnoteReference"/>
        </w:rPr>
        <w:footnoteRef/>
      </w:r>
      <w:r>
        <w:t xml:space="preserve"> MacDonald 2006a:18</w:t>
      </w:r>
    </w:p>
  </w:footnote>
  <w:footnote w:id="26">
    <w:p w14:paraId="40977EFF" w14:textId="02700128" w:rsidR="001B7913" w:rsidRDefault="001B7913">
      <w:pPr>
        <w:pStyle w:val="FootnoteText"/>
      </w:pPr>
      <w:r>
        <w:rPr>
          <w:rStyle w:val="FootnoteReference"/>
        </w:rPr>
        <w:footnoteRef/>
      </w:r>
      <w:r>
        <w:t xml:space="preserve"> MacDonald 2006b:131</w:t>
      </w:r>
    </w:p>
  </w:footnote>
  <w:footnote w:id="27">
    <w:p w14:paraId="3CAE8AD7" w14:textId="7CFB6587" w:rsidR="0093022B" w:rsidRDefault="0093022B">
      <w:pPr>
        <w:pStyle w:val="FootnoteText"/>
      </w:pPr>
      <w:r>
        <w:rPr>
          <w:rStyle w:val="FootnoteReference"/>
        </w:rPr>
        <w:footnoteRef/>
      </w:r>
      <w:r>
        <w:t xml:space="preserve"> MacDonald 2006a:18</w:t>
      </w:r>
    </w:p>
  </w:footnote>
  <w:footnote w:id="28">
    <w:p w14:paraId="0F1121D1" w14:textId="5372DF48" w:rsidR="0093022B" w:rsidRDefault="0093022B">
      <w:pPr>
        <w:pStyle w:val="FootnoteText"/>
      </w:pPr>
      <w:r>
        <w:rPr>
          <w:rStyle w:val="FootnoteReference"/>
        </w:rPr>
        <w:footnoteRef/>
      </w:r>
      <w:r>
        <w:t xml:space="preserve"> MacDonald 2006a:18</w:t>
      </w:r>
    </w:p>
  </w:footnote>
  <w:footnote w:id="29">
    <w:p w14:paraId="1F4AFBE3" w14:textId="78ECB514" w:rsidR="0093022B" w:rsidRDefault="0093022B">
      <w:pPr>
        <w:pStyle w:val="FootnoteText"/>
      </w:pPr>
      <w:r>
        <w:rPr>
          <w:rStyle w:val="FootnoteReference"/>
        </w:rPr>
        <w:footnoteRef/>
      </w:r>
      <w:r>
        <w:t xml:space="preserve"> MacDonald 2006a:18</w:t>
      </w:r>
    </w:p>
  </w:footnote>
  <w:footnote w:id="30">
    <w:p w14:paraId="1AADE658" w14:textId="2BEBBDFF" w:rsidR="0093022B" w:rsidRDefault="0093022B">
      <w:pPr>
        <w:pStyle w:val="FootnoteText"/>
      </w:pPr>
      <w:r>
        <w:rPr>
          <w:rStyle w:val="FootnoteReference"/>
        </w:rPr>
        <w:footnoteRef/>
      </w:r>
      <w:r>
        <w:t xml:space="preserve"> MacDonald 2006a:18</w:t>
      </w:r>
    </w:p>
  </w:footnote>
  <w:footnote w:id="31">
    <w:p w14:paraId="1C6A7E42" w14:textId="0DE4B1B0" w:rsidR="0093022B" w:rsidRDefault="0093022B">
      <w:pPr>
        <w:pStyle w:val="FootnoteText"/>
      </w:pPr>
      <w:r>
        <w:rPr>
          <w:rStyle w:val="FootnoteReference"/>
        </w:rPr>
        <w:footnoteRef/>
      </w:r>
      <w:r>
        <w:t xml:space="preserve"> MacDonald 2006a:18</w:t>
      </w:r>
    </w:p>
  </w:footnote>
  <w:footnote w:id="32">
    <w:p w14:paraId="3C7A7DF9" w14:textId="77777777" w:rsidR="0093022B" w:rsidRDefault="0093022B">
      <w:pPr>
        <w:pStyle w:val="FootnoteText"/>
      </w:pPr>
      <w:r>
        <w:rPr>
          <w:rStyle w:val="FootnoteReference"/>
        </w:rPr>
        <w:footnoteRef/>
      </w:r>
      <w:r>
        <w:t xml:space="preserve"> Museen der Stadt Nürnberg n.d.</w:t>
      </w:r>
    </w:p>
  </w:footnote>
  <w:footnote w:id="33">
    <w:p w14:paraId="423F84AF" w14:textId="77777777" w:rsidR="0093022B" w:rsidRDefault="0093022B">
      <w:pPr>
        <w:pStyle w:val="FootnoteText"/>
      </w:pPr>
      <w:r>
        <w:rPr>
          <w:rStyle w:val="FootnoteReference"/>
        </w:rPr>
        <w:footnoteRef/>
      </w:r>
      <w:r>
        <w:t xml:space="preserve"> Museen der Stadt Nürnberg n.d.</w:t>
      </w:r>
    </w:p>
  </w:footnote>
  <w:footnote w:id="34">
    <w:p w14:paraId="3D091FE5" w14:textId="7EFCFD1F" w:rsidR="0093022B" w:rsidRDefault="0093022B">
      <w:pPr>
        <w:pStyle w:val="FootnoteText"/>
      </w:pPr>
      <w:r>
        <w:rPr>
          <w:rStyle w:val="FootnoteReference"/>
        </w:rPr>
        <w:footnoteRef/>
      </w:r>
      <w:r>
        <w:t xml:space="preserve"> Popov and De</w:t>
      </w:r>
      <w:r>
        <w:rPr>
          <w:rFonts w:cstheme="minorHAnsi"/>
        </w:rPr>
        <w:t>á</w:t>
      </w:r>
      <w:r>
        <w:t>k 2015:47</w:t>
      </w:r>
    </w:p>
  </w:footnote>
  <w:footnote w:id="35">
    <w:p w14:paraId="26914B17" w14:textId="0858FC49" w:rsidR="0093022B" w:rsidRDefault="0093022B">
      <w:pPr>
        <w:pStyle w:val="FootnoteText"/>
      </w:pPr>
      <w:r>
        <w:rPr>
          <w:rStyle w:val="FootnoteReference"/>
        </w:rPr>
        <w:footnoteRef/>
      </w:r>
      <w:r>
        <w:t xml:space="preserve"> Popov and De</w:t>
      </w:r>
      <w:r>
        <w:rPr>
          <w:rFonts w:cstheme="minorHAnsi"/>
        </w:rPr>
        <w:t>á</w:t>
      </w:r>
      <w:r>
        <w:t>k 2015:37</w:t>
      </w:r>
    </w:p>
  </w:footnote>
  <w:footnote w:id="36">
    <w:p w14:paraId="7FF7EBAA" w14:textId="389E1337" w:rsidR="0093022B" w:rsidRDefault="0093022B">
      <w:pPr>
        <w:pStyle w:val="FootnoteText"/>
      </w:pPr>
      <w:r>
        <w:rPr>
          <w:rStyle w:val="FootnoteReference"/>
        </w:rPr>
        <w:footnoteRef/>
      </w:r>
      <w:r>
        <w:t xml:space="preserve"> Popov and De</w:t>
      </w:r>
      <w:r>
        <w:rPr>
          <w:rFonts w:cstheme="minorHAnsi"/>
        </w:rPr>
        <w:t>á</w:t>
      </w:r>
      <w:r>
        <w:t>k 2015:47</w:t>
      </w:r>
    </w:p>
  </w:footnote>
  <w:footnote w:id="37">
    <w:p w14:paraId="635979EB" w14:textId="55637AF8" w:rsidR="0093022B" w:rsidRDefault="0093022B">
      <w:pPr>
        <w:pStyle w:val="FootnoteText"/>
      </w:pPr>
      <w:r>
        <w:rPr>
          <w:rStyle w:val="FootnoteReference"/>
        </w:rPr>
        <w:footnoteRef/>
      </w:r>
      <w:r>
        <w:t xml:space="preserve"> Popov and De</w:t>
      </w:r>
      <w:r>
        <w:rPr>
          <w:rFonts w:cstheme="minorHAnsi"/>
        </w:rPr>
        <w:t>á</w:t>
      </w:r>
      <w:r>
        <w:t>k 2015:47</w:t>
      </w:r>
    </w:p>
  </w:footnote>
  <w:footnote w:id="38">
    <w:p w14:paraId="0BEE50D8" w14:textId="5A1BF19F" w:rsidR="0093022B" w:rsidRDefault="0093022B">
      <w:pPr>
        <w:pStyle w:val="FootnoteText"/>
      </w:pPr>
      <w:r>
        <w:rPr>
          <w:rStyle w:val="FootnoteReference"/>
        </w:rPr>
        <w:footnoteRef/>
      </w:r>
      <w:r>
        <w:t xml:space="preserve"> Popov and De</w:t>
      </w:r>
      <w:r>
        <w:rPr>
          <w:rFonts w:cstheme="minorHAnsi"/>
        </w:rPr>
        <w:t>á</w:t>
      </w:r>
      <w:r>
        <w:t>k 2015:47</w:t>
      </w:r>
    </w:p>
  </w:footnote>
  <w:footnote w:id="39">
    <w:p w14:paraId="19D21581" w14:textId="5E7C90C6" w:rsidR="0093022B" w:rsidRDefault="0093022B">
      <w:pPr>
        <w:pStyle w:val="FootnoteText"/>
      </w:pPr>
      <w:r>
        <w:rPr>
          <w:rStyle w:val="FootnoteReference"/>
        </w:rPr>
        <w:footnoteRef/>
      </w:r>
      <w:r>
        <w:t xml:space="preserve"> MacDonald 2006a:18</w:t>
      </w:r>
    </w:p>
  </w:footnote>
  <w:footnote w:id="40">
    <w:p w14:paraId="2B8FA6DE" w14:textId="6BCAD1A5" w:rsidR="0093022B" w:rsidRDefault="0093022B">
      <w:pPr>
        <w:pStyle w:val="FootnoteText"/>
      </w:pPr>
      <w:r>
        <w:rPr>
          <w:rStyle w:val="FootnoteReference"/>
        </w:rPr>
        <w:footnoteRef/>
      </w:r>
      <w:r>
        <w:t xml:space="preserve"> MacDonald 2006a:18</w:t>
      </w:r>
    </w:p>
  </w:footnote>
  <w:footnote w:id="41">
    <w:p w14:paraId="4101648C" w14:textId="5ED99F5A" w:rsidR="0093022B" w:rsidRDefault="0093022B">
      <w:pPr>
        <w:pStyle w:val="FootnoteText"/>
      </w:pPr>
      <w:r>
        <w:rPr>
          <w:rStyle w:val="FootnoteReference"/>
        </w:rPr>
        <w:footnoteRef/>
      </w:r>
      <w:r>
        <w:t xml:space="preserve"> MacDonald 2006a:18</w:t>
      </w:r>
    </w:p>
  </w:footnote>
  <w:footnote w:id="42">
    <w:p w14:paraId="6D7B16CA" w14:textId="51C73C20" w:rsidR="0093022B" w:rsidRDefault="0093022B">
      <w:pPr>
        <w:pStyle w:val="FootnoteText"/>
      </w:pPr>
      <w:r>
        <w:rPr>
          <w:rStyle w:val="FootnoteReference"/>
        </w:rPr>
        <w:footnoteRef/>
      </w:r>
      <w:r>
        <w:t xml:space="preserve"> MacDonald 2006a:19</w:t>
      </w:r>
    </w:p>
  </w:footnote>
  <w:footnote w:id="43">
    <w:p w14:paraId="26262B9C" w14:textId="635A78BB" w:rsidR="0093022B" w:rsidRDefault="0093022B">
      <w:pPr>
        <w:pStyle w:val="FootnoteText"/>
      </w:pPr>
      <w:r>
        <w:rPr>
          <w:rStyle w:val="FootnoteReference"/>
        </w:rPr>
        <w:footnoteRef/>
      </w:r>
      <w:r>
        <w:t xml:space="preserve"> MacDonald 2006a:19</w:t>
      </w:r>
    </w:p>
  </w:footnote>
  <w:footnote w:id="44">
    <w:p w14:paraId="2163CCA0" w14:textId="20D6875C" w:rsidR="0093022B" w:rsidRDefault="0093022B">
      <w:pPr>
        <w:pStyle w:val="FootnoteText"/>
      </w:pPr>
      <w:r>
        <w:rPr>
          <w:rStyle w:val="FootnoteReference"/>
        </w:rPr>
        <w:footnoteRef/>
      </w:r>
      <w:r>
        <w:t xml:space="preserve"> MacDonald 2006a:19</w:t>
      </w:r>
    </w:p>
  </w:footnote>
  <w:footnote w:id="45">
    <w:p w14:paraId="0CADDE82" w14:textId="61139DB3" w:rsidR="0093022B" w:rsidRDefault="0093022B">
      <w:pPr>
        <w:pStyle w:val="FootnoteText"/>
      </w:pPr>
      <w:r>
        <w:rPr>
          <w:rStyle w:val="FootnoteReference"/>
        </w:rPr>
        <w:footnoteRef/>
      </w:r>
      <w:r>
        <w:t xml:space="preserve"> MacDonald 2006a:19</w:t>
      </w:r>
    </w:p>
  </w:footnote>
  <w:footnote w:id="46">
    <w:p w14:paraId="053DE68A" w14:textId="4895CE98" w:rsidR="0093022B" w:rsidRDefault="0093022B">
      <w:pPr>
        <w:pStyle w:val="FootnoteText"/>
      </w:pPr>
      <w:r>
        <w:rPr>
          <w:rStyle w:val="FootnoteReference"/>
        </w:rPr>
        <w:footnoteRef/>
      </w:r>
      <w:r>
        <w:t xml:space="preserve"> MacDonald 2006a:19</w:t>
      </w:r>
    </w:p>
  </w:footnote>
  <w:footnote w:id="47">
    <w:p w14:paraId="32C1F049" w14:textId="36236CA5" w:rsidR="0093022B" w:rsidRDefault="0093022B">
      <w:pPr>
        <w:pStyle w:val="FootnoteText"/>
      </w:pPr>
      <w:r>
        <w:rPr>
          <w:rStyle w:val="FootnoteReference"/>
        </w:rPr>
        <w:footnoteRef/>
      </w:r>
      <w:r>
        <w:t xml:space="preserve"> MacDonald 2006a:19</w:t>
      </w:r>
    </w:p>
  </w:footnote>
  <w:footnote w:id="48">
    <w:p w14:paraId="552BE42E" w14:textId="080BBE1A" w:rsidR="0093022B" w:rsidRDefault="0093022B">
      <w:pPr>
        <w:pStyle w:val="FootnoteText"/>
      </w:pPr>
      <w:r>
        <w:rPr>
          <w:rStyle w:val="FootnoteReference"/>
        </w:rPr>
        <w:footnoteRef/>
      </w:r>
      <w:r>
        <w:t xml:space="preserve"> MacDonald 2006a:19</w:t>
      </w:r>
    </w:p>
  </w:footnote>
  <w:footnote w:id="49">
    <w:p w14:paraId="0FDD9361" w14:textId="45889BD9" w:rsidR="0093022B" w:rsidRDefault="0093022B">
      <w:pPr>
        <w:pStyle w:val="FootnoteText"/>
      </w:pPr>
      <w:r>
        <w:rPr>
          <w:rStyle w:val="FootnoteReference"/>
        </w:rPr>
        <w:footnoteRef/>
      </w:r>
      <w:r>
        <w:t xml:space="preserve"> MacDonald 2006a:19</w:t>
      </w:r>
    </w:p>
  </w:footnote>
  <w:footnote w:id="50">
    <w:p w14:paraId="426B9B79" w14:textId="24CFBAB6" w:rsidR="0093022B" w:rsidRDefault="0093022B">
      <w:pPr>
        <w:pStyle w:val="FootnoteText"/>
      </w:pPr>
      <w:r>
        <w:rPr>
          <w:rStyle w:val="FootnoteReference"/>
        </w:rPr>
        <w:footnoteRef/>
      </w:r>
      <w:r>
        <w:t xml:space="preserve"> MacDonald 2006a:19</w:t>
      </w:r>
    </w:p>
  </w:footnote>
  <w:footnote w:id="51">
    <w:p w14:paraId="35384361" w14:textId="503A9AA7" w:rsidR="0093022B" w:rsidRDefault="0093022B">
      <w:pPr>
        <w:pStyle w:val="FootnoteText"/>
      </w:pPr>
      <w:r>
        <w:rPr>
          <w:rStyle w:val="FootnoteReference"/>
        </w:rPr>
        <w:footnoteRef/>
      </w:r>
      <w:r>
        <w:t xml:space="preserve"> MacDonald 2006a:19-20</w:t>
      </w:r>
    </w:p>
  </w:footnote>
  <w:footnote w:id="52">
    <w:p w14:paraId="4A7DB296" w14:textId="734BDDE5" w:rsidR="0093022B" w:rsidRDefault="0093022B">
      <w:pPr>
        <w:pStyle w:val="FootnoteText"/>
      </w:pPr>
      <w:r>
        <w:rPr>
          <w:rStyle w:val="FootnoteReference"/>
        </w:rPr>
        <w:footnoteRef/>
      </w:r>
      <w:r>
        <w:t xml:space="preserve"> MacDonald 2006a:20</w:t>
      </w:r>
    </w:p>
  </w:footnote>
  <w:footnote w:id="53">
    <w:p w14:paraId="5338EFDF" w14:textId="408C833E" w:rsidR="0093022B" w:rsidRDefault="0093022B">
      <w:pPr>
        <w:pStyle w:val="FootnoteText"/>
      </w:pPr>
      <w:r>
        <w:rPr>
          <w:rStyle w:val="FootnoteReference"/>
        </w:rPr>
        <w:footnoteRef/>
      </w:r>
      <w:r>
        <w:t xml:space="preserve"> MacDonald 2006a:20</w:t>
      </w:r>
    </w:p>
  </w:footnote>
  <w:footnote w:id="54">
    <w:p w14:paraId="4A570D83" w14:textId="6993AE79" w:rsidR="0093022B" w:rsidRDefault="0093022B">
      <w:pPr>
        <w:pStyle w:val="FootnoteText"/>
      </w:pPr>
      <w:r>
        <w:rPr>
          <w:rStyle w:val="FootnoteReference"/>
        </w:rPr>
        <w:footnoteRef/>
      </w:r>
      <w:r>
        <w:t xml:space="preserve"> MacDonald 2006a:20</w:t>
      </w:r>
    </w:p>
  </w:footnote>
  <w:footnote w:id="55">
    <w:p w14:paraId="71743DB1" w14:textId="019BF9D7" w:rsidR="0093022B" w:rsidRDefault="0093022B">
      <w:pPr>
        <w:pStyle w:val="FootnoteText"/>
      </w:pPr>
      <w:r>
        <w:rPr>
          <w:rStyle w:val="FootnoteReference"/>
        </w:rPr>
        <w:footnoteRef/>
      </w:r>
      <w:r>
        <w:t xml:space="preserve"> MacDonald 2006b:130</w:t>
      </w:r>
    </w:p>
  </w:footnote>
  <w:footnote w:id="56">
    <w:p w14:paraId="54603FCC" w14:textId="0ED637B8" w:rsidR="0093022B" w:rsidRDefault="0093022B">
      <w:pPr>
        <w:pStyle w:val="FootnoteText"/>
      </w:pPr>
      <w:r>
        <w:rPr>
          <w:rStyle w:val="FootnoteReference"/>
        </w:rPr>
        <w:footnoteRef/>
      </w:r>
      <w:r>
        <w:t xml:space="preserve"> MacDonald 2006b:130</w:t>
      </w:r>
    </w:p>
  </w:footnote>
  <w:footnote w:id="57">
    <w:p w14:paraId="4907772B" w14:textId="19701C5B" w:rsidR="0093022B" w:rsidRDefault="0093022B">
      <w:pPr>
        <w:pStyle w:val="FootnoteText"/>
      </w:pPr>
      <w:r>
        <w:rPr>
          <w:rStyle w:val="FootnoteReference"/>
        </w:rPr>
        <w:footnoteRef/>
      </w:r>
      <w:r>
        <w:t xml:space="preserve"> MacDonald 2006b:130</w:t>
      </w:r>
    </w:p>
  </w:footnote>
  <w:footnote w:id="58">
    <w:p w14:paraId="08AE29B8" w14:textId="619946B3" w:rsidR="0093022B" w:rsidRDefault="0093022B">
      <w:pPr>
        <w:pStyle w:val="FootnoteText"/>
      </w:pPr>
      <w:r>
        <w:rPr>
          <w:rStyle w:val="FootnoteReference"/>
        </w:rPr>
        <w:footnoteRef/>
      </w:r>
      <w:r>
        <w:t xml:space="preserve"> MacDonald 2006a:20</w:t>
      </w:r>
    </w:p>
  </w:footnote>
  <w:footnote w:id="59">
    <w:p w14:paraId="1C832421" w14:textId="503A2CB3" w:rsidR="0093022B" w:rsidRDefault="0093022B">
      <w:pPr>
        <w:pStyle w:val="FootnoteText"/>
      </w:pPr>
      <w:r>
        <w:rPr>
          <w:rStyle w:val="FootnoteReference"/>
        </w:rPr>
        <w:footnoteRef/>
      </w:r>
      <w:r>
        <w:t xml:space="preserve"> MacDonald 2006a:20</w:t>
      </w:r>
    </w:p>
  </w:footnote>
  <w:footnote w:id="60">
    <w:p w14:paraId="1459E378" w14:textId="62D1A98A" w:rsidR="0093022B" w:rsidRDefault="0093022B">
      <w:pPr>
        <w:pStyle w:val="FootnoteText"/>
      </w:pPr>
      <w:r>
        <w:rPr>
          <w:rStyle w:val="FootnoteReference"/>
        </w:rPr>
        <w:footnoteRef/>
      </w:r>
      <w:r>
        <w:t xml:space="preserve"> MacDonald 2006a:22</w:t>
      </w:r>
    </w:p>
  </w:footnote>
  <w:footnote w:id="61">
    <w:p w14:paraId="24C0F1BB" w14:textId="3571D03E" w:rsidR="0093022B" w:rsidRDefault="0093022B">
      <w:pPr>
        <w:pStyle w:val="FootnoteText"/>
      </w:pPr>
      <w:r>
        <w:rPr>
          <w:rStyle w:val="FootnoteReference"/>
        </w:rPr>
        <w:footnoteRef/>
      </w:r>
      <w:r>
        <w:t xml:space="preserve"> MacDonald 2006b:120</w:t>
      </w:r>
    </w:p>
  </w:footnote>
  <w:footnote w:id="62">
    <w:p w14:paraId="6A6C7A92" w14:textId="03B85C79" w:rsidR="0093022B" w:rsidRDefault="0093022B">
      <w:pPr>
        <w:pStyle w:val="FootnoteText"/>
      </w:pPr>
      <w:r>
        <w:rPr>
          <w:rStyle w:val="FootnoteReference"/>
        </w:rPr>
        <w:footnoteRef/>
      </w:r>
      <w:r>
        <w:t xml:space="preserve"> MacDonald 2006b:120</w:t>
      </w:r>
    </w:p>
  </w:footnote>
  <w:footnote w:id="63">
    <w:p w14:paraId="4494B7F5" w14:textId="139861C5" w:rsidR="0093022B" w:rsidRDefault="0093022B">
      <w:pPr>
        <w:pStyle w:val="FootnoteText"/>
      </w:pPr>
      <w:r>
        <w:rPr>
          <w:rStyle w:val="FootnoteReference"/>
        </w:rPr>
        <w:footnoteRef/>
      </w:r>
      <w:r>
        <w:t xml:space="preserve"> MacDonald 2006b:120</w:t>
      </w:r>
    </w:p>
  </w:footnote>
  <w:footnote w:id="64">
    <w:p w14:paraId="2777227C" w14:textId="011CC38C" w:rsidR="0093022B" w:rsidRDefault="0093022B">
      <w:pPr>
        <w:pStyle w:val="FootnoteText"/>
      </w:pPr>
      <w:r>
        <w:rPr>
          <w:rStyle w:val="FootnoteReference"/>
        </w:rPr>
        <w:footnoteRef/>
      </w:r>
      <w:r>
        <w:t xml:space="preserve"> MacDonald 2006b:127</w:t>
      </w:r>
    </w:p>
  </w:footnote>
  <w:footnote w:id="65">
    <w:p w14:paraId="0A4A8565" w14:textId="4E04DFA7" w:rsidR="0093022B" w:rsidRDefault="0093022B">
      <w:pPr>
        <w:pStyle w:val="FootnoteText"/>
      </w:pPr>
      <w:r>
        <w:rPr>
          <w:rStyle w:val="FootnoteReference"/>
        </w:rPr>
        <w:footnoteRef/>
      </w:r>
      <w:r>
        <w:t xml:space="preserve"> MacDonald 2006b:124</w:t>
      </w:r>
    </w:p>
  </w:footnote>
  <w:footnote w:id="66">
    <w:p w14:paraId="473CCF74" w14:textId="05DCC165" w:rsidR="0093022B" w:rsidRDefault="0093022B">
      <w:pPr>
        <w:pStyle w:val="FootnoteText"/>
      </w:pPr>
      <w:r>
        <w:rPr>
          <w:rStyle w:val="FootnoteReference"/>
        </w:rPr>
        <w:footnoteRef/>
      </w:r>
      <w:r>
        <w:t xml:space="preserve"> MacDonald 2006b:124</w:t>
      </w:r>
    </w:p>
  </w:footnote>
  <w:footnote w:id="67">
    <w:p w14:paraId="68F89AA0" w14:textId="7634A8BC" w:rsidR="0093022B" w:rsidRDefault="0093022B">
      <w:pPr>
        <w:pStyle w:val="FootnoteText"/>
      </w:pPr>
      <w:r>
        <w:rPr>
          <w:rStyle w:val="FootnoteReference"/>
        </w:rPr>
        <w:footnoteRef/>
      </w:r>
      <w:r>
        <w:t xml:space="preserve"> MacDonald 2006b:126</w:t>
      </w:r>
    </w:p>
  </w:footnote>
  <w:footnote w:id="68">
    <w:p w14:paraId="5E19881D" w14:textId="36B3A802" w:rsidR="0093022B" w:rsidRDefault="0093022B">
      <w:pPr>
        <w:pStyle w:val="FootnoteText"/>
      </w:pPr>
      <w:r>
        <w:rPr>
          <w:rStyle w:val="FootnoteReference"/>
        </w:rPr>
        <w:footnoteRef/>
      </w:r>
      <w:r>
        <w:t xml:space="preserve"> MacDonald 2006b:127</w:t>
      </w:r>
    </w:p>
  </w:footnote>
  <w:footnote w:id="69">
    <w:p w14:paraId="3F3FDDDC" w14:textId="7993B8DB" w:rsidR="0093022B" w:rsidRDefault="0093022B">
      <w:pPr>
        <w:pStyle w:val="FootnoteText"/>
      </w:pPr>
      <w:r>
        <w:rPr>
          <w:rStyle w:val="FootnoteReference"/>
        </w:rPr>
        <w:footnoteRef/>
      </w:r>
      <w:r>
        <w:t xml:space="preserve"> MacDonald 2006b: 127-8</w:t>
      </w:r>
    </w:p>
  </w:footnote>
  <w:footnote w:id="70">
    <w:p w14:paraId="58789D9E" w14:textId="1AEA5FE1" w:rsidR="0093022B" w:rsidRDefault="0093022B">
      <w:pPr>
        <w:pStyle w:val="FootnoteText"/>
      </w:pPr>
      <w:r>
        <w:rPr>
          <w:rStyle w:val="FootnoteReference"/>
        </w:rPr>
        <w:footnoteRef/>
      </w:r>
      <w:r>
        <w:t xml:space="preserve"> MacDonald 2006b:129</w:t>
      </w:r>
    </w:p>
  </w:footnote>
  <w:footnote w:id="71">
    <w:p w14:paraId="39834541" w14:textId="15015114" w:rsidR="0093022B" w:rsidRDefault="0093022B">
      <w:pPr>
        <w:pStyle w:val="FootnoteText"/>
      </w:pPr>
      <w:r>
        <w:rPr>
          <w:rStyle w:val="FootnoteReference"/>
        </w:rPr>
        <w:footnoteRef/>
      </w:r>
      <w:r>
        <w:t xml:space="preserve"> MacDonald 2006b:126</w:t>
      </w:r>
    </w:p>
  </w:footnote>
  <w:footnote w:id="72">
    <w:p w14:paraId="44A0D4E8" w14:textId="233E1D35" w:rsidR="0093022B" w:rsidRDefault="0093022B">
      <w:pPr>
        <w:pStyle w:val="FootnoteText"/>
      </w:pPr>
      <w:r>
        <w:rPr>
          <w:rStyle w:val="FootnoteReference"/>
        </w:rPr>
        <w:footnoteRef/>
      </w:r>
      <w:r>
        <w:t xml:space="preserve"> MacDonald 2006b:126</w:t>
      </w:r>
    </w:p>
  </w:footnote>
  <w:footnote w:id="73">
    <w:p w14:paraId="2E8F9531" w14:textId="78A658D5" w:rsidR="0093022B" w:rsidRDefault="0093022B">
      <w:pPr>
        <w:pStyle w:val="FootnoteText"/>
      </w:pPr>
      <w:r>
        <w:rPr>
          <w:rStyle w:val="FootnoteReference"/>
        </w:rPr>
        <w:footnoteRef/>
      </w:r>
      <w:r>
        <w:t xml:space="preserve"> MacDonald 2006b:126</w:t>
      </w:r>
    </w:p>
  </w:footnote>
  <w:footnote w:id="74">
    <w:p w14:paraId="6513C855" w14:textId="10652AF8" w:rsidR="0093022B" w:rsidRDefault="0093022B">
      <w:pPr>
        <w:pStyle w:val="FootnoteText"/>
      </w:pPr>
      <w:r>
        <w:rPr>
          <w:rStyle w:val="FootnoteReference"/>
        </w:rPr>
        <w:footnoteRef/>
      </w:r>
      <w:r>
        <w:t xml:space="preserve"> MacDonald 2006b:130-1</w:t>
      </w:r>
    </w:p>
  </w:footnote>
  <w:footnote w:id="75">
    <w:p w14:paraId="4C2B25D5" w14:textId="1236BFC0" w:rsidR="0093022B" w:rsidRDefault="0093022B">
      <w:pPr>
        <w:pStyle w:val="FootnoteText"/>
      </w:pPr>
      <w:r>
        <w:rPr>
          <w:rStyle w:val="FootnoteReference"/>
        </w:rPr>
        <w:footnoteRef/>
      </w:r>
      <w:r>
        <w:t xml:space="preserve"> MacDonald 2006b:130</w:t>
      </w:r>
    </w:p>
  </w:footnote>
  <w:footnote w:id="76">
    <w:p w14:paraId="1E8FD304" w14:textId="31096E58" w:rsidR="0093022B" w:rsidRDefault="0093022B">
      <w:pPr>
        <w:pStyle w:val="FootnoteText"/>
      </w:pPr>
      <w:r>
        <w:rPr>
          <w:rStyle w:val="FootnoteReference"/>
        </w:rPr>
        <w:footnoteRef/>
      </w:r>
      <w:r>
        <w:t xml:space="preserve"> MacDonald 2006b:131</w:t>
      </w:r>
    </w:p>
  </w:footnote>
  <w:footnote w:id="77">
    <w:p w14:paraId="3EB898B8" w14:textId="3C732FCD" w:rsidR="0093022B" w:rsidRDefault="0093022B">
      <w:pPr>
        <w:pStyle w:val="FootnoteText"/>
      </w:pPr>
      <w:r>
        <w:rPr>
          <w:rStyle w:val="FootnoteReference"/>
        </w:rPr>
        <w:footnoteRef/>
      </w:r>
      <w:r>
        <w:t xml:space="preserve"> MacDonald 2012:7</w:t>
      </w:r>
    </w:p>
  </w:footnote>
  <w:footnote w:id="78">
    <w:p w14:paraId="7B573DE2" w14:textId="445FF397" w:rsidR="0093022B" w:rsidRDefault="0093022B">
      <w:pPr>
        <w:pStyle w:val="FootnoteText"/>
      </w:pPr>
      <w:r>
        <w:rPr>
          <w:rStyle w:val="FootnoteReference"/>
        </w:rPr>
        <w:footnoteRef/>
      </w:r>
      <w:r>
        <w:t xml:space="preserve"> MacDonald 2012:11</w:t>
      </w:r>
    </w:p>
  </w:footnote>
  <w:footnote w:id="79">
    <w:p w14:paraId="7406B0A5" w14:textId="4EAE154B" w:rsidR="0093022B" w:rsidRDefault="0093022B">
      <w:pPr>
        <w:pStyle w:val="FootnoteText"/>
      </w:pPr>
      <w:r>
        <w:rPr>
          <w:rStyle w:val="FootnoteReference"/>
        </w:rPr>
        <w:footnoteRef/>
      </w:r>
      <w:r>
        <w:t xml:space="preserve"> MacDonald 2012:11</w:t>
      </w:r>
    </w:p>
  </w:footnote>
  <w:footnote w:id="80">
    <w:p w14:paraId="313A8B8A" w14:textId="174D8C6D" w:rsidR="0093022B" w:rsidRDefault="0093022B">
      <w:pPr>
        <w:pStyle w:val="FootnoteText"/>
      </w:pPr>
      <w:r>
        <w:rPr>
          <w:rStyle w:val="FootnoteReference"/>
        </w:rPr>
        <w:footnoteRef/>
      </w:r>
      <w:r>
        <w:t xml:space="preserve"> MacDonald 2012:16</w:t>
      </w:r>
    </w:p>
  </w:footnote>
  <w:footnote w:id="81">
    <w:p w14:paraId="69D30085" w14:textId="1AABF846" w:rsidR="0093022B" w:rsidRDefault="0093022B">
      <w:pPr>
        <w:pStyle w:val="FootnoteText"/>
      </w:pPr>
      <w:r>
        <w:rPr>
          <w:rStyle w:val="FootnoteReference"/>
        </w:rPr>
        <w:footnoteRef/>
      </w:r>
      <w:r>
        <w:t xml:space="preserve"> MacDonald 2006c:115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6E8BB" w14:textId="77777777" w:rsidR="0093022B" w:rsidRDefault="0093022B">
    <w:pPr>
      <w:pStyle w:val="Header"/>
    </w:pPr>
    <w:r>
      <w:t>Vikki Hare</w:t>
    </w:r>
    <w:r>
      <w:ptab w:relativeTo="margin" w:alignment="center" w:leader="none"/>
    </w:r>
    <w:r>
      <w:t>AHAC6007 – Museums, Heritage and Representation</w:t>
    </w:r>
    <w:r>
      <w:ptab w:relativeTo="margin" w:alignment="right" w:leader="none"/>
    </w:r>
    <w:r>
      <w:t>BA Ancient Civilisations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FC"/>
    <w:rsid w:val="00097039"/>
    <w:rsid w:val="000D1D4A"/>
    <w:rsid w:val="000E55F1"/>
    <w:rsid w:val="000F2BCE"/>
    <w:rsid w:val="001436DE"/>
    <w:rsid w:val="00164C27"/>
    <w:rsid w:val="0018310B"/>
    <w:rsid w:val="001845F1"/>
    <w:rsid w:val="001961A1"/>
    <w:rsid w:val="001B1DA0"/>
    <w:rsid w:val="001B7913"/>
    <w:rsid w:val="001C0B89"/>
    <w:rsid w:val="001E3271"/>
    <w:rsid w:val="00202D4D"/>
    <w:rsid w:val="00203CA1"/>
    <w:rsid w:val="00206EEC"/>
    <w:rsid w:val="00247C8F"/>
    <w:rsid w:val="00253186"/>
    <w:rsid w:val="002E1BBB"/>
    <w:rsid w:val="002E2AE1"/>
    <w:rsid w:val="003155D9"/>
    <w:rsid w:val="00317155"/>
    <w:rsid w:val="003178BA"/>
    <w:rsid w:val="00321231"/>
    <w:rsid w:val="003561AC"/>
    <w:rsid w:val="003B268C"/>
    <w:rsid w:val="00402ABD"/>
    <w:rsid w:val="00416E78"/>
    <w:rsid w:val="004347A1"/>
    <w:rsid w:val="004462EB"/>
    <w:rsid w:val="004507A6"/>
    <w:rsid w:val="00461779"/>
    <w:rsid w:val="004704E1"/>
    <w:rsid w:val="0047355F"/>
    <w:rsid w:val="004B19E3"/>
    <w:rsid w:val="004B3CFB"/>
    <w:rsid w:val="004D7499"/>
    <w:rsid w:val="0053056B"/>
    <w:rsid w:val="00540707"/>
    <w:rsid w:val="005418D1"/>
    <w:rsid w:val="005504A3"/>
    <w:rsid w:val="00573FEA"/>
    <w:rsid w:val="0058563D"/>
    <w:rsid w:val="005908A6"/>
    <w:rsid w:val="005A30A0"/>
    <w:rsid w:val="005B71A7"/>
    <w:rsid w:val="005C7403"/>
    <w:rsid w:val="005F6B64"/>
    <w:rsid w:val="00613571"/>
    <w:rsid w:val="006267A2"/>
    <w:rsid w:val="0063778B"/>
    <w:rsid w:val="00684E9D"/>
    <w:rsid w:val="006B5162"/>
    <w:rsid w:val="006C4910"/>
    <w:rsid w:val="006E6FEA"/>
    <w:rsid w:val="00717331"/>
    <w:rsid w:val="00731105"/>
    <w:rsid w:val="00764506"/>
    <w:rsid w:val="00782ECA"/>
    <w:rsid w:val="00787E99"/>
    <w:rsid w:val="00791172"/>
    <w:rsid w:val="007920F8"/>
    <w:rsid w:val="007F2F1B"/>
    <w:rsid w:val="00827625"/>
    <w:rsid w:val="00840219"/>
    <w:rsid w:val="008B0BCC"/>
    <w:rsid w:val="008B1F37"/>
    <w:rsid w:val="008D5740"/>
    <w:rsid w:val="008D72D2"/>
    <w:rsid w:val="0093022B"/>
    <w:rsid w:val="0093307E"/>
    <w:rsid w:val="009A22B6"/>
    <w:rsid w:val="009B0F87"/>
    <w:rsid w:val="00A376ED"/>
    <w:rsid w:val="00A70C9B"/>
    <w:rsid w:val="00A817A4"/>
    <w:rsid w:val="00AA1A9A"/>
    <w:rsid w:val="00AB3611"/>
    <w:rsid w:val="00AE2F03"/>
    <w:rsid w:val="00AF6920"/>
    <w:rsid w:val="00B16632"/>
    <w:rsid w:val="00B26048"/>
    <w:rsid w:val="00BA5E79"/>
    <w:rsid w:val="00BD28FA"/>
    <w:rsid w:val="00BD542A"/>
    <w:rsid w:val="00BD5DC4"/>
    <w:rsid w:val="00C37EF0"/>
    <w:rsid w:val="00C73CAB"/>
    <w:rsid w:val="00C94A02"/>
    <w:rsid w:val="00C973C8"/>
    <w:rsid w:val="00CB7326"/>
    <w:rsid w:val="00CC14C5"/>
    <w:rsid w:val="00CE5638"/>
    <w:rsid w:val="00D24440"/>
    <w:rsid w:val="00D25410"/>
    <w:rsid w:val="00D3013B"/>
    <w:rsid w:val="00D332FC"/>
    <w:rsid w:val="00D44B91"/>
    <w:rsid w:val="00D86E84"/>
    <w:rsid w:val="00DF76E0"/>
    <w:rsid w:val="00E01438"/>
    <w:rsid w:val="00E02183"/>
    <w:rsid w:val="00E0547D"/>
    <w:rsid w:val="00EA2CF4"/>
    <w:rsid w:val="00EB2F5D"/>
    <w:rsid w:val="00EF12B3"/>
    <w:rsid w:val="00F1291F"/>
    <w:rsid w:val="00F40CCE"/>
    <w:rsid w:val="00F424AA"/>
    <w:rsid w:val="00F820A1"/>
    <w:rsid w:val="00F93921"/>
    <w:rsid w:val="00F95DBF"/>
    <w:rsid w:val="00FC365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324B4"/>
  <w15:chartTrackingRefBased/>
  <w15:docId w15:val="{329771B5-20B9-464B-A0BA-A0A6FCEDF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05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056B"/>
    <w:rPr>
      <w:sz w:val="20"/>
      <w:szCs w:val="20"/>
    </w:rPr>
  </w:style>
  <w:style w:type="character" w:styleId="FootnoteReference">
    <w:name w:val="footnote reference"/>
    <w:basedOn w:val="DefaultParagraphFont"/>
    <w:uiPriority w:val="99"/>
    <w:semiHidden/>
    <w:unhideWhenUsed/>
    <w:rsid w:val="0053056B"/>
    <w:rPr>
      <w:vertAlign w:val="superscript"/>
    </w:rPr>
  </w:style>
  <w:style w:type="paragraph" w:styleId="Header">
    <w:name w:val="header"/>
    <w:basedOn w:val="Normal"/>
    <w:link w:val="HeaderChar"/>
    <w:uiPriority w:val="99"/>
    <w:unhideWhenUsed/>
    <w:rsid w:val="00F93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921"/>
  </w:style>
  <w:style w:type="paragraph" w:styleId="Footer">
    <w:name w:val="footer"/>
    <w:basedOn w:val="Normal"/>
    <w:link w:val="FooterChar"/>
    <w:uiPriority w:val="99"/>
    <w:unhideWhenUsed/>
    <w:rsid w:val="00F93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EB234D-4E2C-4A3E-8C7C-54E4A799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8</Pages>
  <Words>3108</Words>
  <Characters>17722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AAAAARRGHHH</dc:creator>
  <cp:keywords/>
  <dc:description/>
  <cp:lastModifiedBy>Pingu</cp:lastModifiedBy>
  <cp:revision>91</cp:revision>
  <dcterms:created xsi:type="dcterms:W3CDTF">2018-04-30T20:52:00Z</dcterms:created>
  <dcterms:modified xsi:type="dcterms:W3CDTF">2018-05-01T22:58:00Z</dcterms:modified>
</cp:coreProperties>
</file>