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BA in Business Management </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Assessment 2</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Project Management </w:t>
        <w:tab/>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Student: Olesea Pecica</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ID: 2027757</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24"/>
          <w:szCs w:val="2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jc w:val="center"/>
        <w:rPr>
          <w:rFonts w:ascii="Times New Roman" w:cs="Times New Roman" w:hAnsi="Times New Roman" w:eastAsia="Times New Roman"/>
          <w:sz w:val="34"/>
          <w:szCs w:val="34"/>
        </w:rPr>
      </w:pPr>
      <w:r>
        <w:rPr>
          <w:rFonts w:ascii="Times New Roman" w:hAnsi="Times New Roman"/>
          <w:sz w:val="34"/>
          <w:szCs w:val="34"/>
          <w:rtl w:val="0"/>
          <w:lang w:val="en-US"/>
        </w:rPr>
        <w:t>London 2023</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Introduction</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In the Report bellow it</w:t>
      </w:r>
      <w:r>
        <w:rPr>
          <w:rFonts w:ascii="Times New Roman" w:hAnsi="Times New Roman" w:hint="default"/>
          <w:sz w:val="34"/>
          <w:szCs w:val="34"/>
          <w:rtl w:val="0"/>
          <w:lang w:val="en-US"/>
        </w:rPr>
        <w:t>’</w:t>
      </w:r>
      <w:r>
        <w:rPr>
          <w:rFonts w:ascii="Times New Roman" w:hAnsi="Times New Roman"/>
          <w:sz w:val="34"/>
          <w:szCs w:val="34"/>
          <w:rtl w:val="0"/>
          <w:lang w:val="en-US"/>
        </w:rPr>
        <w:t>s relates to nuclear power plant Hinkley Point C which is the most expensive station and biggest contruction project in the world. Apart of delay and extra cost which were not planned from beginning it is expecting to be live by 2027. At the moment in UK is still running six old nuclear station which are operational for four decades, within this context two are due to closely 2024. Fighting with big enemy called power crisis, for UK is with is the only opportunity to cover a part of energy costumed within a country for the next years.</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Discussion</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The EPR power station at Hinkley Point C will be the first one in the UK and only the fourth overall, following those at Olkiluoto in Finland, Flamanville in France, and Taishan 1 and 2 in China.</w:t>
      </w:r>
      <w:r>
        <w:rPr>
          <w:rFonts w:ascii="Times New Roman" w:hAnsi="Times New Roman"/>
          <w:sz w:val="34"/>
          <w:szCs w:val="34"/>
          <w:rtl w:val="0"/>
          <w:lang w:val="en-US"/>
        </w:rPr>
        <w:t xml:space="preserve"> </w:t>
      </w:r>
      <w:r>
        <w:rPr>
          <w:rFonts w:ascii="Times New Roman" w:hAnsi="Times New Roman"/>
          <w:sz w:val="34"/>
          <w:szCs w:val="34"/>
          <w:rtl w:val="0"/>
          <w:lang w:val="en-US"/>
        </w:rPr>
        <w:t>These reactors will be more secure, effective, and have a longer operational life (60 years), producing 1,650 MW of power apiece. In 2025, they will generate 7% of the home electricity needed in the UK and deliver secure, manageable, and carbon-free power to 5 million households.</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From a civil engineering standpoint, Hinkley Point C is one of the most challenging nuclear power reactors to construct.</w:t>
      </w:r>
      <w:r>
        <w:rPr>
          <w:rFonts w:ascii="Times New Roman" w:hAnsi="Times New Roman"/>
          <w:sz w:val="34"/>
          <w:szCs w:val="34"/>
          <w:rtl w:val="0"/>
          <w:lang w:val="en-US"/>
        </w:rPr>
        <w:t xml:space="preserve"> </w:t>
      </w:r>
      <w:r>
        <w:rPr>
          <w:rFonts w:ascii="Times New Roman" w:hAnsi="Times New Roman"/>
          <w:sz w:val="34"/>
          <w:szCs w:val="34"/>
          <w:rtl w:val="0"/>
          <w:lang w:val="en-US"/>
        </w:rPr>
        <w:t xml:space="preserve">Managing and coordinating an engineering function that is multipolar (9 production sites in France and abroad) and multicultural (35 nationalities involved) present significant technical planning and expertise challenges for the engineering discipline. These challenges include meeting strict nuclear safety standards and anticipating construction difficulties from the design phase. </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Because to Hinkley Point C's role in the battle against climate change, the environment will be greatly benefited over its 60 years of operation.</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Additionally important aspects of the construction itself are sustainability and environmental protection. A group of environmental experts is utilising new methods as they work to improve the local biodiversity and ecosystems, allowing nature to flourish on formerly heavily farmed territory.</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The four-year Generic Design Assessment (GDA) procedure used by the UK's Office for Nuclear Regulation (ONR) and Environment Agency (EA) ensured that the EPR's UK version met the highest safety and environmental protection criteria.</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EPR technology is the logical world-leading choice to power Hinkley Point C because we want it to be a nuclear power plant that leads the nuclear energy industry.</w:t>
      </w:r>
      <w:r>
        <w:rPr>
          <w:rFonts w:ascii="Times New Roman" w:hAnsi="Times New Roman"/>
          <w:sz w:val="34"/>
          <w:szCs w:val="34"/>
          <w:rtl w:val="0"/>
          <w:lang w:val="en-US"/>
        </w:rPr>
        <w:t xml:space="preserve"> </w:t>
      </w:r>
      <w:r>
        <w:rPr>
          <w:rFonts w:ascii="Times New Roman" w:hAnsi="Times New Roman"/>
          <w:sz w:val="34"/>
          <w:szCs w:val="34"/>
          <w:rtl w:val="0"/>
          <w:lang w:val="en-US"/>
        </w:rPr>
        <w:t>Through the EPR, uranium atoms' nuclear energy is converted into usable electrical energy for use in residences and commercial buildings. Nuclear fission is the splitting of an atom's nucleus. The heat that results pressurises water into steam, which powers turbines and produces energy. (The picture given below is suggestive only).</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The nuclear power plants we have built in the past have all been physically sizable and have generated a lot of electricity. As a result, they must be situated adjacent to a dependable source of cooling water in order to help remove the extra heat that remains after large amounts of steam have passed through the turbines. Coastal locations are ideal for that in the UK and typically eliminate the requirement for cooling towers. That strategy also suited the goal of situating the first plants far from densely populated areas, both to allay widespread public concerns and as a "just in case" precaution in the event of any mishaps or the requirement to evacuate nearby communities.</w:t>
      </w:r>
      <w:r>
        <w:rPr>
          <w:rFonts w:ascii="Times New Roman" w:hAnsi="Times New Roman"/>
          <w:sz w:val="34"/>
          <w:szCs w:val="34"/>
          <w:rtl w:val="0"/>
          <w:lang w:val="en-US"/>
        </w:rPr>
        <w:t xml:space="preserve"> </w:t>
      </w:r>
      <w:r>
        <w:rPr>
          <w:rFonts w:ascii="Times New Roman" w:hAnsi="Times New Roman"/>
          <w:sz w:val="34"/>
          <w:szCs w:val="34"/>
          <w:rtl w:val="0"/>
          <w:lang w:val="en-US"/>
        </w:rPr>
        <w:t>Around a dozen sites were still in use when we stopped the AGR (advanced gas-cooled reactor) programme in the 1980s, either for the newer AGRs or the older Magnox stations. Both are sometimes present side by side. All but two of these were coastal locations: Chapelcross in Dumfriesshire, where cooling towers and a pipeline to the coast were utilised to provide cooling, and Trawsfynydd in North Wales, which is home to a single Magnox reactor next to a lake.</w:t>
      </w:r>
      <w:r>
        <w:rPr>
          <w:rFonts w:ascii="Times New Roman" w:hAnsi="Times New Roman"/>
          <w:sz w:val="34"/>
          <w:szCs w:val="34"/>
          <w:rtl w:val="0"/>
          <w:lang w:val="en-US"/>
        </w:rPr>
        <w:t xml:space="preserve"> </w:t>
      </w:r>
      <w:r>
        <w:rPr>
          <w:rFonts w:ascii="Times New Roman" w:hAnsi="Times New Roman"/>
          <w:sz w:val="34"/>
          <w:szCs w:val="34"/>
          <w:rtl w:val="0"/>
          <w:lang w:val="en-US"/>
        </w:rPr>
        <w:t>Importantly, since then, no additional websites have been added to the list. A replica of the Hinkley Point development, to be known as Sizewell C, is proposed for Sizewell, in Suffolk, which is home to our newest operating reactor, Sizewell B. Existing nuclear sites like Hinkley Point in Somerset, where new reactors are being built, and Sizewell, which already houses Sizewell B, are the main focus of all plans for new nuclear.</w:t>
      </w:r>
      <w:r>
        <w:rPr>
          <w:rFonts w:ascii="Times New Roman" w:hAnsi="Times New Roman"/>
          <w:sz w:val="34"/>
          <w:szCs w:val="34"/>
          <w:rtl w:val="0"/>
          <w:lang w:val="en-US"/>
        </w:rPr>
        <w:t xml:space="preserve"> </w:t>
      </w:r>
      <w:r>
        <w:rPr>
          <w:rFonts w:ascii="Times New Roman" w:hAnsi="Times New Roman"/>
          <w:sz w:val="34"/>
          <w:szCs w:val="34"/>
          <w:rtl w:val="0"/>
          <w:lang w:val="en-US"/>
        </w:rPr>
        <w:t>We must consider siting as the government looks to once again increase the UK's nuclear fleet. A nuclear site licence, which will only be issued to a new site if the proper conditions on environmental protection, safety, emergency preparation, and other factors can be met, is required before a nuclear reactor may be built there. There will need to be some access to cooling water. To export the power, a link to the grid is required. Also crucial is the community's support (or at the very least, acceptance) and that of their representatives.</w:t>
      </w:r>
      <w:r>
        <w:rPr>
          <w:rFonts w:ascii="Times New Roman" w:hAnsi="Times New Roman"/>
          <w:sz w:val="34"/>
          <w:szCs w:val="34"/>
          <w:rtl w:val="0"/>
          <w:lang w:val="en-US"/>
        </w:rPr>
        <w:t xml:space="preserve"> </w:t>
      </w:r>
      <w:r>
        <w:rPr>
          <w:rFonts w:ascii="Times New Roman" w:hAnsi="Times New Roman"/>
          <w:sz w:val="34"/>
          <w:szCs w:val="34"/>
          <w:rtl w:val="0"/>
          <w:lang w:val="en-US"/>
        </w:rPr>
        <w:t>The UK is running out of land that is suitable close to the current reactor sites, and a significant portion of the current sites are either occupied by operating reactors or, increasingly, by reactors that have shut down and are in various stages of decommissioning, which will take at least several decades to complete. It's important to keep in mind that the Torness facility in Scotland, whose construction started in 1980, was the last nuclear power plant that the UK built at a location that hadn't previously had one.</w:t>
      </w:r>
      <w:r>
        <w:rPr>
          <w:rFonts w:ascii="Times New Roman" w:hAnsi="Times New Roman"/>
          <w:sz w:val="34"/>
          <w:szCs w:val="34"/>
          <w:rtl w:val="0"/>
          <w:lang w:val="en-US"/>
        </w:rPr>
        <w:t xml:space="preserve"> </w:t>
      </w:r>
      <w:r>
        <w:rPr>
          <w:rFonts w:ascii="Times New Roman" w:hAnsi="Times New Roman"/>
          <w:sz w:val="34"/>
          <w:szCs w:val="34"/>
          <w:rtl w:val="0"/>
          <w:lang w:val="en-US"/>
        </w:rPr>
        <w:t>Another aspect of the conversation is the advancement and enthusiasm for small modular reactors (SMRs). These are anticipated to play a significant role in the UK's new nuclear era, and one key advantage is that they don't need as much cooling as more established, larger plants.  This means that many new places will be offered to host nuclear facilities that have little to no experience with nuclear, along with the fact that existing sites can't handle all the new nuclear we need. Some of these might be significantly closer to important electrical consumers, such industrial zones and big cities.</w:t>
      </w:r>
      <w:r>
        <w:rPr>
          <w:rFonts w:ascii="Times New Roman" w:hAnsi="Times New Roman"/>
          <w:sz w:val="34"/>
          <w:szCs w:val="34"/>
          <w:rtl w:val="0"/>
          <w:lang w:val="en-US"/>
        </w:rPr>
        <w:t xml:space="preserve"> </w:t>
      </w:r>
      <w:r>
        <w:rPr>
          <w:rFonts w:ascii="Times New Roman" w:hAnsi="Times New Roman"/>
          <w:sz w:val="34"/>
          <w:szCs w:val="34"/>
          <w:rtl w:val="0"/>
          <w:lang w:val="en-US"/>
        </w:rPr>
        <w:t>Like so many other problems, the solution to this one may rest with the government. The majority of the decommissioning sites in the UK are owned by them through the Nuclear Decommissioning Authority (NDA). At the moment, their cleanup mission does not take into account the requirement for Britain to develop significant new nuclear capabilities. A suggested change would be to manage sites holistically, much like how we think of the "nuclear fuel cycle" for the recycling and optimisation of the materials in the nuclear cycle.</w:t>
      </w:r>
      <w:r>
        <w:rPr>
          <w:rFonts w:ascii="Times New Roman" w:hAnsi="Times New Roman"/>
          <w:sz w:val="34"/>
          <w:szCs w:val="34"/>
          <w:rtl w:val="0"/>
          <w:lang w:val="en-US"/>
        </w:rPr>
        <w:t xml:space="preserve"> </w:t>
      </w:r>
      <w:r>
        <w:rPr>
          <w:rFonts w:ascii="Times New Roman" w:hAnsi="Times New Roman"/>
          <w:sz w:val="34"/>
          <w:szCs w:val="34"/>
          <w:rtl w:val="0"/>
          <w:lang w:val="en-US"/>
        </w:rPr>
        <w:t>To balance competing drivers, a "nuclear site cycle" strategy is required. One motivator is the ongoing effort to prepare a site for eventual delicensing, which requires a very high level of decommissioning to guarantee extremely low doses to the public and is frequently unlikely to really happen in practise. The potential value the site could have in a future nuclear build programme must be considered, though, in addition to that. Decommissioning sites all have access to cooling water, the opportunity to reuse or repair suitable grid connections, and</w:t>
      </w:r>
      <w:r>
        <w:rPr>
          <w:rFonts w:ascii="Times New Roman" w:cs="Times New Roman" w:hAnsi="Times New Roman" w:eastAsia="Times New Roman"/>
          <w:sz w:val="34"/>
          <w:szCs w:val="34"/>
        </w:rPr>
        <w:drawing xmlns:a="http://schemas.openxmlformats.org/drawingml/2006/main">
          <wp:anchor distT="152400" distB="152400" distL="152400" distR="152400" simplePos="0" relativeHeight="251660288" behindDoc="0" locked="0" layoutInCell="1" allowOverlap="1">
            <wp:simplePos x="0" y="0"/>
            <wp:positionH relativeFrom="margin">
              <wp:posOffset>309969</wp:posOffset>
            </wp:positionH>
            <wp:positionV relativeFrom="line">
              <wp:posOffset>202810</wp:posOffset>
            </wp:positionV>
            <wp:extent cx="4987533" cy="2805488"/>
            <wp:effectExtent l="0" t="0" r="0" b="0"/>
            <wp:wrapTopAndBottom distT="152400" distB="15240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EI_80313058.jpg"/>
                    <pic:cNvPicPr>
                      <a:picLocks noChangeAspect="1"/>
                    </pic:cNvPicPr>
                  </pic:nvPicPr>
                  <pic:blipFill>
                    <a:blip r:embed="rId4">
                      <a:extLst/>
                    </a:blip>
                    <a:stretch>
                      <a:fillRect/>
                    </a:stretch>
                  </pic:blipFill>
                  <pic:spPr>
                    <a:xfrm>
                      <a:off x="0" y="0"/>
                      <a:ext cx="4987533" cy="2805488"/>
                    </a:xfrm>
                    <a:prstGeom prst="rect">
                      <a:avLst/>
                    </a:prstGeom>
                    <a:ln w="12700" cap="flat">
                      <a:noFill/>
                      <a:miter lim="400000"/>
                    </a:ln>
                    <a:effectLst/>
                  </pic:spPr>
                </pic:pic>
              </a:graphicData>
            </a:graphic>
          </wp:anchor>
        </w:drawing>
      </w:r>
      <w:r>
        <w:rPr>
          <w:rFonts w:ascii="Times New Roman" w:hAnsi="Times New Roman"/>
          <w:sz w:val="34"/>
          <w:szCs w:val="34"/>
          <w:rtl w:val="0"/>
          <w:lang w:val="en-US"/>
        </w:rPr>
        <w:t xml:space="preserve"> local communities with expertise and experience in nuclear energy. They also all have a nuclear site licence.</w:t>
      </w:r>
      <w:r>
        <w:rPr>
          <w:rFonts w:ascii="Times New Roman" w:hAnsi="Times New Roman"/>
          <w:sz w:val="34"/>
          <w:szCs w:val="34"/>
          <w:rtl w:val="0"/>
          <w:lang w:val="en-US"/>
        </w:rPr>
        <w:t xml:space="preserve"> </w:t>
      </w:r>
      <w:r>
        <w:rPr>
          <w:rFonts w:ascii="Times New Roman" w:hAnsi="Times New Roman"/>
          <w:sz w:val="34"/>
          <w:szCs w:val="34"/>
          <w:rtl w:val="0"/>
          <w:lang w:val="en-US"/>
        </w:rPr>
        <w:t>The workers at the sites must also be nuclear-skilled in order to support the development, commissioning, and operation of new plants once the decommissioning of the existing sites is complete. This is perhaps most critical. One of the socio-economic goals of the NDA can be supported by helping these workers reskill and keep their knowledge in the areas where they live. specifically to help local communities who live close to NDA sites maintain strong local economies and, where possible, to contribute to regional economic growth.</w:t>
      </w:r>
      <w:r>
        <w:rPr>
          <w:rFonts w:ascii="Times New Roman" w:hAnsi="Times New Roman"/>
          <w:sz w:val="34"/>
          <w:szCs w:val="34"/>
          <w:rtl w:val="0"/>
          <w:lang w:val="en-US"/>
        </w:rPr>
        <w:t xml:space="preserve"> </w:t>
      </w:r>
      <w:r>
        <w:rPr>
          <w:rFonts w:ascii="Times New Roman" w:hAnsi="Times New Roman"/>
          <w:sz w:val="34"/>
          <w:szCs w:val="34"/>
          <w:rtl w:val="0"/>
          <w:lang w:val="en-US"/>
        </w:rPr>
        <w:t>It is important that the NDA's mandate include accelerated or scaled-back cleanup of sites so they may be safely and affordably re-used to enable another phase of clean, dependable nuclear power generation. As I've said before, this must take place concurrently with the beginning of negotiations with possible host communities in regions devoid of nuclear reactors.</w:t>
      </w:r>
    </w:p>
    <w:p>
      <w:pPr>
        <w:pStyle w:val="Body"/>
        <w:rPr>
          <w:rFonts w:ascii="Times New Roman" w:cs="Times New Roman" w:hAnsi="Times New Roman" w:eastAsia="Times New Roman"/>
          <w:sz w:val="34"/>
          <w:szCs w:val="34"/>
        </w:rPr>
      </w:pPr>
    </w:p>
    <w:p>
      <w:pPr>
        <w:pStyle w:val="Default"/>
        <w:bidi w:val="0"/>
        <w:spacing w:before="0" w:after="260"/>
        <w:ind w:left="0" w:right="0" w:firstLine="0"/>
        <w:jc w:val="left"/>
        <w:rPr>
          <w:rFonts w:ascii="Times New Roman" w:cs="Times New Roman" w:hAnsi="Times New Roman" w:eastAsia="Times New Roman"/>
          <w:outline w:val="0"/>
          <w:color w:val="111111"/>
          <w:sz w:val="34"/>
          <w:szCs w:val="34"/>
          <w:rtl w:val="0"/>
          <w14:textFill>
            <w14:solidFill>
              <w14:srgbClr w14:val="111111"/>
            </w14:solidFill>
          </w14:textFill>
        </w:rPr>
      </w:pPr>
      <w:r>
        <w:rPr>
          <w:rFonts w:ascii="Times New Roman" w:hAnsi="Times New Roman"/>
          <w:outline w:val="0"/>
          <w:color w:val="111111"/>
          <w:sz w:val="34"/>
          <w:szCs w:val="34"/>
          <w:rtl w:val="0"/>
          <w:lang w:val="en-US"/>
          <w14:textFill>
            <w14:solidFill>
              <w14:srgbClr w14:val="111111"/>
            </w14:solidFill>
          </w14:textFill>
        </w:rPr>
        <w:t>ONR oversees the building and installation of machinery through a permissioning process that calls for a licensee to prove, among other things, that it is competent to ensure that the machinery is in compliance with the current safety case and applicable UK safety standards.</w:t>
      </w:r>
      <w:r>
        <w:rPr>
          <w:rFonts w:ascii="Times New Roman" w:hAnsi="Times New Roman"/>
          <w:outline w:val="0"/>
          <w:color w:val="111111"/>
          <w:sz w:val="34"/>
          <w:szCs w:val="34"/>
          <w:rtl w:val="0"/>
          <w:lang w:val="en-US"/>
          <w14:textFill>
            <w14:solidFill>
              <w14:srgbClr w14:val="111111"/>
            </w14:solidFill>
          </w14:textFill>
        </w:rPr>
        <w:t xml:space="preserve"> </w:t>
      </w:r>
      <w:r>
        <w:rPr>
          <w:rFonts w:ascii="Times New Roman" w:hAnsi="Times New Roman"/>
          <w:outline w:val="0"/>
          <w:color w:val="111111"/>
          <w:sz w:val="34"/>
          <w:szCs w:val="34"/>
          <w:rtl w:val="0"/>
          <w:lang w:val="en-US"/>
          <w14:textFill>
            <w14:solidFill>
              <w14:srgbClr w14:val="111111"/>
            </w14:solidFill>
          </w14:textFill>
        </w:rPr>
        <w:t>To this purpose, ONR's New Reactors Division has created a Hinkley Point C regulatory plan with the following goals:</w:t>
      </w:r>
    </w:p>
    <w:p>
      <w:pPr>
        <w:pStyle w:val="Default"/>
        <w:bidi w:val="0"/>
        <w:spacing w:before="0" w:after="260"/>
        <w:ind w:left="0" w:right="0" w:firstLine="0"/>
        <w:jc w:val="left"/>
        <w:rPr>
          <w:rFonts w:ascii="Times New Roman" w:cs="Times New Roman" w:hAnsi="Times New Roman" w:eastAsia="Times New Roman"/>
          <w:outline w:val="0"/>
          <w:color w:val="111111"/>
          <w:sz w:val="34"/>
          <w:szCs w:val="34"/>
          <w:rtl w:val="0"/>
          <w14:textFill>
            <w14:solidFill>
              <w14:srgbClr w14:val="111111"/>
            </w14:solidFill>
          </w14:textFill>
        </w:rPr>
      </w:pPr>
      <w:r>
        <w:rPr>
          <w:rFonts w:ascii="Times New Roman" w:hAnsi="Times New Roman"/>
          <w:outline w:val="0"/>
          <w:color w:val="111111"/>
          <w:sz w:val="34"/>
          <w:szCs w:val="34"/>
          <w:rtl w:val="0"/>
          <w:lang w:val="en-US"/>
          <w14:textFill>
            <w14:solidFill>
              <w14:srgbClr w14:val="111111"/>
            </w14:solidFill>
          </w14:textFill>
        </w:rPr>
        <w:t xml:space="preserve">- </w:t>
      </w:r>
      <w:r>
        <w:rPr>
          <w:rFonts w:ascii="Times New Roman" w:hAnsi="Times New Roman"/>
          <w:outline w:val="0"/>
          <w:color w:val="111111"/>
          <w:sz w:val="34"/>
          <w:szCs w:val="34"/>
          <w:rtl w:val="0"/>
          <w:lang w:val="en-US"/>
          <w14:textFill>
            <w14:solidFill>
              <w14:srgbClr w14:val="111111"/>
            </w14:solidFill>
          </w14:textFill>
        </w:rPr>
        <w:t>ensuring ONR's efficient, effective, and appropriate regulation of the development, installation, and startup of the two EPR reactor units; accumulating data to support ONR's assessment of NNB GenCo's organisational capacity and the efficacy of its management structures.</w:t>
      </w:r>
      <w:r>
        <w:rPr>
          <w:rFonts w:ascii="Times New Roman" w:hAnsi="Times New Roman"/>
          <w:outline w:val="0"/>
          <w:color w:val="111111"/>
          <w:sz w:val="34"/>
          <w:szCs w:val="34"/>
          <w:rtl w:val="0"/>
          <w:lang w:val="en-US"/>
          <w14:textFill>
            <w14:solidFill>
              <w14:srgbClr w14:val="111111"/>
            </w14:solidFill>
          </w14:textFill>
        </w:rPr>
        <w:t xml:space="preserve"> </w:t>
      </w:r>
      <w:r>
        <w:rPr>
          <w:rFonts w:ascii="Times New Roman" w:hAnsi="Times New Roman"/>
          <w:outline w:val="0"/>
          <w:color w:val="111111"/>
          <w:sz w:val="34"/>
          <w:szCs w:val="34"/>
          <w:rtl w:val="0"/>
          <w:lang w:val="en-US"/>
          <w14:textFill>
            <w14:solidFill>
              <w14:srgbClr w14:val="111111"/>
            </w14:solidFill>
          </w14:textFill>
        </w:rPr>
        <w:t>The New Reactor Division's intervention plan, which is based on this regulatory approach, anticipates the construction activities anticipated in the upcoming year or so and is periodically revised. The following concepts serve as the framework for the plan:</w:t>
      </w:r>
    </w:p>
    <w:p>
      <w:pPr>
        <w:pStyle w:val="Default"/>
        <w:bidi w:val="0"/>
        <w:spacing w:before="0" w:after="260"/>
        <w:ind w:left="0" w:right="0" w:firstLine="0"/>
        <w:jc w:val="left"/>
        <w:rPr>
          <w:rFonts w:ascii="Times New Roman" w:cs="Times New Roman" w:hAnsi="Times New Roman" w:eastAsia="Times New Roman"/>
          <w:outline w:val="0"/>
          <w:color w:val="111111"/>
          <w:sz w:val="34"/>
          <w:szCs w:val="34"/>
          <w:rtl w:val="0"/>
          <w14:textFill>
            <w14:solidFill>
              <w14:srgbClr w14:val="111111"/>
            </w14:solidFill>
          </w14:textFill>
        </w:rPr>
      </w:pPr>
      <w:r>
        <w:rPr>
          <w:rFonts w:ascii="Times New Roman" w:hAnsi="Times New Roman"/>
          <w:outline w:val="0"/>
          <w:color w:val="111111"/>
          <w:sz w:val="34"/>
          <w:szCs w:val="34"/>
          <w:rtl w:val="0"/>
          <w:lang w:val="en-US"/>
          <w14:textFill>
            <w14:solidFill>
              <w14:srgbClr w14:val="111111"/>
            </w14:solidFill>
          </w14:textFill>
        </w:rPr>
        <w:t>The organisational capacity of NNB GenCo</w:t>
      </w:r>
      <w:r>
        <w:rPr>
          <w:rFonts w:ascii="Times New Roman" w:hAnsi="Times New Roman"/>
          <w:outline w:val="0"/>
          <w:color w:val="111111"/>
          <w:sz w:val="34"/>
          <w:szCs w:val="34"/>
          <w:rtl w:val="0"/>
          <w:lang w:val="en-US"/>
          <w14:textFill>
            <w14:solidFill>
              <w14:srgbClr w14:val="111111"/>
            </w14:solidFill>
          </w14:textFill>
        </w:rPr>
        <w:t xml:space="preserve">. </w:t>
      </w:r>
      <w:r>
        <w:rPr>
          <w:rFonts w:ascii="Times New Roman" w:hAnsi="Times New Roman"/>
          <w:outline w:val="0"/>
          <w:color w:val="111111"/>
          <w:sz w:val="34"/>
          <w:szCs w:val="34"/>
          <w:rtl w:val="0"/>
          <w:lang w:val="en-US"/>
          <w14:textFill>
            <w14:solidFill>
              <w14:srgbClr w14:val="111111"/>
            </w14:solidFill>
          </w14:textFill>
        </w:rPr>
        <w:t>Acceptability of the as-built design and safety case conformity with criteria imposed by the nuclear site licence security and nuclear material safeguards standard health and safety measures, such as fire safety on building sites.</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At the result from Office for Nuclear Regulation stated in 2014, called Cornerstone Report the final design was not confirmed yet at that stage, therefore changes most likely to occur during the progress, however has been approved in terms of Fire strategy. It states </w:t>
      </w:r>
      <w:r>
        <w:rPr>
          <w:rFonts w:ascii="Times New Roman" w:hAnsi="Times New Roman" w:hint="default"/>
          <w:sz w:val="34"/>
          <w:szCs w:val="34"/>
          <w:rtl w:val="0"/>
          <w:lang w:val="en-US"/>
        </w:rPr>
        <w:t xml:space="preserve">‘ </w:t>
      </w:r>
      <w:r>
        <w:rPr>
          <w:rFonts w:ascii="Times New Roman" w:hAnsi="Times New Roman"/>
          <w:sz w:val="34"/>
          <w:szCs w:val="34"/>
          <w:rtl w:val="0"/>
          <w:lang w:val="en-US"/>
        </w:rPr>
        <w:t>On the nuclear island and in the conventional regions, there is still a lot of work to be done, including verifying the company's support for the existing draught fire strategy papers, making plans for final design fire safety recommendations, and creating documents for fire risk assessment. Fire safety, however, is regarded to have developed to a sufficient degree and is going effectively at this point in the project</w:t>
      </w:r>
      <w:r>
        <w:rPr>
          <w:rFonts w:ascii="Times New Roman" w:hAnsi="Times New Roman"/>
          <w:sz w:val="34"/>
          <w:szCs w:val="34"/>
          <w:rtl w:val="0"/>
          <w:lang w:val="en-US"/>
        </w:rPr>
        <w:t>.</w:t>
      </w:r>
      <w:r>
        <w:rPr>
          <w:rFonts w:ascii="Times New Roman" w:hAnsi="Times New Roman" w:hint="default"/>
          <w:sz w:val="34"/>
          <w:szCs w:val="34"/>
          <w:rtl w:val="0"/>
          <w:lang w:val="en-US"/>
        </w:rPr>
        <w:t>’‘</w:t>
      </w:r>
      <w:r>
        <w:rPr>
          <w:rFonts w:ascii="Times New Roman" w:hAnsi="Times New Roman"/>
          <w:sz w:val="34"/>
          <w:szCs w:val="34"/>
          <w:rtl w:val="0"/>
          <w:lang w:val="en-US"/>
        </w:rPr>
        <w:t>Inspectors have typically given positive feedback regarding NNB GenCo's acceptance of RC1. However, it must be understood that NNB GenCo's acceptance is only a conditional acceptance because there are still some design risks, particularly those related to Generic Design Assessment (GDA) AFs on the C&amp;I aspects of the HVAC system and the sizing of the UDGs. The implementation of the safety categorization and classification methodology still needs to be finished, and although a second Safety Functional Requirement Note (SFRN) has since been issued, a key design decision regarding the selection of a wet or dry ISFS still needs to be made. To fully trust the RC1.1 design reference as an appropriate starting point for detailed design work, it is very desirable that these flaws be fixed.</w:t>
      </w:r>
      <w:r>
        <w:rPr>
          <w:rFonts w:ascii="Times New Roman" w:hAnsi="Times New Roman" w:hint="default"/>
          <w:sz w:val="34"/>
          <w:szCs w:val="34"/>
          <w:rtl w:val="0"/>
          <w:lang w:val="en-US"/>
        </w:rPr>
        <w:t xml:space="preserve">’ </w:t>
      </w:r>
      <w:r>
        <w:rPr>
          <w:rFonts w:ascii="Times New Roman" w:hAnsi="Times New Roman"/>
          <w:sz w:val="34"/>
          <w:szCs w:val="34"/>
          <w:rtl w:val="0"/>
          <w:lang w:val="en-US"/>
        </w:rPr>
        <w:t>There are a few assessment locations where, in the inspectors' opinion, development in the close-out of GDA AFs should have been further along than it is at this time. This, in my opinion, is one of the project's largest regulatory dangers. Resolution of assessment findings in the fields of civil engineering, electrical engineering, C&amp;I, equipment qualification (EQ) for hazards, fault investigations, severe accident analysis, and the treatment of hazards within the probabilistic safety analysis (PSA) must go forward immediately.</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A humanitarian disaster on the scale of the Russia-Ukraine conflict has not occurred in Europe since World War II. Given that Russia supplies a large portion of Europe's oil and gas, energy (specifically oil and gas) is one of Russia's most effective leverage tools. This briefing will outline how the conflict is shedding light on how the UK and Russia interact when it comes to energy matters as well as possible solutions to the likely rising cost of electricity.</w:t>
      </w:r>
      <w:r>
        <w:rPr>
          <w:rFonts w:ascii="Times New Roman" w:hAnsi="Times New Roman"/>
          <w:sz w:val="34"/>
          <w:szCs w:val="34"/>
          <w:rtl w:val="0"/>
          <w:lang w:val="en-US"/>
        </w:rPr>
        <w:t xml:space="preserve"> </w:t>
      </w:r>
      <w:r>
        <w:rPr>
          <w:rFonts w:ascii="Times New Roman" w:hAnsi="Times New Roman"/>
          <w:sz w:val="34"/>
          <w:szCs w:val="34"/>
          <w:rtl w:val="0"/>
          <w:lang w:val="en-US"/>
        </w:rPr>
        <w:t>The discussion will outline how the conflict is shedding light on how the UK and Russia interact when it comes to energy concerns as well as possible solutions to the likely rising cost of electricity.</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As a result, bills in the UK (and likely globally) will soar because of conflict in Ukraine, potentially up to </w:t>
      </w:r>
      <w:r>
        <w:rPr>
          <w:rFonts w:ascii="Times New Roman" w:hAnsi="Times New Roman" w:hint="default"/>
          <w:sz w:val="34"/>
          <w:szCs w:val="34"/>
          <w:rtl w:val="0"/>
        </w:rPr>
        <w:t>£</w:t>
      </w:r>
      <w:r>
        <w:rPr>
          <w:rFonts w:ascii="Times New Roman" w:hAnsi="Times New Roman"/>
          <w:sz w:val="34"/>
          <w:szCs w:val="34"/>
          <w:rtl w:val="0"/>
          <w:lang w:val="en-US"/>
        </w:rPr>
        <w:t xml:space="preserve">3,000 in October 2022, (a </w:t>
      </w:r>
      <w:r>
        <w:rPr>
          <w:rFonts w:ascii="Times New Roman" w:hAnsi="Times New Roman" w:hint="default"/>
          <w:sz w:val="34"/>
          <w:szCs w:val="34"/>
          <w:rtl w:val="0"/>
        </w:rPr>
        <w:t>£</w:t>
      </w:r>
      <w:r>
        <w:rPr>
          <w:rFonts w:ascii="Times New Roman" w:hAnsi="Times New Roman"/>
          <w:sz w:val="34"/>
          <w:szCs w:val="34"/>
          <w:rtl w:val="0"/>
          <w:lang w:val="en-US"/>
        </w:rPr>
        <w:t>600 increase from previously expected levels). However, some doubt that bills will get this high as there are still significant data gaps needed to forecast future bill levels.</w:t>
      </w:r>
      <w:r>
        <w:rPr>
          <w:rFonts w:ascii="Times New Roman" w:hAnsi="Times New Roman"/>
          <w:sz w:val="34"/>
          <w:szCs w:val="34"/>
          <w:rtl w:val="0"/>
          <w:lang w:val="en-US"/>
        </w:rPr>
        <w:t xml:space="preserve"> </w:t>
      </w:r>
      <w:r>
        <w:rPr>
          <w:rFonts w:ascii="Times New Roman" w:hAnsi="Times New Roman"/>
          <w:sz w:val="34"/>
          <w:szCs w:val="34"/>
          <w:rtl w:val="0"/>
          <w:lang w:val="en-US"/>
        </w:rPr>
        <w:t>Cheap renewable energy sources will help to temper increases in power prices, but because the UK still relies on gas for home heating and electricity production, we remain susceptible to fluctuations in gas prices.</w:t>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Energy efficiency is a clear short-term action because it could cut the UK's overall gas demand by 7-8% and imports by 15% while saving homeowners money on their energy bills.</w:t>
      </w:r>
      <w:r>
        <w:rPr>
          <w:rFonts w:ascii="Times New Roman" w:hAnsi="Times New Roman"/>
          <w:sz w:val="34"/>
          <w:szCs w:val="34"/>
          <w:rtl w:val="0"/>
          <w:lang w:val="en-US"/>
        </w:rPr>
        <w:t xml:space="preserve"> </w:t>
      </w:r>
      <w:r>
        <w:rPr>
          <w:rFonts w:ascii="Times New Roman" w:hAnsi="Times New Roman"/>
          <w:sz w:val="34"/>
          <w:szCs w:val="34"/>
          <w:rtl w:val="0"/>
          <w:lang w:val="en-US"/>
        </w:rPr>
        <w:t>Only 5-6%, or about 3-4% of UK consumption, of the country's gas imports come from Russia (via LNG tankers</w:t>
      </w:r>
      <w:r>
        <w:rPr>
          <w:rFonts w:ascii="Times New Roman" w:cs="Times New Roman" w:hAnsi="Times New Roman" w:eastAsia="Times New Roman"/>
          <w:sz w:val="34"/>
          <w:szCs w:val="34"/>
        </w:rPr>
        <w:drawing xmlns:a="http://schemas.openxmlformats.org/drawingml/2006/main">
          <wp:anchor distT="152400" distB="152400" distL="152400" distR="152400" simplePos="0" relativeHeight="251659264" behindDoc="0" locked="0" layoutInCell="1" allowOverlap="1">
            <wp:simplePos x="0" y="0"/>
            <wp:positionH relativeFrom="margin">
              <wp:posOffset>-110326</wp:posOffset>
            </wp:positionH>
            <wp:positionV relativeFrom="line">
              <wp:posOffset>225940</wp:posOffset>
            </wp:positionV>
            <wp:extent cx="3478965" cy="3075061"/>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C2.B-3.jpg"/>
                    <pic:cNvPicPr>
                      <a:picLocks noChangeAspect="1"/>
                    </pic:cNvPicPr>
                  </pic:nvPicPr>
                  <pic:blipFill>
                    <a:blip r:embed="rId5">
                      <a:extLst/>
                    </a:blip>
                    <a:stretch>
                      <a:fillRect/>
                    </a:stretch>
                  </pic:blipFill>
                  <pic:spPr>
                    <a:xfrm>
                      <a:off x="0" y="0"/>
                      <a:ext cx="3478965" cy="3075061"/>
                    </a:xfrm>
                    <a:prstGeom prst="rect">
                      <a:avLst/>
                    </a:prstGeom>
                    <a:ln w="12700" cap="flat">
                      <a:noFill/>
                      <a:miter lim="400000"/>
                    </a:ln>
                    <a:effectLst/>
                  </pic:spPr>
                </pic:pic>
              </a:graphicData>
            </a:graphic>
          </wp:anchor>
        </w:drawing>
      </w:r>
      <w:r>
        <w:rPr>
          <w:rFonts w:ascii="Times New Roman" w:hAnsi="Times New Roman"/>
          <w:sz w:val="34"/>
          <w:szCs w:val="34"/>
          <w:rtl w:val="0"/>
          <w:lang w:val="en-US"/>
        </w:rPr>
        <w:t xml:space="preserve"> rather than pipelines). However, because Russia has been reducing its supply over the past 18 months, there has been a negative impact on all global gas markets, which are connected to ours. As a result, even if petrol supplies to the UK may not be immediately impacted, petrol prices will.</w:t>
      </w:r>
      <w:r>
        <w:rPr>
          <w:rFonts w:ascii="Times New Roman" w:hAnsi="Times New Roman"/>
          <w:sz w:val="34"/>
          <w:szCs w:val="34"/>
          <w:rtl w:val="0"/>
          <w:lang w:val="en-US"/>
        </w:rPr>
        <w:t xml:space="preserve"> </w:t>
      </w:r>
      <w:r>
        <w:rPr>
          <w:rFonts w:ascii="Times New Roman" w:hAnsi="Times New Roman"/>
          <w:sz w:val="34"/>
          <w:szCs w:val="34"/>
          <w:rtl w:val="0"/>
          <w:lang w:val="en-US"/>
        </w:rPr>
        <w:t xml:space="preserve">The UK's energy price cap will increase from </w:t>
      </w:r>
      <w:r>
        <w:rPr>
          <w:rFonts w:ascii="Times New Roman" w:hAnsi="Times New Roman" w:hint="default"/>
          <w:sz w:val="34"/>
          <w:szCs w:val="34"/>
          <w:rtl w:val="0"/>
        </w:rPr>
        <w:t>£</w:t>
      </w:r>
      <w:r>
        <w:rPr>
          <w:rFonts w:ascii="Times New Roman" w:hAnsi="Times New Roman"/>
          <w:sz w:val="34"/>
          <w:szCs w:val="34"/>
          <w:rtl w:val="0"/>
          <w:lang w:val="en-US"/>
        </w:rPr>
        <w:t xml:space="preserve">1,277 at present to </w:t>
      </w:r>
      <w:r>
        <w:rPr>
          <w:rFonts w:ascii="Times New Roman" w:hAnsi="Times New Roman" w:hint="default"/>
          <w:sz w:val="34"/>
          <w:szCs w:val="34"/>
          <w:rtl w:val="0"/>
        </w:rPr>
        <w:t>£</w:t>
      </w:r>
      <w:r>
        <w:rPr>
          <w:rFonts w:ascii="Times New Roman" w:hAnsi="Times New Roman"/>
          <w:sz w:val="34"/>
          <w:szCs w:val="34"/>
          <w:rtl w:val="0"/>
          <w:lang w:val="en-US"/>
        </w:rPr>
        <w:t xml:space="preserve">1,971 in April 2022. The reason for this is the quintupling in 2021 of petrol prices, which caused at least </w:t>
      </w:r>
      <w:r>
        <w:rPr>
          <w:rFonts w:ascii="Times New Roman" w:hAnsi="Times New Roman" w:hint="default"/>
          <w:sz w:val="34"/>
          <w:szCs w:val="34"/>
          <w:rtl w:val="0"/>
        </w:rPr>
        <w:t>£</w:t>
      </w:r>
      <w:r>
        <w:rPr>
          <w:rFonts w:ascii="Times New Roman" w:hAnsi="Times New Roman"/>
          <w:sz w:val="34"/>
          <w:szCs w:val="34"/>
          <w:rtl w:val="0"/>
          <w:lang w:val="en-US"/>
        </w:rPr>
        <w:t>500 of the bill increase.</w:t>
      </w:r>
      <w:r>
        <w:rPr>
          <w:rFonts w:ascii="Times New Roman" w:hAnsi="Times New Roman"/>
          <w:sz w:val="34"/>
          <w:szCs w:val="34"/>
          <w:rtl w:val="0"/>
          <w:lang w:val="en-US"/>
        </w:rPr>
        <w:t xml:space="preserve"> </w:t>
      </w:r>
      <w:r>
        <w:rPr>
          <w:rFonts w:ascii="Times New Roman" w:hAnsi="Times New Roman"/>
          <w:sz w:val="34"/>
          <w:szCs w:val="34"/>
          <w:rtl w:val="0"/>
          <w:lang w:val="en-US"/>
        </w:rPr>
        <w:t>Since neither Russia nor Ukraine have significant direct trade ties with the UK, our economy is most directly exposed to the Russian invasion of Ukraine through its effects on the world energy market. Between 2000 and 2019, the UK's total energy consumption decreased by 22%, which can be attributed to both a shift away from more energy-intensive businesses and gains in energy efficiency across the board.</w:t>
      </w:r>
      <w:r>
        <w:rPr>
          <w:rFonts w:ascii="Times New Roman" w:hAnsi="Times New Roman"/>
          <w:sz w:val="34"/>
          <w:szCs w:val="34"/>
          <w:rtl w:val="0"/>
          <w:lang w:val="en-US"/>
        </w:rPr>
        <w:t xml:space="preserve"> </w:t>
      </w:r>
      <w:r>
        <w:rPr>
          <w:rFonts w:ascii="Times New Roman" w:hAnsi="Times New Roman"/>
          <w:sz w:val="34"/>
          <w:szCs w:val="34"/>
          <w:rtl w:val="0"/>
          <w:lang w:val="en-US"/>
        </w:rPr>
        <w:t>As a result, the overall energy intensity of UK output has decreased significantly over the same time period by 43% (and is now approximately 70% less energy intensive than it was during the worldwide energy crises of the 1970s).a However, with North Sea oil and gas production declining, the UK has grown more reliant on imports to meet its energy needs during that time, with the percentage of net imports in total demand rising from minus 17% to plus 35% since 2000.</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Conclusion</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Hinkley nuclear power has a positive impact b</w:t>
      </w:r>
      <w:r>
        <w:rPr>
          <w:rFonts w:ascii="Times New Roman" w:hAnsi="Times New Roman"/>
          <w:sz w:val="34"/>
          <w:szCs w:val="34"/>
          <w:rtl w:val="0"/>
          <w:lang w:val="en-US"/>
        </w:rPr>
        <w:t>y generating more than 25000 new jobs and controlling 64% of the construction value, it will promote long-term economic growth in Britain. The provision of low-carbon electricity to more than 6 million homes by this huge power station has a major negative environmental impact.</w:t>
      </w:r>
      <w:r>
        <w:rPr>
          <w:rFonts w:ascii="Times New Roman" w:hAnsi="Times New Roman"/>
          <w:sz w:val="34"/>
          <w:szCs w:val="34"/>
          <w:rtl w:val="0"/>
          <w:lang w:val="en-US"/>
        </w:rPr>
        <w:t xml:space="preserve"> </w:t>
      </w:r>
      <w:r>
        <w:rPr>
          <w:rFonts w:ascii="Times New Roman" w:hAnsi="Times New Roman"/>
          <w:sz w:val="34"/>
          <w:szCs w:val="34"/>
          <w:rtl w:val="0"/>
          <w:lang w:val="en-US"/>
        </w:rPr>
        <w:t>Hinkley Point C is crucial for combating climate change and guaranteeing energy security, but it also demonstrates that the move to net-zero can bring about significant social and economic advantages that will improve people's lives and communities.</w:t>
      </w:r>
      <w:r>
        <w:rPr>
          <w:rFonts w:ascii="Times New Roman" w:hAnsi="Times New Roman"/>
          <w:sz w:val="34"/>
          <w:szCs w:val="34"/>
          <w:rtl w:val="0"/>
          <w:lang w:val="en-US"/>
        </w:rPr>
        <w:t xml:space="preserve"> </w:t>
      </w:r>
      <w:r>
        <w:rPr>
          <w:rFonts w:ascii="Times New Roman" w:hAnsi="Times New Roman"/>
          <w:sz w:val="34"/>
          <w:szCs w:val="34"/>
          <w:rtl w:val="0"/>
          <w:lang w:val="en-US"/>
        </w:rPr>
        <w:t>To lessen the environmental effect of producing concrete, Hinkley Point C uses a more environmentally friendly cement replacement. 230,000 tonnes of recycled ground-granulated blast furnace slag were utilised in the project. Compared to utilising Portland cement, each tonne used reduces the CO2 in the concrete by around 850 kg.</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References</w:t>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1. Adrian Bull, </w:t>
      </w:r>
      <w:r>
        <w:rPr>
          <w:rFonts w:ascii="Times New Roman" w:hAnsi="Times New Roman" w:hint="default"/>
          <w:sz w:val="34"/>
          <w:szCs w:val="34"/>
          <w:rtl w:val="0"/>
          <w:lang w:val="en-US"/>
        </w:rPr>
        <w:t>‘</w:t>
      </w:r>
      <w:r>
        <w:rPr>
          <w:rFonts w:ascii="Times New Roman" w:hAnsi="Times New Roman"/>
          <w:sz w:val="34"/>
          <w:szCs w:val="34"/>
          <w:rtl w:val="0"/>
          <w:lang w:val="en-US"/>
        </w:rPr>
        <w:t xml:space="preserve">Energy and Environment, March 13, 2023, available at: </w:t>
      </w:r>
      <w:r>
        <w:rPr>
          <w:rStyle w:val="Hyperlink.0"/>
          <w:rFonts w:ascii="Times New Roman" w:cs="Times New Roman" w:hAnsi="Times New Roman" w:eastAsia="Times New Roman"/>
          <w:sz w:val="34"/>
          <w:szCs w:val="34"/>
        </w:rPr>
        <w:fldChar w:fldCharType="begin" w:fldLock="0"/>
      </w:r>
      <w:r>
        <w:rPr>
          <w:rStyle w:val="Hyperlink.0"/>
          <w:rFonts w:ascii="Times New Roman" w:cs="Times New Roman" w:hAnsi="Times New Roman" w:eastAsia="Times New Roman"/>
          <w:sz w:val="34"/>
          <w:szCs w:val="34"/>
        </w:rPr>
        <w:instrText xml:space="preserve"> HYPERLINK "https://blog.policy.manchester.ac.uk/posts/2023/03/location-location-location-finding-sites-for-nuclear-power-plants/"</w:instrText>
      </w:r>
      <w:r>
        <w:rPr>
          <w:rStyle w:val="Hyperlink.0"/>
          <w:rFonts w:ascii="Times New Roman" w:cs="Times New Roman" w:hAnsi="Times New Roman" w:eastAsia="Times New Roman"/>
          <w:sz w:val="34"/>
          <w:szCs w:val="34"/>
        </w:rPr>
        <w:fldChar w:fldCharType="separate" w:fldLock="0"/>
      </w:r>
      <w:r>
        <w:rPr>
          <w:rStyle w:val="Hyperlink.0"/>
          <w:rFonts w:ascii="Times New Roman" w:hAnsi="Times New Roman"/>
          <w:sz w:val="34"/>
          <w:szCs w:val="34"/>
          <w:rtl w:val="0"/>
          <w:lang w:val="en-US"/>
        </w:rPr>
        <w:t>https://blog.policy.manchester.ac.uk/posts/2023/03/location-location-location-finding-sites-for-nuclear-power-plants/</w:t>
      </w:r>
      <w:r>
        <w:rPr>
          <w:rFonts w:ascii="Times New Roman" w:cs="Times New Roman" w:hAnsi="Times New Roman" w:eastAsia="Times New Roman"/>
          <w:sz w:val="34"/>
          <w:szCs w:val="34"/>
        </w:rPr>
        <w:fldChar w:fldCharType="end" w:fldLock="0"/>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2. Department of Energy &amp; Climate Change,Gov. UK,12 March 2016. Accessed on 29th of April, available at: </w:t>
      </w:r>
      <w:r>
        <w:rPr>
          <w:rStyle w:val="Hyperlink.0"/>
          <w:rFonts w:ascii="Times New Roman" w:cs="Times New Roman" w:hAnsi="Times New Roman" w:eastAsia="Times New Roman"/>
          <w:sz w:val="34"/>
          <w:szCs w:val="34"/>
        </w:rPr>
        <w:fldChar w:fldCharType="begin" w:fldLock="0"/>
      </w:r>
      <w:r>
        <w:rPr>
          <w:rStyle w:val="Hyperlink.0"/>
          <w:rFonts w:ascii="Times New Roman" w:cs="Times New Roman" w:hAnsi="Times New Roman" w:eastAsia="Times New Roman"/>
          <w:sz w:val="34"/>
          <w:szCs w:val="34"/>
        </w:rPr>
        <w:instrText xml:space="preserve"> HYPERLINK "https://www.gov.uk/government/news/5-reasons-why-we-are-backing-hinkley-point-c"</w:instrText>
      </w:r>
      <w:r>
        <w:rPr>
          <w:rStyle w:val="Hyperlink.0"/>
          <w:rFonts w:ascii="Times New Roman" w:cs="Times New Roman" w:hAnsi="Times New Roman" w:eastAsia="Times New Roman"/>
          <w:sz w:val="34"/>
          <w:szCs w:val="34"/>
        </w:rPr>
        <w:fldChar w:fldCharType="separate" w:fldLock="0"/>
      </w:r>
      <w:r>
        <w:rPr>
          <w:rStyle w:val="Hyperlink.0"/>
          <w:rFonts w:ascii="Times New Roman" w:hAnsi="Times New Roman"/>
          <w:sz w:val="34"/>
          <w:szCs w:val="34"/>
          <w:rtl w:val="0"/>
          <w:lang w:val="en-US"/>
        </w:rPr>
        <w:t>https://www.gov.uk/government/news/5-reasons-why-we-are-backing-hinkley-point-c</w:t>
      </w:r>
      <w:r>
        <w:rPr>
          <w:rFonts w:ascii="Times New Roman" w:cs="Times New Roman" w:hAnsi="Times New Roman" w:eastAsia="Times New Roman"/>
          <w:sz w:val="34"/>
          <w:szCs w:val="34"/>
        </w:rPr>
        <w:fldChar w:fldCharType="end" w:fldLock="0"/>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3. Department for Business, Energy &amp; Industrial Strategy, </w:t>
      </w:r>
      <w:r>
        <w:rPr>
          <w:rFonts w:ascii="Times New Roman" w:hAnsi="Times New Roman" w:hint="default"/>
          <w:sz w:val="34"/>
          <w:szCs w:val="34"/>
          <w:rtl w:val="0"/>
          <w:lang w:val="en-US"/>
        </w:rPr>
        <w:t>‘</w:t>
      </w:r>
      <w:r>
        <w:rPr>
          <w:rFonts w:ascii="Times New Roman" w:hAnsi="Times New Roman"/>
          <w:sz w:val="34"/>
          <w:szCs w:val="34"/>
          <w:rtl w:val="0"/>
          <w:lang w:val="en-US"/>
        </w:rPr>
        <w:t>Hinkley Point C wider benefits realisation plan</w:t>
      </w:r>
      <w:r>
        <w:rPr>
          <w:rFonts w:ascii="Times New Roman" w:hAnsi="Times New Roman" w:hint="default"/>
          <w:sz w:val="34"/>
          <w:szCs w:val="34"/>
          <w:rtl w:val="0"/>
          <w:lang w:val="en-US"/>
        </w:rPr>
        <w:t>’</w:t>
      </w:r>
      <w:r>
        <w:rPr>
          <w:rFonts w:ascii="Times New Roman" w:hAnsi="Times New Roman"/>
          <w:sz w:val="34"/>
          <w:szCs w:val="34"/>
          <w:rtl w:val="0"/>
          <w:lang w:val="en-US"/>
        </w:rPr>
        <w:t xml:space="preserve">. Accessed on 29th April, available at: </w:t>
      </w:r>
    </w:p>
    <w:p>
      <w:pPr>
        <w:pStyle w:val="Body"/>
        <w:rPr>
          <w:rFonts w:ascii="Times New Roman" w:cs="Times New Roman" w:hAnsi="Times New Roman" w:eastAsia="Times New Roman"/>
          <w:sz w:val="34"/>
          <w:szCs w:val="34"/>
        </w:rPr>
      </w:pPr>
      <w:r>
        <w:rPr>
          <w:rStyle w:val="Hyperlink.0"/>
          <w:rFonts w:ascii="Times New Roman" w:cs="Times New Roman" w:hAnsi="Times New Roman" w:eastAsia="Times New Roman"/>
          <w:sz w:val="34"/>
          <w:szCs w:val="34"/>
        </w:rPr>
        <w:fldChar w:fldCharType="begin" w:fldLock="0"/>
      </w:r>
      <w:r>
        <w:rPr>
          <w:rStyle w:val="Hyperlink.0"/>
          <w:rFonts w:ascii="Times New Roman" w:cs="Times New Roman" w:hAnsi="Times New Roman" w:eastAsia="Times New Roman"/>
          <w:sz w:val="34"/>
          <w:szCs w:val="34"/>
        </w:rPr>
        <w:instrText xml:space="preserve"> HYPERLINK "https://assets.publishing.service.gov.uk/government/uploads/system/uploads/attachment_data/file/725960/HPC_Benefits_Realisation_Plan.pdf"</w:instrText>
      </w:r>
      <w:r>
        <w:rPr>
          <w:rStyle w:val="Hyperlink.0"/>
          <w:rFonts w:ascii="Times New Roman" w:cs="Times New Roman" w:hAnsi="Times New Roman" w:eastAsia="Times New Roman"/>
          <w:sz w:val="34"/>
          <w:szCs w:val="34"/>
        </w:rPr>
        <w:fldChar w:fldCharType="separate" w:fldLock="0"/>
      </w:r>
      <w:r>
        <w:rPr>
          <w:rStyle w:val="Hyperlink.0"/>
          <w:rFonts w:ascii="Times New Roman" w:hAnsi="Times New Roman"/>
          <w:sz w:val="34"/>
          <w:szCs w:val="34"/>
          <w:rtl w:val="0"/>
          <w:lang w:val="en-US"/>
        </w:rPr>
        <w:t>https://assets.publishing.service.gov.uk/government/uploads/system/uploads/attachment_data/file/725960/HPC_Benefits_Realisation_Plan.pdf</w:t>
      </w:r>
      <w:r>
        <w:rPr>
          <w:rFonts w:ascii="Times New Roman" w:cs="Times New Roman" w:hAnsi="Times New Roman" w:eastAsia="Times New Roman"/>
          <w:sz w:val="34"/>
          <w:szCs w:val="34"/>
        </w:rPr>
        <w:fldChar w:fldCharType="end" w:fldLock="0"/>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4. Simon Level &amp; Colin Smith, </w:t>
      </w:r>
      <w:r>
        <w:rPr>
          <w:rFonts w:ascii="Times New Roman" w:hAnsi="Times New Roman" w:hint="default"/>
          <w:sz w:val="34"/>
          <w:szCs w:val="34"/>
          <w:rtl w:val="0"/>
          <w:lang w:val="en-US"/>
        </w:rPr>
        <w:t>‘</w:t>
      </w:r>
      <w:r>
        <w:rPr>
          <w:rFonts w:ascii="Times New Roman" w:hAnsi="Times New Roman"/>
          <w:sz w:val="34"/>
          <w:szCs w:val="34"/>
          <w:rtl w:val="0"/>
          <w:lang w:val="en-US"/>
        </w:rPr>
        <w:t xml:space="preserve">Imperial experts share their thoughts on Hinkley Point C nuclear power plant. Accesed on 29th April, available at: </w:t>
      </w:r>
      <w:r>
        <w:rPr>
          <w:rStyle w:val="Hyperlink.0"/>
          <w:rFonts w:ascii="Times New Roman" w:cs="Times New Roman" w:hAnsi="Times New Roman" w:eastAsia="Times New Roman"/>
          <w:sz w:val="34"/>
          <w:szCs w:val="34"/>
        </w:rPr>
        <w:fldChar w:fldCharType="begin" w:fldLock="0"/>
      </w:r>
      <w:r>
        <w:rPr>
          <w:rStyle w:val="Hyperlink.0"/>
          <w:rFonts w:ascii="Times New Roman" w:cs="Times New Roman" w:hAnsi="Times New Roman" w:eastAsia="Times New Roman"/>
          <w:sz w:val="34"/>
          <w:szCs w:val="34"/>
        </w:rPr>
        <w:instrText xml:space="preserve"> HYPERLINK "https://www.imperial.ac.uk/news/173787/imperial-experts-share-their-thoughts-hinkley/"</w:instrText>
      </w:r>
      <w:r>
        <w:rPr>
          <w:rStyle w:val="Hyperlink.0"/>
          <w:rFonts w:ascii="Times New Roman" w:cs="Times New Roman" w:hAnsi="Times New Roman" w:eastAsia="Times New Roman"/>
          <w:sz w:val="34"/>
          <w:szCs w:val="34"/>
        </w:rPr>
        <w:fldChar w:fldCharType="separate" w:fldLock="0"/>
      </w:r>
      <w:r>
        <w:rPr>
          <w:rStyle w:val="Hyperlink.0"/>
          <w:rFonts w:ascii="Times New Roman" w:hAnsi="Times New Roman"/>
          <w:sz w:val="34"/>
          <w:szCs w:val="34"/>
          <w:rtl w:val="0"/>
          <w:lang w:val="en-US"/>
        </w:rPr>
        <w:t>https://www.imperial.ac.uk/news/173787/imperial-experts-share-their-thoughts-hinkley/</w:t>
      </w:r>
      <w:r>
        <w:rPr>
          <w:rFonts w:ascii="Times New Roman" w:cs="Times New Roman" w:hAnsi="Times New Roman" w:eastAsia="Times New Roman"/>
          <w:sz w:val="34"/>
          <w:szCs w:val="34"/>
        </w:rPr>
        <w:fldChar w:fldCharType="end" w:fldLock="0"/>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5 . Office for Budget Responsibility, </w:t>
      </w:r>
      <w:r>
        <w:rPr>
          <w:rFonts w:ascii="Times New Roman" w:hAnsi="Times New Roman" w:hint="default"/>
          <w:sz w:val="34"/>
          <w:szCs w:val="34"/>
          <w:rtl w:val="0"/>
          <w:lang w:val="en-US"/>
        </w:rPr>
        <w:t>‘</w:t>
      </w:r>
      <w:r>
        <w:rPr>
          <w:rFonts w:ascii="Times New Roman" w:hAnsi="Times New Roman"/>
          <w:sz w:val="34"/>
          <w:szCs w:val="34"/>
          <w:rtl w:val="0"/>
          <w:lang w:val="en-US"/>
        </w:rPr>
        <w:t xml:space="preserve">Economic and Fiscal outlook, accessed on 29th of April, available at: </w:t>
      </w:r>
      <w:r>
        <w:rPr>
          <w:rStyle w:val="Hyperlink.0"/>
          <w:rFonts w:ascii="Times New Roman" w:cs="Times New Roman" w:hAnsi="Times New Roman" w:eastAsia="Times New Roman"/>
          <w:sz w:val="34"/>
          <w:szCs w:val="34"/>
        </w:rPr>
        <w:fldChar w:fldCharType="begin" w:fldLock="0"/>
      </w:r>
      <w:r>
        <w:rPr>
          <w:rStyle w:val="Hyperlink.0"/>
          <w:rFonts w:ascii="Times New Roman" w:cs="Times New Roman" w:hAnsi="Times New Roman" w:eastAsia="Times New Roman"/>
          <w:sz w:val="34"/>
          <w:szCs w:val="34"/>
        </w:rPr>
        <w:instrText xml:space="preserve"> HYPERLINK "https://obr.uk/box/how-does-the-russian-invasion-of-ukraine-affect-the-uk-economy/"</w:instrText>
      </w:r>
      <w:r>
        <w:rPr>
          <w:rStyle w:val="Hyperlink.0"/>
          <w:rFonts w:ascii="Times New Roman" w:cs="Times New Roman" w:hAnsi="Times New Roman" w:eastAsia="Times New Roman"/>
          <w:sz w:val="34"/>
          <w:szCs w:val="34"/>
        </w:rPr>
        <w:fldChar w:fldCharType="separate" w:fldLock="0"/>
      </w:r>
      <w:r>
        <w:rPr>
          <w:rStyle w:val="Hyperlink.0"/>
          <w:rFonts w:ascii="Times New Roman" w:hAnsi="Times New Roman"/>
          <w:sz w:val="34"/>
          <w:szCs w:val="34"/>
          <w:rtl w:val="0"/>
          <w:lang w:val="en-US"/>
        </w:rPr>
        <w:t>https://obr.uk/box/how-does-the-russian-invasion-of-ukraine-affect-the-uk-economy/</w:t>
      </w:r>
      <w:r>
        <w:rPr>
          <w:rFonts w:ascii="Times New Roman" w:cs="Times New Roman" w:hAnsi="Times New Roman" w:eastAsia="Times New Roman"/>
          <w:sz w:val="34"/>
          <w:szCs w:val="34"/>
        </w:rPr>
        <w:fldChar w:fldCharType="end" w:fldLock="0"/>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6. Office for Nuclear Regulation, </w:t>
      </w:r>
      <w:r>
        <w:rPr>
          <w:rFonts w:ascii="Times New Roman" w:hAnsi="Times New Roman" w:hint="default"/>
          <w:sz w:val="34"/>
          <w:szCs w:val="34"/>
          <w:rtl w:val="0"/>
          <w:lang w:val="en-US"/>
        </w:rPr>
        <w:t>‘</w:t>
      </w:r>
      <w:r>
        <w:rPr>
          <w:rFonts w:ascii="Times New Roman" w:hAnsi="Times New Roman"/>
          <w:sz w:val="34"/>
          <w:szCs w:val="34"/>
          <w:rtl w:val="0"/>
          <w:lang w:val="en-US"/>
        </w:rPr>
        <w:t xml:space="preserve">Hinkley Point C assessment report, accessed on 29th of April, available at: </w:t>
      </w:r>
    </w:p>
    <w:p>
      <w:pPr>
        <w:pStyle w:val="Body"/>
        <w:rPr>
          <w:rFonts w:ascii="Times New Roman" w:cs="Times New Roman" w:hAnsi="Times New Roman" w:eastAsia="Times New Roman"/>
          <w:sz w:val="34"/>
          <w:szCs w:val="34"/>
        </w:rPr>
      </w:pPr>
      <w:r>
        <w:rPr>
          <w:rStyle w:val="Hyperlink.0"/>
          <w:rFonts w:ascii="Times New Roman" w:cs="Times New Roman" w:hAnsi="Times New Roman" w:eastAsia="Times New Roman"/>
          <w:sz w:val="34"/>
          <w:szCs w:val="34"/>
        </w:rPr>
        <w:fldChar w:fldCharType="begin" w:fldLock="0"/>
      </w:r>
      <w:r>
        <w:rPr>
          <w:rStyle w:val="Hyperlink.0"/>
          <w:rFonts w:ascii="Times New Roman" w:cs="Times New Roman" w:hAnsi="Times New Roman" w:eastAsia="Times New Roman"/>
          <w:sz w:val="34"/>
          <w:szCs w:val="34"/>
        </w:rPr>
        <w:instrText xml:space="preserve"> HYPERLINK "https://www.onr.org.uk/hinkley-point-c/assessment-reports.htm"</w:instrText>
      </w:r>
      <w:r>
        <w:rPr>
          <w:rStyle w:val="Hyperlink.0"/>
          <w:rFonts w:ascii="Times New Roman" w:cs="Times New Roman" w:hAnsi="Times New Roman" w:eastAsia="Times New Roman"/>
          <w:sz w:val="34"/>
          <w:szCs w:val="34"/>
        </w:rPr>
        <w:fldChar w:fldCharType="separate" w:fldLock="0"/>
      </w:r>
      <w:r>
        <w:rPr>
          <w:rStyle w:val="Hyperlink.0"/>
          <w:rFonts w:ascii="Times New Roman" w:hAnsi="Times New Roman"/>
          <w:sz w:val="34"/>
          <w:szCs w:val="34"/>
          <w:rtl w:val="0"/>
          <w:lang w:val="en-US"/>
        </w:rPr>
        <w:t>https://www.onr.org.uk/hinkley-point-c/assessment-reports.htm</w:t>
      </w:r>
      <w:r>
        <w:rPr>
          <w:rFonts w:ascii="Times New Roman" w:cs="Times New Roman" w:hAnsi="Times New Roman" w:eastAsia="Times New Roman"/>
          <w:sz w:val="34"/>
          <w:szCs w:val="34"/>
        </w:rPr>
        <w:fldChar w:fldCharType="end" w:fldLock="0"/>
      </w:r>
    </w:p>
    <w:p>
      <w:pPr>
        <w:pStyle w:val="Body"/>
        <w:rPr>
          <w:rFonts w:ascii="Times New Roman" w:cs="Times New Roman" w:hAnsi="Times New Roman" w:eastAsia="Times New Roman"/>
          <w:sz w:val="34"/>
          <w:szCs w:val="34"/>
        </w:rPr>
      </w:pPr>
      <w:r>
        <w:rPr>
          <w:rFonts w:ascii="Times New Roman" w:hAnsi="Times New Roman"/>
          <w:sz w:val="34"/>
          <w:szCs w:val="34"/>
          <w:rtl w:val="0"/>
          <w:lang w:val="en-US"/>
        </w:rPr>
        <w:t xml:space="preserve">7. Holly Watt, </w:t>
      </w:r>
      <w:r>
        <w:rPr>
          <w:rFonts w:ascii="Times New Roman" w:hAnsi="Times New Roman" w:hint="default"/>
          <w:sz w:val="34"/>
          <w:szCs w:val="34"/>
          <w:rtl w:val="0"/>
          <w:lang w:val="en-US"/>
        </w:rPr>
        <w:t>‘</w:t>
      </w:r>
      <w:r>
        <w:rPr>
          <w:rFonts w:ascii="Times New Roman" w:hAnsi="Times New Roman"/>
          <w:sz w:val="34"/>
          <w:szCs w:val="34"/>
          <w:rtl w:val="0"/>
          <w:lang w:val="en-US"/>
        </w:rPr>
        <w:t>Hinkley Point</w:t>
      </w:r>
      <w:r>
        <w:rPr>
          <w:rFonts w:ascii="Times New Roman" w:hAnsi="Times New Roman" w:hint="default"/>
          <w:sz w:val="34"/>
          <w:szCs w:val="34"/>
          <w:rtl w:val="0"/>
          <w:lang w:val="en-US"/>
        </w:rPr>
        <w:t>’</w:t>
      </w:r>
      <w:r>
        <w:rPr>
          <w:rFonts w:ascii="Times New Roman" w:hAnsi="Times New Roman"/>
          <w:sz w:val="34"/>
          <w:szCs w:val="34"/>
          <w:rtl w:val="0"/>
          <w:lang w:val="en-US"/>
        </w:rPr>
        <w:t xml:space="preserve">, accessed on 28th April, available at: </w:t>
      </w:r>
      <w:r>
        <w:rPr>
          <w:rStyle w:val="Hyperlink.0"/>
          <w:rFonts w:ascii="Times New Roman" w:cs="Times New Roman" w:hAnsi="Times New Roman" w:eastAsia="Times New Roman"/>
          <w:sz w:val="34"/>
          <w:szCs w:val="34"/>
        </w:rPr>
        <w:fldChar w:fldCharType="begin" w:fldLock="0"/>
      </w:r>
      <w:r>
        <w:rPr>
          <w:rStyle w:val="Hyperlink.0"/>
          <w:rFonts w:ascii="Times New Roman" w:cs="Times New Roman" w:hAnsi="Times New Roman" w:eastAsia="Times New Roman"/>
          <w:sz w:val="34"/>
          <w:szCs w:val="34"/>
        </w:rPr>
        <w:instrText xml:space="preserve"> HYPERLINK "https://www.theguardian.com/news/2017/dec/21/hinkley-point-c-dreadful-deal-behind-worlds-most-expensive-power-plant"</w:instrText>
      </w:r>
      <w:r>
        <w:rPr>
          <w:rStyle w:val="Hyperlink.0"/>
          <w:rFonts w:ascii="Times New Roman" w:cs="Times New Roman" w:hAnsi="Times New Roman" w:eastAsia="Times New Roman"/>
          <w:sz w:val="34"/>
          <w:szCs w:val="34"/>
        </w:rPr>
        <w:fldChar w:fldCharType="separate" w:fldLock="0"/>
      </w:r>
      <w:r>
        <w:rPr>
          <w:rStyle w:val="Hyperlink.0"/>
          <w:rFonts w:ascii="Times New Roman" w:hAnsi="Times New Roman"/>
          <w:sz w:val="34"/>
          <w:szCs w:val="34"/>
          <w:rtl w:val="0"/>
          <w:lang w:val="en-US"/>
        </w:rPr>
        <w:t>https://www.theguardian.com/news/2017/dec/21/hinkley-point-c-dreadful-deal-behind-worlds-most-expensive-power-plant</w:t>
      </w:r>
      <w:r>
        <w:rPr>
          <w:rFonts w:ascii="Times New Roman" w:cs="Times New Roman" w:hAnsi="Times New Roman" w:eastAsia="Times New Roman"/>
          <w:sz w:val="34"/>
          <w:szCs w:val="34"/>
        </w:rPr>
        <w:fldChar w:fldCharType="end" w:fldLock="0"/>
      </w: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rPr>
          <w:rFonts w:ascii="Times New Roman" w:cs="Times New Roman" w:hAnsi="Times New Roman" w:eastAsia="Times New Roman"/>
          <w:sz w:val="34"/>
          <w:szCs w:val="34"/>
        </w:rPr>
      </w:pPr>
    </w:p>
    <w:p>
      <w:pPr>
        <w:pStyle w:val="Body"/>
      </w:pPr>
      <w:r>
        <w:rPr>
          <w:rFonts w:ascii="Times New Roman" w:cs="Times New Roman" w:hAnsi="Times New Roman" w:eastAsia="Times New Roman"/>
          <w:sz w:val="34"/>
          <w:szCs w:val="34"/>
        </w:rPr>
      </w:r>
    </w:p>
    <w:sectPr>
      <w:headerReference w:type="default" r:id="rId6"/>
      <w:footerReference w:type="default" r:id="rId7"/>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lang w:val="en-US"/>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