
<file path=[Content_Types].xml><?xml version="1.0" encoding="utf-8"?>
<Types xmlns="http://schemas.openxmlformats.org/package/2006/content-types">
  <Default ContentType="image/png" Extension="png"/>
  <Default ContentType="image/jpeg" Extension="jpeg"/>
  <Default ContentType="image/jpeg" Extension="jpg"/>
  <Default ContentType="image/bmp" Extension="bmp"/>
  <Default ContentType="image/gif" Extension="gif"/>
  <Default ContentType="image/svg+xml" Extension="svg"/>
  <Default ContentType="application/vnd.openxmlformats-package.relationships+xml" Extension="rels"/>
  <Default ContentType="application/xml" Extension="xml"/>
  <Default ContentType="application/vnd.openxmlformats-officedocument.obfuscatedFont" Extension="odttf"/>
  <Override ContentType="application/vnd.openxmlformats-officedocument.wordprocessingml.document.main+xml" PartName="/word/document.xml"/>
  <Override ContentType="application/vnd.openxmlformats-officedocument.wordprocessingml.styles+xml" PartName="/word/styles.xml"/>
  <Override ContentType="application/vnd.openxmlformats-package.core-properties+xml" PartName="/docProps/core.xml"/>
  <Override ContentType="application/vnd.openxmlformats-officedocument.custom-properties+xml" PartName="/docProps/custom.xml"/>
  <Override ContentType="application/vnd.openxmlformats-officedocument.extended-properties+xml" PartName="/docProps/app.xml"/>
  <Override ContentType="application/vnd.openxmlformats-officedocument.wordprocessingml.numbering+xml" PartName="/word/numbering.xml"/>
  <Override ContentType="application/vnd.openxmlformats-officedocument.wordprocessingml.footnotes+xml" PartName="/word/footnotes.xml"/>
  <Override ContentType="application/vnd.openxmlformats-officedocument.wordprocessingml.endnotes+xml" PartName="/word/endnotes.xml"/>
  <Override ContentType="application/vnd.openxmlformats-officedocument.wordprocessingml.settings+xml" PartName="/word/settings.xml"/>
  <Override ContentType="application/vnd.openxmlformats-officedocument.wordprocessingml.comments+xml" PartName="/word/comments.xml"/>
  <Override ContentType="application/vnd.openxmlformats-officedocument.wordprocessingml.fontTable+xml" PartName="/word/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w:pPr>
        <w:spacing w:after="100" w:before="400"/>
        <w:jc w:val="left"/>
      </w:pPr>
      <w:r>
        <w:rPr>
          <w:rFonts w:ascii="Calibri" w:cs="Calibri" w:eastAsia="Calibri" w:hAnsi="Calibri"/>
          <w:b/>
          <w:bCs/>
          <w:color w:val="C9A84C"/>
          <w:sz w:val="24"/>
          <w:szCs w:val="24"/>
        </w:rPr>
        <w:t xml:space="preserve">LCDB7012</w:t>
      </w:r>
    </w:p>
    <w:p>
      <w:pPr>
        <w:spacing w:after="60"/>
      </w:pPr>
      <w:r>
        <w:rPr>
          <w:rFonts w:ascii="Calibri" w:cs="Calibri" w:eastAsia="Calibri" w:hAnsi="Calibri"/>
          <w:color w:val="607085"/>
          <w:sz w:val="24"/>
          <w:szCs w:val="24"/>
        </w:rPr>
        <w:t xml:space="preserve">Advancing to Doctoral Research Stage</w:t>
      </w:r>
    </w:p>
    <w:p>
      <w:pPr>
        <w:spacing w:after="100" w:before="200"/>
      </w:pPr>
      <w:r>
        <w:rPr>
          <w:rFonts w:ascii="Calibri" w:cs="Calibri" w:eastAsia="Calibri" w:hAnsi="Calibri"/>
          <w:b/>
          <w:bCs/>
          <w:color w:val="1C2B4A"/>
          <w:sz w:val="44"/>
          <w:szCs w:val="44"/>
        </w:rPr>
        <w:t xml:space="preserve">Criticality: Critical Thinking and Critical Writing</w:t>
      </w:r>
    </w:p>
    <w:p>
      <w:pPr>
        <w:spacing w:after="400"/>
      </w:pPr>
      <w:r>
        <w:rPr>
          <w:rFonts w:ascii="Calibri" w:cs="Calibri" w:eastAsia="Calibri" w:hAnsi="Calibri"/>
          <w:i/>
          <w:iCs/>
          <w:color w:val="607085"/>
          <w:sz w:val="28"/>
          <w:szCs w:val="28"/>
        </w:rPr>
        <w:t xml:space="preserve">Student Handbook</w:t>
      </w:r>
    </w:p>
    <w:p>
      <w:pPr>
        <w:spacing w:after="600"/>
      </w:pPr>
      <w:r>
        <w:rPr>
          <w:rFonts w:ascii="Calibri" w:cs="Calibri" w:eastAsia="Calibri" w:hAnsi="Calibri"/>
          <w:color w:val="000000"/>
          <w:sz w:val="26"/>
          <w:szCs w:val="26"/>
        </w:rPr>
        <w:t xml:space="preserve">Dr Caroline Jawad</w:t>
      </w:r>
    </w:p>
    <w:p>
      <w:pPr>
        <w:pStyle w:val="Heading1"/>
        <w:spacing w:after="160" w:before="320"/>
      </w:pPr>
      <w:r>
        <w:rPr>
          <w:rFonts w:ascii="Calibri" w:cs="Calibri" w:eastAsia="Calibri" w:hAnsi="Calibri"/>
          <w:b/>
          <w:bCs/>
          <w:color w:val="1C2B4A"/>
          <w:sz w:val="32"/>
          <w:szCs w:val="32"/>
        </w:rPr>
        <w:t xml:space="preserve">Purpose of this session</w:t>
      </w:r>
    </w:p>
    <w:p>
      <w:pPr>
        <w:spacing w:after="160"/>
      </w:pPr>
      <w:r>
        <w:rPr>
          <w:rFonts w:ascii="Calibri" w:cs="Calibri" w:eastAsia="Calibri" w:hAnsi="Calibri"/>
          <w:i w:val="false"/>
          <w:iCs w:val="false"/>
          <w:color w:val="000000"/>
          <w:sz w:val="28"/>
          <w:szCs w:val="28"/>
        </w:rPr>
        <w:t xml:space="preserve">This session addresses a gap that sits underneath both of your Part 1 assessments. Your Portfolio and your Presentation both require critical, not descriptive, prose. Examiners consistently identify description masquerading as analysis as the most common weakness in doctoral level writing. This handbook and the accompanying session give you a working method for closing that gap, along with examples you can return to as you revise your own drafts.</w:t>
      </w:r>
    </w:p>
    <w:p>
      <w:pPr>
        <w:spacing w:after="160"/>
      </w:pPr>
      <w:r>
        <w:rPr>
          <w:rFonts w:ascii="Calibri" w:cs="Calibri" w:eastAsia="Calibri" w:hAnsi="Calibri"/>
          <w:i w:val="false"/>
          <w:iCs w:val="false"/>
          <w:color w:val="000000"/>
          <w:sz w:val="28"/>
          <w:szCs w:val="28"/>
        </w:rPr>
        <w:t xml:space="preserve">How to use this handbook: the session slides carry the teaching sequence and the in-room activity. This handbook is your take-home reference and workbook. It holds the full reading list, a second practice extract with a model answer for independent practice after the session, and the complete set of worked examples in one place so you do not need to reconstruct them from memory when you come back to revise your own drafts.</w:t>
      </w:r>
    </w:p>
    <w:p>
      <w:pPr>
        <w:pStyle w:val="Heading1"/>
        <w:spacing w:after="160" w:before="320"/>
      </w:pPr>
      <w:r>
        <w:rPr>
          <w:rFonts w:ascii="Calibri" w:cs="Calibri" w:eastAsia="Calibri" w:hAnsi="Calibri"/>
          <w:b/>
          <w:bCs/>
          <w:color w:val="1C2B4A"/>
          <w:sz w:val="32"/>
          <w:szCs w:val="32"/>
        </w:rPr>
        <w:t xml:space="preserve">Critical reading before critical writing</w:t>
      </w:r>
    </w:p>
    <w:p>
      <w:pPr>
        <w:spacing w:after="160"/>
      </w:pPr>
      <w:r>
        <w:rPr>
          <w:rFonts w:ascii="Calibri" w:cs="Calibri" w:eastAsia="Calibri" w:hAnsi="Calibri"/>
          <w:i w:val="false"/>
          <w:iCs w:val="false"/>
          <w:color w:val="000000"/>
          <w:sz w:val="28"/>
          <w:szCs w:val="28"/>
        </w:rPr>
        <w:t xml:space="preserve">You cannot write critically about a source you have only read at face value. Read the abstract for the claim being made, then check whether the results section actually supports it: the gap between what an abstract promises and what the data delivers is one of the most common weaknesses in published work, not only student work.</w:t>
      </w:r>
    </w:p>
    <w:p>
      <w:pPr>
        <w:spacing w:after="160"/>
      </w:pPr>
      <w:r>
        <w:rPr>
          <w:rFonts w:ascii="Calibri" w:cs="Calibri" w:eastAsia="Calibri" w:hAnsi="Calibri"/>
          <w:i w:val="false"/>
          <w:iCs w:val="false"/>
          <w:color w:val="000000"/>
          <w:sz w:val="28"/>
          <w:szCs w:val="28"/>
        </w:rPr>
        <w:t xml:space="preserve">Read the limitations section honestly, then ask what it does not admit. Most published papers understate their limitations, so your task is to notice what a generous limitations section would have said. Ask who benefits from the way a finding is framed, since funding sources, institutional context and the author's own position in the field all shape what gets emphasised and what stays quiet. Finally, distinguish an empirical claim, one backed by data the author collected, from a conceptual claim, one backed only by argument, and watch for papers that slide from one to the other without flagging the shift.</w:t>
      </w:r>
    </w:p>
    <w:p>
      <w:pPr>
        <w:pStyle w:val="Heading2"/>
        <w:spacing w:after="120" w:before="260"/>
      </w:pPr>
      <w:r>
        <w:rPr>
          <w:rFonts w:ascii="Calibri" w:cs="Calibri" w:eastAsia="Calibri" w:hAnsi="Calibri"/>
          <w:b/>
          <w:bCs/>
          <w:color w:val="1C2B4A"/>
          <w:sz w:val="26"/>
          <w:szCs w:val="26"/>
        </w:rPr>
        <w:t xml:space="preserve">Reading checklist</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What is the strongest form of the author's claim, stated in one sentence, and does the evidence in the results section actually reach that strength</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What does the sample or context limit you from concluding, regardless of what the discussion section claims</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Is there a plausible alternative explanation for the finding that the author does not consider</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Would you trust this claim if it came from a source with the opposite institutional interest</w:t>
      </w:r>
    </w:p>
    <w:p>
      <w:pPr>
        <w:spacing w:after="160"/>
      </w:pPr>
      <w:r>
        <w:rPr>
          <w:rFonts w:ascii="Calibri" w:cs="Calibri" w:eastAsia="Calibri" w:hAnsi="Calibri"/>
          <w:i w:val="false"/>
          <w:iCs w:val="false"/>
          <w:color w:val="000000"/>
          <w:sz w:val="28"/>
          <w:szCs w:val="28"/>
        </w:rPr>
        <w:t xml:space="preserve">This checklist is what you apply before you ever write a critical sentence. Critical writing without critical reading first is just critical-sounding language attached to an uncritical read.</w:t>
      </w:r>
    </w:p>
    <w:p>
      <w:pPr>
        <w:pStyle w:val="Heading1"/>
        <w:spacing w:after="160" w:before="320"/>
      </w:pPr>
      <w:r>
        <w:rPr>
          <w:rFonts w:ascii="Calibri" w:cs="Calibri" w:eastAsia="Calibri" w:hAnsi="Calibri"/>
          <w:b/>
          <w:bCs/>
          <w:color w:val="1C2B4A"/>
          <w:sz w:val="32"/>
          <w:szCs w:val="32"/>
        </w:rPr>
        <w:t xml:space="preserve">What is critical thinking?</w:t>
      </w:r>
    </w:p>
    <w:p>
      <w:pPr>
        <w:spacing w:after="160"/>
      </w:pPr>
      <w:r>
        <w:rPr>
          <w:rFonts w:ascii="Calibri" w:cs="Calibri" w:eastAsia="Calibri" w:hAnsi="Calibri"/>
          <w:i w:val="false"/>
          <w:iCs w:val="false"/>
          <w:color w:val="000000"/>
          <w:sz w:val="28"/>
          <w:szCs w:val="28"/>
        </w:rPr>
        <w:t xml:space="preserve">Ennis (1987) defines critical thinking as reasonable and reflective thinking focused on deciding what to believe or do. Reasonable means your thinking is grounded in evidence and logic, not assumption or habit. Reflective means you examine your own thinking and the thinking of others, rather than accepting either at face value.</w:t>
      </w:r>
    </w:p>
    <w:p>
      <w:pPr>
        <w:spacing w:after="160"/>
      </w:pPr>
      <w:r>
        <w:rPr>
          <w:rFonts w:ascii="Calibri" w:cs="Calibri" w:eastAsia="Calibri" w:hAnsi="Calibri"/>
          <w:i w:val="false"/>
          <w:iCs w:val="false"/>
          <w:color w:val="000000"/>
          <w:sz w:val="28"/>
          <w:szCs w:val="28"/>
        </w:rPr>
        <w:t xml:space="preserve">At doctoral level, this is not optional. What separates a doctorate from a master's degree is precisely this: independent, reasoned judgement about the field, not competent summary of it. Your examiners will test this directly in the viva. They are not checking whether you can recall the literature, they are checking whether you can reason with it, defend a position, and respond when that position is challenged.</w:t>
      </w:r>
    </w:p>
    <w:p>
      <w:pPr>
        <w:spacing w:after="160"/>
      </w:pPr>
      <w:r>
        <w:rPr>
          <w:rFonts w:ascii="Calibri" w:cs="Calibri" w:eastAsia="Calibri" w:hAnsi="Calibri"/>
          <w:i w:val="false"/>
          <w:iCs w:val="false"/>
          <w:color w:val="000000"/>
          <w:sz w:val="28"/>
          <w:szCs w:val="28"/>
        </w:rPr>
        <w:t xml:space="preserve">Critical writing is what this kind of thinking looks like on the page. If the thinking is reasonable and reflective, the writing that follows from it will naturally do more than describe, which is exactly what your Portfolio and Presentation are assessed on.</w:t>
      </w:r>
    </w:p>
    <w:p>
      <w:pPr>
        <w:pStyle w:val="Heading1"/>
        <w:spacing w:after="160" w:before="320"/>
      </w:pPr>
      <w:r>
        <w:rPr>
          <w:rFonts w:ascii="Calibri" w:cs="Calibri" w:eastAsia="Calibri" w:hAnsi="Calibri"/>
          <w:b/>
          <w:bCs/>
          <w:color w:val="1C2B4A"/>
          <w:sz w:val="32"/>
          <w:szCs w:val="32"/>
        </w:rPr>
        <w:t xml:space="preserve">What critical writing is not</w:t>
      </w:r>
    </w:p>
    <w:p>
      <w:pPr>
        <w:spacing w:after="160"/>
      </w:pPr>
      <w:r>
        <w:rPr>
          <w:rFonts w:ascii="Calibri" w:cs="Calibri" w:eastAsia="Calibri" w:hAnsi="Calibri"/>
          <w:i w:val="false"/>
          <w:iCs w:val="false"/>
          <w:color w:val="000000"/>
          <w:sz w:val="28"/>
          <w:szCs w:val="28"/>
        </w:rPr>
        <w:t xml:space="preserve">Descriptive writing tells the reader what was said, found or claimed. Critical writing tells the reader why it matters, what is incomplete or what follows from it. A useful working test is this: critical writing always answers a question nobody asked out loud.</w:t>
      </w:r>
    </w:p>
    <w:p>
      <w:pPr>
        <w:spacing w:after="160"/>
      </w:pPr>
      <w:r>
        <w:rPr>
          <w:rFonts w:ascii="Calibri" w:cs="Calibri" w:eastAsia="Calibri" w:hAnsi="Calibri"/>
          <w:i w:val="false"/>
          <w:iCs w:val="false"/>
          <w:color w:val="000000"/>
          <w:sz w:val="28"/>
          <w:szCs w:val="28"/>
        </w:rPr>
        <w:t xml:space="preserve">Consider the following two extracts, which report the same underlying theory.</w:t>
      </w:r>
    </w:p>
    <w:p>
      <w:pPr>
        <w:spacing w:after="60" w:before="100"/>
        <w:ind w:left="360"/>
      </w:pPr>
      <w:r>
        <w:rPr>
          <w:rFonts w:ascii="Calibri" w:cs="Calibri" w:eastAsia="Calibri" w:hAnsi="Calibri"/>
          <w:b/>
          <w:bCs/>
          <w:color w:val="1C2B4A"/>
          <w:sz w:val="28"/>
          <w:szCs w:val="28"/>
        </w:rPr>
        <w:t xml:space="preserve">Extract A (descriptive): </w:t>
      </w:r>
      <w:r>
        <w:rPr>
          <w:rFonts w:ascii="Calibri" w:cs="Calibri" w:eastAsia="Calibri" w:hAnsi="Calibri"/>
          <w:i/>
          <w:iCs/>
          <w:color w:val="000000"/>
          <w:sz w:val="28"/>
          <w:szCs w:val="28"/>
        </w:rPr>
        <w:t xml:space="preserve">Transformational leadership theory, developed by Bass, suggests that leaders inspire followers to exceed expectations through vision, inspiration and personal charisma (Bass, 1985).</w:t>
      </w:r>
    </w:p>
    <w:p>
      <w:pPr>
        <w:spacing w:after="60" w:before="100"/>
        <w:ind w:left="360"/>
      </w:pPr>
      <w:r>
        <w:rPr>
          <w:rFonts w:ascii="Calibri" w:cs="Calibri" w:eastAsia="Calibri" w:hAnsi="Calibri"/>
          <w:b/>
          <w:bCs/>
          <w:color w:val="1C2B4A"/>
          <w:sz w:val="28"/>
          <w:szCs w:val="28"/>
        </w:rPr>
        <w:t xml:space="preserve">Extract B (critical): </w:t>
      </w:r>
      <w:r>
        <w:rPr>
          <w:rFonts w:ascii="Calibri" w:cs="Calibri" w:eastAsia="Calibri" w:hAnsi="Calibri"/>
          <w:i/>
          <w:iCs/>
          <w:color w:val="000000"/>
          <w:sz w:val="28"/>
          <w:szCs w:val="28"/>
        </w:rPr>
        <w:t xml:space="preserve">Bass (1985) frames transformational leadership as inherently positive, yet this framing obscures the coercive potential that charismatic authority carries in organisations with weak governance.</w:t>
      </w:r>
    </w:p>
    <w:p>
      <w:pPr>
        <w:spacing w:after="160"/>
      </w:pPr>
      <w:r>
        <w:rPr>
          <w:rFonts w:ascii="Calibri" w:cs="Calibri" w:eastAsia="Calibri" w:hAnsi="Calibri"/>
          <w:i w:val="false"/>
          <w:iCs w:val="false"/>
          <w:color w:val="000000"/>
          <w:sz w:val="28"/>
          <w:szCs w:val="28"/>
        </w:rPr>
        <w:t xml:space="preserve">Neither extract is factually wrong, and Extract A is actually the longer of the two. Length is not what makes a sentence critical. Extract B simply does more intellectual work: it does not just report Bass, it evaluates what the framing leaves out.</w:t>
      </w:r>
    </w:p>
    <w:p>
      <w:pPr>
        <w:pStyle w:val="Heading1"/>
        <w:spacing w:after="160" w:before="320"/>
      </w:pPr>
      <w:r>
        <w:rPr>
          <w:rFonts w:ascii="Calibri" w:cs="Calibri" w:eastAsia="Calibri" w:hAnsi="Calibri"/>
          <w:b/>
          <w:bCs/>
          <w:color w:val="1C2B4A"/>
          <w:sz w:val="32"/>
          <w:szCs w:val="32"/>
        </w:rPr>
        <w:t xml:space="preserve">The anatomy of a critical sentence</w:t>
      </w:r>
    </w:p>
    <w:p>
      <w:pPr>
        <w:spacing w:after="160"/>
      </w:pPr>
      <w:r>
        <w:rPr>
          <w:rFonts w:ascii="Calibri" w:cs="Calibri" w:eastAsia="Calibri" w:hAnsi="Calibri"/>
          <w:i w:val="false"/>
          <w:iCs w:val="false"/>
          <w:color w:val="000000"/>
          <w:sz w:val="28"/>
          <w:szCs w:val="28"/>
        </w:rPr>
        <w:t xml:space="preserve">A reliable structure for building a critical sentence has three parts.</w:t>
      </w:r>
    </w:p>
    <w:p>
      <w:pPr>
        <w:pStyle w:val="ListParagraph"/>
        <w:numPr>
          <w:ilvl w:val="0"/>
          <w:numId w:val="1"/>
        </w:numPr>
        <w:spacing w:after="100"/>
      </w:pPr>
      <w:r>
        <w:rPr>
          <w:rFonts w:ascii="Calibri" w:cs="Calibri" w:eastAsia="Calibri" w:hAnsi="Calibri"/>
          <w:color w:val="000000"/>
          <w:sz w:val="28"/>
          <w:szCs w:val="28"/>
        </w:rPr>
        <w:t xml:space="preserve">Claim: state what the source or idea asserts</w:t>
      </w:r>
    </w:p>
    <w:p>
      <w:pPr>
        <w:pStyle w:val="ListParagraph"/>
        <w:numPr>
          <w:ilvl w:val="0"/>
          <w:numId w:val="1"/>
        </w:numPr>
        <w:spacing w:after="100"/>
      </w:pPr>
      <w:r>
        <w:rPr>
          <w:rFonts w:ascii="Calibri" w:cs="Calibri" w:eastAsia="Calibri" w:hAnsi="Calibri"/>
          <w:color w:val="000000"/>
          <w:sz w:val="28"/>
          <w:szCs w:val="28"/>
        </w:rPr>
        <w:t xml:space="preserve">Evidence or reasoning: show what it rests on, or fails to rest on</w:t>
      </w:r>
    </w:p>
    <w:p>
      <w:pPr>
        <w:pStyle w:val="ListParagraph"/>
        <w:numPr>
          <w:ilvl w:val="0"/>
          <w:numId w:val="1"/>
        </w:numPr>
        <w:spacing w:after="100"/>
      </w:pPr>
      <w:r>
        <w:rPr>
          <w:rFonts w:ascii="Calibri" w:cs="Calibri" w:eastAsia="Calibri" w:hAnsi="Calibri"/>
          <w:color w:val="000000"/>
          <w:sz w:val="28"/>
          <w:szCs w:val="28"/>
        </w:rPr>
        <w:t xml:space="preserve">So what: explain the consequence for your own argument or research</w:t>
      </w:r>
    </w:p>
    <w:p>
      <w:pPr>
        <w:spacing w:after="160"/>
      </w:pPr>
      <w:r>
        <w:rPr>
          <w:rFonts w:ascii="Calibri" w:cs="Calibri" w:eastAsia="Calibri" w:hAnsi="Calibri"/>
          <w:i w:val="false"/>
          <w:iCs w:val="false"/>
          <w:color w:val="000000"/>
          <w:sz w:val="28"/>
          <w:szCs w:val="28"/>
        </w:rPr>
        <w:t xml:space="preserve">Worked example:</w:t>
      </w:r>
    </w:p>
    <w:p>
      <w:pPr>
        <w:spacing w:after="60" w:before="100"/>
        <w:ind w:left="360"/>
      </w:pPr>
      <w:r>
        <w:rPr>
          <w:rFonts w:ascii="Calibri" w:cs="Calibri" w:eastAsia="Calibri" w:hAnsi="Calibri"/>
          <w:b/>
          <w:bCs/>
          <w:color w:val="1C2B4A"/>
          <w:sz w:val="28"/>
          <w:szCs w:val="28"/>
        </w:rPr>
        <w:t xml:space="preserve">Full sentence: </w:t>
      </w:r>
      <w:r>
        <w:rPr>
          <w:rFonts w:ascii="Calibri" w:cs="Calibri" w:eastAsia="Calibri" w:hAnsi="Calibri"/>
          <w:i/>
          <w:iCs/>
          <w:color w:val="000000"/>
          <w:sz w:val="28"/>
          <w:szCs w:val="28"/>
        </w:rPr>
        <w:t xml:space="preserve">Braun and Clarke (2006) present thematic analysis as paradigm flexible. This flexibility is valuable for early career researchers, but it also means the method offers little guidance on how paradigmatic assumptions should shape coding decisions in practice, which is precisely the gap this study must address.</w:t>
      </w:r>
    </w:p>
    <w:p>
      <w:pPr>
        <w:spacing w:after="160"/>
      </w:pPr>
      <w:r>
        <w:rPr>
          <w:rFonts w:ascii="Calibri" w:cs="Calibri" w:eastAsia="Calibri" w:hAnsi="Calibri"/>
          <w:i w:val="false"/>
          <w:iCs w:val="false"/>
          <w:color w:val="000000"/>
          <w:sz w:val="28"/>
          <w:szCs w:val="28"/>
        </w:rPr>
        <w:t xml:space="preserve">Notice that the sentence does not stop at the claim. It moves through reasoning to consequence.</w:t>
      </w:r>
    </w:p>
    <w:p>
      <w:pPr>
        <w:pStyle w:val="Heading1"/>
        <w:spacing w:after="160" w:before="320"/>
      </w:pPr>
      <w:r>
        <w:rPr>
          <w:rFonts w:ascii="Calibri" w:cs="Calibri" w:eastAsia="Calibri" w:hAnsi="Calibri"/>
          <w:b/>
          <w:bCs/>
          <w:color w:val="1C2B4A"/>
          <w:sz w:val="32"/>
          <w:szCs w:val="32"/>
        </w:rPr>
        <w:t xml:space="preserve">Signal language for critical writing</w:t>
      </w:r>
    </w:p>
    <w:p>
      <w:pPr>
        <w:spacing w:after="160"/>
      </w:pPr>
      <w:r>
        <w:rPr>
          <w:rFonts w:ascii="Calibri" w:cs="Calibri" w:eastAsia="Calibri" w:hAnsi="Calibri"/>
          <w:i w:val="false"/>
          <w:iCs w:val="false"/>
          <w:color w:val="000000"/>
          <w:sz w:val="28"/>
          <w:szCs w:val="28"/>
        </w:rPr>
        <w:t xml:space="preserve">The verbs and constructions you choose signal, to an examiner, whether you are reporting or evaluating. Use the table below as a working reference when you revise your own drafts.</w:t>
      </w:r>
    </w:p>
    <w:tbl>
      <w:tblPr>
        <w:tblW w:type="dxa" w:w="9360"/>
        <w:tblBorders>
          <w:top w:val="single" w:color="auto" w:sz="4"/>
          <w:left w:val="single" w:color="auto" w:sz="4"/>
          <w:bottom w:val="single" w:color="auto" w:sz="4"/>
          <w:right w:val="single" w:color="auto" w:sz="4"/>
          <w:insideH w:val="single" w:color="auto" w:sz="4"/>
          <w:insideV w:val="single" w:color="auto" w:sz="4"/>
        </w:tblBorders>
      </w:tblPr>
      <w:tblGrid>
        <w:gridCol w:w="4680"/>
        <w:gridCol w:w="4680"/>
      </w:tblGrid>
      <w:tr>
        <w:tc>
          <w:tcPr>
            <w:tcW w:type="dxa" w:w="4680"/>
            <w:shd w:fill="1C2B4A" w:val="clear"/>
            <w:tcMar>
              <w:top w:type="dxa" w:w="120"/>
              <w:left w:type="dxa" w:w="120"/>
              <w:bottom w:type="dxa" w:w="120"/>
              <w:right w:type="dxa" w:w="120"/>
            </w:tcMar>
          </w:tcPr>
          <w:p>
            <w:r>
              <w:rPr>
                <w:rFonts w:ascii="Calibri" w:cs="Calibri" w:eastAsia="Calibri" w:hAnsi="Calibri"/>
                <w:b/>
                <w:bCs/>
                <w:color w:val="FFFFFF"/>
                <w:sz w:val="26"/>
                <w:szCs w:val="26"/>
              </w:rPr>
              <w:t xml:space="preserve">Reporting language (descriptive)</w:t>
            </w:r>
          </w:p>
        </w:tc>
        <w:tc>
          <w:tcPr>
            <w:tcW w:type="dxa" w:w="4680"/>
            <w:shd w:fill="1C2B4A" w:val="clear"/>
            <w:tcMar>
              <w:top w:type="dxa" w:w="120"/>
              <w:left w:type="dxa" w:w="120"/>
              <w:bottom w:type="dxa" w:w="120"/>
              <w:right w:type="dxa" w:w="120"/>
            </w:tcMar>
          </w:tcPr>
          <w:p>
            <w:r>
              <w:rPr>
                <w:rFonts w:ascii="Calibri" w:cs="Calibri" w:eastAsia="Calibri" w:hAnsi="Calibri"/>
                <w:b/>
                <w:bCs/>
                <w:color w:val="FFFFFF"/>
                <w:sz w:val="26"/>
                <w:szCs w:val="26"/>
              </w:rPr>
              <w:t xml:space="preserve">Critical language (evaluative)</w:t>
            </w:r>
          </w:p>
        </w:tc>
      </w:tr>
      <w:tr>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states, argues, suggests, found</w:t>
            </w:r>
          </w:p>
        </w:tc>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however, by contrast, this assumes</w:t>
            </w:r>
          </w:p>
        </w:tc>
      </w:tr>
      <w:tr>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describes, outlines, identifies</w:t>
            </w:r>
          </w:p>
        </w:tc>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a limitation of this view is</w:t>
            </w:r>
          </w:p>
        </w:tc>
      </w:tr>
      <w:tr>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shows, demonstrates, indicates</w:t>
            </w:r>
          </w:p>
        </w:tc>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what remains unclear is</w:t>
            </w:r>
          </w:p>
        </w:tc>
      </w:tr>
      <w:tr>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defines, categorises, lists</w:t>
            </w:r>
          </w:p>
        </w:tc>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this overlooks, this raises the question of</w:t>
            </w:r>
          </w:p>
        </w:tc>
      </w:tr>
      <w:tr>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notes, observes, reports</w:t>
            </w:r>
          </w:p>
        </w:tc>
        <w:tc>
          <w:tcPr>
            <w:tcW w:type="dxa" w:w="4680"/>
            <w:tcMar>
              <w:top w:type="dxa" w:w="120"/>
              <w:left w:type="dxa" w:w="120"/>
              <w:bottom w:type="dxa" w:w="120"/>
              <w:right w:type="dxa" w:w="120"/>
            </w:tcMar>
          </w:tcPr>
          <w:p>
            <w:r>
              <w:rPr>
                <w:rFonts w:ascii="Calibri" w:cs="Calibri" w:eastAsia="Calibri" w:hAnsi="Calibri"/>
                <w:b w:val="false"/>
                <w:bCs w:val="false"/>
                <w:color w:val="000000"/>
                <w:sz w:val="26"/>
                <w:szCs w:val="26"/>
              </w:rPr>
              <w:t xml:space="preserve">this is inconsistent with, this presupposes</w:t>
            </w:r>
          </w:p>
        </w:tc>
      </w:tr>
    </w:tbl>
    <w:p>
      <w:r>
        <w:br w:type="page"/>
      </w:r>
    </w:p>
    <w:p>
      <w:pPr>
        <w:pStyle w:val="Heading1"/>
        <w:spacing w:after="160" w:before="320"/>
      </w:pPr>
      <w:r>
        <w:rPr>
          <w:rFonts w:ascii="Calibri" w:cs="Calibri" w:eastAsia="Calibri" w:hAnsi="Calibri"/>
          <w:b/>
          <w:bCs/>
          <w:color w:val="1C2B4A"/>
          <w:sz w:val="32"/>
          <w:szCs w:val="32"/>
        </w:rPr>
        <w:t xml:space="preserve">Worked examples across business and management contexts</w:t>
      </w:r>
    </w:p>
    <w:p>
      <w:pPr>
        <w:spacing w:after="160"/>
      </w:pPr>
      <w:r>
        <w:rPr>
          <w:rFonts w:ascii="Calibri" w:cs="Calibri" w:eastAsia="Calibri" w:hAnsi="Calibri"/>
          <w:i w:val="false"/>
          <w:iCs w:val="false"/>
          <w:color w:val="000000"/>
          <w:sz w:val="28"/>
          <w:szCs w:val="28"/>
        </w:rPr>
        <w:t xml:space="preserve">Each example below shows a descriptive version of a sentence, then a critical rewrite, followed by a named move: the specific type of critical thinking the rewrite demonstrates. The four moves are deliberately different from each other, since real critique draws on more than one technique.</w:t>
      </w:r>
    </w:p>
    <w:p>
      <w:pPr>
        <w:pStyle w:val="Heading2"/>
        <w:spacing w:after="120" w:before="260"/>
      </w:pPr>
      <w:r>
        <w:rPr>
          <w:rFonts w:ascii="Calibri" w:cs="Calibri" w:eastAsia="Calibri" w:hAnsi="Calibri"/>
          <w:b/>
          <w:bCs/>
          <w:color w:val="1C2B4A"/>
          <w:sz w:val="26"/>
          <w:szCs w:val="26"/>
        </w:rPr>
        <w:t xml:space="preserve">1. Digital transformation</w:t>
      </w:r>
    </w:p>
    <w:p>
      <w:pPr>
        <w:spacing w:after="60" w:before="100"/>
        <w:ind w:left="360"/>
      </w:pPr>
      <w:r>
        <w:rPr>
          <w:rFonts w:ascii="Calibri" w:cs="Calibri" w:eastAsia="Calibri" w:hAnsi="Calibri"/>
          <w:b/>
          <w:bCs/>
          <w:color w:val="1C2B4A"/>
          <w:sz w:val="28"/>
          <w:szCs w:val="28"/>
        </w:rPr>
        <w:t xml:space="preserve">Descriptive: </w:t>
      </w:r>
      <w:r>
        <w:rPr>
          <w:rFonts w:ascii="Calibri" w:cs="Calibri" w:eastAsia="Calibri" w:hAnsi="Calibri"/>
          <w:i/>
          <w:iCs/>
          <w:color w:val="000000"/>
          <w:sz w:val="28"/>
          <w:szCs w:val="28"/>
        </w:rPr>
        <w:t xml:space="preserve">Many organisations have adopted digital transformation strategies to remain competitive (Vial, 2019).</w:t>
      </w:r>
    </w:p>
    <w:p>
      <w:pPr>
        <w:spacing w:after="60" w:before="100"/>
        <w:ind w:left="360"/>
      </w:pPr>
      <w:r>
        <w:rPr>
          <w:rFonts w:ascii="Calibri" w:cs="Calibri" w:eastAsia="Calibri" w:hAnsi="Calibri"/>
          <w:b/>
          <w:bCs/>
          <w:color w:val="1C2B4A"/>
          <w:sz w:val="28"/>
          <w:szCs w:val="28"/>
        </w:rPr>
        <w:t xml:space="preserve">Critical rewrite: </w:t>
      </w:r>
      <w:r>
        <w:rPr>
          <w:rFonts w:ascii="Calibri" w:cs="Calibri" w:eastAsia="Calibri" w:hAnsi="Calibri"/>
          <w:i/>
          <w:iCs/>
          <w:color w:val="000000"/>
          <w:sz w:val="28"/>
          <w:szCs w:val="28"/>
        </w:rPr>
        <w:t xml:space="preserve">Vial (2019) reviews evidence linking digital transformation to competitive advantage, but most of that evidence is drawn from large, well-resourced firms. The causal claim has rarely been tested in resource-constrained SMEs, where implementation capacity, not the strategy itself, may be what actually decides the outcome.</w:t>
      </w:r>
    </w:p>
    <w:p>
      <w:pPr>
        <w:spacing w:after="160"/>
      </w:pPr>
      <w:r>
        <w:rPr>
          <w:rFonts w:ascii="Calibri" w:cs="Calibri" w:eastAsia="Calibri" w:hAnsi="Calibri"/>
          <w:i w:val="false"/>
          <w:iCs w:val="false"/>
          <w:color w:val="000000"/>
          <w:sz w:val="28"/>
          <w:szCs w:val="28"/>
        </w:rPr>
        <w:t xml:space="preserve">Move: exposing a boundary condition. The evidence base does not extend to the population the claim is being made about, which is a different and harder criticism than simply disagreeing with the source.</w:t>
      </w:r>
    </w:p>
    <w:p>
      <w:pPr>
        <w:pStyle w:val="Heading2"/>
        <w:spacing w:after="120" w:before="260"/>
      </w:pPr>
      <w:r>
        <w:rPr>
          <w:rFonts w:ascii="Calibri" w:cs="Calibri" w:eastAsia="Calibri" w:hAnsi="Calibri"/>
          <w:b/>
          <w:bCs/>
          <w:color w:val="1C2B4A"/>
          <w:sz w:val="26"/>
          <w:szCs w:val="26"/>
        </w:rPr>
        <w:t xml:space="preserve">2. Supply chain resilience</w:t>
      </w:r>
    </w:p>
    <w:p>
      <w:pPr>
        <w:spacing w:after="60" w:before="100"/>
        <w:ind w:left="360"/>
      </w:pPr>
      <w:r>
        <w:rPr>
          <w:rFonts w:ascii="Calibri" w:cs="Calibri" w:eastAsia="Calibri" w:hAnsi="Calibri"/>
          <w:b/>
          <w:bCs/>
          <w:color w:val="1C2B4A"/>
          <w:sz w:val="28"/>
          <w:szCs w:val="28"/>
        </w:rPr>
        <w:t xml:space="preserve">Descriptive: </w:t>
      </w:r>
      <w:r>
        <w:rPr>
          <w:rFonts w:ascii="Calibri" w:cs="Calibri" w:eastAsia="Calibri" w:hAnsi="Calibri"/>
          <w:i/>
          <w:iCs/>
          <w:color w:val="000000"/>
          <w:sz w:val="28"/>
          <w:szCs w:val="28"/>
        </w:rPr>
        <w:t xml:space="preserve">Resilience in supply chains is often measured through recovery time following disruption (Christopher and Peck, 2004).</w:t>
      </w:r>
    </w:p>
    <w:p>
      <w:pPr>
        <w:spacing w:after="60" w:before="100"/>
        <w:ind w:left="360"/>
      </w:pPr>
      <w:r>
        <w:rPr>
          <w:rFonts w:ascii="Calibri" w:cs="Calibri" w:eastAsia="Calibri" w:hAnsi="Calibri"/>
          <w:b/>
          <w:bCs/>
          <w:color w:val="1C2B4A"/>
          <w:sz w:val="28"/>
          <w:szCs w:val="28"/>
        </w:rPr>
        <w:t xml:space="preserve">Critical rewrite: </w:t>
      </w:r>
      <w:r>
        <w:rPr>
          <w:rFonts w:ascii="Calibri" w:cs="Calibri" w:eastAsia="Calibri" w:hAnsi="Calibri"/>
          <w:i/>
          <w:iCs/>
          <w:color w:val="000000"/>
          <w:sz w:val="28"/>
          <w:szCs w:val="28"/>
        </w:rPr>
        <w:t xml:space="preserve">Christopher and Peck (2004) operationalise resilience as recovery speed, a choice that is not neutral. A supply chain that recovers quickly by transferring costs onto workers or smaller suppliers would still register as resilient under this definition, which raises the question of resilient for whom.</w:t>
      </w:r>
    </w:p>
    <w:p>
      <w:pPr>
        <w:spacing w:after="160"/>
      </w:pPr>
      <w:r>
        <w:rPr>
          <w:rFonts w:ascii="Calibri" w:cs="Calibri" w:eastAsia="Calibri" w:hAnsi="Calibri"/>
          <w:i w:val="false"/>
          <w:iCs w:val="false"/>
          <w:color w:val="000000"/>
          <w:sz w:val="28"/>
          <w:szCs w:val="28"/>
        </w:rPr>
        <w:t xml:space="preserve">Move: interrogating how a concept has been operationalised, not just what the operationalisation shows. This is a methodological critique, harder to make than a content disagreement.</w:t>
      </w:r>
    </w:p>
    <w:p>
      <w:pPr>
        <w:pStyle w:val="Heading2"/>
        <w:spacing w:after="120" w:before="260"/>
      </w:pPr>
      <w:r>
        <w:rPr>
          <w:rFonts w:ascii="Calibri" w:cs="Calibri" w:eastAsia="Calibri" w:hAnsi="Calibri"/>
          <w:b/>
          <w:bCs/>
          <w:color w:val="1C2B4A"/>
          <w:sz w:val="26"/>
          <w:szCs w:val="26"/>
        </w:rPr>
        <w:t xml:space="preserve">3. Employee engagement</w:t>
      </w:r>
    </w:p>
    <w:p>
      <w:pPr>
        <w:spacing w:after="60" w:before="100"/>
        <w:ind w:left="360"/>
      </w:pPr>
      <w:r>
        <w:rPr>
          <w:rFonts w:ascii="Calibri" w:cs="Calibri" w:eastAsia="Calibri" w:hAnsi="Calibri"/>
          <w:b/>
          <w:bCs/>
          <w:color w:val="1C2B4A"/>
          <w:sz w:val="28"/>
          <w:szCs w:val="28"/>
        </w:rPr>
        <w:t xml:space="preserve">Descriptive: </w:t>
      </w:r>
      <w:r>
        <w:rPr>
          <w:rFonts w:ascii="Calibri" w:cs="Calibri" w:eastAsia="Calibri" w:hAnsi="Calibri"/>
          <w:i/>
          <w:iCs/>
          <w:color w:val="000000"/>
          <w:sz w:val="28"/>
          <w:szCs w:val="28"/>
        </w:rPr>
        <w:t xml:space="preserve">Employee engagement is associated with higher productivity and lower turnover (Saks, 2006).</w:t>
      </w:r>
    </w:p>
    <w:p>
      <w:pPr>
        <w:spacing w:after="60" w:before="100"/>
        <w:ind w:left="360"/>
      </w:pPr>
      <w:r>
        <w:rPr>
          <w:rFonts w:ascii="Calibri" w:cs="Calibri" w:eastAsia="Calibri" w:hAnsi="Calibri"/>
          <w:b/>
          <w:bCs/>
          <w:color w:val="1C2B4A"/>
          <w:sz w:val="28"/>
          <w:szCs w:val="28"/>
        </w:rPr>
        <w:t xml:space="preserve">Critical rewrite: </w:t>
      </w:r>
      <w:r>
        <w:rPr>
          <w:rFonts w:ascii="Calibri" w:cs="Calibri" w:eastAsia="Calibri" w:hAnsi="Calibri"/>
          <w:i/>
          <w:iCs/>
          <w:color w:val="000000"/>
          <w:sz w:val="28"/>
          <w:szCs w:val="28"/>
        </w:rPr>
        <w:t xml:space="preserve">Saks (2006) measures engagement through self-report, which assumes employees are willing and able to disclose disengagement honestly to their employer. Where psychological safety is low, this method may systematically undercount disengagement rather than reveal its absence, an alternative reading the model does not test for.</w:t>
      </w:r>
    </w:p>
    <w:p>
      <w:pPr>
        <w:spacing w:after="160"/>
      </w:pPr>
      <w:r>
        <w:rPr>
          <w:rFonts w:ascii="Calibri" w:cs="Calibri" w:eastAsia="Calibri" w:hAnsi="Calibri"/>
          <w:i w:val="false"/>
          <w:iCs w:val="false"/>
          <w:color w:val="000000"/>
          <w:sz w:val="28"/>
          <w:szCs w:val="28"/>
        </w:rPr>
        <w:t xml:space="preserve">Move: questioning whether the method can detect the very phenomenon it claims to measure. This targets the instrument, not the theory.</w:t>
      </w:r>
    </w:p>
    <w:p>
      <w:pPr>
        <w:pStyle w:val="Heading2"/>
        <w:spacing w:after="120" w:before="260"/>
      </w:pPr>
      <w:r>
        <w:rPr>
          <w:rFonts w:ascii="Calibri" w:cs="Calibri" w:eastAsia="Calibri" w:hAnsi="Calibri"/>
          <w:b/>
          <w:bCs/>
          <w:color w:val="1C2B4A"/>
          <w:sz w:val="26"/>
          <w:szCs w:val="26"/>
        </w:rPr>
        <w:t xml:space="preserve">4. Consumer behaviour</w:t>
      </w:r>
    </w:p>
    <w:p>
      <w:pPr>
        <w:spacing w:after="60" w:before="100"/>
        <w:ind w:left="360"/>
      </w:pPr>
      <w:r>
        <w:rPr>
          <w:rFonts w:ascii="Calibri" w:cs="Calibri" w:eastAsia="Calibri" w:hAnsi="Calibri"/>
          <w:b/>
          <w:bCs/>
          <w:color w:val="1C2B4A"/>
          <w:sz w:val="28"/>
          <w:szCs w:val="28"/>
        </w:rPr>
        <w:t xml:space="preserve">Descriptive: </w:t>
      </w:r>
      <w:r>
        <w:rPr>
          <w:rFonts w:ascii="Calibri" w:cs="Calibri" w:eastAsia="Calibri" w:hAnsi="Calibri"/>
          <w:i/>
          <w:iCs/>
          <w:color w:val="000000"/>
          <w:sz w:val="28"/>
          <w:szCs w:val="28"/>
        </w:rPr>
        <w:t xml:space="preserve">Social media influencers shape consumer purchasing decisions through perceived authenticity (Audrezet et al., 2020).</w:t>
      </w:r>
    </w:p>
    <w:p>
      <w:pPr>
        <w:spacing w:after="60" w:before="100"/>
        <w:ind w:left="360"/>
      </w:pPr>
      <w:r>
        <w:rPr>
          <w:rFonts w:ascii="Calibri" w:cs="Calibri" w:eastAsia="Calibri" w:hAnsi="Calibri"/>
          <w:b/>
          <w:bCs/>
          <w:color w:val="1C2B4A"/>
          <w:sz w:val="28"/>
          <w:szCs w:val="28"/>
        </w:rPr>
        <w:t xml:space="preserve">Critical rewrite: </w:t>
      </w:r>
      <w:r>
        <w:rPr>
          <w:rFonts w:ascii="Calibri" w:cs="Calibri" w:eastAsia="Calibri" w:hAnsi="Calibri"/>
          <w:i/>
          <w:iCs/>
          <w:color w:val="000000"/>
          <w:sz w:val="28"/>
          <w:szCs w:val="28"/>
        </w:rPr>
        <w:t xml:space="preserve">If authenticity can be strategically constructed by an influencer, and audiences still respond to it as authentic, this exposes a definitional slippage: authenticity in this literature is functioning as an audience perception rather than an actual property of the influencer, a distinction the paper does not make explicit.</w:t>
      </w:r>
    </w:p>
    <w:p>
      <w:pPr>
        <w:spacing w:after="160"/>
      </w:pPr>
      <w:r>
        <w:rPr>
          <w:rFonts w:ascii="Calibri" w:cs="Calibri" w:eastAsia="Calibri" w:hAnsi="Calibri"/>
          <w:i w:val="false"/>
          <w:iCs w:val="false"/>
          <w:color w:val="000000"/>
          <w:sz w:val="28"/>
          <w:szCs w:val="28"/>
        </w:rPr>
        <w:t xml:space="preserve">Move: exposing a definitional slippage, where a key term quietly shifts meaning within the source's own argument.</w:t>
      </w:r>
    </w:p>
    <w:p>
      <w:pPr>
        <w:pStyle w:val="Heading1"/>
        <w:spacing w:after="160" w:before="320"/>
      </w:pPr>
      <w:r>
        <w:rPr>
          <w:rFonts w:ascii="Calibri" w:cs="Calibri" w:eastAsia="Calibri" w:hAnsi="Calibri"/>
          <w:b/>
          <w:bCs/>
          <w:color w:val="1C2B4A"/>
          <w:sz w:val="32"/>
          <w:szCs w:val="32"/>
        </w:rPr>
        <w:t xml:space="preserve">Critical thinking as paradigm consistent reasoning</w:t>
      </w:r>
    </w:p>
    <w:p>
      <w:pPr>
        <w:spacing w:after="160"/>
      </w:pPr>
      <w:r>
        <w:rPr>
          <w:rFonts w:ascii="Calibri" w:cs="Calibri" w:eastAsia="Calibri" w:hAnsi="Calibri"/>
          <w:i w:val="false"/>
          <w:iCs w:val="false"/>
          <w:color w:val="000000"/>
          <w:sz w:val="28"/>
          <w:szCs w:val="28"/>
        </w:rPr>
        <w:t xml:space="preserve">Critical thinking is not paradigm neutral. A critique made from within an interpretivist paradigm looks different from one made from within a positivist paradigm, even when both are examining the same finding. The two extracts below introduce the principle before it is extended to all seven aliens.</w:t>
      </w:r>
    </w:p>
    <w:p>
      <w:pPr>
        <w:spacing w:after="60" w:before="100"/>
        <w:ind w:left="360"/>
      </w:pPr>
      <w:r>
        <w:rPr>
          <w:rFonts w:ascii="Calibri" w:cs="Calibri" w:eastAsia="Calibri" w:hAnsi="Calibri"/>
          <w:b/>
          <w:bCs/>
          <w:color w:val="1C2B4A"/>
          <w:sz w:val="28"/>
          <w:szCs w:val="28"/>
        </w:rPr>
        <w:t xml:space="preserve">The finding: </w:t>
      </w:r>
      <w:r>
        <w:rPr>
          <w:rFonts w:ascii="Calibri" w:cs="Calibri" w:eastAsia="Calibri" w:hAnsi="Calibri"/>
          <w:i/>
          <w:iCs/>
          <w:color w:val="000000"/>
          <w:sz w:val="28"/>
          <w:szCs w:val="28"/>
        </w:rPr>
        <w:t xml:space="preserve">A study reports that gig economy workers report lower job satisfaction than employees, measured via a validated survey scale.</w:t>
      </w:r>
    </w:p>
    <w:p>
      <w:pPr>
        <w:spacing w:after="60" w:before="100"/>
        <w:ind w:left="360"/>
      </w:pPr>
      <w:r>
        <w:rPr>
          <w:rFonts w:ascii="Calibri" w:cs="Calibri" w:eastAsia="Calibri" w:hAnsi="Calibri"/>
          <w:b/>
          <w:bCs/>
          <w:color w:val="1C2B4A"/>
          <w:sz w:val="28"/>
          <w:szCs w:val="28"/>
        </w:rPr>
        <w:t xml:space="preserve">Positivist critique: </w:t>
      </w:r>
      <w:r>
        <w:rPr>
          <w:rFonts w:ascii="Calibri" w:cs="Calibri" w:eastAsia="Calibri" w:hAnsi="Calibri"/>
          <w:i/>
          <w:iCs/>
          <w:color w:val="000000"/>
          <w:sz w:val="28"/>
          <w:szCs w:val="28"/>
        </w:rPr>
        <w:t xml:space="preserve">Asks whether the scale was reliable, whether the sample was representative, and whether confounding variables such as income were controlled for.</w:t>
      </w:r>
    </w:p>
    <w:p>
      <w:pPr>
        <w:spacing w:after="60" w:before="100"/>
        <w:ind w:left="360"/>
      </w:pPr>
      <w:r>
        <w:rPr>
          <w:rFonts w:ascii="Calibri" w:cs="Calibri" w:eastAsia="Calibri" w:hAnsi="Calibri"/>
          <w:b/>
          <w:bCs/>
          <w:color w:val="1C2B4A"/>
          <w:sz w:val="28"/>
          <w:szCs w:val="28"/>
        </w:rPr>
        <w:t xml:space="preserve">Interpretivist critique: </w:t>
      </w:r>
      <w:r>
        <w:rPr>
          <w:rFonts w:ascii="Calibri" w:cs="Calibri" w:eastAsia="Calibri" w:hAnsi="Calibri"/>
          <w:i/>
          <w:iCs/>
          <w:color w:val="000000"/>
          <w:sz w:val="28"/>
          <w:szCs w:val="28"/>
        </w:rPr>
        <w:t xml:space="preserve">Asks whether a satisfaction score captures the lived meaning gig workers attach to autonomy and precarity, or flattens a complex, contradictory experience into a single number.</w:t>
      </w:r>
    </w:p>
    <w:p>
      <w:pPr>
        <w:spacing w:after="160"/>
      </w:pPr>
      <w:r>
        <w:rPr>
          <w:rFonts w:ascii="Calibri" w:cs="Calibri" w:eastAsia="Calibri" w:hAnsi="Calibri"/>
          <w:i w:val="false"/>
          <w:iCs w:val="false"/>
          <w:color w:val="000000"/>
          <w:sz w:val="28"/>
          <w:szCs w:val="28"/>
        </w:rPr>
        <w:t xml:space="preserve">Neither critique is more correct. Each is consistent with a different ontology and epistemology. Critical thinking that ignores this consistency produces critique that contradicts your own paradigmatic position, which is a common and avoidable weakness in Presentation scripts.</w:t>
      </w:r>
    </w:p>
    <w:p>
      <w:pPr>
        <w:pStyle w:val="Heading2"/>
        <w:spacing w:after="120" w:before="260"/>
      </w:pPr>
      <w:r>
        <w:rPr>
          <w:rFonts w:ascii="Calibri" w:cs="Calibri" w:eastAsia="Calibri" w:hAnsi="Calibri"/>
          <w:b/>
          <w:bCs/>
          <w:color w:val="1C2B4A"/>
          <w:sz w:val="26"/>
          <w:szCs w:val="26"/>
        </w:rPr>
        <w:t xml:space="preserve">The same finding, all seven aliens</w:t>
      </w:r>
    </w:p>
    <w:p>
      <w:pPr>
        <w:spacing w:after="160"/>
      </w:pPr>
      <w:r>
        <w:rPr>
          <w:rFonts w:ascii="Calibri" w:cs="Calibri" w:eastAsia="Calibri" w:hAnsi="Calibri"/>
          <w:i w:val="false"/>
          <w:iCs w:val="false"/>
          <w:color w:val="000000"/>
          <w:sz w:val="28"/>
          <w:szCs w:val="28"/>
        </w:rPr>
        <w:t xml:space="preserve">Your Seven Aliens framework gives you five more paradigms beyond positivism and interpretivism. Each alien would critique the same gig economy satisfaction finding differently, because each starts from different assumptions about what is real and how it can be known.</w:t>
      </w:r>
    </w:p>
    <w:p>
      <w:pPr>
        <w:spacing w:after="60" w:before="100"/>
        <w:ind w:left="360"/>
      </w:pPr>
      <w:r>
        <w:rPr>
          <w:rFonts w:ascii="Calibri" w:cs="Calibri" w:eastAsia="Calibri" w:hAnsi="Calibri"/>
          <w:b/>
          <w:bCs/>
          <w:color w:val="1C2B4A"/>
          <w:sz w:val="28"/>
          <w:szCs w:val="28"/>
        </w:rPr>
        <w:t xml:space="preserve">Alien A, Positivism: </w:t>
      </w:r>
      <w:r>
        <w:rPr>
          <w:rFonts w:ascii="Calibri" w:cs="Calibri" w:eastAsia="Calibri" w:hAnsi="Calibri"/>
          <w:i/>
          <w:iCs/>
          <w:color w:val="000000"/>
          <w:sz w:val="28"/>
          <w:szCs w:val="28"/>
        </w:rPr>
        <w:t xml:space="preserve">Is the scale reliable and valid, is the sample representative of the wider gig population, and have confounding variables such as income and hours worked been statistically controlled for?</w:t>
      </w:r>
    </w:p>
    <w:p>
      <w:pPr>
        <w:spacing w:after="60" w:before="100"/>
        <w:ind w:left="360"/>
      </w:pPr>
      <w:r>
        <w:rPr>
          <w:rFonts w:ascii="Calibri" w:cs="Calibri" w:eastAsia="Calibri" w:hAnsi="Calibri"/>
          <w:b/>
          <w:bCs/>
          <w:color w:val="1C2B4A"/>
          <w:sz w:val="28"/>
          <w:szCs w:val="28"/>
        </w:rPr>
        <w:t xml:space="preserve">Alien B, Post-positivism: </w:t>
      </w:r>
      <w:r>
        <w:rPr>
          <w:rFonts w:ascii="Calibri" w:cs="Calibri" w:eastAsia="Calibri" w:hAnsi="Calibri"/>
          <w:i/>
          <w:iCs/>
          <w:color w:val="000000"/>
          <w:sz w:val="28"/>
          <w:szCs w:val="28"/>
        </w:rPr>
        <w:t xml:space="preserve">No single measure is treated as final, so this asks whether the finding replicates across different scales and samples, and reports the result as probable rather than proven.</w:t>
      </w:r>
    </w:p>
    <w:p>
      <w:pPr>
        <w:spacing w:after="60" w:before="100"/>
        <w:ind w:left="360"/>
      </w:pPr>
      <w:r>
        <w:rPr>
          <w:rFonts w:ascii="Calibri" w:cs="Calibri" w:eastAsia="Calibri" w:hAnsi="Calibri"/>
          <w:b/>
          <w:bCs/>
          <w:color w:val="1C2B4A"/>
          <w:sz w:val="28"/>
          <w:szCs w:val="28"/>
        </w:rPr>
        <w:t xml:space="preserve">Alien C, Interpretivism: </w:t>
      </w:r>
      <w:r>
        <w:rPr>
          <w:rFonts w:ascii="Calibri" w:cs="Calibri" w:eastAsia="Calibri" w:hAnsi="Calibri"/>
          <w:i/>
          <w:iCs/>
          <w:color w:val="000000"/>
          <w:sz w:val="28"/>
          <w:szCs w:val="28"/>
        </w:rPr>
        <w:t xml:space="preserve">Does a satisfaction score capture what autonomy and precarity actually mean to the people living them, or does it flatten a complex, sometimes contradictory experience into a single number?</w:t>
      </w:r>
    </w:p>
    <w:p>
      <w:pPr>
        <w:spacing w:after="60" w:before="100"/>
        <w:ind w:left="360"/>
      </w:pPr>
      <w:r>
        <w:rPr>
          <w:rFonts w:ascii="Calibri" w:cs="Calibri" w:eastAsia="Calibri" w:hAnsi="Calibri"/>
          <w:b/>
          <w:bCs/>
          <w:color w:val="1C2B4A"/>
          <w:sz w:val="28"/>
          <w:szCs w:val="28"/>
        </w:rPr>
        <w:t xml:space="preserve">Alien D, Constructivism: </w:t>
      </w:r>
      <w:r>
        <w:rPr>
          <w:rFonts w:ascii="Calibri" w:cs="Calibri" w:eastAsia="Calibri" w:hAnsi="Calibri"/>
          <w:i/>
          <w:iCs/>
          <w:color w:val="000000"/>
          <w:sz w:val="28"/>
          <w:szCs w:val="28"/>
        </w:rPr>
        <w:t xml:space="preserve">How has each individual worker built their own personal understanding of job satisfaction, shaped by their own history, and would that meaning differ from one worker to the next even at the same score?</w:t>
      </w:r>
    </w:p>
    <w:p>
      <w:pPr>
        <w:spacing w:after="60" w:before="100"/>
        <w:ind w:left="360"/>
      </w:pPr>
      <w:r>
        <w:rPr>
          <w:rFonts w:ascii="Calibri" w:cs="Calibri" w:eastAsia="Calibri" w:hAnsi="Calibri"/>
          <w:b/>
          <w:bCs/>
          <w:color w:val="1C2B4A"/>
          <w:sz w:val="28"/>
          <w:szCs w:val="28"/>
        </w:rPr>
        <w:t xml:space="preserve">Alien E, Social Constructionism: </w:t>
      </w:r>
      <w:r>
        <w:rPr>
          <w:rFonts w:ascii="Calibri" w:cs="Calibri" w:eastAsia="Calibri" w:hAnsi="Calibri"/>
          <w:i/>
          <w:iCs/>
          <w:color w:val="000000"/>
          <w:sz w:val="28"/>
          <w:szCs w:val="28"/>
        </w:rPr>
        <w:t xml:space="preserve">What shared understanding of job satisfaction have gig workers negotiated together, for example through driver forums, and does a survey capture that collectively built meaning or only an individual snapshot?</w:t>
      </w:r>
    </w:p>
    <w:p>
      <w:pPr>
        <w:spacing w:after="60" w:before="100"/>
        <w:ind w:left="360"/>
      </w:pPr>
      <w:r>
        <w:rPr>
          <w:rFonts w:ascii="Calibri" w:cs="Calibri" w:eastAsia="Calibri" w:hAnsi="Calibri"/>
          <w:b/>
          <w:bCs/>
          <w:color w:val="1C2B4A"/>
          <w:sz w:val="28"/>
          <w:szCs w:val="28"/>
        </w:rPr>
        <w:t xml:space="preserve">Alien F, Critical Theory: </w:t>
      </w:r>
      <w:r>
        <w:rPr>
          <w:rFonts w:ascii="Calibri" w:cs="Calibri" w:eastAsia="Calibri" w:hAnsi="Calibri"/>
          <w:i/>
          <w:iCs/>
          <w:color w:val="000000"/>
          <w:sz w:val="28"/>
          <w:szCs w:val="28"/>
        </w:rPr>
        <w:t xml:space="preserve">Whose interests does labelling this dissatisfaction serve? This asks whether the framing obscures structural exploitation in platform capitalism, and who benefits from treating a symptom of precarity as a personal attitude to be measured.</w:t>
      </w:r>
    </w:p>
    <w:p>
      <w:pPr>
        <w:spacing w:after="60" w:before="100"/>
        <w:ind w:left="360"/>
      </w:pPr>
      <w:r>
        <w:rPr>
          <w:rFonts w:ascii="Calibri" w:cs="Calibri" w:eastAsia="Calibri" w:hAnsi="Calibri"/>
          <w:b/>
          <w:bCs/>
          <w:color w:val="1C2B4A"/>
          <w:sz w:val="28"/>
          <w:szCs w:val="28"/>
        </w:rPr>
        <w:t xml:space="preserve">Alien G, Pragmatism: </w:t>
      </w:r>
      <w:r>
        <w:rPr>
          <w:rFonts w:ascii="Calibri" w:cs="Calibri" w:eastAsia="Calibri" w:hAnsi="Calibri"/>
          <w:i/>
          <w:iCs/>
          <w:color w:val="000000"/>
          <w:sz w:val="28"/>
          <w:szCs w:val="28"/>
        </w:rPr>
        <w:t xml:space="preserve">Pragmatism sets paradigm purity aside and asks what combination of methods best answers the practical question, for example pairing the survey with brief interviews if that combination is most useful for informing platform policy.</w:t>
      </w:r>
    </w:p>
    <w:p>
      <w:pPr>
        <w:spacing w:after="160"/>
      </w:pPr>
      <w:r>
        <w:rPr>
          <w:rFonts w:ascii="Calibri" w:cs="Calibri" w:eastAsia="Calibri" w:hAnsi="Calibri"/>
          <w:i w:val="false"/>
          <w:iCs w:val="false"/>
          <w:color w:val="000000"/>
          <w:sz w:val="28"/>
          <w:szCs w:val="28"/>
        </w:rPr>
        <w:t xml:space="preserve">As you read through these seven, ask yourself which alien's critique is closest to your own paradigmatic position, and whether your Presentation script currently critiques consistently with it.</w:t>
      </w:r>
    </w:p>
    <w:p>
      <w:r>
        <w:br w:type="page"/>
      </w:r>
    </w:p>
    <w:p>
      <w:pPr>
        <w:pStyle w:val="Heading1"/>
        <w:spacing w:after="160" w:before="320"/>
      </w:pPr>
      <w:r>
        <w:rPr>
          <w:rFonts w:ascii="Calibri" w:cs="Calibri" w:eastAsia="Calibri" w:hAnsi="Calibri"/>
          <w:b/>
          <w:bCs/>
          <w:color w:val="1C2B4A"/>
          <w:sz w:val="32"/>
          <w:szCs w:val="32"/>
        </w:rPr>
        <w:t xml:space="preserve">Common critical thinking failures</w:t>
      </w:r>
    </w:p>
    <w:p>
      <w:pPr>
        <w:pStyle w:val="Heading2"/>
        <w:spacing w:after="120" w:before="260"/>
      </w:pPr>
      <w:r>
        <w:rPr>
          <w:rFonts w:ascii="Calibri" w:cs="Calibri" w:eastAsia="Calibri" w:hAnsi="Calibri"/>
          <w:b/>
          <w:bCs/>
          <w:color w:val="1C2B4A"/>
          <w:sz w:val="26"/>
          <w:szCs w:val="26"/>
        </w:rPr>
        <w:t xml:space="preserve">Failure 1: False balance</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Presenting two positions as equally weighted when the evidence for one is substantially stronger, simply to appear even handed.</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There are arguments for and against qualitative and quantitative approaches to studying leadership, and both have value.</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Qualitative approaches better capture the lived, relational dimensions of leadership that quantitative measures struggle to reach. For a study of lived experience, that weighs in favour of a qualitative approach, though a quantitative measure could still validate specific claims afterwards.</w:t>
      </w:r>
    </w:p>
    <w:p>
      <w:pPr>
        <w:spacing w:after="160"/>
      </w:pPr>
      <w:r>
        <w:rPr>
          <w:rFonts w:ascii="Calibri" w:cs="Calibri" w:eastAsia="Calibri" w:hAnsi="Calibri"/>
          <w:i w:val="false"/>
          <w:iCs w:val="false"/>
          <w:color w:val="000000"/>
          <w:sz w:val="28"/>
          <w:szCs w:val="28"/>
        </w:rPr>
        <w:t xml:space="preserve">The fix does not remove nuance, it takes a position and gives reasons for it. Balance is earned by weighing evidence, not by refusing to choose.</w:t>
      </w:r>
    </w:p>
    <w:p>
      <w:pPr>
        <w:pStyle w:val="Heading2"/>
        <w:spacing w:after="120" w:before="260"/>
      </w:pPr>
      <w:r>
        <w:rPr>
          <w:rFonts w:ascii="Calibri" w:cs="Calibri" w:eastAsia="Calibri" w:hAnsi="Calibri"/>
          <w:b/>
          <w:bCs/>
          <w:color w:val="1C2B4A"/>
          <w:sz w:val="26"/>
          <w:szCs w:val="26"/>
        </w:rPr>
        <w:t xml:space="preserve">Failure 2: Unsupported assertion</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Making a strong evaluative claim without evidence or reasoning to support it.</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Grounded theory is the most rigorous approach to qualitative research.</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Grounded theory offers a specific form of rigour: findings stay tightly grounded in participant data through constant comparison. This comes at the cost of theoretical breadth compared with an approach such as thematic analysis, which trades procedural rigour for flexibility.</w:t>
      </w:r>
    </w:p>
    <w:p>
      <w:pPr>
        <w:spacing w:after="160"/>
      </w:pPr>
      <w:r>
        <w:rPr>
          <w:rFonts w:ascii="Calibri" w:cs="Calibri" w:eastAsia="Calibri" w:hAnsi="Calibri"/>
          <w:i w:val="false"/>
          <w:iCs w:val="false"/>
          <w:color w:val="000000"/>
          <w:sz w:val="28"/>
          <w:szCs w:val="28"/>
        </w:rPr>
        <w:t xml:space="preserve">The fix names the criterion, rigour through constant comparison, and the trade-off, rather than asserting superiority with nothing to compare it against.</w:t>
      </w:r>
    </w:p>
    <w:p>
      <w:pPr>
        <w:pStyle w:val="Heading2"/>
        <w:spacing w:after="120" w:before="260"/>
      </w:pPr>
      <w:r>
        <w:rPr>
          <w:rFonts w:ascii="Calibri" w:cs="Calibri" w:eastAsia="Calibri" w:hAnsi="Calibri"/>
          <w:b/>
          <w:bCs/>
          <w:color w:val="1C2B4A"/>
          <w:sz w:val="26"/>
          <w:szCs w:val="26"/>
        </w:rPr>
        <w:t xml:space="preserve">Failure 3: Description masquerading as analysis</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A long summary of what several sources say, presented as though the summarising itself were the critical work.</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Smith (2018) found X, Jones (2019) found Y, and Patel (2020) found Z.</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Smith (2018), Jones (2019) and Patel (2020) each report a different driver of the same outcome, which suggests the outcome is multiply determined rather than explained by any single factor, a possibility none of the three studies considers on its own.</w:t>
      </w:r>
    </w:p>
    <w:p>
      <w:pPr>
        <w:spacing w:after="160"/>
      </w:pPr>
      <w:r>
        <w:rPr>
          <w:rFonts w:ascii="Calibri" w:cs="Calibri" w:eastAsia="Calibri" w:hAnsi="Calibri"/>
          <w:i w:val="false"/>
          <w:iCs w:val="false"/>
          <w:color w:val="000000"/>
          <w:sz w:val="28"/>
          <w:szCs w:val="28"/>
        </w:rPr>
        <w:t xml:space="preserve">The fix draws a relationship across the three studies. Reporting three findings in sequence is not the same as saying what connects them.</w:t>
      </w:r>
    </w:p>
    <w:p>
      <w:pPr>
        <w:pStyle w:val="Heading2"/>
        <w:spacing w:after="120" w:before="260"/>
      </w:pPr>
      <w:r>
        <w:rPr>
          <w:rFonts w:ascii="Calibri" w:cs="Calibri" w:eastAsia="Calibri" w:hAnsi="Calibri"/>
          <w:b/>
          <w:bCs/>
          <w:color w:val="1C2B4A"/>
          <w:sz w:val="26"/>
          <w:szCs w:val="26"/>
        </w:rPr>
        <w:t xml:space="preserve">Failure 4: Over hedging</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Qualifying every claim so heavily that no actual position is taken, often from anxiety about being wrong.</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It could perhaps be argued that in some cases organisational culture might possibly influence employee retention to some extent.</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Organisational culture influences employee retention, though the strength of that influence varies by sector and is better established in service industries than in manufacturing.</w:t>
      </w:r>
    </w:p>
    <w:p>
      <w:pPr>
        <w:spacing w:after="160"/>
      </w:pPr>
      <w:r>
        <w:rPr>
          <w:rFonts w:ascii="Calibri" w:cs="Calibri" w:eastAsia="Calibri" w:hAnsi="Calibri"/>
          <w:i w:val="false"/>
          <w:iCs w:val="false"/>
          <w:color w:val="000000"/>
          <w:sz w:val="28"/>
          <w:szCs w:val="28"/>
        </w:rPr>
        <w:t xml:space="preserve">The fix keeps one genuine, informative qualification, sector variation, and drops the four reflexive hedges that added caution without adding information.</w:t>
      </w:r>
    </w:p>
    <w:p>
      <w:pPr>
        <w:pStyle w:val="Heading2"/>
        <w:spacing w:after="120" w:before="260"/>
      </w:pPr>
      <w:r>
        <w:rPr>
          <w:rFonts w:ascii="Calibri" w:cs="Calibri" w:eastAsia="Calibri" w:hAnsi="Calibri"/>
          <w:b/>
          <w:bCs/>
          <w:color w:val="1C2B4A"/>
          <w:sz w:val="26"/>
          <w:szCs w:val="26"/>
        </w:rPr>
        <w:t xml:space="preserve">Failure 5: Cherry-picking evidence</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Citing only the evidence that supports a claim while leaving out comparable evidence that complicates or contradicts it.</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Remote work improves employee wellbeing, as shown by internal survey data reporting higher satisfaction scores among hybrid staff.</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Internal survey data reports higher satisfaction among hybrid staff, but internal HR surveys carry a self-selection risk: employees who prefer hybrid work may be the ones who chose it, and external studies with comparison groups report more mixed effects on wellbeing that this single source does not mention.</w:t>
      </w:r>
    </w:p>
    <w:p>
      <w:pPr>
        <w:spacing w:after="160"/>
      </w:pPr>
      <w:r>
        <w:rPr>
          <w:rFonts w:ascii="Calibri" w:cs="Calibri" w:eastAsia="Calibri" w:hAnsi="Calibri"/>
          <w:i w:val="false"/>
          <w:iCs w:val="false"/>
          <w:color w:val="000000"/>
          <w:sz w:val="28"/>
          <w:szCs w:val="28"/>
        </w:rPr>
        <w:t xml:space="preserve">The fix goes looking for the evidence that complicates the claim, rather than stopping at the first source that confirms it. Selecting only confirming evidence is cherry-picking even when every individual source cited is accurate.</w:t>
      </w:r>
    </w:p>
    <w:p>
      <w:pPr>
        <w:pStyle w:val="Heading2"/>
        <w:spacing w:after="120" w:before="260"/>
      </w:pPr>
      <w:r>
        <w:rPr>
          <w:rFonts w:ascii="Calibri" w:cs="Calibri" w:eastAsia="Calibri" w:hAnsi="Calibri"/>
          <w:b/>
          <w:bCs/>
          <w:color w:val="1C2B4A"/>
          <w:sz w:val="26"/>
          <w:szCs w:val="26"/>
        </w:rPr>
        <w:t xml:space="preserve">Failure 6: Correlation presented as causation</w:t>
      </w:r>
    </w:p>
    <w:p>
      <w:pPr>
        <w:spacing w:after="60" w:before="100"/>
        <w:ind w:left="360"/>
      </w:pPr>
      <w:r>
        <w:rPr>
          <w:rFonts w:ascii="Calibri" w:cs="Calibri" w:eastAsia="Calibri" w:hAnsi="Calibri"/>
          <w:b/>
          <w:bCs/>
          <w:color w:val="1C2B4A"/>
          <w:sz w:val="28"/>
          <w:szCs w:val="28"/>
        </w:rPr>
        <w:t xml:space="preserve">The problem: </w:t>
      </w:r>
      <w:r>
        <w:rPr>
          <w:rFonts w:ascii="Calibri" w:cs="Calibri" w:eastAsia="Calibri" w:hAnsi="Calibri"/>
          <w:i/>
          <w:iCs/>
          <w:color w:val="000000"/>
          <w:sz w:val="28"/>
          <w:szCs w:val="28"/>
        </w:rPr>
        <w:t xml:space="preserve">Treating an observed association between two variables as proof that one causes the other, without ruling out reverse causation or a third factor.</w:t>
      </w:r>
    </w:p>
    <w:p>
      <w:pPr>
        <w:spacing w:after="60" w:before="100"/>
        <w:ind w:left="360"/>
      </w:pPr>
      <w:r>
        <w:rPr>
          <w:rFonts w:ascii="Calibri" w:cs="Calibri" w:eastAsia="Calibri" w:hAnsi="Calibri"/>
          <w:b/>
          <w:bCs/>
          <w:color w:val="1C2B4A"/>
          <w:sz w:val="28"/>
          <w:szCs w:val="28"/>
        </w:rPr>
        <w:t xml:space="preserve">The flawed version: </w:t>
      </w:r>
      <w:r>
        <w:rPr>
          <w:rFonts w:ascii="Calibri" w:cs="Calibri" w:eastAsia="Calibri" w:hAnsi="Calibri"/>
          <w:i/>
          <w:iCs/>
          <w:color w:val="000000"/>
          <w:sz w:val="28"/>
          <w:szCs w:val="28"/>
        </w:rPr>
        <w:t xml:space="preserve">Companies with higher board diversity report higher profitability, demonstrating that diversity drives financial performance.</w:t>
      </w:r>
    </w:p>
    <w:p>
      <w:pPr>
        <w:spacing w:after="60" w:before="100"/>
        <w:ind w:left="360"/>
      </w:pPr>
      <w:r>
        <w:rPr>
          <w:rFonts w:ascii="Calibri" w:cs="Calibri" w:eastAsia="Calibri" w:hAnsi="Calibri"/>
          <w:b/>
          <w:bCs/>
          <w:color w:val="1C2B4A"/>
          <w:sz w:val="28"/>
          <w:szCs w:val="28"/>
        </w:rPr>
        <w:t xml:space="preserve">The fix: </w:t>
      </w:r>
      <w:r>
        <w:rPr>
          <w:rFonts w:ascii="Calibri" w:cs="Calibri" w:eastAsia="Calibri" w:hAnsi="Calibri"/>
          <w:i/>
          <w:iCs/>
          <w:color w:val="000000"/>
          <w:sz w:val="28"/>
          <w:szCs w:val="28"/>
        </w:rPr>
        <w:t xml:space="preserve">Companies with higher board diversity report higher profitability, though this association does not establish that diversity causes the improved performance. Well-performing companies may have more resources to invest in diversity initiatives in the first place, which would produce the same correlation in the opposite causal direction.</w:t>
      </w:r>
    </w:p>
    <w:p>
      <w:pPr>
        <w:spacing w:after="160"/>
      </w:pPr>
      <w:r>
        <w:rPr>
          <w:rFonts w:ascii="Calibri" w:cs="Calibri" w:eastAsia="Calibri" w:hAnsi="Calibri"/>
          <w:i w:val="false"/>
          <w:iCs w:val="false"/>
          <w:color w:val="000000"/>
          <w:sz w:val="28"/>
          <w:szCs w:val="28"/>
        </w:rPr>
        <w:t xml:space="preserve">The fix names the specific alternative causal story, reverse causation, rather than a vague gesture at correlation not equalling causation. A named alternative is what makes this a genuine critique rather than a stock phrase.</w:t>
      </w:r>
    </w:p>
    <w:p>
      <w:r>
        <w:br w:type="page"/>
      </w:r>
    </w:p>
    <w:p>
      <w:pPr>
        <w:pStyle w:val="Heading1"/>
        <w:spacing w:after="160" w:before="320"/>
      </w:pPr>
      <w:r>
        <w:rPr>
          <w:rFonts w:ascii="Calibri" w:cs="Calibri" w:eastAsia="Calibri" w:hAnsi="Calibri"/>
          <w:b/>
          <w:bCs/>
          <w:color w:val="1C2B4A"/>
          <w:sz w:val="32"/>
          <w:szCs w:val="32"/>
        </w:rPr>
        <w:t xml:space="preserve">Practice extracts</w:t>
      </w:r>
    </w:p>
    <w:p>
      <w:pPr>
        <w:spacing w:after="160"/>
      </w:pPr>
      <w:r>
        <w:rPr>
          <w:rFonts w:ascii="Calibri" w:cs="Calibri" w:eastAsia="Calibri" w:hAnsi="Calibri"/>
          <w:i w:val="false"/>
          <w:iCs w:val="false"/>
          <w:color w:val="000000"/>
          <w:sz w:val="28"/>
          <w:szCs w:val="28"/>
        </w:rPr>
        <w:t xml:space="preserve">Extract 1 is used for the guided in-session activity. Extract 2 is for your independent practice afterwards, with a model answer beneath it so you can check your own rewrite once you have attempted it yourself. Both are constructed for teaching purposes and are not drawn from a named publication.</w:t>
      </w:r>
    </w:p>
    <w:p>
      <w:pPr>
        <w:pStyle w:val="Heading2"/>
        <w:spacing w:after="120" w:before="260"/>
      </w:pPr>
      <w:r>
        <w:rPr>
          <w:rFonts w:ascii="Calibri" w:cs="Calibri" w:eastAsia="Calibri" w:hAnsi="Calibri"/>
          <w:b/>
          <w:bCs/>
          <w:color w:val="1C2B4A"/>
          <w:sz w:val="26"/>
          <w:szCs w:val="26"/>
        </w:rPr>
        <w:t xml:space="preserve">Extract 1, used in the session</w:t>
      </w:r>
    </w:p>
    <w:p>
      <w:pPr>
        <w:spacing w:after="60" w:before="100"/>
        <w:ind w:left="360"/>
      </w:pPr>
      <w:r>
        <w:rPr>
          <w:rFonts w:ascii="Calibri" w:cs="Calibri" w:eastAsia="Calibri" w:hAnsi="Calibri"/>
          <w:b/>
          <w:bCs/>
          <w:color w:val="1C2B4A"/>
          <w:sz w:val="28"/>
          <w:szCs w:val="28"/>
        </w:rPr>
        <w:t xml:space="preserve">Extract: </w:t>
      </w:r>
      <w:r>
        <w:rPr>
          <w:rFonts w:ascii="Calibri" w:cs="Calibri" w:eastAsia="Calibri" w:hAnsi="Calibri"/>
          <w:i/>
          <w:iCs/>
          <w:color w:val="000000"/>
          <w:sz w:val="28"/>
          <w:szCs w:val="28"/>
        </w:rPr>
        <w:t xml:space="preserve">Diversity on corporate boards is frequently linked to improved firm performance, with several studies reporting a positive association between board gender diversity and return on equity. Organisations have responded by setting voluntary targets for female board representation, and many now report year-on-year increases in the proportion of women appointed to non-executive roles. This trend is often presented as evidence that diversity initiatives are working as intended.</w:t>
      </w:r>
    </w:p>
    <w:p>
      <w:pPr>
        <w:pStyle w:val="Heading2"/>
        <w:spacing w:after="120" w:before="260"/>
      </w:pPr>
      <w:r>
        <w:rPr>
          <w:rFonts w:ascii="Calibri" w:cs="Calibri" w:eastAsia="Calibri" w:hAnsi="Calibri"/>
          <w:b/>
          <w:bCs/>
          <w:color w:val="1C2B4A"/>
          <w:sz w:val="26"/>
          <w:szCs w:val="26"/>
        </w:rPr>
        <w:t xml:space="preserve">Extract 2, for independent practice</w:t>
      </w:r>
    </w:p>
    <w:p>
      <w:pPr>
        <w:spacing w:after="60" w:before="100"/>
        <w:ind w:left="360"/>
      </w:pPr>
      <w:r>
        <w:rPr>
          <w:rFonts w:ascii="Calibri" w:cs="Calibri" w:eastAsia="Calibri" w:hAnsi="Calibri"/>
          <w:b/>
          <w:bCs/>
          <w:color w:val="1C2B4A"/>
          <w:sz w:val="28"/>
          <w:szCs w:val="28"/>
        </w:rPr>
        <w:t xml:space="preserve">Extract: </w:t>
      </w:r>
      <w:r>
        <w:rPr>
          <w:rFonts w:ascii="Calibri" w:cs="Calibri" w:eastAsia="Calibri" w:hAnsi="Calibri"/>
          <w:i/>
          <w:iCs/>
          <w:color w:val="000000"/>
          <w:sz w:val="28"/>
          <w:szCs w:val="28"/>
        </w:rPr>
        <w:t xml:space="preserve">Since the shift to hybrid working, many organisations have reported improvements in employee wellbeing scores, attributing this to greater flexibility and autonomy over working patterns. Wellbeing surveys conducted internally by HR departments consistently show higher scores among hybrid workers compared with those required to attend the office full time. Organisations have used these findings to justify continuing hybrid policies as a core part of their employee value proposition.</w:t>
      </w:r>
    </w:p>
    <w:p>
      <w:pPr>
        <w:spacing w:after="160"/>
      </w:pPr>
      <w:r>
        <w:rPr>
          <w:rFonts w:ascii="Calibri" w:cs="Calibri" w:eastAsia="Calibri" w:hAnsi="Calibri"/>
          <w:i w:val="false"/>
          <w:iCs w:val="false"/>
          <w:color w:val="000000"/>
          <w:sz w:val="28"/>
          <w:szCs w:val="28"/>
        </w:rPr>
        <w:t xml:space="preserve">Attempt your own critical rewrite of one sentence from this extract before reading the model answer below.</w:t>
      </w:r>
    </w:p>
    <w:p>
      <w:pPr>
        <w:spacing w:after="60" w:before="100"/>
        <w:ind w:left="360"/>
      </w:pPr>
      <w:r>
        <w:rPr>
          <w:rFonts w:ascii="Calibri" w:cs="Calibri" w:eastAsia="Calibri" w:hAnsi="Calibri"/>
          <w:b/>
          <w:bCs/>
          <w:color w:val="1C2B4A"/>
          <w:sz w:val="28"/>
          <w:szCs w:val="28"/>
        </w:rPr>
        <w:t xml:space="preserve">Model answer: </w:t>
      </w:r>
      <w:r>
        <w:rPr>
          <w:rFonts w:ascii="Calibri" w:cs="Calibri" w:eastAsia="Calibri" w:hAnsi="Calibri"/>
          <w:i/>
          <w:iCs/>
          <w:color w:val="000000"/>
          <w:sz w:val="28"/>
          <w:szCs w:val="28"/>
        </w:rPr>
        <w:t xml:space="preserve">Internally conducted wellbeing surveys report higher scores among hybrid workers, but this design cannot separate the effect of hybrid working from the effect of self-selection: employees who value flexibility may have been the ones who chose hybrid roles in the first place, and an HR-run survey carries a further risk that staff underreport dissatisfaction with a policy their own employer is promoting.</w:t>
      </w:r>
    </w:p>
    <w:p>
      <w:pPr>
        <w:spacing w:after="160"/>
      </w:pPr>
      <w:r>
        <w:rPr>
          <w:rFonts w:ascii="Calibri" w:cs="Calibri" w:eastAsia="Calibri" w:hAnsi="Calibri"/>
          <w:i w:val="false"/>
          <w:iCs w:val="false"/>
          <w:color w:val="000000"/>
          <w:sz w:val="28"/>
          <w:szCs w:val="28"/>
        </w:rPr>
        <w:t xml:space="preserve">This model answer combines two of the moves covered in this handbook: it questions the method (self-report bias, an instrument critique) and it identifies a plausible alternative explanation (self-selection, the same move used against the cherry-picking failure). A strong critical rewrite often draws on more than one move at once.</w:t>
      </w:r>
    </w:p>
    <w:p>
      <w:r>
        <w:br w:type="page"/>
      </w:r>
    </w:p>
    <w:p>
      <w:pPr>
        <w:pStyle w:val="Heading1"/>
        <w:spacing w:after="160" w:before="320"/>
      </w:pPr>
      <w:r>
        <w:rPr>
          <w:rFonts w:ascii="Calibri" w:cs="Calibri" w:eastAsia="Calibri" w:hAnsi="Calibri"/>
          <w:b/>
          <w:bCs/>
          <w:color w:val="1C2B4A"/>
          <w:sz w:val="32"/>
          <w:szCs w:val="32"/>
        </w:rPr>
        <w:t xml:space="preserve">Session activities</w:t>
      </w:r>
    </w:p>
    <w:p>
      <w:pPr>
        <w:pStyle w:val="Heading2"/>
        <w:spacing w:after="120" w:before="260"/>
      </w:pPr>
      <w:r>
        <w:rPr>
          <w:rFonts w:ascii="Calibri" w:cs="Calibri" w:eastAsia="Calibri" w:hAnsi="Calibri"/>
          <w:b/>
          <w:bCs/>
          <w:color w:val="1C2B4A"/>
          <w:sz w:val="26"/>
          <w:szCs w:val="26"/>
        </w:rPr>
        <w:t xml:space="preserve">Activity 1: Reading and critiquing published work</w:t>
      </w:r>
    </w:p>
    <w:p>
      <w:pPr>
        <w:pStyle w:val="ListParagraph"/>
        <w:numPr>
          <w:ilvl w:val="0"/>
          <w:numId w:val="1"/>
        </w:numPr>
        <w:spacing w:after="100"/>
      </w:pPr>
      <w:r>
        <w:rPr>
          <w:rFonts w:ascii="Calibri" w:cs="Calibri" w:eastAsia="Calibri" w:hAnsi="Calibri"/>
          <w:color w:val="000000"/>
          <w:sz w:val="28"/>
          <w:szCs w:val="28"/>
        </w:rPr>
        <w:t xml:space="preserve">In pairs, apply the reading checklist to Extract 1 above before you write anything</w:t>
      </w:r>
    </w:p>
    <w:p>
      <w:pPr>
        <w:pStyle w:val="ListParagraph"/>
        <w:numPr>
          <w:ilvl w:val="0"/>
          <w:numId w:val="1"/>
        </w:numPr>
        <w:spacing w:after="100"/>
      </w:pPr>
      <w:r>
        <w:rPr>
          <w:rFonts w:ascii="Calibri" w:cs="Calibri" w:eastAsia="Calibri" w:hAnsi="Calibri"/>
          <w:color w:val="000000"/>
          <w:sz w:val="28"/>
          <w:szCs w:val="28"/>
        </w:rPr>
        <w:t xml:space="preserve">Identify one sentence that is purely descriptive and one that does critical work, if either is present</w:t>
      </w:r>
    </w:p>
    <w:p>
      <w:pPr>
        <w:pStyle w:val="ListParagraph"/>
        <w:numPr>
          <w:ilvl w:val="0"/>
          <w:numId w:val="1"/>
        </w:numPr>
        <w:spacing w:after="100"/>
      </w:pPr>
      <w:r>
        <w:rPr>
          <w:rFonts w:ascii="Calibri" w:cs="Calibri" w:eastAsia="Calibri" w:hAnsi="Calibri"/>
          <w:color w:val="000000"/>
          <w:sz w:val="28"/>
          <w:szCs w:val="28"/>
        </w:rPr>
        <w:t xml:space="preserve">Using the three part structure (claim, reasoning, so what), rewrite the descriptive sentence critically</w:t>
      </w:r>
    </w:p>
    <w:p>
      <w:pPr>
        <w:pStyle w:val="ListParagraph"/>
        <w:numPr>
          <w:ilvl w:val="0"/>
          <w:numId w:val="1"/>
        </w:numPr>
        <w:spacing w:after="100"/>
      </w:pPr>
      <w:r>
        <w:rPr>
          <w:rFonts w:ascii="Calibri" w:cs="Calibri" w:eastAsia="Calibri" w:hAnsi="Calibri"/>
          <w:color w:val="000000"/>
          <w:sz w:val="28"/>
          <w:szCs w:val="28"/>
        </w:rPr>
        <w:t xml:space="preserve">Consider which paradigm the critique you have written is consistent with, and whether that matches the paradigm the extract itself assumes</w:t>
      </w:r>
    </w:p>
    <w:p>
      <w:pPr>
        <w:pStyle w:val="ListParagraph"/>
        <w:numPr>
          <w:ilvl w:val="0"/>
          <w:numId w:val="1"/>
        </w:numPr>
        <w:spacing w:after="100"/>
      </w:pPr>
      <w:r>
        <w:rPr>
          <w:rFonts w:ascii="Calibri" w:cs="Calibri" w:eastAsia="Calibri" w:hAnsi="Calibri"/>
          <w:color w:val="000000"/>
          <w:sz w:val="28"/>
          <w:szCs w:val="28"/>
        </w:rPr>
        <w:t xml:space="preserve">After the session, attempt Extract 2 independently and check your rewrite against the model answer above</w:t>
      </w:r>
    </w:p>
    <w:p>
      <w:pPr>
        <w:pStyle w:val="Heading2"/>
        <w:spacing w:after="120" w:before="260"/>
      </w:pPr>
      <w:r>
        <w:rPr>
          <w:rFonts w:ascii="Calibri" w:cs="Calibri" w:eastAsia="Calibri" w:hAnsi="Calibri"/>
          <w:b/>
          <w:bCs/>
          <w:color w:val="1C2B4A"/>
          <w:sz w:val="26"/>
          <w:szCs w:val="26"/>
        </w:rPr>
        <w:t xml:space="preserve">Activity 2: Rewriting your own work</w:t>
      </w:r>
    </w:p>
    <w:p>
      <w:pPr>
        <w:pStyle w:val="ListParagraph"/>
        <w:numPr>
          <w:ilvl w:val="0"/>
          <w:numId w:val="1"/>
        </w:numPr>
        <w:spacing w:after="100"/>
      </w:pPr>
      <w:r>
        <w:rPr>
          <w:rFonts w:ascii="Calibri" w:cs="Calibri" w:eastAsia="Calibri" w:hAnsi="Calibri"/>
          <w:color w:val="000000"/>
          <w:sz w:val="28"/>
          <w:szCs w:val="28"/>
        </w:rPr>
        <w:t xml:space="preserve">Bring one paragraph from your Portfolio draft or Presentation script</w:t>
      </w:r>
    </w:p>
    <w:p>
      <w:pPr>
        <w:pStyle w:val="ListParagraph"/>
        <w:numPr>
          <w:ilvl w:val="0"/>
          <w:numId w:val="1"/>
        </w:numPr>
        <w:spacing w:after="100"/>
      </w:pPr>
      <w:r>
        <w:rPr>
          <w:rFonts w:ascii="Calibri" w:cs="Calibri" w:eastAsia="Calibri" w:hAnsi="Calibri"/>
          <w:color w:val="000000"/>
          <w:sz w:val="28"/>
          <w:szCs w:val="28"/>
        </w:rPr>
        <w:t xml:space="preserve">Working in pairs, identify whether each sentence is descriptive or critical</w:t>
      </w:r>
    </w:p>
    <w:p>
      <w:pPr>
        <w:pStyle w:val="ListParagraph"/>
        <w:numPr>
          <w:ilvl w:val="0"/>
          <w:numId w:val="1"/>
        </w:numPr>
        <w:spacing w:after="100"/>
      </w:pPr>
      <w:r>
        <w:rPr>
          <w:rFonts w:ascii="Calibri" w:cs="Calibri" w:eastAsia="Calibri" w:hAnsi="Calibri"/>
          <w:color w:val="000000"/>
          <w:sz w:val="28"/>
          <w:szCs w:val="28"/>
        </w:rPr>
        <w:t xml:space="preserve">For any descriptive sentence doing important work in your argument, rewrite it using the claim, reasoning, so what structure</w:t>
      </w:r>
    </w:p>
    <w:p>
      <w:pPr>
        <w:pStyle w:val="ListParagraph"/>
        <w:numPr>
          <w:ilvl w:val="0"/>
          <w:numId w:val="1"/>
        </w:numPr>
        <w:spacing w:after="100"/>
      </w:pPr>
      <w:r>
        <w:rPr>
          <w:rFonts w:ascii="Calibri" w:cs="Calibri" w:eastAsia="Calibri" w:hAnsi="Calibri"/>
          <w:color w:val="000000"/>
          <w:sz w:val="28"/>
          <w:szCs w:val="28"/>
        </w:rPr>
        <w:t xml:space="preserve">Check your rewrite against the signal language table: does it now use evaluative rather than purely reporting language</w:t>
      </w:r>
    </w:p>
    <w:p>
      <w:pPr>
        <w:pStyle w:val="ListParagraph"/>
        <w:numPr>
          <w:ilvl w:val="0"/>
          <w:numId w:val="1"/>
        </w:numPr>
        <w:spacing w:after="100"/>
      </w:pPr>
      <w:r>
        <w:rPr>
          <w:rFonts w:ascii="Calibri" w:cs="Calibri" w:eastAsia="Calibri" w:hAnsi="Calibri"/>
          <w:color w:val="000000"/>
          <w:sz w:val="28"/>
          <w:szCs w:val="28"/>
        </w:rPr>
        <w:t xml:space="preserve">Read your revised paragraph aloud to your partner. Does it now answer a question, or still only report a fact</w:t>
      </w:r>
    </w:p>
    <w:p>
      <w:pPr>
        <w:pStyle w:val="Heading1"/>
        <w:spacing w:after="160" w:before="320"/>
      </w:pPr>
      <w:r>
        <w:rPr>
          <w:rFonts w:ascii="Calibri" w:cs="Calibri" w:eastAsia="Calibri" w:hAnsi="Calibri"/>
          <w:b/>
          <w:bCs/>
          <w:color w:val="1C2B4A"/>
          <w:sz w:val="32"/>
          <w:szCs w:val="32"/>
        </w:rPr>
        <w:t xml:space="preserve">Self-editing checklist</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Does every paragraph contain at least one sentence that evaluates rather than only reports</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Have I used signal language (however, this assumes, a limitation of this view is) at least once per paragraph where appropriate</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Have I avoided false balance where the evidence is not actually balanced</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Is every strong claim supported by reasoning or evidence, not asserted alone</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Have I checked my critique is consistent with my own paradigmatic position</w:t>
      </w:r>
    </w:p>
    <w:p>
      <w:pPr>
        <w:spacing w:after="120"/>
      </w:pPr>
      <w:r>
        <w:rPr>
          <w:rFonts w:ascii="Calibri" w:cs="Calibri" w:eastAsia="Calibri" w:hAnsi="Calibri"/>
          <w:sz w:val="28"/>
          <w:szCs w:val="28"/>
        </w:rPr>
        <w:t xml:space="preserve">☐  </w:t>
      </w:r>
      <w:r>
        <w:rPr>
          <w:rFonts w:ascii="Calibri" w:cs="Calibri" w:eastAsia="Calibri" w:hAnsi="Calibri"/>
          <w:color w:val="000000"/>
          <w:sz w:val="28"/>
          <w:szCs w:val="28"/>
        </w:rPr>
        <w:t xml:space="preserve">Have I removed hedging that dilutes rather than genuinely qualifies a claim</w:t>
      </w:r>
    </w:p>
    <w:p>
      <w:r>
        <w:br w:type="page"/>
      </w:r>
    </w:p>
    <w:p>
      <w:pPr>
        <w:pStyle w:val="Heading1"/>
        <w:spacing w:after="160" w:before="320"/>
      </w:pPr>
      <w:r>
        <w:rPr>
          <w:rFonts w:ascii="Calibri" w:cs="Calibri" w:eastAsia="Calibri" w:hAnsi="Calibri"/>
          <w:b/>
          <w:bCs/>
          <w:color w:val="1C2B4A"/>
          <w:sz w:val="32"/>
          <w:szCs w:val="32"/>
        </w:rPr>
        <w:t xml:space="preserve">Reading list</w:t>
      </w:r>
    </w:p>
    <w:p>
      <w:pPr>
        <w:spacing w:after="160"/>
      </w:pPr>
      <w:r>
        <w:rPr>
          <w:rFonts w:ascii="Calibri" w:cs="Calibri" w:eastAsia="Calibri" w:hAnsi="Calibri"/>
          <w:i w:val="false"/>
          <w:iCs w:val="false"/>
          <w:color w:val="000000"/>
          <w:sz w:val="28"/>
          <w:szCs w:val="28"/>
        </w:rPr>
        <w:t xml:space="preserve">The core text for this session is listed first. All references below have been checked against library and publisher records.</w:t>
      </w:r>
    </w:p>
    <w:p>
      <w:pPr>
        <w:spacing w:after="160"/>
        <w:ind w:left="360" w:hanging="360"/>
      </w:pPr>
      <w:r>
        <w:rPr>
          <w:rFonts w:ascii="Calibri" w:cs="Calibri" w:eastAsia="Calibri" w:hAnsi="Calibri"/>
          <w:color w:val="000000"/>
          <w:sz w:val="28"/>
          <w:szCs w:val="28"/>
        </w:rPr>
        <w:t xml:space="preserve">Ennis, R.H. (1987) A taxonomy of critical thinking dispositions and abilities, in Baron, J.B. and Sternberg, R.J. (eds) Teaching Thinking Skills: Theory and Practice, New York: W.H. Freeman, pp. 9 to 26.</w:t>
      </w:r>
    </w:p>
    <w:p>
      <w:pPr>
        <w:spacing w:after="160"/>
        <w:ind w:left="360" w:hanging="360"/>
      </w:pPr>
      <w:r>
        <w:rPr>
          <w:rFonts w:ascii="Calibri" w:cs="Calibri" w:eastAsia="Calibri" w:hAnsi="Calibri"/>
          <w:color w:val="000000"/>
          <w:sz w:val="28"/>
          <w:szCs w:val="28"/>
        </w:rPr>
        <w:t xml:space="preserve">Wallace, M. and Wray, A. (2021) Critical Reading and Writing for Postgraduates, 4th ed., London: Sage.</w:t>
      </w:r>
    </w:p>
    <w:p>
      <w:pPr>
        <w:spacing w:after="160"/>
        <w:ind w:left="360" w:hanging="360"/>
      </w:pPr>
      <w:r>
        <w:rPr>
          <w:rFonts w:ascii="Calibri" w:cs="Calibri" w:eastAsia="Calibri" w:hAnsi="Calibri"/>
          <w:color w:val="000000"/>
          <w:sz w:val="28"/>
          <w:szCs w:val="28"/>
        </w:rPr>
        <w:t xml:space="preserve">Cottrell, S. (2017) Critical Thinking Skills: Effective Analysis, Argument and Reflection, 3rd ed., London: Palgrave Macmillan.</w:t>
      </w:r>
    </w:p>
    <w:p>
      <w:pPr>
        <w:spacing w:after="160"/>
        <w:ind w:left="360" w:hanging="360"/>
      </w:pPr>
      <w:r>
        <w:rPr>
          <w:rFonts w:ascii="Calibri" w:cs="Calibri" w:eastAsia="Calibri" w:hAnsi="Calibri"/>
          <w:color w:val="000000"/>
          <w:sz w:val="28"/>
          <w:szCs w:val="28"/>
        </w:rPr>
        <w:t xml:space="preserve">Audrezet, A., de Kerviler, G. and Guidry Moulard, J. (2020) Authenticity under threat: When social media influencers need to go beyond self presentation, Journal of Business Research, 117, pp. 557 to 569.</w:t>
      </w:r>
    </w:p>
    <w:p>
      <w:pPr>
        <w:spacing w:after="160"/>
        <w:ind w:left="360" w:hanging="360"/>
      </w:pPr>
      <w:r>
        <w:rPr>
          <w:rFonts w:ascii="Calibri" w:cs="Calibri" w:eastAsia="Calibri" w:hAnsi="Calibri"/>
          <w:color w:val="000000"/>
          <w:sz w:val="28"/>
          <w:szCs w:val="28"/>
        </w:rPr>
        <w:t xml:space="preserve">Bass, B.M. (1985) Leadership and Performance Beyond Expectations, New York: Free Press.</w:t>
      </w:r>
    </w:p>
    <w:p>
      <w:pPr>
        <w:spacing w:after="160"/>
        <w:ind w:left="360" w:hanging="360"/>
      </w:pPr>
      <w:r>
        <w:rPr>
          <w:rFonts w:ascii="Calibri" w:cs="Calibri" w:eastAsia="Calibri" w:hAnsi="Calibri"/>
          <w:color w:val="000000"/>
          <w:sz w:val="28"/>
          <w:szCs w:val="28"/>
        </w:rPr>
        <w:t xml:space="preserve">Braun, V. and Clarke, V. (2006) Using thematic analysis in psychology, Qualitative Research in Psychology, 3(2), pp. 77 to 101.</w:t>
      </w:r>
    </w:p>
    <w:p>
      <w:pPr>
        <w:spacing w:after="160"/>
        <w:ind w:left="360" w:hanging="360"/>
      </w:pPr>
      <w:r>
        <w:rPr>
          <w:rFonts w:ascii="Calibri" w:cs="Calibri" w:eastAsia="Calibri" w:hAnsi="Calibri"/>
          <w:color w:val="000000"/>
          <w:sz w:val="28"/>
          <w:szCs w:val="28"/>
        </w:rPr>
        <w:t xml:space="preserve">Christopher, M. and Peck, H. (2004) Building the resilient supply chain, International Journal of Logistics Management, 15(2), pp. 1 to 14.</w:t>
      </w:r>
    </w:p>
    <w:p>
      <w:pPr>
        <w:spacing w:after="160"/>
        <w:ind w:left="360" w:hanging="360"/>
      </w:pPr>
      <w:r>
        <w:rPr>
          <w:rFonts w:ascii="Calibri" w:cs="Calibri" w:eastAsia="Calibri" w:hAnsi="Calibri"/>
          <w:color w:val="000000"/>
          <w:sz w:val="28"/>
          <w:szCs w:val="28"/>
        </w:rPr>
        <w:t xml:space="preserve">Saks, A.M. (2006) Antecedents and consequences of employee engagement, Journal of Managerial Psychology, 21(7), pp. 600 to 619.</w:t>
      </w:r>
    </w:p>
    <w:p>
      <w:pPr>
        <w:spacing w:after="160"/>
        <w:ind w:left="360" w:hanging="360"/>
      </w:pPr>
      <w:r>
        <w:rPr>
          <w:rFonts w:ascii="Calibri" w:cs="Calibri" w:eastAsia="Calibri" w:hAnsi="Calibri"/>
          <w:color w:val="000000"/>
          <w:sz w:val="28"/>
          <w:szCs w:val="28"/>
        </w:rPr>
        <w:t xml:space="preserve">Vial, G. (2019) Understanding digital transformation: A review and a research agenda, Journal of Strategic Information Systems, 28(2), pp. 118 to 144.</w:t>
      </w:r>
    </w:p>
    <w:sectPr>
      <w:pgSz w:w="11906" w:h="16838" w:orient="portrait"/>
      <w:pgMar w:top="1440" w:right="1440" w:bottom="1440" w:left="1440" w:header="708" w:footer="708" w:gutter="0"/>
      <w:pgNumType/>
      <w:docGrid w:linePitch="360"/>
    </w:sectPr>
  </w:body>
</w:document>
</file>

<file path=word/comments.xml><?xml version="1.0" encoding="utf-8"?>
<w:comment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pPr>
        <w:spacing w:after="0" w:line="240" w:lineRule="auto"/>
      </w:pPr>
      <w:r>
        <w:rPr>
          <w:rStyle w:val="EndnoteReference"/>
        </w:rPr>
        <w:endnoteRef/>
      </w:r>
      <w:r>
        <w:separator/>
      </w:r>
    </w:p>
  </w:endnote>
  <w:endnote w:type="continuationSeparator" w:id="0">
    <w:p>
      <w:pPr>
        <w:spacing w:after="0" w:line="240" w:lineRule="auto"/>
      </w:pPr>
      <w:r>
        <w:rPr>
          <w:rStyle w:val="EndnoteReference"/>
        </w:rPr>
        <w:endnoteRef/>
      </w: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pPr>
        <w:spacing w:after="0" w:line="240" w:lineRule="auto"/>
      </w:pPr>
      <w:r>
        <w:rPr>
          <w:rStyle w:val="FootnoteReference"/>
        </w:rPr>
        <w:footnoteRef/>
      </w:r>
      <w:r>
        <w:separator/>
      </w:r>
    </w:p>
  </w:footnote>
  <w:footnote w:type="continuationSeparator" w:id="0">
    <w:p>
      <w:pPr>
        <w:spacing w:after="0" w:line="240" w:lineRule="auto"/>
      </w:pPr>
      <w:r>
        <w:rPr>
          <w:rStyle w:val="FootnoteReference"/>
        </w:rPr>
        <w:footnoteRef/>
      </w: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evenAndOddHeaders w:val="false"/>
  <w:compat>
    <w:compatSetting w:val="15" w:name="compatibilityMode" w:uri="http://schemas.microsoft.com/office/word"/>
  </w:compat>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cs="Calibri" w:eastAsia="Calibri" w:hAnsi="Calibri"/>
        <w:sz w:val="28"/>
        <w:szCs w:val="28"/>
      </w:rPr>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comments.xml.rels><?xml version="1.0" encoding="UTF-8"?><Relationships xmlns="http://schemas.openxmlformats.org/package/2006/relationships"/>
</file>

<file path=word/_rels/document.xml.rels><?xml version="1.0" encoding="UTF-8"?><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footnotes" Target="footnotes.xml"/><Relationship Id="rId4" Type="http://schemas.openxmlformats.org/officeDocument/2006/relationships/endnotes" Target="endnotes.xml"/><Relationship Id="rId5" Type="http://schemas.openxmlformats.org/officeDocument/2006/relationships/settings" Target="settings.xml"/><Relationship Id="rId6" Type="http://schemas.openxmlformats.org/officeDocument/2006/relationships/comments" Target="comments.xml"/><Relationship Id="rId7" Type="http://schemas.openxmlformats.org/officeDocument/2006/relationships/fontTable" Target="fontTable.xml"/></Relationships>
</file>

<file path=word/_rels/endnotes.xml.rels><?xml version="1.0" encoding="UTF-8"?><Relationships xmlns="http://schemas.openxmlformats.org/package/2006/relationships"/>
</file>

<file path=word/_rels/fontTable.xml.rels><?xml version="1.0" encoding="UTF-8"?><Relationships xmlns="http://schemas.openxmlformats.org/package/2006/relationships"/>
</file>

<file path=word/_rels/footnotes.xml.rels><?xml version="1.0" encoding="UTF-8"?><Relationships xmlns="http://schemas.openxmlformats.org/package/2006/relationships"/>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Un-named</cp:lastModifiedBy>
  <cp:revision>1</cp:revision>
  <dcterms:created xsi:type="dcterms:W3CDTF">2026-09-11T17:16:31.196Z</dcterms:created>
  <dcterms:modified xsi:type="dcterms:W3CDTF">2026-09-11T17:16:31.196Z</dcterms:modified>
</cp:coreProperties>
</file>

<file path=docProps/custom.xml><?xml version="1.0" encoding="utf-8"?>
<Properties xmlns="http://schemas.openxmlformats.org/officeDocument/2006/custom-properties" xmlns:vt="http://schemas.openxmlformats.org/officeDocument/2006/docPropsVTypes"/>
</file>