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0B2A400" w14:textId="77777777" w:rsidR="00886606" w:rsidRPr="00EF3058" w:rsidRDefault="00886606" w:rsidP="00886606">
      <w:pPr>
        <w:jc w:val="center"/>
        <w:rPr>
          <w:rFonts w:ascii="Arial" w:hAnsi="Arial" w:cs="Arial"/>
          <w:b/>
          <w:bCs/>
          <w:sz w:val="28"/>
          <w:szCs w:val="28"/>
        </w:rPr>
      </w:pPr>
      <w:bookmarkStart w:id="0" w:name="_Hlk214200621"/>
    </w:p>
    <w:p w14:paraId="10CF38BC" w14:textId="77777777" w:rsidR="00A57B63" w:rsidRPr="00EF3058" w:rsidRDefault="00A57B63" w:rsidP="000476B1">
      <w:pPr>
        <w:rPr>
          <w:rFonts w:ascii="Arial" w:hAnsi="Arial" w:cs="Arial"/>
          <w:b/>
          <w:bCs/>
          <w:sz w:val="28"/>
          <w:szCs w:val="28"/>
        </w:rPr>
      </w:pPr>
    </w:p>
    <w:p w14:paraId="6FED06A6" w14:textId="77777777" w:rsidR="00886606" w:rsidRPr="00EF3058" w:rsidRDefault="00886606" w:rsidP="00886606">
      <w:pPr>
        <w:jc w:val="center"/>
        <w:rPr>
          <w:rFonts w:ascii="Arial" w:hAnsi="Arial" w:cs="Arial"/>
          <w:b/>
          <w:bCs/>
          <w:sz w:val="28"/>
          <w:szCs w:val="28"/>
        </w:rPr>
      </w:pPr>
    </w:p>
    <w:p w14:paraId="670D73B0" w14:textId="7A8C357D" w:rsidR="00886606" w:rsidRPr="00E416FE" w:rsidRDefault="00886606" w:rsidP="00886606">
      <w:pPr>
        <w:spacing w:line="360" w:lineRule="auto"/>
        <w:jc w:val="center"/>
        <w:rPr>
          <w:rFonts w:ascii="Arial" w:hAnsi="Arial" w:cs="Arial"/>
          <w:color w:val="262626" w:themeColor="text1" w:themeTint="D9"/>
          <w:sz w:val="28"/>
          <w:szCs w:val="28"/>
        </w:rPr>
      </w:pPr>
      <w:r w:rsidRPr="00E416FE">
        <w:rPr>
          <w:rFonts w:ascii="Arial" w:hAnsi="Arial" w:cs="Arial"/>
          <w:color w:val="262626" w:themeColor="text1" w:themeTint="D9"/>
          <w:sz w:val="28"/>
          <w:szCs w:val="28"/>
        </w:rPr>
        <w:t>University of Wales Trinity Saint David</w:t>
      </w:r>
    </w:p>
    <w:p w14:paraId="1C4A78D2" w14:textId="009DA129" w:rsidR="00886606" w:rsidRPr="00E416FE" w:rsidRDefault="00886606" w:rsidP="00886606">
      <w:pPr>
        <w:spacing w:line="360" w:lineRule="auto"/>
        <w:jc w:val="center"/>
        <w:rPr>
          <w:rFonts w:ascii="Arial" w:hAnsi="Arial" w:cs="Arial"/>
          <w:color w:val="262626" w:themeColor="text1" w:themeTint="D9"/>
          <w:sz w:val="28"/>
          <w:szCs w:val="28"/>
        </w:rPr>
      </w:pPr>
      <w:r w:rsidRPr="00E416FE">
        <w:rPr>
          <w:rFonts w:ascii="Arial" w:hAnsi="Arial" w:cs="Arial"/>
          <w:color w:val="262626" w:themeColor="text1" w:themeTint="D9"/>
          <w:sz w:val="28"/>
          <w:szCs w:val="28"/>
        </w:rPr>
        <w:t>Birmingham Campus</w:t>
      </w:r>
      <w:bookmarkEnd w:id="0"/>
    </w:p>
    <w:p w14:paraId="21F9310E" w14:textId="77777777" w:rsidR="00886606" w:rsidRPr="00EF3058" w:rsidRDefault="00886606" w:rsidP="00886606">
      <w:pPr>
        <w:jc w:val="center"/>
        <w:rPr>
          <w:rFonts w:ascii="Arial" w:hAnsi="Arial" w:cs="Arial"/>
          <w:b/>
          <w:bCs/>
          <w:sz w:val="28"/>
          <w:szCs w:val="28"/>
        </w:rPr>
      </w:pPr>
    </w:p>
    <w:p w14:paraId="64CB17AC" w14:textId="77777777" w:rsidR="00886606" w:rsidRPr="00EF3058" w:rsidRDefault="00886606" w:rsidP="00886606">
      <w:pPr>
        <w:jc w:val="center"/>
      </w:pPr>
      <w:r w:rsidRPr="00EF3058">
        <w:rPr>
          <w:noProof/>
        </w:rPr>
        <w:drawing>
          <wp:inline distT="0" distB="0" distL="0" distR="0" wp14:anchorId="198A0434" wp14:editId="44552F8B">
            <wp:extent cx="1810385" cy="719455"/>
            <wp:effectExtent l="0" t="0" r="0" b="0"/>
            <wp:docPr id="1272492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p w14:paraId="665EE3FD" w14:textId="5C4BDCA3" w:rsidR="00886606" w:rsidRPr="00EF3058" w:rsidRDefault="00886606" w:rsidP="000A3153">
      <w:r w:rsidRPr="00EF3058">
        <w:rPr>
          <w:noProof/>
        </w:rPr>
        <mc:AlternateContent>
          <mc:Choice Requires="wps">
            <w:drawing>
              <wp:anchor distT="0" distB="0" distL="114300" distR="114300" simplePos="0" relativeHeight="251659264" behindDoc="0" locked="0" layoutInCell="1" allowOverlap="1" wp14:anchorId="5FC626AF" wp14:editId="785BD5FE">
                <wp:simplePos x="0" y="0"/>
                <wp:positionH relativeFrom="column">
                  <wp:posOffset>206188</wp:posOffset>
                </wp:positionH>
                <wp:positionV relativeFrom="paragraph">
                  <wp:posOffset>256577</wp:posOffset>
                </wp:positionV>
                <wp:extent cx="5369859" cy="0"/>
                <wp:effectExtent l="0" t="0" r="0" b="0"/>
                <wp:wrapNone/>
                <wp:docPr id="985088492" name="Straight Connector 2"/>
                <wp:cNvGraphicFramePr/>
                <a:graphic xmlns:a="http://schemas.openxmlformats.org/drawingml/2006/main">
                  <a:graphicData uri="http://schemas.microsoft.com/office/word/2010/wordprocessingShape">
                    <wps:wsp>
                      <wps:cNvCnPr/>
                      <wps:spPr>
                        <a:xfrm>
                          <a:off x="0" y="0"/>
                          <a:ext cx="5369859" cy="0"/>
                        </a:xfrm>
                        <a:prstGeom prst="line">
                          <a:avLst/>
                        </a:prstGeom>
                        <a:ln w="12700">
                          <a:solidFill>
                            <a:srgbClr val="D4AF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8EAF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20.2pt" to="439.0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" strokecolor="#d4af37" strokeweight="1pt">
                <v:stroke joinstyle="miter"/>
              </v:line>
            </w:pict>
          </mc:Fallback>
        </mc:AlternateContent>
      </w:r>
    </w:p>
    <w:p w14:paraId="1A3BF79E" w14:textId="6323902C" w:rsidR="00886606" w:rsidRPr="00EF3058" w:rsidRDefault="00886606" w:rsidP="00886606">
      <w:pPr>
        <w:tabs>
          <w:tab w:val="left" w:pos="8358"/>
        </w:tabs>
      </w:pPr>
      <w:r w:rsidRPr="00EF3058">
        <w:tab/>
      </w:r>
    </w:p>
    <w:p w14:paraId="4C5CEF35" w14:textId="77777777" w:rsidR="00886606" w:rsidRPr="00E416FE" w:rsidRDefault="00886606" w:rsidP="00886606">
      <w:pPr>
        <w:tabs>
          <w:tab w:val="left" w:pos="8358"/>
        </w:tabs>
        <w:spacing w:line="360" w:lineRule="auto"/>
        <w:jc w:val="center"/>
        <w:rPr>
          <w:rFonts w:ascii="Arial" w:hAnsi="Arial" w:cs="Arial"/>
          <w:b/>
          <w:bCs/>
          <w:color w:val="262626" w:themeColor="text1" w:themeTint="D9"/>
          <w:sz w:val="32"/>
          <w:szCs w:val="32"/>
        </w:rPr>
      </w:pPr>
      <w:r w:rsidRPr="00E416FE">
        <w:rPr>
          <w:rFonts w:ascii="Arial" w:hAnsi="Arial" w:cs="Arial"/>
          <w:b/>
          <w:bCs/>
          <w:color w:val="262626" w:themeColor="text1" w:themeTint="D9"/>
          <w:sz w:val="32"/>
          <w:szCs w:val="32"/>
        </w:rPr>
        <w:t>International Business Consultancy Report</w:t>
      </w:r>
    </w:p>
    <w:p w14:paraId="13921275" w14:textId="0F40B696" w:rsidR="00886606" w:rsidRPr="00E416FE" w:rsidRDefault="00886606" w:rsidP="00886606">
      <w:pPr>
        <w:tabs>
          <w:tab w:val="left" w:pos="8358"/>
        </w:tabs>
        <w:spacing w:line="360" w:lineRule="auto"/>
        <w:jc w:val="center"/>
        <w:rPr>
          <w:rFonts w:ascii="Arial" w:hAnsi="Arial" w:cs="Arial"/>
          <w:b/>
          <w:bCs/>
          <w:color w:val="262626" w:themeColor="text1" w:themeTint="D9"/>
          <w:sz w:val="32"/>
          <w:szCs w:val="32"/>
        </w:rPr>
      </w:pPr>
      <w:r w:rsidRPr="00E416FE">
        <w:rPr>
          <w:rFonts w:ascii="Arial" w:hAnsi="Arial" w:cs="Arial"/>
          <w:b/>
          <w:bCs/>
          <w:color w:val="262626" w:themeColor="text1" w:themeTint="D9"/>
          <w:sz w:val="32"/>
          <w:szCs w:val="32"/>
        </w:rPr>
        <w:t>A Strategic Evaluation of L’Oréal’s Global Operations</w:t>
      </w:r>
    </w:p>
    <w:p w14:paraId="536310D6" w14:textId="30A59B84" w:rsidR="000476B1" w:rsidRPr="00E416FE" w:rsidRDefault="00886606" w:rsidP="000A3153">
      <w:pPr>
        <w:jc w:val="center"/>
        <w:rPr>
          <w:rFonts w:ascii="Arial" w:hAnsi="Arial" w:cs="Arial"/>
          <w:color w:val="262626" w:themeColor="text1" w:themeTint="D9"/>
          <w:sz w:val="24"/>
          <w:szCs w:val="24"/>
        </w:rPr>
      </w:pPr>
      <w:r w:rsidRPr="00E416FE">
        <w:rPr>
          <w:rFonts w:ascii="Arial" w:hAnsi="Arial" w:cs="Arial"/>
          <w:color w:val="262626" w:themeColor="text1" w:themeTint="D9"/>
          <w:sz w:val="24"/>
          <w:szCs w:val="24"/>
        </w:rPr>
        <w:t>Internationalisation • OLI Framework • Cultural Dynamics</w:t>
      </w:r>
    </w:p>
    <w:p w14:paraId="0146DD59" w14:textId="3ACD8258" w:rsidR="00886606" w:rsidRPr="00EF3058" w:rsidRDefault="000476B1" w:rsidP="00886606">
      <w:pPr>
        <w:tabs>
          <w:tab w:val="left" w:pos="8358"/>
        </w:tabs>
        <w:spacing w:line="360" w:lineRule="auto"/>
        <w:jc w:val="center"/>
        <w:rPr>
          <w:rFonts w:ascii="Arial" w:hAnsi="Arial" w:cs="Arial"/>
          <w:sz w:val="36"/>
          <w:szCs w:val="36"/>
        </w:rPr>
      </w:pPr>
      <w:r w:rsidRPr="00EF3058">
        <w:rPr>
          <w:rFonts w:ascii="Arial" w:hAnsi="Arial" w:cs="Arial"/>
          <w:noProof/>
          <w:sz w:val="24"/>
          <w:szCs w:val="24"/>
        </w:rPr>
        <mc:AlternateContent>
          <mc:Choice Requires="wps">
            <w:drawing>
              <wp:inline distT="0" distB="0" distL="0" distR="0" wp14:anchorId="636AEFBE" wp14:editId="6AF39840">
                <wp:extent cx="5315772" cy="0"/>
                <wp:effectExtent l="0" t="0" r="0" b="0"/>
                <wp:docPr id="1595651583" name="Straight Connector 3"/>
                <wp:cNvGraphicFramePr/>
                <a:graphic xmlns:a="http://schemas.openxmlformats.org/drawingml/2006/main">
                  <a:graphicData uri="http://schemas.microsoft.com/office/word/2010/wordprocessingShape">
                    <wps:wsp>
                      <wps:cNvCnPr/>
                      <wps:spPr>
                        <a:xfrm>
                          <a:off x="0" y="0"/>
                          <a:ext cx="5315772" cy="0"/>
                        </a:xfrm>
                        <a:prstGeom prst="line">
                          <a:avLst/>
                        </a:prstGeom>
                        <a:ln>
                          <a:solidFill>
                            <a:srgbClr val="666666"/>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2AA49E1" id="Straight Connector 3" o:spid="_x0000_s1026" style="visibility:visible;mso-wrap-style:square;mso-left-percent:-10001;mso-top-percent:-10001;mso-position-horizontal:absolute;mso-position-horizontal-relative:char;mso-position-vertical:absolute;mso-position-vertical-relative:line;mso-left-percent:-10001;mso-top-percent:-10001" from="0,0" to="418.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" strokecolor="#666" strokeweight=".5pt">
                <v:stroke joinstyle="miter"/>
                <w10:anchorlock/>
              </v:line>
            </w:pict>
          </mc:Fallback>
        </mc:AlternateContent>
      </w:r>
    </w:p>
    <w:p w14:paraId="2D72F816" w14:textId="6304A4A9"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 xml:space="preserve">Module Title: </w:t>
      </w:r>
      <w:r w:rsidR="000A3153" w:rsidRPr="00E416FE">
        <w:rPr>
          <w:rFonts w:ascii="Arial" w:hAnsi="Arial" w:cs="Arial"/>
          <w:color w:val="262626" w:themeColor="text1" w:themeTint="D9"/>
        </w:rPr>
        <w:t>International Business Concepts</w:t>
      </w:r>
    </w:p>
    <w:p w14:paraId="2EA42AF3" w14:textId="703E4D11"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 xml:space="preserve">Module Code: </w:t>
      </w:r>
      <w:r w:rsidR="000A3153" w:rsidRPr="00E416FE">
        <w:rPr>
          <w:rFonts w:ascii="Arial" w:hAnsi="Arial" w:cs="Arial"/>
          <w:color w:val="262626" w:themeColor="text1" w:themeTint="D9"/>
        </w:rPr>
        <w:t>LCMB7034</w:t>
      </w:r>
    </w:p>
    <w:p w14:paraId="6B1086A3" w14:textId="49414E71"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 xml:space="preserve">Lecturer: </w:t>
      </w:r>
      <w:r w:rsidR="000A3153" w:rsidRPr="00E416FE">
        <w:rPr>
          <w:rFonts w:ascii="Arial" w:hAnsi="Arial" w:cs="Arial"/>
          <w:color w:val="262626" w:themeColor="text1" w:themeTint="D9"/>
        </w:rPr>
        <w:t>Dr Babar Syed</w:t>
      </w:r>
    </w:p>
    <w:p w14:paraId="740A1DAA" w14:textId="77777777" w:rsidR="000476B1" w:rsidRPr="00E416FE" w:rsidRDefault="000476B1" w:rsidP="00E416FE">
      <w:pPr>
        <w:spacing w:line="360" w:lineRule="auto"/>
        <w:jc w:val="center"/>
        <w:rPr>
          <w:rFonts w:ascii="Arial" w:hAnsi="Arial" w:cs="Arial"/>
          <w:color w:val="262626" w:themeColor="text1" w:themeTint="D9"/>
        </w:rPr>
      </w:pPr>
    </w:p>
    <w:p w14:paraId="4320E5BD" w14:textId="77777777"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Student Name: Yordanka Kancheva</w:t>
      </w:r>
    </w:p>
    <w:p w14:paraId="6E370C88" w14:textId="2D386CD9"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 xml:space="preserve">Student Number: </w:t>
      </w:r>
      <w:r w:rsidR="000A3153" w:rsidRPr="00E416FE">
        <w:rPr>
          <w:rFonts w:ascii="Arial" w:hAnsi="Arial" w:cs="Arial"/>
          <w:color w:val="262626" w:themeColor="text1" w:themeTint="D9"/>
        </w:rPr>
        <w:t>2017633</w:t>
      </w:r>
    </w:p>
    <w:p w14:paraId="5C40E7FA" w14:textId="77777777" w:rsidR="000476B1" w:rsidRPr="00E416FE" w:rsidRDefault="000476B1" w:rsidP="00E416FE">
      <w:pPr>
        <w:spacing w:line="360" w:lineRule="auto"/>
        <w:jc w:val="center"/>
        <w:rPr>
          <w:rFonts w:ascii="Arial" w:hAnsi="Arial" w:cs="Arial"/>
          <w:color w:val="262626" w:themeColor="text1" w:themeTint="D9"/>
        </w:rPr>
      </w:pPr>
    </w:p>
    <w:p w14:paraId="50E8B537" w14:textId="3AE0807D"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Word Count:</w:t>
      </w:r>
      <w:r w:rsidR="002C09D0">
        <w:rPr>
          <w:rFonts w:ascii="Arial" w:hAnsi="Arial" w:cs="Arial"/>
          <w:color w:val="262626" w:themeColor="text1" w:themeTint="D9"/>
        </w:rPr>
        <w:t xml:space="preserve"> 5,300</w:t>
      </w:r>
    </w:p>
    <w:p w14:paraId="0A7CE9E8" w14:textId="7B8538A3" w:rsidR="000476B1" w:rsidRPr="00E416FE" w:rsidRDefault="000476B1" w:rsidP="00E416FE">
      <w:pPr>
        <w:spacing w:line="360" w:lineRule="auto"/>
        <w:jc w:val="center"/>
        <w:rPr>
          <w:rFonts w:ascii="Arial" w:hAnsi="Arial" w:cs="Arial"/>
          <w:color w:val="262626" w:themeColor="text1" w:themeTint="D9"/>
        </w:rPr>
      </w:pPr>
      <w:r w:rsidRPr="00E416FE">
        <w:rPr>
          <w:rFonts w:ascii="Arial" w:hAnsi="Arial" w:cs="Arial"/>
          <w:color w:val="262626" w:themeColor="text1" w:themeTint="D9"/>
        </w:rPr>
        <w:t>Date of Submission:</w:t>
      </w:r>
      <w:r w:rsidR="00E416FE">
        <w:rPr>
          <w:rFonts w:ascii="Arial" w:hAnsi="Arial" w:cs="Arial"/>
          <w:color w:val="262626" w:themeColor="text1" w:themeTint="D9"/>
        </w:rPr>
        <w:t xml:space="preserve"> 22/11/2025</w:t>
      </w:r>
    </w:p>
    <w:p w14:paraId="4097FC91" w14:textId="473A328A" w:rsidR="00311D4A" w:rsidRPr="00B24A08" w:rsidRDefault="00311D4A" w:rsidP="009A7EBE">
      <w:pPr>
        <w:pStyle w:val="ListParagraph"/>
        <w:shd w:val="clear" w:color="auto" w:fill="DFC267"/>
        <w:tabs>
          <w:tab w:val="left" w:pos="8358"/>
        </w:tabs>
        <w:spacing w:line="360" w:lineRule="auto"/>
        <w:rPr>
          <w:rFonts w:ascii="Arial" w:hAnsi="Arial" w:cs="Arial"/>
          <w:color w:val="262626" w:themeColor="text1" w:themeTint="D9"/>
          <w:sz w:val="32"/>
          <w:szCs w:val="32"/>
        </w:rPr>
      </w:pPr>
      <w:r w:rsidRPr="00B24A08">
        <w:rPr>
          <w:rFonts w:ascii="Arial" w:hAnsi="Arial" w:cs="Arial"/>
          <w:color w:val="262626" w:themeColor="text1" w:themeTint="D9"/>
          <w:sz w:val="32"/>
          <w:szCs w:val="32"/>
        </w:rPr>
        <w:lastRenderedPageBreak/>
        <w:t>E</w:t>
      </w:r>
      <w:r w:rsidR="001F13ED">
        <w:rPr>
          <w:rFonts w:ascii="Arial" w:hAnsi="Arial" w:cs="Arial"/>
          <w:color w:val="262626" w:themeColor="text1" w:themeTint="D9"/>
          <w:sz w:val="32"/>
          <w:szCs w:val="32"/>
        </w:rPr>
        <w:t>XECUTIVE SUMMARY</w:t>
      </w:r>
    </w:p>
    <w:p w14:paraId="067CB630" w14:textId="77777777" w:rsidR="009A7EBE" w:rsidRDefault="009A7EBE" w:rsidP="009A7EBE">
      <w:pPr>
        <w:pStyle w:val="ListParagraph"/>
        <w:tabs>
          <w:tab w:val="left" w:pos="8358"/>
        </w:tabs>
        <w:spacing w:line="360" w:lineRule="auto"/>
        <w:rPr>
          <w:rFonts w:ascii="Arial" w:hAnsi="Arial" w:cs="Arial"/>
          <w:color w:val="333333"/>
        </w:rPr>
      </w:pPr>
    </w:p>
    <w:p w14:paraId="7969E558" w14:textId="72E641F1"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Purpose of the Report</w:t>
      </w:r>
    </w:p>
    <w:p w14:paraId="30073389" w14:textId="6291AECF"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This consultancy report provides a critically informed evaluation of L’Oréal’s international operations, with a particular focus on the company’s expansion into India as a strategically significant emerging economy. The analysis applies the OLI (Ownership, Location, Internalisation) paradigm, together with global value chain theory and cross-cultural frameworks, to assess how international opportunities and constraints shape L’Oréal’s global competitiveness. To ensure analytical rigour, the report draws on peer-reviewed literature, annual reports, regulatory documentation and market intelligence.</w:t>
      </w:r>
    </w:p>
    <w:p w14:paraId="79BFAAF8" w14:textId="5778F6DF"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Key Findings</w:t>
      </w:r>
    </w:p>
    <w:p w14:paraId="7560930F" w14:textId="77777777" w:rsidR="00674553" w:rsidRDefault="00674553" w:rsidP="00B24A08">
      <w:pPr>
        <w:pStyle w:val="ListParagraph"/>
        <w:tabs>
          <w:tab w:val="left" w:pos="8358"/>
        </w:tabs>
        <w:spacing w:line="360" w:lineRule="auto"/>
        <w:rPr>
          <w:rFonts w:ascii="Arial" w:hAnsi="Arial" w:cs="Arial"/>
          <w:color w:val="262626" w:themeColor="text1" w:themeTint="D9"/>
        </w:rPr>
      </w:pPr>
      <w:r w:rsidRPr="00674553">
        <w:rPr>
          <w:rFonts w:ascii="Arial" w:hAnsi="Arial" w:cs="Arial"/>
          <w:color w:val="262626" w:themeColor="text1" w:themeTint="D9"/>
        </w:rPr>
        <w:t>L’Oréal’s strong ownership advantages, including world-leading brand equity, advanced R&amp;D capability and a diversified portfolio of 37 brands, generate substantial global value, contributing to annual revenues exceeding €43 billion (L’Oréal, 2024).</w:t>
      </w:r>
    </w:p>
    <w:p w14:paraId="14320280" w14:textId="2375B2FF"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Its integrated global value chain strengthens operational efficiency, speed-to-market and the balance between standardisation and local responsiveness.</w:t>
      </w:r>
    </w:p>
    <w:p w14:paraId="74F6427B" w14:textId="5BDD52CA"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India offers major growth potential through demographic expansion, ritualised beauty consumption and high digital engagement, supporting premium brand value.</w:t>
      </w:r>
    </w:p>
    <w:p w14:paraId="02B0F640" w14:textId="323D7AA4"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However, significant cultural distance requires strategic transformation in product validation, trust mediation and communication systems.</w:t>
      </w:r>
    </w:p>
    <w:p w14:paraId="104DBC68" w14:textId="08C30FDE"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Critical Insights</w:t>
      </w:r>
    </w:p>
    <w:p w14:paraId="1FAB2CC0" w14:textId="0381C970"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Internalisation advantages encourage control over intellectual property, formulas and brand meaning. Yet, in India, control alone cannot convert scientific superiority into prestige without culturally mediated legitimacy.</w:t>
      </w:r>
    </w:p>
    <w:p w14:paraId="330C3796" w14:textId="32D9972D"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Proprietary ownership must therefore be governed through ethical frameworks, ritual performance fit and trusted intermediaries (e.g., dermatologists, salons and platforms).</w:t>
      </w:r>
    </w:p>
    <w:p w14:paraId="56F848CB" w14:textId="736173DC"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Strategic Recommendations</w:t>
      </w:r>
    </w:p>
    <w:p w14:paraId="343D64A6" w14:textId="766EEC5E"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Institutionalise ethical and ritual validation in product approval processes.</w:t>
      </w:r>
    </w:p>
    <w:p w14:paraId="01E0D058" w14:textId="1C30DA3D"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Internalise trust infrastructure via governance of salons, dermatologists and platform partnerships.</w:t>
      </w:r>
    </w:p>
    <w:p w14:paraId="6FD19C7F" w14:textId="0015A68A"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Embed decentralised, culturally co-authored R&amp;D cycles to enhance climate- and ritual-specific performance.</w:t>
      </w:r>
    </w:p>
    <w:p w14:paraId="576DB384" w14:textId="77777777" w:rsidR="009A7EBE"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t>Conclusion</w:t>
      </w:r>
    </w:p>
    <w:p w14:paraId="7662E2E0" w14:textId="268CA0B4" w:rsidR="00311D4A" w:rsidRPr="00B24A08" w:rsidRDefault="009A7EBE" w:rsidP="00B24A08">
      <w:pPr>
        <w:pStyle w:val="ListParagraph"/>
        <w:tabs>
          <w:tab w:val="left" w:pos="8358"/>
        </w:tabs>
        <w:spacing w:line="360" w:lineRule="auto"/>
        <w:rPr>
          <w:rFonts w:ascii="Arial" w:hAnsi="Arial" w:cs="Arial"/>
          <w:color w:val="262626" w:themeColor="text1" w:themeTint="D9"/>
        </w:rPr>
      </w:pPr>
      <w:r w:rsidRPr="00B24A08">
        <w:rPr>
          <w:rFonts w:ascii="Arial" w:hAnsi="Arial" w:cs="Arial"/>
          <w:color w:val="262626" w:themeColor="text1" w:themeTint="D9"/>
        </w:rPr>
        <w:lastRenderedPageBreak/>
        <w:t>These reforms align ownership and internalisation with local legitimacy systems, enabling L’Oréal to convert scientific prestige into culturally ratified competitive advantage in India’s premium market.</w:t>
      </w:r>
    </w:p>
    <w:p w14:paraId="76AC82F6" w14:textId="77777777" w:rsidR="00311D4A" w:rsidRPr="00EF3058" w:rsidRDefault="00311D4A" w:rsidP="00E416FE">
      <w:pPr>
        <w:pStyle w:val="ListParagraph"/>
        <w:tabs>
          <w:tab w:val="left" w:pos="8358"/>
        </w:tabs>
        <w:spacing w:line="360" w:lineRule="auto"/>
        <w:rPr>
          <w:rFonts w:ascii="Arial" w:hAnsi="Arial" w:cs="Arial"/>
          <w:color w:val="333333"/>
          <w:sz w:val="28"/>
          <w:szCs w:val="28"/>
        </w:rPr>
      </w:pPr>
    </w:p>
    <w:p w14:paraId="69073E8B" w14:textId="77777777" w:rsidR="00311D4A" w:rsidRPr="00EF3058" w:rsidRDefault="00311D4A" w:rsidP="00E416FE">
      <w:pPr>
        <w:pStyle w:val="ListParagraph"/>
        <w:tabs>
          <w:tab w:val="left" w:pos="8358"/>
        </w:tabs>
        <w:spacing w:line="360" w:lineRule="auto"/>
        <w:rPr>
          <w:rFonts w:ascii="Arial" w:hAnsi="Arial" w:cs="Arial"/>
          <w:color w:val="333333"/>
          <w:sz w:val="28"/>
          <w:szCs w:val="28"/>
        </w:rPr>
      </w:pPr>
    </w:p>
    <w:p w14:paraId="08D32B14"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30ABF6FA"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28D8879D"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00EB493D"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11F6698B"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4BF1EEF1"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0FF46A1B"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7EF1F9AF"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p w14:paraId="61C064E7" w14:textId="77777777" w:rsidR="00311D4A" w:rsidRDefault="00311D4A" w:rsidP="005E5C4F">
      <w:pPr>
        <w:pStyle w:val="ListParagraph"/>
        <w:tabs>
          <w:tab w:val="left" w:pos="8358"/>
        </w:tabs>
        <w:spacing w:line="360" w:lineRule="auto"/>
        <w:rPr>
          <w:rFonts w:ascii="Arial" w:hAnsi="Arial" w:cs="Arial"/>
          <w:color w:val="333333"/>
          <w:sz w:val="28"/>
          <w:szCs w:val="28"/>
        </w:rPr>
      </w:pPr>
    </w:p>
    <w:p w14:paraId="322CAF7A" w14:textId="77777777" w:rsidR="00854ABC" w:rsidRDefault="00854ABC" w:rsidP="005E5C4F">
      <w:pPr>
        <w:pStyle w:val="ListParagraph"/>
        <w:tabs>
          <w:tab w:val="left" w:pos="8358"/>
        </w:tabs>
        <w:spacing w:line="360" w:lineRule="auto"/>
        <w:rPr>
          <w:rFonts w:ascii="Arial" w:hAnsi="Arial" w:cs="Arial"/>
          <w:color w:val="333333"/>
          <w:sz w:val="28"/>
          <w:szCs w:val="28"/>
        </w:rPr>
      </w:pPr>
    </w:p>
    <w:p w14:paraId="04164158" w14:textId="77777777" w:rsidR="00854ABC" w:rsidRDefault="00854ABC" w:rsidP="005E5C4F">
      <w:pPr>
        <w:pStyle w:val="ListParagraph"/>
        <w:tabs>
          <w:tab w:val="left" w:pos="8358"/>
        </w:tabs>
        <w:spacing w:line="360" w:lineRule="auto"/>
        <w:rPr>
          <w:rFonts w:ascii="Arial" w:hAnsi="Arial" w:cs="Arial"/>
          <w:color w:val="333333"/>
          <w:sz w:val="28"/>
          <w:szCs w:val="28"/>
        </w:rPr>
      </w:pPr>
    </w:p>
    <w:p w14:paraId="6BE17BC7" w14:textId="77777777" w:rsidR="00854ABC" w:rsidRDefault="00854ABC" w:rsidP="005E5C4F">
      <w:pPr>
        <w:pStyle w:val="ListParagraph"/>
        <w:tabs>
          <w:tab w:val="left" w:pos="8358"/>
        </w:tabs>
        <w:spacing w:line="360" w:lineRule="auto"/>
        <w:rPr>
          <w:rFonts w:ascii="Arial" w:hAnsi="Arial" w:cs="Arial"/>
          <w:color w:val="333333"/>
          <w:sz w:val="28"/>
          <w:szCs w:val="28"/>
        </w:rPr>
      </w:pPr>
    </w:p>
    <w:p w14:paraId="0C8BDAAF"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00463A35"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5823F389"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79FFCFAA"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4227C9A3"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45054671"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3245E632" w14:textId="77777777" w:rsidR="00B24A08" w:rsidRDefault="00B24A08" w:rsidP="005E5C4F">
      <w:pPr>
        <w:pStyle w:val="ListParagraph"/>
        <w:tabs>
          <w:tab w:val="left" w:pos="8358"/>
        </w:tabs>
        <w:spacing w:line="360" w:lineRule="auto"/>
        <w:rPr>
          <w:rFonts w:ascii="Arial" w:hAnsi="Arial" w:cs="Arial"/>
          <w:color w:val="333333"/>
          <w:sz w:val="28"/>
          <w:szCs w:val="28"/>
        </w:rPr>
      </w:pPr>
    </w:p>
    <w:p w14:paraId="24E87DC3" w14:textId="77777777" w:rsidR="00B24A08" w:rsidRPr="00EF3058" w:rsidRDefault="00B24A08" w:rsidP="005E5C4F">
      <w:pPr>
        <w:pStyle w:val="ListParagraph"/>
        <w:tabs>
          <w:tab w:val="left" w:pos="8358"/>
        </w:tabs>
        <w:spacing w:line="360" w:lineRule="auto"/>
        <w:rPr>
          <w:rFonts w:ascii="Arial" w:hAnsi="Arial" w:cs="Arial"/>
          <w:color w:val="333333"/>
          <w:sz w:val="28"/>
          <w:szCs w:val="28"/>
        </w:rPr>
      </w:pPr>
    </w:p>
    <w:p w14:paraId="6E113658" w14:textId="77777777" w:rsidR="00311D4A" w:rsidRPr="00EF3058" w:rsidRDefault="00311D4A" w:rsidP="005E5C4F">
      <w:pPr>
        <w:pStyle w:val="ListParagraph"/>
        <w:tabs>
          <w:tab w:val="left" w:pos="8358"/>
        </w:tabs>
        <w:spacing w:line="360" w:lineRule="auto"/>
        <w:rPr>
          <w:rFonts w:ascii="Arial" w:hAnsi="Arial" w:cs="Arial"/>
          <w:color w:val="333333"/>
          <w:sz w:val="28"/>
          <w:szCs w:val="28"/>
        </w:rPr>
      </w:pPr>
    </w:p>
    <w:sdt>
      <w:sdtPr>
        <w:rPr>
          <w:rFonts w:asciiTheme="minorHAnsi" w:eastAsiaTheme="minorHAnsi" w:hAnsiTheme="minorHAnsi" w:cstheme="minorBidi"/>
          <w:color w:val="auto"/>
          <w:kern w:val="2"/>
          <w:sz w:val="22"/>
          <w:szCs w:val="22"/>
          <w:lang w:val="en-GB"/>
          <w14:ligatures w14:val="standardContextual"/>
        </w:rPr>
        <w:id w:val="-1842766962"/>
        <w:docPartObj>
          <w:docPartGallery w:val="Table of Contents"/>
          <w:docPartUnique/>
        </w:docPartObj>
      </w:sdtPr>
      <w:sdtEndPr>
        <w:rPr>
          <w:rFonts w:ascii="Arial" w:hAnsi="Arial" w:cs="Arial"/>
          <w:b/>
          <w:bCs/>
        </w:rPr>
      </w:sdtEndPr>
      <w:sdtContent>
        <w:p w14:paraId="0833EC8E" w14:textId="567495C5" w:rsidR="00580811" w:rsidRPr="00B24A08" w:rsidRDefault="00580811" w:rsidP="00F06FD0">
          <w:pPr>
            <w:pStyle w:val="TOCHeading"/>
            <w:shd w:val="clear" w:color="auto" w:fill="D4AF37"/>
            <w:rPr>
              <w:rFonts w:ascii="Arial" w:hAnsi="Arial" w:cs="Arial"/>
              <w:color w:val="262626" w:themeColor="text1" w:themeTint="D9"/>
              <w:lang w:val="en-GB"/>
            </w:rPr>
          </w:pPr>
          <w:r w:rsidRPr="00B24A08">
            <w:rPr>
              <w:rFonts w:ascii="Arial" w:hAnsi="Arial" w:cs="Arial"/>
              <w:color w:val="262626" w:themeColor="text1" w:themeTint="D9"/>
              <w:lang w:val="en-GB"/>
            </w:rPr>
            <w:t>T</w:t>
          </w:r>
          <w:r w:rsidR="001F13ED">
            <w:rPr>
              <w:rFonts w:ascii="Arial" w:hAnsi="Arial" w:cs="Arial"/>
              <w:color w:val="262626" w:themeColor="text1" w:themeTint="D9"/>
              <w:lang w:val="en-GB"/>
            </w:rPr>
            <w:t>ABLE OF CONTENTS</w:t>
          </w:r>
        </w:p>
        <w:p w14:paraId="04C56276" w14:textId="77777777" w:rsidR="00F06FD0" w:rsidRPr="00EF3058" w:rsidRDefault="00F06FD0">
          <w:pPr>
            <w:pStyle w:val="TOC1"/>
            <w:tabs>
              <w:tab w:val="right" w:leader="dot" w:pos="9350"/>
            </w:tabs>
          </w:pPr>
        </w:p>
        <w:p w14:paraId="6B129D74" w14:textId="1B5DE74A" w:rsidR="00287548" w:rsidRPr="00287548" w:rsidRDefault="00580811"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r w:rsidRPr="00287548">
            <w:rPr>
              <w:rFonts w:ascii="Arial" w:hAnsi="Arial" w:cs="Arial"/>
              <w:color w:val="262626" w:themeColor="text1" w:themeTint="D9"/>
            </w:rPr>
            <w:fldChar w:fldCharType="begin"/>
          </w:r>
          <w:r w:rsidRPr="00287548">
            <w:rPr>
              <w:rFonts w:ascii="Arial" w:hAnsi="Arial" w:cs="Arial"/>
              <w:color w:val="262626" w:themeColor="text1" w:themeTint="D9"/>
            </w:rPr>
            <w:instrText xml:space="preserve"> TOC \o "1-3" \h \z \u </w:instrText>
          </w:r>
          <w:r w:rsidRPr="00287548">
            <w:rPr>
              <w:rFonts w:ascii="Arial" w:hAnsi="Arial" w:cs="Arial"/>
              <w:color w:val="262626" w:themeColor="text1" w:themeTint="D9"/>
            </w:rPr>
            <w:fldChar w:fldCharType="separate"/>
          </w:r>
          <w:hyperlink w:anchor="_Toc214672835" w:history="1">
            <w:r w:rsidR="00287548" w:rsidRPr="00287548">
              <w:rPr>
                <w:rStyle w:val="Hyperlink"/>
                <w:rFonts w:ascii="Arial" w:hAnsi="Arial" w:cs="Arial"/>
                <w:noProof/>
                <w:color w:val="262626" w:themeColor="text1" w:themeTint="D9"/>
              </w:rPr>
              <w:t>1. INTRODUCTION</w:t>
            </w:r>
            <w:r w:rsidR="00287548" w:rsidRPr="00287548">
              <w:rPr>
                <w:rFonts w:ascii="Arial" w:hAnsi="Arial" w:cs="Arial"/>
                <w:noProof/>
                <w:webHidden/>
                <w:color w:val="262626" w:themeColor="text1" w:themeTint="D9"/>
              </w:rPr>
              <w:tab/>
            </w:r>
            <w:r w:rsidR="00287548" w:rsidRPr="00287548">
              <w:rPr>
                <w:rFonts w:ascii="Arial" w:hAnsi="Arial" w:cs="Arial"/>
                <w:noProof/>
                <w:webHidden/>
                <w:color w:val="262626" w:themeColor="text1" w:themeTint="D9"/>
              </w:rPr>
              <w:fldChar w:fldCharType="begin"/>
            </w:r>
            <w:r w:rsidR="00287548" w:rsidRPr="00287548">
              <w:rPr>
                <w:rFonts w:ascii="Arial" w:hAnsi="Arial" w:cs="Arial"/>
                <w:noProof/>
                <w:webHidden/>
                <w:color w:val="262626" w:themeColor="text1" w:themeTint="D9"/>
              </w:rPr>
              <w:instrText xml:space="preserve"> PAGEREF _Toc214672835 \h </w:instrText>
            </w:r>
            <w:r w:rsidR="00287548" w:rsidRPr="00287548">
              <w:rPr>
                <w:rFonts w:ascii="Arial" w:hAnsi="Arial" w:cs="Arial"/>
                <w:noProof/>
                <w:webHidden/>
                <w:color w:val="262626" w:themeColor="text1" w:themeTint="D9"/>
              </w:rPr>
            </w:r>
            <w:r w:rsidR="00287548" w:rsidRPr="00287548">
              <w:rPr>
                <w:rFonts w:ascii="Arial" w:hAnsi="Arial" w:cs="Arial"/>
                <w:noProof/>
                <w:webHidden/>
                <w:color w:val="262626" w:themeColor="text1" w:themeTint="D9"/>
              </w:rPr>
              <w:fldChar w:fldCharType="separate"/>
            </w:r>
            <w:r w:rsidR="00287548" w:rsidRPr="00287548">
              <w:rPr>
                <w:rFonts w:ascii="Arial" w:hAnsi="Arial" w:cs="Arial"/>
                <w:noProof/>
                <w:webHidden/>
                <w:color w:val="262626" w:themeColor="text1" w:themeTint="D9"/>
              </w:rPr>
              <w:t>5</w:t>
            </w:r>
            <w:r w:rsidR="00287548" w:rsidRPr="00287548">
              <w:rPr>
                <w:rFonts w:ascii="Arial" w:hAnsi="Arial" w:cs="Arial"/>
                <w:noProof/>
                <w:webHidden/>
                <w:color w:val="262626" w:themeColor="text1" w:themeTint="D9"/>
              </w:rPr>
              <w:fldChar w:fldCharType="end"/>
            </w:r>
          </w:hyperlink>
        </w:p>
        <w:p w14:paraId="442F5B3C" w14:textId="24119B52"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36" w:history="1">
            <w:r w:rsidRPr="00287548">
              <w:rPr>
                <w:rStyle w:val="Hyperlink"/>
                <w:rFonts w:ascii="Arial" w:hAnsi="Arial" w:cs="Arial"/>
                <w:noProof/>
                <w:color w:val="262626" w:themeColor="text1" w:themeTint="D9"/>
              </w:rPr>
              <w:t>2. L’ORÉAL’S STRATEGIC ARCHITECTURE: CONFIGURATION AND CRITICAL TENSIONS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_Toc214672836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6</w:t>
            </w:r>
            <w:r w:rsidRPr="00287548">
              <w:rPr>
                <w:rFonts w:ascii="Arial" w:hAnsi="Arial" w:cs="Arial"/>
                <w:noProof/>
                <w:webHidden/>
                <w:color w:val="262626" w:themeColor="text1" w:themeTint="D9"/>
              </w:rPr>
              <w:fldChar w:fldCharType="end"/>
            </w:r>
          </w:hyperlink>
        </w:p>
        <w:p w14:paraId="67CBDC72" w14:textId="20F4879E"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37" w:history="1">
            <w:r w:rsidRPr="00287548">
              <w:rPr>
                <w:rStyle w:val="Hyperlink"/>
                <w:rFonts w:ascii="Arial" w:hAnsi="Arial" w:cs="Arial"/>
                <w:noProof/>
                <w:color w:val="262626" w:themeColor="text1" w:themeTint="D9"/>
              </w:rPr>
              <w:t>2.1. L’Oréal’s Configuration as a Transnational Corporation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_Toc214672837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6</w:t>
            </w:r>
            <w:r w:rsidRPr="00287548">
              <w:rPr>
                <w:rFonts w:ascii="Arial" w:hAnsi="Arial" w:cs="Arial"/>
                <w:noProof/>
                <w:webHidden/>
                <w:color w:val="262626" w:themeColor="text1" w:themeTint="D9"/>
              </w:rPr>
              <w:fldChar w:fldCharType="end"/>
            </w:r>
          </w:hyperlink>
        </w:p>
        <w:p w14:paraId="12D4DE7A" w14:textId="7EC6FC9D"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38" w:history="1">
            <w:r w:rsidRPr="00287548">
              <w:rPr>
                <w:rStyle w:val="Hyperlink"/>
                <w:rFonts w:ascii="Arial" w:hAnsi="Arial" w:cs="Arial"/>
                <w:noProof/>
                <w:color w:val="262626" w:themeColor="text1" w:themeTint="D9"/>
              </w:rPr>
              <w:t>2.2 Critical Analysis of the International Value Chain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_Toc214672838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7</w:t>
            </w:r>
            <w:r w:rsidRPr="00287548">
              <w:rPr>
                <w:rFonts w:ascii="Arial" w:hAnsi="Arial" w:cs="Arial"/>
                <w:noProof/>
                <w:webHidden/>
                <w:color w:val="262626" w:themeColor="text1" w:themeTint="D9"/>
              </w:rPr>
              <w:fldChar w:fldCharType="end"/>
            </w:r>
          </w:hyperlink>
        </w:p>
        <w:p w14:paraId="0B67B8BA" w14:textId="56AA7F91"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39" w:history="1">
            <w:r w:rsidRPr="00287548">
              <w:rPr>
                <w:rStyle w:val="Hyperlink"/>
                <w:rFonts w:ascii="Arial" w:hAnsi="Arial" w:cs="Arial"/>
                <w:noProof/>
                <w:color w:val="262626" w:themeColor="text1" w:themeTint="D9"/>
              </w:rPr>
              <w:t>2.3 Entry Modes in L’Oréal’s International Markets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_Toc214672839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9</w:t>
            </w:r>
            <w:r w:rsidRPr="00287548">
              <w:rPr>
                <w:rFonts w:ascii="Arial" w:hAnsi="Arial" w:cs="Arial"/>
                <w:noProof/>
                <w:webHidden/>
                <w:color w:val="262626" w:themeColor="text1" w:themeTint="D9"/>
              </w:rPr>
              <w:fldChar w:fldCharType="end"/>
            </w:r>
          </w:hyperlink>
        </w:p>
        <w:p w14:paraId="25267936" w14:textId="450CB757"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0" w:history="1">
            <w:r w:rsidRPr="00287548">
              <w:rPr>
                <w:rStyle w:val="Hyperlink"/>
                <w:rFonts w:ascii="Arial" w:hAnsi="Arial" w:cs="Arial"/>
                <w:noProof/>
                <w:color w:val="262626" w:themeColor="text1" w:themeTint="D9"/>
              </w:rPr>
              <w:t>2.4 Strategic Implications of Internationalisation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_Toc214672840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10</w:t>
            </w:r>
            <w:r w:rsidRPr="00287548">
              <w:rPr>
                <w:rFonts w:ascii="Arial" w:hAnsi="Arial" w:cs="Arial"/>
                <w:noProof/>
                <w:webHidden/>
                <w:color w:val="262626" w:themeColor="text1" w:themeTint="D9"/>
              </w:rPr>
              <w:fldChar w:fldCharType="end"/>
            </w:r>
          </w:hyperlink>
        </w:p>
        <w:p w14:paraId="5004C497" w14:textId="6FB55CEB"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1" w:history="1">
            <w:r w:rsidRPr="00287548">
              <w:rPr>
                <w:rStyle w:val="Hyperlink"/>
                <w:rFonts w:ascii="Arial" w:hAnsi="Arial" w:cs="Arial"/>
                <w:noProof/>
                <w:color w:val="262626" w:themeColor="text1" w:themeTint="D9"/>
              </w:rPr>
              <w:t>3. OLI FRAMEWORK AND L’ORÉAL’S MARKET ENTRY STRATEGY IN INDIA’S PREMIUM SEGMENT</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_Toc214672841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12</w:t>
            </w:r>
            <w:r w:rsidRPr="00287548">
              <w:rPr>
                <w:rFonts w:ascii="Arial" w:hAnsi="Arial" w:cs="Arial"/>
                <w:noProof/>
                <w:webHidden/>
                <w:color w:val="262626" w:themeColor="text1" w:themeTint="D9"/>
              </w:rPr>
              <w:fldChar w:fldCharType="end"/>
            </w:r>
          </w:hyperlink>
        </w:p>
        <w:p w14:paraId="61F6A2A1" w14:textId="5F9B4D52"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2" w:history="1">
            <w:r w:rsidRPr="00287548">
              <w:rPr>
                <w:rStyle w:val="Hyperlink"/>
                <w:rFonts w:ascii="Arial" w:hAnsi="Arial" w:cs="Arial"/>
                <w:noProof/>
                <w:color w:val="262626" w:themeColor="text1" w:themeTint="D9"/>
              </w:rPr>
              <w:t>3.1 Ownership Advantages: Digital Prestige, Scientific IP and Conditional Value (India vs United States)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_Toc214672842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13</w:t>
            </w:r>
            <w:r w:rsidRPr="00287548">
              <w:rPr>
                <w:rFonts w:ascii="Arial" w:hAnsi="Arial" w:cs="Arial"/>
                <w:noProof/>
                <w:webHidden/>
                <w:color w:val="262626" w:themeColor="text1" w:themeTint="D9"/>
              </w:rPr>
              <w:fldChar w:fldCharType="end"/>
            </w:r>
          </w:hyperlink>
        </w:p>
        <w:p w14:paraId="4DC9E928" w14:textId="5D409BA1"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3" w:history="1">
            <w:r w:rsidRPr="00287548">
              <w:rPr>
                <w:rStyle w:val="Hyperlink"/>
                <w:rFonts w:ascii="Arial" w:hAnsi="Arial" w:cs="Arial"/>
                <w:noProof/>
                <w:color w:val="262626" w:themeColor="text1" w:themeTint="D9"/>
              </w:rPr>
              <w:t>3.2 Location Factors: Market Potential, Institutional Distance and Platform Interdependence (India vs China vs Brazil)</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_Toc214672843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13</w:t>
            </w:r>
            <w:r w:rsidRPr="00287548">
              <w:rPr>
                <w:rFonts w:ascii="Arial" w:hAnsi="Arial" w:cs="Arial"/>
                <w:noProof/>
                <w:webHidden/>
                <w:color w:val="262626" w:themeColor="text1" w:themeTint="D9"/>
              </w:rPr>
              <w:fldChar w:fldCharType="end"/>
            </w:r>
          </w:hyperlink>
        </w:p>
        <w:p w14:paraId="5602883C" w14:textId="059038E3"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4" w:history="1">
            <w:r w:rsidRPr="00287548">
              <w:rPr>
                <w:rStyle w:val="Hyperlink"/>
                <w:rFonts w:ascii="Arial" w:hAnsi="Arial" w:cs="Arial"/>
                <w:noProof/>
                <w:color w:val="262626" w:themeColor="text1" w:themeTint="D9"/>
              </w:rPr>
              <w:t>3.3 Internalisation Advantages: Prestige Control, Ethical Governance and Transaction Cost Inflation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_Toc214672844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14</w:t>
            </w:r>
            <w:r w:rsidRPr="00287548">
              <w:rPr>
                <w:rFonts w:ascii="Arial" w:hAnsi="Arial" w:cs="Arial"/>
                <w:noProof/>
                <w:webHidden/>
                <w:color w:val="262626" w:themeColor="text1" w:themeTint="D9"/>
              </w:rPr>
              <w:fldChar w:fldCharType="end"/>
            </w:r>
          </w:hyperlink>
        </w:p>
        <w:p w14:paraId="3A31446F" w14:textId="0A9C7A14"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5" w:history="1">
            <w:r w:rsidRPr="00287548">
              <w:rPr>
                <w:rStyle w:val="Hyperlink"/>
                <w:rFonts w:ascii="Arial" w:hAnsi="Arial" w:cs="Arial"/>
                <w:noProof/>
                <w:color w:val="262626" w:themeColor="text1" w:themeTint="D9"/>
              </w:rPr>
              <w:t>3.4 Alignment Challenges: When O, L and I Contradict Each Other Across Markets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_Toc214672845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15</w:t>
            </w:r>
            <w:r w:rsidRPr="00287548">
              <w:rPr>
                <w:rFonts w:ascii="Arial" w:hAnsi="Arial" w:cs="Arial"/>
                <w:noProof/>
                <w:webHidden/>
                <w:color w:val="262626" w:themeColor="text1" w:themeTint="D9"/>
              </w:rPr>
              <w:fldChar w:fldCharType="end"/>
            </w:r>
          </w:hyperlink>
        </w:p>
        <w:p w14:paraId="0F1B199D" w14:textId="267B9015"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6" w:history="1">
            <w:r w:rsidRPr="00287548">
              <w:rPr>
                <w:rStyle w:val="Hyperlink"/>
                <w:rFonts w:ascii="Arial" w:hAnsi="Arial" w:cs="Arial"/>
                <w:noProof/>
                <w:color w:val="262626" w:themeColor="text1" w:themeTint="D9"/>
              </w:rPr>
              <w:t>3.5 Comparative Implication and Conditional Entry Mode Logic</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_Toc214672846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15</w:t>
            </w:r>
            <w:r w:rsidRPr="00287548">
              <w:rPr>
                <w:rFonts w:ascii="Arial" w:hAnsi="Arial" w:cs="Arial"/>
                <w:noProof/>
                <w:webHidden/>
                <w:color w:val="262626" w:themeColor="text1" w:themeTint="D9"/>
              </w:rPr>
              <w:fldChar w:fldCharType="end"/>
            </w:r>
          </w:hyperlink>
        </w:p>
        <w:p w14:paraId="1DB253DC" w14:textId="2F3F2A3A"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7" w:history="1">
            <w:r w:rsidRPr="00287548">
              <w:rPr>
                <w:rStyle w:val="Hyperlink"/>
                <w:rFonts w:ascii="Arial" w:hAnsi="Arial" w:cs="Arial"/>
                <w:noProof/>
                <w:color w:val="262626" w:themeColor="text1" w:themeTint="D9"/>
              </w:rPr>
              <w:t>4. CRITICAL CULTURAL EVALUATION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_Toc214672847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16</w:t>
            </w:r>
            <w:r w:rsidRPr="00287548">
              <w:rPr>
                <w:rFonts w:ascii="Arial" w:hAnsi="Arial" w:cs="Arial"/>
                <w:noProof/>
                <w:webHidden/>
                <w:color w:val="262626" w:themeColor="text1" w:themeTint="D9"/>
              </w:rPr>
              <w:fldChar w:fldCharType="end"/>
            </w:r>
          </w:hyperlink>
        </w:p>
        <w:p w14:paraId="5D47DEC2" w14:textId="30DA4934"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8" w:history="1">
            <w:r w:rsidRPr="00287548">
              <w:rPr>
                <w:rStyle w:val="Hyperlink"/>
                <w:rFonts w:ascii="Arial" w:hAnsi="Arial" w:cs="Arial"/>
                <w:noProof/>
                <w:color w:val="262626" w:themeColor="text1" w:themeTint="D9"/>
              </w:rPr>
              <w:t>4.1 Cultural Conditions Shaping Entry and Brand Success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_Toc214672848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16</w:t>
            </w:r>
            <w:r w:rsidRPr="00287548">
              <w:rPr>
                <w:rFonts w:ascii="Arial" w:hAnsi="Arial" w:cs="Arial"/>
                <w:noProof/>
                <w:webHidden/>
                <w:color w:val="262626" w:themeColor="text1" w:themeTint="D9"/>
              </w:rPr>
              <w:fldChar w:fldCharType="end"/>
            </w:r>
          </w:hyperlink>
        </w:p>
        <w:p w14:paraId="2939AF64" w14:textId="79F2D781"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49" w:history="1">
            <w:r w:rsidRPr="00287548">
              <w:rPr>
                <w:rStyle w:val="Hyperlink"/>
                <w:rFonts w:ascii="Arial" w:hAnsi="Arial" w:cs="Arial"/>
                <w:noProof/>
                <w:color w:val="262626" w:themeColor="text1" w:themeTint="D9"/>
              </w:rPr>
              <w:t>4.2 Relevant Cultural Differences: France vs. India</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_Toc214672849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17</w:t>
            </w:r>
            <w:r w:rsidRPr="00287548">
              <w:rPr>
                <w:rFonts w:ascii="Arial" w:hAnsi="Arial" w:cs="Arial"/>
                <w:noProof/>
                <w:webHidden/>
                <w:color w:val="262626" w:themeColor="text1" w:themeTint="D9"/>
              </w:rPr>
              <w:fldChar w:fldCharType="end"/>
            </w:r>
          </w:hyperlink>
        </w:p>
        <w:p w14:paraId="250A4CEC" w14:textId="2FFAFA27"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0" w:history="1">
            <w:r w:rsidRPr="00287548">
              <w:rPr>
                <w:rStyle w:val="Hyperlink"/>
                <w:rFonts w:ascii="Arial" w:hAnsi="Arial" w:cs="Arial"/>
                <w:noProof/>
                <w:color w:val="262626" w:themeColor="text1" w:themeTint="D9"/>
              </w:rPr>
              <w:t>4.3 Impact on Entry Strategy: Ownership Does Not Secure Legitimacy</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_Toc214672850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17</w:t>
            </w:r>
            <w:r w:rsidRPr="00287548">
              <w:rPr>
                <w:rFonts w:ascii="Arial" w:hAnsi="Arial" w:cs="Arial"/>
                <w:noProof/>
                <w:webHidden/>
                <w:color w:val="262626" w:themeColor="text1" w:themeTint="D9"/>
              </w:rPr>
              <w:fldChar w:fldCharType="end"/>
            </w:r>
          </w:hyperlink>
        </w:p>
        <w:p w14:paraId="1735B90D" w14:textId="335FD859"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1" w:history="1">
            <w:r w:rsidRPr="00287548">
              <w:rPr>
                <w:rStyle w:val="Hyperlink"/>
                <w:rFonts w:ascii="Arial" w:hAnsi="Arial" w:cs="Arial"/>
                <w:noProof/>
                <w:color w:val="262626" w:themeColor="text1" w:themeTint="D9"/>
              </w:rPr>
              <w:t>4.4 Impact on Branding: Misaligned Signalling Risks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_Toc214672851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18</w:t>
            </w:r>
            <w:r w:rsidRPr="00287548">
              <w:rPr>
                <w:rFonts w:ascii="Arial" w:hAnsi="Arial" w:cs="Arial"/>
                <w:noProof/>
                <w:webHidden/>
                <w:color w:val="262626" w:themeColor="text1" w:themeTint="D9"/>
              </w:rPr>
              <w:fldChar w:fldCharType="end"/>
            </w:r>
          </w:hyperlink>
        </w:p>
        <w:p w14:paraId="0308EDDC" w14:textId="1707F651"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2" w:history="1">
            <w:r w:rsidRPr="00287548">
              <w:rPr>
                <w:rStyle w:val="Hyperlink"/>
                <w:rFonts w:ascii="Arial" w:hAnsi="Arial" w:cs="Arial"/>
                <w:noProof/>
                <w:color w:val="262626" w:themeColor="text1" w:themeTint="D9"/>
              </w:rPr>
              <w:t>4.5 Cultural Impact on Trust Formation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_Toc214672852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18</w:t>
            </w:r>
            <w:r w:rsidRPr="00287548">
              <w:rPr>
                <w:rFonts w:ascii="Arial" w:hAnsi="Arial" w:cs="Arial"/>
                <w:noProof/>
                <w:webHidden/>
                <w:color w:val="262626" w:themeColor="text1" w:themeTint="D9"/>
              </w:rPr>
              <w:fldChar w:fldCharType="end"/>
            </w:r>
          </w:hyperlink>
        </w:p>
        <w:p w14:paraId="0899C500" w14:textId="22085CE7"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3" w:history="1">
            <w:r w:rsidRPr="00287548">
              <w:rPr>
                <w:rStyle w:val="Hyperlink"/>
                <w:rFonts w:ascii="Arial" w:hAnsi="Arial" w:cs="Arial"/>
                <w:noProof/>
                <w:color w:val="262626" w:themeColor="text1" w:themeTint="D9"/>
              </w:rPr>
              <w:t>4.6 Cultural Impact on Product Ritualisation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_Toc214672853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18</w:t>
            </w:r>
            <w:r w:rsidRPr="00287548">
              <w:rPr>
                <w:rFonts w:ascii="Arial" w:hAnsi="Arial" w:cs="Arial"/>
                <w:noProof/>
                <w:webHidden/>
                <w:color w:val="262626" w:themeColor="text1" w:themeTint="D9"/>
              </w:rPr>
              <w:fldChar w:fldCharType="end"/>
            </w:r>
          </w:hyperlink>
        </w:p>
        <w:p w14:paraId="0E274DB3" w14:textId="0DF62D84"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4" w:history="1">
            <w:r w:rsidRPr="00287548">
              <w:rPr>
                <w:rStyle w:val="Hyperlink"/>
                <w:rFonts w:ascii="Arial" w:hAnsi="Arial" w:cs="Arial"/>
                <w:noProof/>
                <w:color w:val="262626" w:themeColor="text1" w:themeTint="D9"/>
              </w:rPr>
              <w:t>4.7 Synthesis: Culture as Conditional Value Realisation</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_Toc214672854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19</w:t>
            </w:r>
            <w:r w:rsidRPr="00287548">
              <w:rPr>
                <w:rFonts w:ascii="Arial" w:hAnsi="Arial" w:cs="Arial"/>
                <w:noProof/>
                <w:webHidden/>
                <w:color w:val="262626" w:themeColor="text1" w:themeTint="D9"/>
              </w:rPr>
              <w:fldChar w:fldCharType="end"/>
            </w:r>
          </w:hyperlink>
        </w:p>
        <w:p w14:paraId="14DC7515" w14:textId="1212C199"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5" w:history="1">
            <w:r w:rsidRPr="00287548">
              <w:rPr>
                <w:rStyle w:val="Hyperlink"/>
                <w:rFonts w:ascii="Arial" w:hAnsi="Arial" w:cs="Arial"/>
                <w:noProof/>
                <w:color w:val="262626" w:themeColor="text1" w:themeTint="D9"/>
              </w:rPr>
              <w:t>5. LEGITIMACY - FIRST SOP REFORMS FOR PREMIUM MARKET ENTRY IN INDIA</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_Toc214672855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19</w:t>
            </w:r>
            <w:r w:rsidRPr="00287548">
              <w:rPr>
                <w:rFonts w:ascii="Arial" w:hAnsi="Arial" w:cs="Arial"/>
                <w:noProof/>
                <w:webHidden/>
                <w:color w:val="262626" w:themeColor="text1" w:themeTint="D9"/>
              </w:rPr>
              <w:fldChar w:fldCharType="end"/>
            </w:r>
          </w:hyperlink>
        </w:p>
        <w:p w14:paraId="68845F89" w14:textId="4CF42AE4"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6" w:history="1">
            <w:r w:rsidRPr="00287548">
              <w:rPr>
                <w:rStyle w:val="Hyperlink"/>
                <w:rFonts w:ascii="Arial" w:hAnsi="Arial" w:cs="Arial"/>
                <w:noProof/>
                <w:color w:val="262626" w:themeColor="text1" w:themeTint="D9"/>
              </w:rPr>
              <w:t>5.1 Standard Operating Procedure (SOP) Reforms for Legitimacy-First Market Entry in India</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_Toc214672856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19</w:t>
            </w:r>
            <w:r w:rsidRPr="00287548">
              <w:rPr>
                <w:rFonts w:ascii="Arial" w:hAnsi="Arial" w:cs="Arial"/>
                <w:noProof/>
                <w:webHidden/>
                <w:color w:val="262626" w:themeColor="text1" w:themeTint="D9"/>
              </w:rPr>
              <w:fldChar w:fldCharType="end"/>
            </w:r>
          </w:hyperlink>
        </w:p>
        <w:p w14:paraId="3951F61B" w14:textId="7BF9CF3C"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7" w:history="1">
            <w:r w:rsidRPr="00287548">
              <w:rPr>
                <w:rStyle w:val="Hyperlink"/>
                <w:rFonts w:ascii="Arial" w:hAnsi="Arial" w:cs="Arial"/>
                <w:noProof/>
                <w:color w:val="262626" w:themeColor="text1" w:themeTint="D9"/>
              </w:rPr>
              <w:t>5.2 SOP Reform 1: Ritual - Legitimacy Validation (RLV-SOP)</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_Toc214672857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20</w:t>
            </w:r>
            <w:r w:rsidRPr="00287548">
              <w:rPr>
                <w:rFonts w:ascii="Arial" w:hAnsi="Arial" w:cs="Arial"/>
                <w:noProof/>
                <w:webHidden/>
                <w:color w:val="262626" w:themeColor="text1" w:themeTint="D9"/>
              </w:rPr>
              <w:fldChar w:fldCharType="end"/>
            </w:r>
          </w:hyperlink>
        </w:p>
        <w:p w14:paraId="185B3830" w14:textId="6D134EF7"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8" w:history="1">
            <w:r w:rsidRPr="00287548">
              <w:rPr>
                <w:rStyle w:val="Hyperlink"/>
                <w:rFonts w:ascii="Arial" w:hAnsi="Arial" w:cs="Arial"/>
                <w:noProof/>
                <w:color w:val="262626" w:themeColor="text1" w:themeTint="D9"/>
              </w:rPr>
              <w:t>5.3 SOP Reform 2: Authority Mediation Governance (AMG-SOP)</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_Toc214672858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21</w:t>
            </w:r>
            <w:r w:rsidRPr="00287548">
              <w:rPr>
                <w:rFonts w:ascii="Arial" w:hAnsi="Arial" w:cs="Arial"/>
                <w:noProof/>
                <w:webHidden/>
                <w:color w:val="262626" w:themeColor="text1" w:themeTint="D9"/>
              </w:rPr>
              <w:fldChar w:fldCharType="end"/>
            </w:r>
          </w:hyperlink>
        </w:p>
        <w:p w14:paraId="7E873CC3" w14:textId="7FEAD33A"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59" w:history="1">
            <w:r w:rsidRPr="00287548">
              <w:rPr>
                <w:rStyle w:val="Hyperlink"/>
                <w:rFonts w:ascii="Arial" w:hAnsi="Arial" w:cs="Arial"/>
                <w:noProof/>
                <w:color w:val="262626" w:themeColor="text1" w:themeTint="D9"/>
              </w:rPr>
              <w:t>5.4 SOP Reform 3: Decentralised Co-Innovation via CRIL-Protocol</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_Toc214672859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22</w:t>
            </w:r>
            <w:r w:rsidRPr="00287548">
              <w:rPr>
                <w:rFonts w:ascii="Arial" w:hAnsi="Arial" w:cs="Arial"/>
                <w:noProof/>
                <w:webHidden/>
                <w:color w:val="262626" w:themeColor="text1" w:themeTint="D9"/>
              </w:rPr>
              <w:fldChar w:fldCharType="end"/>
            </w:r>
          </w:hyperlink>
        </w:p>
        <w:p w14:paraId="2532EEF1" w14:textId="61320C1C" w:rsidR="00287548" w:rsidRPr="00287548" w:rsidRDefault="00287548" w:rsidP="00287548">
          <w:pPr>
            <w:pStyle w:val="TOC2"/>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60" w:history="1">
            <w:r w:rsidRPr="00287548">
              <w:rPr>
                <w:rStyle w:val="Hyperlink"/>
                <w:rFonts w:ascii="Arial" w:hAnsi="Arial" w:cs="Arial"/>
                <w:noProof/>
                <w:color w:val="262626" w:themeColor="text1" w:themeTint="D9"/>
              </w:rPr>
              <w:t>5.5 Strategic Implications Summary</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_Toc214672860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24</w:t>
            </w:r>
            <w:r w:rsidRPr="00287548">
              <w:rPr>
                <w:rFonts w:ascii="Arial" w:hAnsi="Arial" w:cs="Arial"/>
                <w:noProof/>
                <w:webHidden/>
                <w:color w:val="262626" w:themeColor="text1" w:themeTint="D9"/>
              </w:rPr>
              <w:fldChar w:fldCharType="end"/>
            </w:r>
          </w:hyperlink>
        </w:p>
        <w:p w14:paraId="2E054ED2" w14:textId="2F000ED5"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61" w:history="1">
            <w:r w:rsidRPr="00287548">
              <w:rPr>
                <w:rStyle w:val="Hyperlink"/>
                <w:rFonts w:ascii="Arial" w:hAnsi="Arial" w:cs="Arial"/>
                <w:noProof/>
                <w:color w:val="262626" w:themeColor="text1" w:themeTint="D9"/>
              </w:rPr>
              <w:t>6. CONCLUSION: LEGITIMISED CONTROL IN GLOBAL MARKET ENTRY</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_Toc214672861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24</w:t>
            </w:r>
            <w:r w:rsidRPr="00287548">
              <w:rPr>
                <w:rFonts w:ascii="Arial" w:hAnsi="Arial" w:cs="Arial"/>
                <w:noProof/>
                <w:webHidden/>
                <w:color w:val="262626" w:themeColor="text1" w:themeTint="D9"/>
              </w:rPr>
              <w:fldChar w:fldCharType="end"/>
            </w:r>
          </w:hyperlink>
        </w:p>
        <w:p w14:paraId="1CAD9BC4" w14:textId="0148986B"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62" w:history="1">
            <w:r w:rsidRPr="00287548">
              <w:rPr>
                <w:rStyle w:val="Hyperlink"/>
                <w:rFonts w:ascii="Arial" w:hAnsi="Arial" w:cs="Arial"/>
                <w:noProof/>
                <w:color w:val="262626" w:themeColor="text1" w:themeTint="D9"/>
              </w:rPr>
              <w:t>REFERENCES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_Toc214672862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25</w:t>
            </w:r>
            <w:r w:rsidRPr="00287548">
              <w:rPr>
                <w:rFonts w:ascii="Arial" w:hAnsi="Arial" w:cs="Arial"/>
                <w:noProof/>
                <w:webHidden/>
                <w:color w:val="262626" w:themeColor="text1" w:themeTint="D9"/>
              </w:rPr>
              <w:fldChar w:fldCharType="end"/>
            </w:r>
          </w:hyperlink>
        </w:p>
        <w:p w14:paraId="4B3D8100" w14:textId="3B3F4548" w:rsidR="00287548" w:rsidRPr="00287548" w:rsidRDefault="00287548" w:rsidP="00287548">
          <w:pPr>
            <w:pStyle w:val="TOC1"/>
            <w:tabs>
              <w:tab w:val="right" w:leader="dot" w:pos="9350"/>
            </w:tabs>
            <w:spacing w:line="360" w:lineRule="auto"/>
            <w:rPr>
              <w:rFonts w:ascii="Arial" w:eastAsiaTheme="minorEastAsia" w:hAnsi="Arial" w:cs="Arial"/>
              <w:noProof/>
              <w:color w:val="262626" w:themeColor="text1" w:themeTint="D9"/>
              <w:sz w:val="24"/>
              <w:szCs w:val="24"/>
              <w:lang w:val="bg-BG" w:eastAsia="bg-BG"/>
            </w:rPr>
          </w:pPr>
          <w:hyperlink w:anchor="_Toc214672863" w:history="1">
            <w:r w:rsidRPr="00287548">
              <w:rPr>
                <w:rStyle w:val="Hyperlink"/>
                <w:rFonts w:ascii="Arial" w:hAnsi="Arial" w:cs="Arial"/>
                <w:noProof/>
                <w:color w:val="262626" w:themeColor="text1" w:themeTint="D9"/>
              </w:rPr>
              <w:t>APPENDICES</w:t>
            </w:r>
            <w:r w:rsidRPr="00287548">
              <w:rPr>
                <w:rFonts w:ascii="Arial" w:hAnsi="Arial" w:cs="Arial"/>
                <w:noProof/>
                <w:webHidden/>
                <w:color w:val="262626" w:themeColor="text1" w:themeTint="D9"/>
              </w:rPr>
              <w:tab/>
            </w:r>
            <w:r w:rsidRPr="00287548">
              <w:rPr>
                <w:rFonts w:ascii="Arial" w:hAnsi="Arial" w:cs="Arial"/>
                <w:noProof/>
                <w:webHidden/>
                <w:color w:val="262626" w:themeColor="text1" w:themeTint="D9"/>
              </w:rPr>
              <w:fldChar w:fldCharType="begin"/>
            </w:r>
            <w:r w:rsidRPr="00287548">
              <w:rPr>
                <w:rFonts w:ascii="Arial" w:hAnsi="Arial" w:cs="Arial"/>
                <w:noProof/>
                <w:webHidden/>
                <w:color w:val="262626" w:themeColor="text1" w:themeTint="D9"/>
              </w:rPr>
              <w:instrText xml:space="preserve"> PAGEREF _Toc214672863 \h </w:instrText>
            </w:r>
            <w:r w:rsidRPr="00287548">
              <w:rPr>
                <w:rFonts w:ascii="Arial" w:hAnsi="Arial" w:cs="Arial"/>
                <w:noProof/>
                <w:webHidden/>
                <w:color w:val="262626" w:themeColor="text1" w:themeTint="D9"/>
              </w:rPr>
            </w:r>
            <w:r w:rsidRPr="00287548">
              <w:rPr>
                <w:rFonts w:ascii="Arial" w:hAnsi="Arial" w:cs="Arial"/>
                <w:noProof/>
                <w:webHidden/>
                <w:color w:val="262626" w:themeColor="text1" w:themeTint="D9"/>
              </w:rPr>
              <w:fldChar w:fldCharType="separate"/>
            </w:r>
            <w:r w:rsidRPr="00287548">
              <w:rPr>
                <w:rFonts w:ascii="Arial" w:hAnsi="Arial" w:cs="Arial"/>
                <w:noProof/>
                <w:webHidden/>
                <w:color w:val="262626" w:themeColor="text1" w:themeTint="D9"/>
              </w:rPr>
              <w:t>29</w:t>
            </w:r>
            <w:r w:rsidRPr="00287548">
              <w:rPr>
                <w:rFonts w:ascii="Arial" w:hAnsi="Arial" w:cs="Arial"/>
                <w:noProof/>
                <w:webHidden/>
                <w:color w:val="262626" w:themeColor="text1" w:themeTint="D9"/>
              </w:rPr>
              <w:fldChar w:fldCharType="end"/>
            </w:r>
          </w:hyperlink>
        </w:p>
        <w:p w14:paraId="4B06AE5F" w14:textId="118AABD4" w:rsidR="00580811" w:rsidRPr="00036A0A" w:rsidRDefault="00580811" w:rsidP="00287548">
          <w:pPr>
            <w:spacing w:line="360" w:lineRule="auto"/>
            <w:rPr>
              <w:rFonts w:ascii="Arial" w:hAnsi="Arial" w:cs="Arial"/>
            </w:rPr>
          </w:pPr>
          <w:r w:rsidRPr="00287548">
            <w:rPr>
              <w:rFonts w:ascii="Arial" w:hAnsi="Arial" w:cs="Arial"/>
              <w:b/>
              <w:bCs/>
              <w:color w:val="262626" w:themeColor="text1" w:themeTint="D9"/>
            </w:rPr>
            <w:fldChar w:fldCharType="end"/>
          </w:r>
        </w:p>
      </w:sdtContent>
    </w:sdt>
    <w:p w14:paraId="08EA386F" w14:textId="77777777" w:rsidR="001F13ED" w:rsidRDefault="001F13ED" w:rsidP="004C2EED">
      <w:pPr>
        <w:tabs>
          <w:tab w:val="left" w:pos="8358"/>
        </w:tabs>
        <w:spacing w:line="360" w:lineRule="auto"/>
        <w:rPr>
          <w:rFonts w:ascii="Arial" w:hAnsi="Arial" w:cs="Arial"/>
          <w:color w:val="333333"/>
          <w:sz w:val="28"/>
          <w:szCs w:val="28"/>
        </w:rPr>
      </w:pPr>
    </w:p>
    <w:p w14:paraId="5950A862" w14:textId="77777777" w:rsidR="001F13ED" w:rsidRDefault="001F13ED" w:rsidP="004C2EED">
      <w:pPr>
        <w:tabs>
          <w:tab w:val="left" w:pos="8358"/>
        </w:tabs>
        <w:spacing w:line="360" w:lineRule="auto"/>
        <w:rPr>
          <w:rFonts w:ascii="Arial" w:hAnsi="Arial" w:cs="Arial"/>
          <w:color w:val="333333"/>
          <w:sz w:val="28"/>
          <w:szCs w:val="28"/>
        </w:rPr>
      </w:pPr>
    </w:p>
    <w:p w14:paraId="0FE46150" w14:textId="77777777" w:rsidR="001F13ED" w:rsidRDefault="001F13ED" w:rsidP="004C2EED">
      <w:pPr>
        <w:tabs>
          <w:tab w:val="left" w:pos="8358"/>
        </w:tabs>
        <w:spacing w:line="360" w:lineRule="auto"/>
        <w:rPr>
          <w:rFonts w:ascii="Arial" w:hAnsi="Arial" w:cs="Arial"/>
          <w:color w:val="333333"/>
          <w:sz w:val="28"/>
          <w:szCs w:val="28"/>
        </w:rPr>
      </w:pPr>
    </w:p>
    <w:p w14:paraId="429F28CA" w14:textId="77777777" w:rsidR="001F13ED" w:rsidRDefault="001F13ED" w:rsidP="004C2EED">
      <w:pPr>
        <w:tabs>
          <w:tab w:val="left" w:pos="8358"/>
        </w:tabs>
        <w:spacing w:line="360" w:lineRule="auto"/>
        <w:rPr>
          <w:rFonts w:ascii="Arial" w:hAnsi="Arial" w:cs="Arial"/>
          <w:color w:val="333333"/>
          <w:sz w:val="28"/>
          <w:szCs w:val="28"/>
        </w:rPr>
      </w:pPr>
    </w:p>
    <w:p w14:paraId="14BAE6FC" w14:textId="77777777" w:rsidR="001F13ED" w:rsidRDefault="001F13ED" w:rsidP="004C2EED">
      <w:pPr>
        <w:tabs>
          <w:tab w:val="left" w:pos="8358"/>
        </w:tabs>
        <w:spacing w:line="360" w:lineRule="auto"/>
        <w:rPr>
          <w:rFonts w:ascii="Arial" w:hAnsi="Arial" w:cs="Arial"/>
          <w:color w:val="333333"/>
          <w:sz w:val="28"/>
          <w:szCs w:val="28"/>
        </w:rPr>
      </w:pPr>
    </w:p>
    <w:p w14:paraId="48DCA85C" w14:textId="77777777" w:rsidR="001F13ED" w:rsidRDefault="001F13ED" w:rsidP="004C2EED">
      <w:pPr>
        <w:tabs>
          <w:tab w:val="left" w:pos="8358"/>
        </w:tabs>
        <w:spacing w:line="360" w:lineRule="auto"/>
        <w:rPr>
          <w:rFonts w:ascii="Arial" w:hAnsi="Arial" w:cs="Arial"/>
          <w:color w:val="333333"/>
          <w:sz w:val="28"/>
          <w:szCs w:val="28"/>
        </w:rPr>
      </w:pPr>
    </w:p>
    <w:p w14:paraId="24295787" w14:textId="77777777" w:rsidR="001F13ED" w:rsidRDefault="001F13ED" w:rsidP="004C2EED">
      <w:pPr>
        <w:tabs>
          <w:tab w:val="left" w:pos="8358"/>
        </w:tabs>
        <w:spacing w:line="360" w:lineRule="auto"/>
        <w:rPr>
          <w:rFonts w:ascii="Arial" w:hAnsi="Arial" w:cs="Arial"/>
          <w:color w:val="333333"/>
          <w:sz w:val="28"/>
          <w:szCs w:val="28"/>
        </w:rPr>
      </w:pPr>
    </w:p>
    <w:p w14:paraId="698F098C" w14:textId="77777777" w:rsidR="001F13ED" w:rsidRDefault="001F13ED" w:rsidP="004C2EED">
      <w:pPr>
        <w:tabs>
          <w:tab w:val="left" w:pos="8358"/>
        </w:tabs>
        <w:spacing w:line="360" w:lineRule="auto"/>
        <w:rPr>
          <w:rFonts w:ascii="Arial" w:hAnsi="Arial" w:cs="Arial"/>
          <w:color w:val="333333"/>
          <w:sz w:val="28"/>
          <w:szCs w:val="28"/>
        </w:rPr>
      </w:pPr>
    </w:p>
    <w:p w14:paraId="3542143F" w14:textId="77777777" w:rsidR="001F13ED" w:rsidRDefault="001F13ED" w:rsidP="004C2EED">
      <w:pPr>
        <w:tabs>
          <w:tab w:val="left" w:pos="8358"/>
        </w:tabs>
        <w:spacing w:line="360" w:lineRule="auto"/>
        <w:rPr>
          <w:rFonts w:ascii="Arial" w:hAnsi="Arial" w:cs="Arial"/>
          <w:color w:val="333333"/>
          <w:sz w:val="28"/>
          <w:szCs w:val="28"/>
        </w:rPr>
      </w:pPr>
    </w:p>
    <w:p w14:paraId="71E3EF6D" w14:textId="77777777" w:rsidR="001F13ED" w:rsidRDefault="001F13ED" w:rsidP="004C2EED">
      <w:pPr>
        <w:tabs>
          <w:tab w:val="left" w:pos="8358"/>
        </w:tabs>
        <w:spacing w:line="360" w:lineRule="auto"/>
        <w:rPr>
          <w:rFonts w:ascii="Arial" w:hAnsi="Arial" w:cs="Arial"/>
          <w:color w:val="333333"/>
          <w:sz w:val="28"/>
          <w:szCs w:val="28"/>
        </w:rPr>
      </w:pPr>
    </w:p>
    <w:p w14:paraId="3991F55F" w14:textId="77777777" w:rsidR="001F13ED" w:rsidRDefault="001F13ED" w:rsidP="004C2EED">
      <w:pPr>
        <w:tabs>
          <w:tab w:val="left" w:pos="8358"/>
        </w:tabs>
        <w:spacing w:line="360" w:lineRule="auto"/>
        <w:rPr>
          <w:rFonts w:ascii="Arial" w:hAnsi="Arial" w:cs="Arial"/>
          <w:color w:val="333333"/>
          <w:sz w:val="28"/>
          <w:szCs w:val="28"/>
        </w:rPr>
      </w:pPr>
    </w:p>
    <w:p w14:paraId="798B7DDC" w14:textId="77777777" w:rsidR="001F13ED" w:rsidRPr="00EF3058" w:rsidRDefault="001F13ED" w:rsidP="004C2EED">
      <w:pPr>
        <w:tabs>
          <w:tab w:val="left" w:pos="8358"/>
        </w:tabs>
        <w:spacing w:line="360" w:lineRule="auto"/>
        <w:rPr>
          <w:rFonts w:ascii="Arial" w:hAnsi="Arial" w:cs="Arial"/>
          <w:color w:val="333333"/>
          <w:sz w:val="28"/>
          <w:szCs w:val="28"/>
        </w:rPr>
      </w:pPr>
    </w:p>
    <w:p w14:paraId="45DEED65" w14:textId="77777777" w:rsidR="004C2EED" w:rsidRPr="001F13ED" w:rsidRDefault="005E5C4F" w:rsidP="00F06FD0">
      <w:pPr>
        <w:pStyle w:val="Heading1"/>
        <w:shd w:val="clear" w:color="auto" w:fill="D4AF37"/>
        <w:rPr>
          <w:rFonts w:ascii="Arial" w:hAnsi="Arial" w:cs="Arial"/>
          <w:color w:val="262626" w:themeColor="text1" w:themeTint="D9"/>
          <w:sz w:val="32"/>
          <w:szCs w:val="32"/>
        </w:rPr>
      </w:pPr>
      <w:bookmarkStart w:id="1" w:name="_Toc214672835"/>
      <w:r w:rsidRPr="001F13ED">
        <w:rPr>
          <w:rFonts w:ascii="Arial" w:hAnsi="Arial" w:cs="Arial"/>
          <w:color w:val="262626" w:themeColor="text1" w:themeTint="D9"/>
          <w:sz w:val="32"/>
          <w:szCs w:val="32"/>
        </w:rPr>
        <w:lastRenderedPageBreak/>
        <w:t>1.</w:t>
      </w:r>
      <w:r w:rsidR="00F06FD0"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INTRODUCTION</w:t>
      </w:r>
      <w:bookmarkEnd w:id="1"/>
    </w:p>
    <w:p w14:paraId="71F6EC04" w14:textId="77777777" w:rsidR="004C2EED" w:rsidRPr="00EF3058" w:rsidRDefault="004C2EED" w:rsidP="004C2EED">
      <w:pPr>
        <w:rPr>
          <w:rFonts w:ascii="Arial" w:hAnsi="Arial" w:cs="Arial"/>
          <w:color w:val="262626"/>
        </w:rPr>
      </w:pPr>
    </w:p>
    <w:p w14:paraId="065A728A" w14:textId="3C0BAF04" w:rsidR="009A7EBE" w:rsidRPr="001F13ED" w:rsidRDefault="009A7EBE" w:rsidP="001F13ED">
      <w:pPr>
        <w:spacing w:line="360" w:lineRule="auto"/>
        <w:rPr>
          <w:rFonts w:ascii="Arial" w:hAnsi="Arial" w:cs="Arial"/>
          <w:color w:val="262626" w:themeColor="text1" w:themeTint="D9"/>
        </w:rPr>
      </w:pPr>
      <w:r w:rsidRPr="001F13ED">
        <w:rPr>
          <w:rFonts w:ascii="Arial" w:hAnsi="Arial" w:cs="Arial"/>
          <w:color w:val="262626" w:themeColor="text1" w:themeTint="D9"/>
        </w:rPr>
        <w:t>As the global beauty market increasingly shifts toward emerging economies, scientific superiority and global brand equity no longer guarantee competitive advantage without cultural legitimacy and locally mediated trust. With operations in over 150 countries and a diversified portfolio across mature (France, United States, Japan) and high-growth markets (China, Brazil, India), L’Oréal exemplifies the strategic challenge of scaling premium identity across distinct institutional and cultural contexts.</w:t>
      </w:r>
    </w:p>
    <w:p w14:paraId="0DF4B1BD" w14:textId="69C26C78" w:rsidR="004C2EED" w:rsidRPr="001F13ED" w:rsidRDefault="009A7EBE" w:rsidP="001F13ED">
      <w:pPr>
        <w:spacing w:line="360" w:lineRule="auto"/>
        <w:rPr>
          <w:rFonts w:ascii="Arial" w:hAnsi="Arial" w:cs="Arial"/>
          <w:color w:val="262626" w:themeColor="text1" w:themeTint="D9"/>
        </w:rPr>
      </w:pPr>
      <w:r w:rsidRPr="001F13ED">
        <w:rPr>
          <w:rFonts w:ascii="Arial" w:hAnsi="Arial" w:cs="Arial"/>
          <w:color w:val="262626" w:themeColor="text1" w:themeTint="D9"/>
        </w:rPr>
        <w:t>This consultancy report argues that in emerging markets such as India, L’Oréal’s international competitiveness is conditional</w:t>
      </w:r>
      <w:r w:rsidR="001F13ED" w:rsidRPr="001F13ED">
        <w:rPr>
          <w:rFonts w:ascii="Arial" w:hAnsi="Arial" w:cs="Arial"/>
          <w:color w:val="262626" w:themeColor="text1" w:themeTint="D9"/>
        </w:rPr>
        <w:t xml:space="preserve">, </w:t>
      </w:r>
      <w:r w:rsidRPr="001F13ED">
        <w:rPr>
          <w:rFonts w:ascii="Arial" w:hAnsi="Arial" w:cs="Arial"/>
          <w:color w:val="262626" w:themeColor="text1" w:themeTint="D9"/>
        </w:rPr>
        <w:t>requiring a strategic shift from control-first management to legitimacy-first governance. India is therefore used as a focal case through which to evaluate how ownership advantages, value-chain configurations and internalisation strategies are shaped by institutional voids, cultural authority systems and ritual-performance expectations that reconfigure what constitutes premium value. Drawing on the OLI paradigm (Dunning, 1988), global value chain theory, and cross-cultural frameworks (e.g., Hofstede et al., 2010), supported by academic research, corporate disclosures and industry intelligence, the report concludes with evidence-based recommendations to reform L’Oréal’s Standard Operating Procedures (SOPs) in India to align ownership, legitimacy and institutional governance for long-term competitive advantage.</w:t>
      </w:r>
    </w:p>
    <w:p w14:paraId="39338833" w14:textId="77777777" w:rsidR="004C2EED" w:rsidRPr="00EF3058" w:rsidRDefault="004C2EED" w:rsidP="004C2EED">
      <w:pPr>
        <w:spacing w:line="360" w:lineRule="auto"/>
        <w:rPr>
          <w:rFonts w:ascii="Arial" w:hAnsi="Arial" w:cs="Arial"/>
          <w:color w:val="262626"/>
        </w:rPr>
      </w:pPr>
    </w:p>
    <w:p w14:paraId="68D978EC" w14:textId="77777777" w:rsidR="004C2EED" w:rsidRPr="00EF3058" w:rsidRDefault="004C2EED" w:rsidP="004C2EED">
      <w:pPr>
        <w:spacing w:line="360" w:lineRule="auto"/>
        <w:rPr>
          <w:rFonts w:ascii="Arial" w:hAnsi="Arial" w:cs="Arial"/>
          <w:color w:val="262626"/>
        </w:rPr>
      </w:pPr>
    </w:p>
    <w:p w14:paraId="0F69A693" w14:textId="77777777" w:rsidR="004C2EED" w:rsidRPr="00EF3058" w:rsidRDefault="004C2EED" w:rsidP="004C2EED">
      <w:pPr>
        <w:spacing w:line="360" w:lineRule="auto"/>
        <w:rPr>
          <w:rFonts w:ascii="Arial" w:hAnsi="Arial" w:cs="Arial"/>
          <w:color w:val="262626"/>
        </w:rPr>
      </w:pPr>
    </w:p>
    <w:p w14:paraId="10F7FC47" w14:textId="77777777" w:rsidR="004C2EED" w:rsidRPr="00EF3058" w:rsidRDefault="004C2EED" w:rsidP="004C2EED">
      <w:pPr>
        <w:spacing w:line="360" w:lineRule="auto"/>
        <w:rPr>
          <w:rFonts w:ascii="Arial" w:hAnsi="Arial" w:cs="Arial"/>
          <w:color w:val="262626"/>
        </w:rPr>
      </w:pPr>
    </w:p>
    <w:p w14:paraId="554DDEF6" w14:textId="77777777" w:rsidR="004C2EED" w:rsidRPr="00EF3058" w:rsidRDefault="004C2EED" w:rsidP="004C2EED">
      <w:pPr>
        <w:spacing w:line="360" w:lineRule="auto"/>
        <w:rPr>
          <w:rFonts w:ascii="Arial" w:hAnsi="Arial" w:cs="Arial"/>
          <w:color w:val="262626"/>
        </w:rPr>
      </w:pPr>
    </w:p>
    <w:p w14:paraId="78517529" w14:textId="77777777" w:rsidR="004C2EED" w:rsidRPr="00EF3058" w:rsidRDefault="004C2EED" w:rsidP="004C2EED">
      <w:pPr>
        <w:spacing w:line="360" w:lineRule="auto"/>
        <w:rPr>
          <w:rFonts w:ascii="Arial" w:hAnsi="Arial" w:cs="Arial"/>
          <w:color w:val="262626"/>
        </w:rPr>
      </w:pPr>
    </w:p>
    <w:p w14:paraId="2F519966" w14:textId="77777777" w:rsidR="004C2EED" w:rsidRPr="00EF3058" w:rsidRDefault="004C2EED" w:rsidP="004C2EED">
      <w:pPr>
        <w:spacing w:line="360" w:lineRule="auto"/>
        <w:rPr>
          <w:rFonts w:ascii="Arial" w:hAnsi="Arial" w:cs="Arial"/>
          <w:color w:val="262626"/>
        </w:rPr>
      </w:pPr>
    </w:p>
    <w:p w14:paraId="2B82947F" w14:textId="77777777" w:rsidR="004C2EED" w:rsidRPr="00EF3058" w:rsidRDefault="004C2EED" w:rsidP="004C2EED">
      <w:pPr>
        <w:spacing w:line="360" w:lineRule="auto"/>
        <w:rPr>
          <w:rFonts w:ascii="Arial" w:hAnsi="Arial" w:cs="Arial"/>
          <w:color w:val="262626"/>
        </w:rPr>
      </w:pPr>
    </w:p>
    <w:p w14:paraId="2CBDE797" w14:textId="4AC78C15" w:rsidR="004C2EED" w:rsidRPr="001F13ED" w:rsidRDefault="004C2EED" w:rsidP="004C2EED">
      <w:pPr>
        <w:pStyle w:val="Heading1"/>
        <w:shd w:val="clear" w:color="auto" w:fill="D4AF37"/>
        <w:rPr>
          <w:rFonts w:ascii="Arial" w:hAnsi="Arial" w:cs="Arial"/>
          <w:color w:val="262626" w:themeColor="text1" w:themeTint="D9"/>
          <w:sz w:val="32"/>
          <w:szCs w:val="32"/>
        </w:rPr>
      </w:pPr>
      <w:bookmarkStart w:id="2" w:name="_Toc214672836"/>
      <w:r w:rsidRPr="001F13ED">
        <w:rPr>
          <w:rFonts w:ascii="Arial" w:hAnsi="Arial" w:cs="Arial"/>
          <w:color w:val="262626" w:themeColor="text1" w:themeTint="D9"/>
          <w:sz w:val="32"/>
          <w:szCs w:val="32"/>
        </w:rPr>
        <w:lastRenderedPageBreak/>
        <w:t>2.</w:t>
      </w:r>
      <w:r w:rsidR="00A62237" w:rsidRPr="001F13ED">
        <w:rPr>
          <w:rFonts w:ascii="Arial" w:hAnsi="Arial" w:cs="Arial"/>
          <w:color w:val="262626" w:themeColor="text1" w:themeTint="D9"/>
          <w:sz w:val="32"/>
          <w:szCs w:val="32"/>
        </w:rPr>
        <w:t xml:space="preserve"> L’ORÉAL’S STRATEGIC ARCHITECTURE: CONFIGURATION AND CRITICAL TENSIONS</w:t>
      </w:r>
      <w:bookmarkEnd w:id="2"/>
    </w:p>
    <w:p w14:paraId="6ADE6B03" w14:textId="77777777" w:rsidR="004C2EED" w:rsidRPr="00EF3058" w:rsidRDefault="004C2EED" w:rsidP="004C2EED"/>
    <w:p w14:paraId="14DC48D9" w14:textId="7D728C60" w:rsidR="00257157" w:rsidRPr="00EF3058" w:rsidRDefault="004C2EED" w:rsidP="00092813">
      <w:pPr>
        <w:pStyle w:val="Heading2"/>
        <w:shd w:val="clear" w:color="auto" w:fill="F5ECCF"/>
        <w:rPr>
          <w:rFonts w:ascii="Arial" w:hAnsi="Arial" w:cs="Arial"/>
          <w:color w:val="262626"/>
          <w:sz w:val="26"/>
          <w:szCs w:val="26"/>
        </w:rPr>
      </w:pPr>
      <w:bookmarkStart w:id="3" w:name="_Toc214672837"/>
      <w:r w:rsidRPr="00EF3058">
        <w:rPr>
          <w:rFonts w:ascii="Arial" w:hAnsi="Arial" w:cs="Arial"/>
          <w:color w:val="262626"/>
          <w:sz w:val="26"/>
          <w:szCs w:val="26"/>
        </w:rPr>
        <w:t xml:space="preserve">2.1. </w:t>
      </w:r>
      <w:r w:rsidR="00493A3A" w:rsidRPr="00EF3058">
        <w:rPr>
          <w:rFonts w:ascii="Arial" w:hAnsi="Arial" w:cs="Arial"/>
          <w:color w:val="262626"/>
          <w:sz w:val="26"/>
          <w:szCs w:val="26"/>
        </w:rPr>
        <w:t>L’Oréal’s Configuration as a Transnational Corporation</w:t>
      </w:r>
      <w:bookmarkEnd w:id="3"/>
    </w:p>
    <w:p w14:paraId="70ABC642" w14:textId="13034C8F" w:rsidR="00594EB7" w:rsidRPr="006A0BAB" w:rsidRDefault="00594EB7" w:rsidP="006A0BAB">
      <w:pPr>
        <w:spacing w:line="360" w:lineRule="auto"/>
        <w:rPr>
          <w:rFonts w:ascii="Arial" w:hAnsi="Arial" w:cs="Arial"/>
          <w:color w:val="262626" w:themeColor="text1" w:themeTint="D9"/>
        </w:rPr>
      </w:pPr>
      <w:r w:rsidRPr="006A0BAB">
        <w:rPr>
          <w:rFonts w:ascii="Arial" w:hAnsi="Arial" w:cs="Arial"/>
          <w:color w:val="262626" w:themeColor="text1" w:themeTint="D9"/>
        </w:rPr>
        <w:t>L’Oréal exemplifies the transnational corporation described by Bartlett and Ghoshal (1989), balancing global efficiency, local responsiveness and organisational learning. Its networked architecture enables multidirectional knowledge flows between France, the United States, Japan, China and India, supporting Rugman and Verbeke’s (2017) argument that strategic advantage increasingly derives from orchestrating dispersed capabilities rather than simply possessing them. Yet this model produces inherent strategic tensions.</w:t>
      </w:r>
    </w:p>
    <w:p w14:paraId="569FEA9E" w14:textId="2CC1B352" w:rsidR="00594EB7" w:rsidRPr="006A0BAB" w:rsidRDefault="00594EB7" w:rsidP="006A0BAB">
      <w:pPr>
        <w:spacing w:line="360" w:lineRule="auto"/>
        <w:rPr>
          <w:rFonts w:ascii="Arial" w:hAnsi="Arial" w:cs="Arial"/>
          <w:color w:val="262626" w:themeColor="text1" w:themeTint="D9"/>
        </w:rPr>
      </w:pPr>
      <w:r w:rsidRPr="006A0BAB">
        <w:rPr>
          <w:rFonts w:ascii="Arial" w:hAnsi="Arial" w:cs="Arial"/>
          <w:color w:val="262626" w:themeColor="text1" w:themeTint="D9"/>
        </w:rPr>
        <w:t>Centralised formulation research reinforces ownership advantages in IP protection and product integrity, but its value is conditional on the ability to transfer data legally and ethically across markets. As emerging economies such as China and India tighten data-localisation and testing requirements, internalisation becomes more costly and administratively complex, limiting the benefits of wholly owned subsidiaries and shifting IP protection from a value-creating strategy to a defensive necessity (Li and Wang, 2023). In this sense, L’Oréal’s strategic control carries a hidden transaction cost: protecting IP is efficient only when regulatory frictions are low.</w:t>
      </w:r>
    </w:p>
    <w:p w14:paraId="0DCC8E4A" w14:textId="1BB686C2" w:rsidR="00594EB7" w:rsidRPr="006A0BAB" w:rsidRDefault="00594EB7" w:rsidP="006A0BAB">
      <w:pPr>
        <w:spacing w:line="360" w:lineRule="auto"/>
        <w:rPr>
          <w:rFonts w:ascii="Arial" w:hAnsi="Arial" w:cs="Arial"/>
          <w:color w:val="262626" w:themeColor="text1" w:themeTint="D9"/>
        </w:rPr>
      </w:pPr>
      <w:r w:rsidRPr="006A0BAB">
        <w:rPr>
          <w:rFonts w:ascii="Arial" w:hAnsi="Arial" w:cs="Arial"/>
          <w:color w:val="262626" w:themeColor="text1" w:themeTint="D9"/>
        </w:rPr>
        <w:t>Similarly, subsidiary autonomy accelerates cultural and climate-specific innovation in India and Brazil, supporting responsiveness, yet it also heightens the risk of inconsistent brand signals and ethical misalignment. Prior public backlash against colourist advertising in India demonstrates that localisation without culturally grounded legitimacy can actively undermine brand equity, revealing the paradox whereby global strength erodes local trust (Sengupta, 2021).</w:t>
      </w:r>
    </w:p>
    <w:p w14:paraId="3C61DC4C" w14:textId="7B7B7629" w:rsidR="00594EB7" w:rsidRPr="006A0BAB" w:rsidRDefault="00594EB7" w:rsidP="006A0BAB">
      <w:pPr>
        <w:spacing w:line="360" w:lineRule="auto"/>
        <w:rPr>
          <w:rFonts w:ascii="Arial" w:hAnsi="Arial" w:cs="Arial"/>
          <w:color w:val="262626" w:themeColor="text1" w:themeTint="D9"/>
        </w:rPr>
      </w:pPr>
      <w:r w:rsidRPr="006A0BAB">
        <w:rPr>
          <w:rFonts w:ascii="Arial" w:hAnsi="Arial" w:cs="Arial"/>
          <w:color w:val="262626" w:themeColor="text1" w:themeTint="D9"/>
        </w:rPr>
        <w:t>Thus, L’Oréal’s transnational identity is neither a simple strategic asset nor a stable equilibrium; it is a continuously negotiated compromise between efficiency, control, responsiveness and legitimacy. The firm’s competitive advantage depends on its ability to manage these tensions rather than merely to optimise any single priority.</w:t>
      </w:r>
    </w:p>
    <w:p w14:paraId="40F5AD76" w14:textId="77777777" w:rsidR="00854ABC" w:rsidRPr="00EF3058" w:rsidRDefault="00854ABC" w:rsidP="00092813">
      <w:pPr>
        <w:spacing w:line="360" w:lineRule="auto"/>
        <w:rPr>
          <w:rFonts w:ascii="Arial" w:hAnsi="Arial" w:cs="Arial"/>
          <w:color w:val="262626"/>
        </w:rPr>
      </w:pPr>
    </w:p>
    <w:p w14:paraId="372734CE" w14:textId="43C9972D" w:rsidR="002661B4" w:rsidRPr="00EF3058" w:rsidRDefault="00A1661B" w:rsidP="00493A3A">
      <w:pPr>
        <w:pStyle w:val="Heading2"/>
        <w:shd w:val="clear" w:color="auto" w:fill="F5ECCF"/>
        <w:rPr>
          <w:rFonts w:ascii="Arial" w:hAnsi="Arial" w:cs="Arial"/>
          <w:color w:val="262626"/>
          <w:sz w:val="26"/>
          <w:szCs w:val="26"/>
        </w:rPr>
      </w:pPr>
      <w:bookmarkStart w:id="4" w:name="_Toc214672838"/>
      <w:r w:rsidRPr="00EF3058">
        <w:rPr>
          <w:rFonts w:ascii="Arial" w:hAnsi="Arial" w:cs="Arial"/>
          <w:color w:val="262626"/>
          <w:sz w:val="26"/>
          <w:szCs w:val="26"/>
        </w:rPr>
        <w:t>2.2</w:t>
      </w:r>
      <w:r w:rsidR="00493A3A" w:rsidRPr="00EF3058">
        <w:rPr>
          <w:rFonts w:ascii="Arial" w:hAnsi="Arial" w:cs="Arial"/>
          <w:color w:val="262626"/>
          <w:sz w:val="26"/>
          <w:szCs w:val="26"/>
        </w:rPr>
        <w:t xml:space="preserve"> Critical Analysis of the International Value Chain</w:t>
      </w:r>
      <w:bookmarkEnd w:id="4"/>
    </w:p>
    <w:p w14:paraId="0CFB244E" w14:textId="428AC4A9" w:rsidR="004D186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L’Oréal’s international competitiveness emerges from a value chain that is both globally integrated and locally adaptive, yet its effectiveness is contingent on the firm’s ability to manage </w:t>
      </w:r>
      <w:r w:rsidRPr="006A0BAB">
        <w:rPr>
          <w:rFonts w:ascii="Arial" w:hAnsi="Arial" w:cs="Arial"/>
          <w:color w:val="262626" w:themeColor="text1" w:themeTint="D9"/>
        </w:rPr>
        <w:lastRenderedPageBreak/>
        <w:t>the strategic tensions that arise between efficiency, responsiveness, control and legitimacy. Porter’s (1985) framework helps reveal how value is created</w:t>
      </w:r>
      <w:r w:rsidR="001F13ED" w:rsidRPr="006A0BAB">
        <w:rPr>
          <w:rFonts w:ascii="Arial" w:hAnsi="Arial" w:cs="Arial"/>
          <w:color w:val="262626" w:themeColor="text1" w:themeTint="D9"/>
        </w:rPr>
        <w:t xml:space="preserve"> </w:t>
      </w:r>
      <w:r w:rsidRPr="006A0BAB">
        <w:rPr>
          <w:rFonts w:ascii="Arial" w:hAnsi="Arial" w:cs="Arial"/>
          <w:color w:val="262626" w:themeColor="text1" w:themeTint="D9"/>
        </w:rPr>
        <w:t>and simultaneously jeopardised</w:t>
      </w:r>
      <w:r w:rsidR="00300C13" w:rsidRPr="006A0BAB">
        <w:rPr>
          <w:rFonts w:ascii="Arial" w:hAnsi="Arial" w:cs="Arial"/>
          <w:color w:val="262626" w:themeColor="text1" w:themeTint="D9"/>
        </w:rPr>
        <w:t xml:space="preserve"> </w:t>
      </w:r>
      <w:r w:rsidRPr="006A0BAB">
        <w:rPr>
          <w:rFonts w:ascii="Arial" w:hAnsi="Arial" w:cs="Arial"/>
          <w:color w:val="262626" w:themeColor="text1" w:themeTint="D9"/>
        </w:rPr>
        <w:t>across distributed activities.</w:t>
      </w:r>
    </w:p>
    <w:p w14:paraId="089FB6B0" w14:textId="1B699A80" w:rsidR="004D1867" w:rsidRPr="006A0BAB" w:rsidRDefault="004D1867" w:rsidP="006A0BAB">
      <w:pPr>
        <w:spacing w:before="120" w:after="120" w:line="360" w:lineRule="auto"/>
        <w:rPr>
          <w:rFonts w:ascii="Arial" w:hAnsi="Arial" w:cs="Arial"/>
          <w:color w:val="262626" w:themeColor="text1" w:themeTint="D9"/>
        </w:rPr>
      </w:pPr>
      <w:r w:rsidRPr="006A0BAB">
        <w:rPr>
          <w:rFonts w:ascii="Arial" w:hAnsi="Arial" w:cs="Arial"/>
          <w:color w:val="262626" w:themeColor="text1" w:themeTint="D9"/>
        </w:rPr>
        <w:t xml:space="preserve">The interconnected nature of R&amp;D, sourcing, manufacturing and marketing activities is captured in Appendix </w:t>
      </w:r>
      <w:r w:rsidR="003F64E4" w:rsidRPr="006A0BAB">
        <w:rPr>
          <w:rFonts w:ascii="Arial" w:hAnsi="Arial" w:cs="Arial"/>
          <w:color w:val="262626" w:themeColor="text1" w:themeTint="D9"/>
        </w:rPr>
        <w:t>1</w:t>
      </w:r>
      <w:r w:rsidRPr="006A0BAB">
        <w:rPr>
          <w:rFonts w:ascii="Arial" w:hAnsi="Arial" w:cs="Arial"/>
          <w:color w:val="262626" w:themeColor="text1" w:themeTint="D9"/>
        </w:rPr>
        <w:t>, which visualises L’Oréal’s cyclical transnational value chain.</w:t>
      </w:r>
    </w:p>
    <w:p w14:paraId="2AB0393C" w14:textId="6C9DBBF8" w:rsidR="001C1E8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R&amp;D remains a core ownership advantage, but its performance is limited by legal and cultural frictions. Rather than the geographic scope of laboratories being strategically important per se, value is created through multidirectional knowledge flows between specialised hubs. France and the United States develop formulation science and dermatological IP, whereas Japan, China and India generate culturally specific, climate-sensitive and digitally enabled innovations. However, this division of labour produces an efficiency</w:t>
      </w:r>
      <w:r w:rsidR="006A0BAB">
        <w:rPr>
          <w:rFonts w:ascii="Arial" w:hAnsi="Arial" w:cs="Arial"/>
          <w:color w:val="262626" w:themeColor="text1" w:themeTint="D9"/>
        </w:rPr>
        <w:t>-</w:t>
      </w:r>
      <w:r w:rsidRPr="006A0BAB">
        <w:rPr>
          <w:rFonts w:ascii="Arial" w:hAnsi="Arial" w:cs="Arial"/>
          <w:color w:val="262626" w:themeColor="text1" w:themeTint="D9"/>
        </w:rPr>
        <w:t xml:space="preserve">legitimacy trade-off: centralised IP protection enhances control, but restrictive data sovereignty laws in China and India limit cross-border algorithmic learning and experimental testing, weakening the very advantage that internalisation seeks to protect (Li </w:t>
      </w:r>
      <w:r w:rsidR="00674553" w:rsidRPr="006A0BAB">
        <w:rPr>
          <w:rFonts w:ascii="Arial" w:hAnsi="Arial" w:cs="Arial"/>
          <w:color w:val="262626" w:themeColor="text1" w:themeTint="D9"/>
        </w:rPr>
        <w:t>and</w:t>
      </w:r>
      <w:r w:rsidRPr="006A0BAB">
        <w:rPr>
          <w:rFonts w:ascii="Arial" w:hAnsi="Arial" w:cs="Arial"/>
          <w:color w:val="262626" w:themeColor="text1" w:themeTint="D9"/>
        </w:rPr>
        <w:t xml:space="preserve"> Wang, 2023). Moreover, rapid global experimentation (e.g. AI diagnostics) may clash with slower market-driven adaptations, creating delays and weakening the commercial viability of innovations (Pisano, 2015). </w:t>
      </w:r>
      <w:r w:rsidR="001C1E87" w:rsidRPr="006A0BAB">
        <w:rPr>
          <w:rFonts w:ascii="Arial" w:hAnsi="Arial" w:cs="Arial"/>
          <w:color w:val="262626" w:themeColor="text1" w:themeTint="D9"/>
        </w:rPr>
        <w:t>Scientific depth does not guarantee market depth.</w:t>
      </w:r>
    </w:p>
    <w:p w14:paraId="2BE0E7F1" w14:textId="67BF230B" w:rsidR="004D186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A visual representation of L’Oréal’s transnational R&amp;D specialisation is provided in Appendix </w:t>
      </w:r>
      <w:r w:rsidR="003F64E4" w:rsidRPr="006A0BAB">
        <w:rPr>
          <w:rFonts w:ascii="Arial" w:hAnsi="Arial" w:cs="Arial"/>
          <w:color w:val="262626" w:themeColor="text1" w:themeTint="D9"/>
        </w:rPr>
        <w:t>2</w:t>
      </w:r>
      <w:r w:rsidRPr="006A0BAB">
        <w:rPr>
          <w:rFonts w:ascii="Arial" w:hAnsi="Arial" w:cs="Arial"/>
          <w:color w:val="262626" w:themeColor="text1" w:themeTint="D9"/>
        </w:rPr>
        <w:t>, illustrating the distribution of formulation excellence, beauty-tech innovation and emerging market knowledge creation.</w:t>
      </w:r>
    </w:p>
    <w:p w14:paraId="6E2EC371" w14:textId="77777777" w:rsidR="004D186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Sourcing creates another paradox. Access to biodiversity-rich suppliers provides differentiation through natural formulations and supports sustainability narratives. Yet, this benefit is conditional on ethical legitimacy, not merely transaction efficiency. Heavy reliance on palm, herbal extracts and botanical oils from Brazil, Indonesia and India exposes L’Oréal to accusations of ecological exploitation, biodiversity loss and inadequate labour auditing (Hartmann, 2021). As environmental scrutiny intensifies, low-cost sourcing risks eroding premium trust, making “sustainability” less a marketing strategy and more a governance obligation. Cost efficiency, therefore, becomes strategically expensive when legitimacy is contested, as reputational damage can exceed savings from supplier-driven scale.</w:t>
      </w:r>
    </w:p>
    <w:p w14:paraId="6ACB4C9E" w14:textId="7E6B5D1C" w:rsidR="004D1867" w:rsidRPr="006A0BAB" w:rsidRDefault="004D1867" w:rsidP="006A0BAB">
      <w:pPr>
        <w:spacing w:before="120" w:after="120" w:line="360" w:lineRule="auto"/>
        <w:rPr>
          <w:rFonts w:ascii="Arial" w:hAnsi="Arial" w:cs="Arial"/>
          <w:color w:val="262626" w:themeColor="text1" w:themeTint="D9"/>
        </w:rPr>
      </w:pPr>
      <w:r w:rsidRPr="006A0BAB">
        <w:rPr>
          <w:rFonts w:ascii="Arial" w:hAnsi="Arial" w:cs="Arial"/>
          <w:color w:val="262626" w:themeColor="text1" w:themeTint="D9"/>
        </w:rPr>
        <w:t xml:space="preserve">These sourcing dynamics also interact with governance pressures illustrated in Appendix </w:t>
      </w:r>
      <w:r w:rsidR="003F64E4" w:rsidRPr="006A0BAB">
        <w:rPr>
          <w:rFonts w:ascii="Arial" w:hAnsi="Arial" w:cs="Arial"/>
          <w:color w:val="262626" w:themeColor="text1" w:themeTint="D9"/>
        </w:rPr>
        <w:t>3</w:t>
      </w:r>
      <w:r w:rsidRPr="006A0BAB">
        <w:rPr>
          <w:rFonts w:ascii="Arial" w:hAnsi="Arial" w:cs="Arial"/>
          <w:color w:val="262626" w:themeColor="text1" w:themeTint="D9"/>
        </w:rPr>
        <w:t>, where value creation is constrained by sustainability compliance and supplier accountability.</w:t>
      </w:r>
    </w:p>
    <w:p w14:paraId="0CFC54D6" w14:textId="231A0410" w:rsidR="004D186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lastRenderedPageBreak/>
        <w:t xml:space="preserve">Manufacturing illustrates a performance–positioning tension. L’Oréal leverages low-cost regional manufacturing in China, India and Brazil to achieve substantial economies of scale and shorten lead times. Yet, mass-market production in emerging markets may weaken the luxury signals upon which premium brands rely (Moon et al., 2018). </w:t>
      </w:r>
      <w:r w:rsidR="00300C13" w:rsidRPr="006A0BAB">
        <w:rPr>
          <w:rFonts w:ascii="Arial" w:hAnsi="Arial" w:cs="Arial"/>
          <w:color w:val="262626" w:themeColor="text1" w:themeTint="D9"/>
        </w:rPr>
        <w:t>At the same time, fluctuating regulatory enforcement, infrastructure deficits, and labour-law volatility introduce compliance ambiguity. These conditions result in scale advantages that are operationally earned at low cost but maintained at high cost due to ongoing regulatory adaptation (UNCTAD, 202</w:t>
      </w:r>
      <w:r w:rsidR="00290FC3">
        <w:rPr>
          <w:rFonts w:ascii="Arial" w:hAnsi="Arial" w:cs="Arial"/>
          <w:color w:val="262626" w:themeColor="text1" w:themeTint="D9"/>
        </w:rPr>
        <w:t>4</w:t>
      </w:r>
      <w:r w:rsidR="00300C13" w:rsidRPr="006A0BAB">
        <w:rPr>
          <w:rFonts w:ascii="Arial" w:hAnsi="Arial" w:cs="Arial"/>
          <w:color w:val="262626" w:themeColor="text1" w:themeTint="D9"/>
        </w:rPr>
        <w:t>). Efficiency, therefore, becomes conditional</w:t>
      </w:r>
      <w:r w:rsidR="00300C13" w:rsidRPr="006A0BAB">
        <w:rPr>
          <w:rFonts w:ascii="Arial" w:hAnsi="Arial" w:cs="Arial"/>
          <w:color w:val="262626" w:themeColor="text1" w:themeTint="D9"/>
        </w:rPr>
        <w:t xml:space="preserve"> - </w:t>
      </w:r>
      <w:r w:rsidR="00300C13" w:rsidRPr="006A0BAB">
        <w:rPr>
          <w:rFonts w:ascii="Arial" w:hAnsi="Arial" w:cs="Arial"/>
          <w:color w:val="262626" w:themeColor="text1" w:themeTint="D9"/>
        </w:rPr>
        <w:t>not on cost savings alone, but on regulatory stability and robust brand governance.</w:t>
      </w:r>
    </w:p>
    <w:p w14:paraId="4A733B97" w14:textId="3FC5C5BF" w:rsidR="004D1867"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Marketing and sales further expose the fragility of “global brand strength.” A unified prestige narrative succeeds in the United States and China, where influencer ecosystems accelerate digital adoption, but may alienate consumers in India if representation is not inclusive. Previous backlash against colourist messages demonstrates that global brand equity can erode local legitimacy when cultural adaptation lacks ethical nuance (Sengupta, 2021). Similarly, partnerships with platforms such as Tmall and JD.com accelerate market access, yet platform algorithms increasingly control pricing, data visibility and promotional reach, shifting power away from L’Oréal (Deloitte, 2022). Digital reach expands sales but contracts autonomy.</w:t>
      </w:r>
    </w:p>
    <w:p w14:paraId="4E9C4A77" w14:textId="41C1E546" w:rsidR="008709A4" w:rsidRPr="006A0BAB" w:rsidRDefault="004D1867" w:rsidP="006A0BAB">
      <w:pPr>
        <w:spacing w:line="360" w:lineRule="auto"/>
        <w:rPr>
          <w:rFonts w:ascii="Arial" w:hAnsi="Arial" w:cs="Arial"/>
          <w:color w:val="262626" w:themeColor="text1" w:themeTint="D9"/>
        </w:rPr>
      </w:pPr>
      <w:r w:rsidRPr="006A0BAB">
        <w:rPr>
          <w:rFonts w:ascii="Arial" w:hAnsi="Arial" w:cs="Arial"/>
          <w:color w:val="262626" w:themeColor="text1" w:themeTint="D9"/>
        </w:rPr>
        <w:t>Distribution intensifies this duality. Integrated logistics across Europe and digitally accelerated fulfilment in Asia increase responsiveness, yet pandemic disruptions and geopolitical bottlenecks reveal the vulnerability of a network optimised for speed rather than resilience. As supply-chain risk shifts from cost to sovereignty and continuity, diversification becomes not optional but strategically defensive.</w:t>
      </w:r>
    </w:p>
    <w:p w14:paraId="2F2E97C1" w14:textId="77777777" w:rsidR="004D1867" w:rsidRPr="00EF3058" w:rsidRDefault="004D1867" w:rsidP="004D1867">
      <w:pPr>
        <w:spacing w:line="360" w:lineRule="auto"/>
        <w:rPr>
          <w:rFonts w:ascii="Arial" w:hAnsi="Arial" w:cs="Arial"/>
          <w:color w:val="262626"/>
        </w:rPr>
      </w:pPr>
    </w:p>
    <w:p w14:paraId="1D1FEBC7" w14:textId="44F77B04" w:rsidR="003D5B78" w:rsidRPr="00EF3058" w:rsidRDefault="00A1661B" w:rsidP="00493A3A">
      <w:pPr>
        <w:pStyle w:val="Heading2"/>
        <w:shd w:val="clear" w:color="auto" w:fill="F5ECCF"/>
        <w:rPr>
          <w:rFonts w:ascii="Arial" w:hAnsi="Arial" w:cs="Arial"/>
          <w:color w:val="262626"/>
          <w:sz w:val="26"/>
          <w:szCs w:val="26"/>
        </w:rPr>
      </w:pPr>
      <w:bookmarkStart w:id="5" w:name="_Toc214672839"/>
      <w:r w:rsidRPr="00EF3058">
        <w:rPr>
          <w:rFonts w:ascii="Arial" w:hAnsi="Arial" w:cs="Arial"/>
          <w:color w:val="262626"/>
          <w:sz w:val="26"/>
          <w:szCs w:val="26"/>
        </w:rPr>
        <w:t>2.3 Entry Modes in L’Oréal’s International Markets</w:t>
      </w:r>
      <w:bookmarkEnd w:id="5"/>
    </w:p>
    <w:p w14:paraId="0E089E4F" w14:textId="43A2533D" w:rsidR="003D5B78" w:rsidRPr="006A0BAB" w:rsidRDefault="003D5B78" w:rsidP="006A0BAB">
      <w:pPr>
        <w:spacing w:line="360" w:lineRule="auto"/>
        <w:rPr>
          <w:rFonts w:ascii="Arial" w:hAnsi="Arial" w:cs="Arial"/>
          <w:color w:val="262626" w:themeColor="text1" w:themeTint="D9"/>
        </w:rPr>
      </w:pPr>
      <w:r w:rsidRPr="006A0BAB">
        <w:rPr>
          <w:rFonts w:ascii="Arial" w:hAnsi="Arial" w:cs="Arial"/>
          <w:color w:val="262626" w:themeColor="text1" w:themeTint="D9"/>
        </w:rPr>
        <w:t>L’Oréal’s international entry modes reflect not only ownership and internalisation advantages but also the need to navigate regulatory sovereignty, digital platform power and cultural legitimacy. While the OLI paradigm (Dunning, 1988) helps explain the firm’s preference for high-control modes in technology- and brand-sensitive segments, in practice these choices increasingly represent constrained responses to institutional pressures rather than unconstrained strategic preferences.</w:t>
      </w:r>
    </w:p>
    <w:p w14:paraId="5C53AF77" w14:textId="456020E1" w:rsidR="003D5B78" w:rsidRPr="006A0BAB" w:rsidRDefault="003D5B78"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In the United States, L’Oréal has predominantly followed an acquisition-led strategy, using brands such as Urban Decay and IT Cosmetics to secure rapid access to established </w:t>
      </w:r>
      <w:r w:rsidRPr="006A0BAB">
        <w:rPr>
          <w:rFonts w:ascii="Arial" w:hAnsi="Arial" w:cs="Arial"/>
          <w:color w:val="262626" w:themeColor="text1" w:themeTint="D9"/>
        </w:rPr>
        <w:lastRenderedPageBreak/>
        <w:t>communities in the prestige and premium segments (L’Oréal, 2024). Acquisitions reduce time-to-market and transfer local brand legitimacy to the parent firm. However, they also create integration challenges, particularly where acquired brands rely on distinct influencer cultures or direct-to-consumer models. Post-acquisition, L’Oréal must balance synergy extraction with the risk of diluting the authenticity that made these brands attractive in the first place, highlighting a tension between scale and distinctiveness.</w:t>
      </w:r>
    </w:p>
    <w:p w14:paraId="5B7AEE2C" w14:textId="13DA29CA" w:rsidR="003D5B78" w:rsidRPr="006A0BAB" w:rsidRDefault="003D5B78" w:rsidP="006A0BAB">
      <w:pPr>
        <w:spacing w:line="360" w:lineRule="auto"/>
        <w:rPr>
          <w:rFonts w:ascii="Arial" w:hAnsi="Arial" w:cs="Arial"/>
          <w:color w:val="262626" w:themeColor="text1" w:themeTint="D9"/>
        </w:rPr>
      </w:pPr>
      <w:r w:rsidRPr="006A0BAB">
        <w:rPr>
          <w:rFonts w:ascii="Arial" w:hAnsi="Arial" w:cs="Arial"/>
          <w:color w:val="262626" w:themeColor="text1" w:themeTint="D9"/>
        </w:rPr>
        <w:t>China exemplifies a more complex configuration in which wholly owned subsidiaries and digital platform partnerships coexist under tightening state control. On paper, wholly owned subsidiaries safeguard formulation IP, brand image and quality standards in an environment of regulatory asymmetry between China and the EU. In practice, however, this high-control mode amplifies exposure to evolving consumer, data and e-commerce legislation, as firms bear full compliance responsibility (KPMG, 2023). At the same time, dependence on platforms such as Tmall and JD.com shifts commercial power towards algorithms and state-regulated ecosystems, which influence visibility, pricing and consumer-data access (Deloitte, 2022). L’Oréal thus faces dual dependency: on the Chinese state for regulatory approval and on dominant platforms for digital reach. What appears as a strong position in terms of ownership and internalisation can, under conditions of regulatory nationalism and platform capitalism, become a defensive posture with limited strategic flexibility.</w:t>
      </w:r>
    </w:p>
    <w:p w14:paraId="6EBEB225" w14:textId="77777777" w:rsidR="00300C13" w:rsidRPr="006A0BAB" w:rsidRDefault="003D5B78"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India represents a hybrid expansion pattern that combines acquisitions, wholly owned subsidiaries and local partnerships. The integration of professional brands such as Matrix and collaborations with Nykaa have facilitated distribution penetration and culturally attuned marketing (EY, 2022). Yet India also reveals the limits of ownership-based strategies when ethical legitimacy is contested. Public criticism of colourist beauty narratives in the wider industry has forced L’Oréal and its peers to reassess product claims, language and positioning (Sengupta, 2021). </w:t>
      </w:r>
      <w:r w:rsidR="00300C13" w:rsidRPr="006A0BAB">
        <w:rPr>
          <w:rFonts w:ascii="Arial" w:hAnsi="Arial" w:cs="Arial"/>
          <w:color w:val="262626" w:themeColor="text1" w:themeTint="D9"/>
        </w:rPr>
        <w:t>In this context, entry mode choices are increasingly shaped by the need to co-create legitimacy with local stakeholders such as retailers, dermatologists and influencers, rather than by the unilateral imposition of a global brand blueprint. Without social alignment, ownership control becomes strategically insufficient.</w:t>
      </w:r>
    </w:p>
    <w:p w14:paraId="1075C025" w14:textId="6DD63F9D" w:rsidR="003D5B78" w:rsidRPr="006A0BAB" w:rsidRDefault="003D5B78"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Brazil provides an additional illustration of how acquisition-based entry can be both enabling and constraining. The purchase of Niely granted L’Oréal immediate access to mass-market haircare segments and to local distribution channels, yet persistent currency volatility and shifting political priorities raise questions about the long-term resilience of such commitments </w:t>
      </w:r>
      <w:r w:rsidRPr="006A0BAB">
        <w:rPr>
          <w:rFonts w:ascii="Arial" w:hAnsi="Arial" w:cs="Arial"/>
          <w:color w:val="262626" w:themeColor="text1" w:themeTint="D9"/>
        </w:rPr>
        <w:lastRenderedPageBreak/>
        <w:t>(UNCTAD, 202</w:t>
      </w:r>
      <w:r w:rsidR="00290FC3">
        <w:rPr>
          <w:rFonts w:ascii="Arial" w:hAnsi="Arial" w:cs="Arial"/>
          <w:color w:val="262626" w:themeColor="text1" w:themeTint="D9"/>
        </w:rPr>
        <w:t>4</w:t>
      </w:r>
      <w:r w:rsidRPr="006A0BAB">
        <w:rPr>
          <w:rFonts w:ascii="Arial" w:hAnsi="Arial" w:cs="Arial"/>
          <w:color w:val="262626" w:themeColor="text1" w:themeTint="D9"/>
        </w:rPr>
        <w:t>). High sunk costs in local production and brand integration limit exit options, turning acquisitions into partially irreversible bets on regulatory and macroeconomic stability.</w:t>
      </w:r>
    </w:p>
    <w:p w14:paraId="4A91D626" w14:textId="14E0BFE2" w:rsidR="003D5B78" w:rsidRPr="006A0BAB" w:rsidRDefault="00300C13" w:rsidP="006A0BAB">
      <w:pPr>
        <w:spacing w:line="360" w:lineRule="auto"/>
        <w:rPr>
          <w:rFonts w:ascii="Arial" w:hAnsi="Arial" w:cs="Arial"/>
          <w:color w:val="262626" w:themeColor="text1" w:themeTint="D9"/>
        </w:rPr>
      </w:pPr>
      <w:r w:rsidRPr="006A0BAB">
        <w:rPr>
          <w:rFonts w:ascii="Arial" w:hAnsi="Arial" w:cs="Arial"/>
          <w:color w:val="262626" w:themeColor="text1" w:themeTint="D9"/>
        </w:rPr>
        <w:t>Overall, L’Oréal’s dominant entry modes, acquisitions and wholly owned subsidiaries, are consistent with the firm’s need to protect proprietary technology and brand equity.</w:t>
      </w:r>
      <w:r w:rsidRPr="006A0BAB">
        <w:rPr>
          <w:rFonts w:ascii="Arial" w:hAnsi="Arial" w:cs="Arial"/>
          <w:color w:val="262626" w:themeColor="text1" w:themeTint="D9"/>
        </w:rPr>
        <w:t xml:space="preserve"> </w:t>
      </w:r>
      <w:r w:rsidR="003D5B78" w:rsidRPr="006A0BAB">
        <w:rPr>
          <w:rFonts w:ascii="Arial" w:hAnsi="Arial" w:cs="Arial"/>
          <w:color w:val="262626" w:themeColor="text1" w:themeTint="D9"/>
        </w:rPr>
        <w:t xml:space="preserve">However, under conditions of regulatory sovereignty, platform intermediation and shifting social norms, high-control modes increasingly function as constrained adaptations rather than unconstrained strategic choices. </w:t>
      </w:r>
    </w:p>
    <w:p w14:paraId="4EA5E596" w14:textId="26273E68" w:rsidR="003D5B78" w:rsidRPr="006A0BAB" w:rsidRDefault="003D5B78" w:rsidP="006A0BAB">
      <w:pPr>
        <w:spacing w:before="120" w:after="120" w:line="360" w:lineRule="auto"/>
        <w:rPr>
          <w:rFonts w:ascii="Arial" w:hAnsi="Arial" w:cs="Arial"/>
          <w:i/>
          <w:iCs/>
          <w:color w:val="262626" w:themeColor="text1" w:themeTint="D9"/>
        </w:rPr>
      </w:pPr>
      <w:r w:rsidRPr="006A0BAB">
        <w:rPr>
          <w:rFonts w:ascii="Arial" w:hAnsi="Arial" w:cs="Arial"/>
          <w:color w:val="262626" w:themeColor="text1" w:themeTint="D9"/>
        </w:rPr>
        <w:t>A comparative matrix summarising these conditional trade-offs across the United States, China, India and Brazil is presented in Appendix 4</w:t>
      </w:r>
      <w:r w:rsidRPr="006A0BAB">
        <w:rPr>
          <w:rFonts w:ascii="Arial" w:hAnsi="Arial" w:cs="Arial"/>
          <w:i/>
          <w:iCs/>
          <w:color w:val="262626" w:themeColor="text1" w:themeTint="D9"/>
        </w:rPr>
        <w:t>.</w:t>
      </w:r>
    </w:p>
    <w:p w14:paraId="398A876D" w14:textId="77777777" w:rsidR="003D5B78" w:rsidRPr="00EF3058" w:rsidRDefault="003D5B78" w:rsidP="00092813">
      <w:pPr>
        <w:spacing w:line="360" w:lineRule="auto"/>
        <w:rPr>
          <w:rFonts w:ascii="Arial" w:hAnsi="Arial" w:cs="Arial"/>
          <w:color w:val="262626"/>
        </w:rPr>
      </w:pPr>
    </w:p>
    <w:p w14:paraId="26D44864" w14:textId="140BED57" w:rsidR="00A62237" w:rsidRPr="00EF3058" w:rsidRDefault="009F0879" w:rsidP="00A62237">
      <w:pPr>
        <w:pStyle w:val="Heading2"/>
        <w:shd w:val="clear" w:color="auto" w:fill="F5ECCF"/>
        <w:rPr>
          <w:rFonts w:ascii="Arial" w:hAnsi="Arial" w:cs="Arial"/>
          <w:color w:val="262626"/>
          <w:sz w:val="26"/>
          <w:szCs w:val="26"/>
        </w:rPr>
      </w:pPr>
      <w:bookmarkStart w:id="6" w:name="_Toc214672840"/>
      <w:r w:rsidRPr="00EF3058">
        <w:rPr>
          <w:rFonts w:ascii="Arial" w:hAnsi="Arial" w:cs="Arial"/>
          <w:color w:val="262626"/>
          <w:sz w:val="26"/>
          <w:szCs w:val="26"/>
        </w:rPr>
        <w:t xml:space="preserve">2.4 </w:t>
      </w:r>
      <w:r w:rsidR="00A62237" w:rsidRPr="00EF3058">
        <w:rPr>
          <w:rFonts w:ascii="Arial" w:hAnsi="Arial" w:cs="Arial"/>
          <w:color w:val="262626"/>
          <w:sz w:val="26"/>
          <w:szCs w:val="26"/>
        </w:rPr>
        <w:t>Strategic Implications of Internationalisation</w:t>
      </w:r>
      <w:bookmarkEnd w:id="6"/>
    </w:p>
    <w:p w14:paraId="7E442DFB" w14:textId="1334AEFF" w:rsidR="00300C13" w:rsidRPr="006A0BAB" w:rsidRDefault="00A62237"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L’Oréal’s international expansion strengthens its scientific capacity, brand recognition and global market access, yet these benefits increasingly deliver value only under specific institutional, cultural and technological conditions. </w:t>
      </w:r>
      <w:r w:rsidR="00300C13" w:rsidRPr="006A0BAB">
        <w:rPr>
          <w:rFonts w:ascii="Arial" w:hAnsi="Arial" w:cs="Arial"/>
          <w:color w:val="262626" w:themeColor="text1" w:themeTint="D9"/>
        </w:rPr>
        <w:t>Economies of scale reduce unit costs and accelerate formulation deployment; however, these efficiencies are contingent on regulatory stability. When sustainability mandates or data sovereignty laws are tightened, scale may shift from being an asset to becoming a liability, increasing compliance costs and delaying time-to-market. Similarly, diversification typically mitigates regional volatility. Yet, when shocks become globally synchronised</w:t>
      </w:r>
      <w:r w:rsidR="00300C13" w:rsidRPr="006A0BAB">
        <w:rPr>
          <w:rFonts w:ascii="Arial" w:hAnsi="Arial" w:cs="Arial"/>
          <w:color w:val="262626" w:themeColor="text1" w:themeTint="D9"/>
        </w:rPr>
        <w:t xml:space="preserve">, </w:t>
      </w:r>
      <w:r w:rsidR="00300C13" w:rsidRPr="006A0BAB">
        <w:rPr>
          <w:rFonts w:ascii="Arial" w:hAnsi="Arial" w:cs="Arial"/>
          <w:color w:val="262626" w:themeColor="text1" w:themeTint="D9"/>
        </w:rPr>
        <w:t>as witnessed during the COVID-19 pandemic</w:t>
      </w:r>
      <w:r w:rsidR="00300C13" w:rsidRPr="006A0BAB">
        <w:rPr>
          <w:rFonts w:ascii="Arial" w:hAnsi="Arial" w:cs="Arial"/>
          <w:color w:val="262626" w:themeColor="text1" w:themeTint="D9"/>
        </w:rPr>
        <w:t xml:space="preserve">, </w:t>
      </w:r>
      <w:r w:rsidR="00300C13" w:rsidRPr="006A0BAB">
        <w:rPr>
          <w:rFonts w:ascii="Arial" w:hAnsi="Arial" w:cs="Arial"/>
          <w:color w:val="262626" w:themeColor="text1" w:themeTint="D9"/>
        </w:rPr>
        <w:t>geographical hedging is neutralised, exposing the firm to simultaneous demand contraction and supply chain instability (Deloitte, 2022).</w:t>
      </w:r>
    </w:p>
    <w:p w14:paraId="461B27D5" w14:textId="3EB9F04A" w:rsidR="00493A3A" w:rsidRPr="006A0BAB" w:rsidRDefault="00A62237" w:rsidP="006A0BAB">
      <w:pPr>
        <w:spacing w:line="360" w:lineRule="auto"/>
        <w:rPr>
          <w:rFonts w:ascii="Arial" w:hAnsi="Arial" w:cs="Arial"/>
          <w:color w:val="262626" w:themeColor="text1" w:themeTint="D9"/>
        </w:rPr>
      </w:pPr>
      <w:r w:rsidRPr="006A0BAB">
        <w:rPr>
          <w:rFonts w:ascii="Arial" w:hAnsi="Arial" w:cs="Arial"/>
          <w:color w:val="262626" w:themeColor="text1" w:themeTint="D9"/>
        </w:rPr>
        <w:t>Access to diverse global talent pools enhances innovation depth, but multicultural R&amp;D ecosystems require governance systems capable of harmonising ethical expectations, data-transfer protocols and culturally grounded product design. Where social norms shift faster than organisational adaptation, capabilities that once conferred advantage can erode legitimacy; L’Oréal’s exposure to colourism-related critique in India illustrates that reputation is not merely protected through internalisation, but co-created with cultural and regulatory stakeholders (Sengupta, 2021). Thus, the strategic value of ownership and control is conditional: technological, ethical and political environments increasingly determine when internalisation yields protection and when it generates rigidity.</w:t>
      </w:r>
    </w:p>
    <w:p w14:paraId="46579541" w14:textId="3C2E2CC2" w:rsidR="00A62237" w:rsidRPr="006A0BAB" w:rsidRDefault="00A62237" w:rsidP="006A0BAB">
      <w:pPr>
        <w:spacing w:line="360" w:lineRule="auto"/>
        <w:rPr>
          <w:rFonts w:ascii="Arial" w:hAnsi="Arial" w:cs="Arial"/>
          <w:color w:val="262626" w:themeColor="text1" w:themeTint="D9"/>
        </w:rPr>
      </w:pPr>
      <w:r w:rsidRPr="006A0BAB">
        <w:rPr>
          <w:rFonts w:ascii="Arial" w:hAnsi="Arial" w:cs="Arial"/>
          <w:color w:val="262626" w:themeColor="text1" w:themeTint="D9"/>
        </w:rPr>
        <w:lastRenderedPageBreak/>
        <w:t xml:space="preserve">Taken together, these tensions </w:t>
      </w:r>
      <w:r w:rsidR="006A0BAB" w:rsidRPr="006A0BAB">
        <w:rPr>
          <w:rFonts w:ascii="Arial" w:hAnsi="Arial" w:cs="Arial"/>
          <w:color w:val="262626" w:themeColor="text1" w:themeTint="D9"/>
        </w:rPr>
        <w:t>suggest that internationalisation serves less as a guarantee of competitive strength than as a strategic multiplier, whose payoff depends on alignment between ownership-specific advantages, local legitimacy,</w:t>
      </w:r>
      <w:r w:rsidRPr="006A0BAB">
        <w:rPr>
          <w:rFonts w:ascii="Arial" w:hAnsi="Arial" w:cs="Arial"/>
          <w:color w:val="262626" w:themeColor="text1" w:themeTint="D9"/>
        </w:rPr>
        <w:t xml:space="preserve"> and regulatory interoperability.</w:t>
      </w:r>
    </w:p>
    <w:p w14:paraId="2905BDC6" w14:textId="77777777" w:rsidR="00A62237" w:rsidRPr="006A0BAB" w:rsidRDefault="00A62237" w:rsidP="006A0BAB">
      <w:pPr>
        <w:spacing w:line="360" w:lineRule="auto"/>
        <w:rPr>
          <w:rFonts w:ascii="Arial" w:hAnsi="Arial" w:cs="Arial"/>
          <w:b/>
          <w:bCs/>
          <w:color w:val="262626" w:themeColor="text1" w:themeTint="D9"/>
        </w:rPr>
      </w:pPr>
      <w:r w:rsidRPr="006A0BAB">
        <w:rPr>
          <w:rFonts w:ascii="Arial" w:hAnsi="Arial" w:cs="Arial"/>
          <w:b/>
          <w:bCs/>
          <w:color w:val="262626" w:themeColor="text1" w:themeTint="D9"/>
        </w:rPr>
        <w:t>Executive Insight:</w:t>
      </w:r>
    </w:p>
    <w:p w14:paraId="14BFD519" w14:textId="77777777" w:rsidR="00300C13" w:rsidRPr="006A0BAB" w:rsidRDefault="00300C13" w:rsidP="006A0BAB">
      <w:pPr>
        <w:spacing w:line="360" w:lineRule="auto"/>
        <w:rPr>
          <w:rFonts w:ascii="Arial" w:hAnsi="Arial" w:cs="Arial"/>
          <w:color w:val="262626" w:themeColor="text1" w:themeTint="D9"/>
        </w:rPr>
      </w:pPr>
      <w:r w:rsidRPr="006A0BAB">
        <w:rPr>
          <w:rFonts w:ascii="Arial" w:hAnsi="Arial" w:cs="Arial"/>
          <w:color w:val="262626" w:themeColor="text1" w:themeTint="D9"/>
        </w:rPr>
        <w:t>Internationalisation generates competitive advantage only when scientific control, digital sovereignty, and cultural legitimacy reinforce each other rather than operate in contradiction.</w:t>
      </w:r>
    </w:p>
    <w:p w14:paraId="4C8017BF" w14:textId="0803CC43" w:rsidR="002B31E3" w:rsidRPr="006A0BAB" w:rsidRDefault="00A62237" w:rsidP="006A0BAB">
      <w:pPr>
        <w:spacing w:line="360" w:lineRule="auto"/>
        <w:rPr>
          <w:rFonts w:ascii="Arial" w:hAnsi="Arial" w:cs="Arial"/>
          <w:color w:val="262626" w:themeColor="text1" w:themeTint="D9"/>
        </w:rPr>
      </w:pPr>
      <w:r w:rsidRPr="006A0BAB">
        <w:rPr>
          <w:rFonts w:ascii="Arial" w:hAnsi="Arial" w:cs="Arial"/>
          <w:color w:val="262626" w:themeColor="text1" w:themeTint="D9"/>
        </w:rPr>
        <w:t>This alignment challenge frames the need for a deeper evaluation of how L’Oréal’s ownership assets, location conditions and internalisation motives interact in emerging markets. Consequently, the OLI paradigm offers an essential lens for examining the firm’s expansion decisions, particularly in India.</w:t>
      </w:r>
    </w:p>
    <w:p w14:paraId="1DB3A3C8" w14:textId="77777777" w:rsidR="002B31E3" w:rsidRPr="00EF3058" w:rsidRDefault="002B31E3" w:rsidP="002B31E3">
      <w:pPr>
        <w:spacing w:line="360" w:lineRule="auto"/>
        <w:rPr>
          <w:rFonts w:ascii="Arial" w:hAnsi="Arial" w:cs="Arial"/>
          <w:color w:val="262626"/>
        </w:rPr>
      </w:pPr>
    </w:p>
    <w:p w14:paraId="4F434B0F" w14:textId="77777777" w:rsidR="00493A3A" w:rsidRPr="00EF3058" w:rsidRDefault="00493A3A" w:rsidP="002B31E3">
      <w:pPr>
        <w:spacing w:line="360" w:lineRule="auto"/>
        <w:rPr>
          <w:rFonts w:ascii="Arial" w:hAnsi="Arial" w:cs="Arial"/>
          <w:color w:val="262626"/>
        </w:rPr>
      </w:pPr>
    </w:p>
    <w:p w14:paraId="0D8474CA" w14:textId="77777777" w:rsidR="00493A3A" w:rsidRPr="00EF3058" w:rsidRDefault="00493A3A" w:rsidP="002B31E3">
      <w:pPr>
        <w:spacing w:line="360" w:lineRule="auto"/>
        <w:rPr>
          <w:rFonts w:ascii="Arial" w:hAnsi="Arial" w:cs="Arial"/>
          <w:color w:val="262626"/>
        </w:rPr>
      </w:pPr>
    </w:p>
    <w:p w14:paraId="4E76477F" w14:textId="77777777" w:rsidR="00493A3A" w:rsidRPr="00EF3058" w:rsidRDefault="00493A3A" w:rsidP="002B31E3">
      <w:pPr>
        <w:spacing w:line="360" w:lineRule="auto"/>
        <w:rPr>
          <w:rFonts w:ascii="Arial" w:hAnsi="Arial" w:cs="Arial"/>
          <w:color w:val="262626"/>
        </w:rPr>
      </w:pPr>
    </w:p>
    <w:p w14:paraId="1910D200" w14:textId="77777777" w:rsidR="00493A3A" w:rsidRPr="00EF3058" w:rsidRDefault="00493A3A" w:rsidP="002B31E3">
      <w:pPr>
        <w:spacing w:line="360" w:lineRule="auto"/>
        <w:rPr>
          <w:rFonts w:ascii="Arial" w:hAnsi="Arial" w:cs="Arial"/>
          <w:color w:val="262626"/>
        </w:rPr>
      </w:pPr>
    </w:p>
    <w:p w14:paraId="1C27B97B" w14:textId="77777777" w:rsidR="00493A3A" w:rsidRPr="00EF3058" w:rsidRDefault="00493A3A" w:rsidP="002B31E3">
      <w:pPr>
        <w:spacing w:line="360" w:lineRule="auto"/>
        <w:rPr>
          <w:rFonts w:ascii="Arial" w:hAnsi="Arial" w:cs="Arial"/>
          <w:color w:val="262626"/>
        </w:rPr>
      </w:pPr>
    </w:p>
    <w:p w14:paraId="0D1C1013" w14:textId="77777777" w:rsidR="00493A3A" w:rsidRPr="00EF3058" w:rsidRDefault="00493A3A" w:rsidP="002B31E3">
      <w:pPr>
        <w:spacing w:line="360" w:lineRule="auto"/>
        <w:rPr>
          <w:rFonts w:ascii="Arial" w:hAnsi="Arial" w:cs="Arial"/>
          <w:color w:val="262626"/>
        </w:rPr>
      </w:pPr>
    </w:p>
    <w:p w14:paraId="76E31DEA" w14:textId="77777777" w:rsidR="00BE46B7" w:rsidRPr="00EF3058" w:rsidRDefault="00BE46B7" w:rsidP="002B31E3">
      <w:pPr>
        <w:spacing w:line="360" w:lineRule="auto"/>
        <w:rPr>
          <w:rFonts w:ascii="Arial" w:hAnsi="Arial" w:cs="Arial"/>
          <w:color w:val="262626"/>
        </w:rPr>
      </w:pPr>
    </w:p>
    <w:p w14:paraId="44AF842C" w14:textId="77777777" w:rsidR="00BE46B7" w:rsidRPr="00EF3058" w:rsidRDefault="00BE46B7" w:rsidP="002B31E3">
      <w:pPr>
        <w:spacing w:line="360" w:lineRule="auto"/>
        <w:rPr>
          <w:rFonts w:ascii="Arial" w:hAnsi="Arial" w:cs="Arial"/>
          <w:color w:val="262626"/>
        </w:rPr>
      </w:pPr>
    </w:p>
    <w:p w14:paraId="5203044C" w14:textId="77777777" w:rsidR="00BE46B7" w:rsidRPr="00EF3058" w:rsidRDefault="00BE46B7" w:rsidP="002B31E3">
      <w:pPr>
        <w:spacing w:line="360" w:lineRule="auto"/>
        <w:rPr>
          <w:rFonts w:ascii="Arial" w:hAnsi="Arial" w:cs="Arial"/>
          <w:color w:val="262626"/>
        </w:rPr>
      </w:pPr>
    </w:p>
    <w:p w14:paraId="28EFDC0F" w14:textId="77777777" w:rsidR="00BE46B7" w:rsidRPr="00EF3058" w:rsidRDefault="00BE46B7" w:rsidP="002B31E3">
      <w:pPr>
        <w:spacing w:line="360" w:lineRule="auto"/>
        <w:rPr>
          <w:rFonts w:ascii="Arial" w:hAnsi="Arial" w:cs="Arial"/>
          <w:color w:val="262626"/>
        </w:rPr>
      </w:pPr>
    </w:p>
    <w:p w14:paraId="09912A80" w14:textId="77777777" w:rsidR="00BE46B7" w:rsidRPr="00EF3058" w:rsidRDefault="00BE46B7" w:rsidP="002B31E3">
      <w:pPr>
        <w:spacing w:line="360" w:lineRule="auto"/>
        <w:rPr>
          <w:rFonts w:ascii="Arial" w:hAnsi="Arial" w:cs="Arial"/>
          <w:color w:val="262626"/>
        </w:rPr>
      </w:pPr>
    </w:p>
    <w:p w14:paraId="36821B7C" w14:textId="77777777" w:rsidR="00BE46B7" w:rsidRPr="00EF3058" w:rsidRDefault="00BE46B7" w:rsidP="002B31E3">
      <w:pPr>
        <w:spacing w:line="360" w:lineRule="auto"/>
        <w:rPr>
          <w:rFonts w:ascii="Arial" w:hAnsi="Arial" w:cs="Arial"/>
          <w:color w:val="262626"/>
        </w:rPr>
      </w:pPr>
    </w:p>
    <w:p w14:paraId="1D0CF5C5" w14:textId="77777777" w:rsidR="00BE46B7" w:rsidRPr="00EF3058" w:rsidRDefault="00BE46B7" w:rsidP="002B31E3">
      <w:pPr>
        <w:spacing w:line="360" w:lineRule="auto"/>
        <w:rPr>
          <w:rFonts w:ascii="Arial" w:hAnsi="Arial" w:cs="Arial"/>
          <w:color w:val="262626"/>
        </w:rPr>
      </w:pPr>
    </w:p>
    <w:p w14:paraId="6D6EF58C" w14:textId="77777777" w:rsidR="00BE46B7" w:rsidRPr="00EF3058" w:rsidRDefault="00BE46B7" w:rsidP="002B31E3">
      <w:pPr>
        <w:spacing w:line="360" w:lineRule="auto"/>
        <w:rPr>
          <w:rFonts w:ascii="Arial" w:hAnsi="Arial" w:cs="Arial"/>
          <w:color w:val="262626"/>
        </w:rPr>
      </w:pPr>
    </w:p>
    <w:p w14:paraId="6F302F67" w14:textId="77777777" w:rsidR="00854ABC" w:rsidRPr="00EF3058" w:rsidRDefault="00854ABC" w:rsidP="002B31E3">
      <w:pPr>
        <w:spacing w:line="360" w:lineRule="auto"/>
        <w:rPr>
          <w:rFonts w:ascii="Arial" w:hAnsi="Arial" w:cs="Arial"/>
          <w:color w:val="262626"/>
        </w:rPr>
      </w:pPr>
    </w:p>
    <w:p w14:paraId="1C2A8FD0" w14:textId="2292B7CC" w:rsidR="00BE46B7" w:rsidRPr="00EF3058" w:rsidRDefault="00BE46B7" w:rsidP="00BE46B7">
      <w:pPr>
        <w:pStyle w:val="Heading1"/>
        <w:shd w:val="clear" w:color="auto" w:fill="D4AF37"/>
        <w:rPr>
          <w:rFonts w:ascii="Arial" w:hAnsi="Arial" w:cs="Arial"/>
          <w:color w:val="262626"/>
          <w:sz w:val="32"/>
          <w:szCs w:val="32"/>
        </w:rPr>
      </w:pPr>
      <w:bookmarkStart w:id="7" w:name="_Toc214672841"/>
      <w:r w:rsidRPr="00EF3058">
        <w:rPr>
          <w:rFonts w:ascii="Arial" w:hAnsi="Arial" w:cs="Arial"/>
          <w:color w:val="262626"/>
          <w:sz w:val="32"/>
          <w:szCs w:val="32"/>
        </w:rPr>
        <w:lastRenderedPageBreak/>
        <w:t xml:space="preserve">3. </w:t>
      </w:r>
      <w:r w:rsidR="00AF667E" w:rsidRPr="001F13ED">
        <w:rPr>
          <w:rFonts w:ascii="Arial" w:hAnsi="Arial" w:cs="Arial"/>
          <w:color w:val="262626" w:themeColor="text1" w:themeTint="D9"/>
          <w:sz w:val="32"/>
          <w:szCs w:val="32"/>
        </w:rPr>
        <w:t>OLI FRAMEWORK</w:t>
      </w:r>
      <w:r w:rsidR="00DD0E9A" w:rsidRPr="001F13ED">
        <w:rPr>
          <w:rFonts w:ascii="Arial" w:hAnsi="Arial" w:cs="Arial"/>
          <w:color w:val="262626" w:themeColor="text1" w:themeTint="D9"/>
          <w:sz w:val="32"/>
          <w:szCs w:val="32"/>
        </w:rPr>
        <w:t xml:space="preserve"> AND</w:t>
      </w:r>
      <w:r w:rsidR="00AF667E" w:rsidRPr="001F13ED">
        <w:rPr>
          <w:rFonts w:ascii="Arial" w:hAnsi="Arial" w:cs="Arial"/>
          <w:color w:val="262626" w:themeColor="text1" w:themeTint="D9"/>
          <w:sz w:val="32"/>
          <w:szCs w:val="32"/>
        </w:rPr>
        <w:t xml:space="preserve"> </w:t>
      </w:r>
      <w:r w:rsidR="00DD0E9A" w:rsidRPr="001F13ED">
        <w:rPr>
          <w:rFonts w:ascii="Arial" w:hAnsi="Arial" w:cs="Arial"/>
          <w:color w:val="262626" w:themeColor="text1" w:themeTint="D9"/>
          <w:sz w:val="32"/>
          <w:szCs w:val="32"/>
        </w:rPr>
        <w:t>L’ORÉAL’S MARKET ENTRY STRATEGY IN INDIA’S PREMIUM SEGMENT</w:t>
      </w:r>
      <w:bookmarkEnd w:id="7"/>
      <w:r w:rsidR="00DD0E9A" w:rsidRPr="001F13ED">
        <w:rPr>
          <w:rFonts w:ascii="Arial" w:hAnsi="Arial" w:cs="Arial"/>
          <w:color w:val="262626" w:themeColor="text1" w:themeTint="D9"/>
          <w:sz w:val="32"/>
          <w:szCs w:val="32"/>
        </w:rPr>
        <w:t xml:space="preserve"> </w:t>
      </w:r>
    </w:p>
    <w:p w14:paraId="0F027A3F" w14:textId="77777777" w:rsidR="00BE46B7" w:rsidRPr="00EF3058" w:rsidRDefault="00BE46B7" w:rsidP="00BE46B7">
      <w:pPr>
        <w:spacing w:line="360" w:lineRule="auto"/>
        <w:rPr>
          <w:rFonts w:ascii="Arial" w:hAnsi="Arial" w:cs="Arial"/>
          <w:color w:val="262626"/>
        </w:rPr>
      </w:pPr>
    </w:p>
    <w:p w14:paraId="236EBEFF" w14:textId="53B6573E" w:rsidR="00DD0E9A" w:rsidRPr="006A0BAB" w:rsidRDefault="0056599B" w:rsidP="006A0BAB">
      <w:pPr>
        <w:spacing w:line="360" w:lineRule="auto"/>
        <w:rPr>
          <w:rFonts w:ascii="Arial" w:hAnsi="Arial" w:cs="Arial"/>
          <w:color w:val="262626" w:themeColor="text1" w:themeTint="D9"/>
        </w:rPr>
      </w:pPr>
      <w:r w:rsidRPr="006A0BAB">
        <w:rPr>
          <w:rFonts w:ascii="Arial" w:hAnsi="Arial" w:cs="Arial"/>
          <w:color w:val="262626" w:themeColor="text1" w:themeTint="D9"/>
        </w:rPr>
        <w:t>The OLI paradigm posits that multinational enterprises expand by leveraging ownership advantages (O), responding to location-specific incentives and constraints (L), and internalising activities when control yields greater value than market contracting (I) (Dunning, 1988). Moreover, recent scholarship argues that firms in emerging contexts internationalise not to exploit existing advantages but to acquire and legitimise them, a dynamic known as the “springboard perspective” (Luo and Tung, 2007). However, this logic presumes relatively complete markets and transferable firm-specific advantages (Casson and Wadeson, 2018). In legitimacy-driven emerging economies such as India, OLI advantages are conditional: value materialises only when proprietary assets are authenticated within the host context. L’Oréal’s entry into India’s premium skincare and cosmetics segment illustrates how OLI factors interact not as universal rules but as contingent strategic trade-offs that require cultural, regulatory and platform-based negotiation.</w:t>
      </w:r>
    </w:p>
    <w:p w14:paraId="088CFD79" w14:textId="77777777" w:rsidR="0056599B" w:rsidRPr="00EF3058" w:rsidRDefault="0056599B" w:rsidP="00BE46B7">
      <w:pPr>
        <w:spacing w:line="360" w:lineRule="auto"/>
        <w:rPr>
          <w:rFonts w:ascii="Arial" w:hAnsi="Arial" w:cs="Arial"/>
          <w:color w:val="262626"/>
        </w:rPr>
      </w:pPr>
    </w:p>
    <w:p w14:paraId="514E6055" w14:textId="3327CE11" w:rsidR="00975132" w:rsidRPr="00EF3058" w:rsidRDefault="00BE46B7" w:rsidP="00975132">
      <w:pPr>
        <w:pStyle w:val="Heading2"/>
        <w:shd w:val="clear" w:color="auto" w:fill="F5ECCF"/>
        <w:rPr>
          <w:rFonts w:ascii="Arial" w:hAnsi="Arial" w:cs="Arial"/>
          <w:color w:val="262626"/>
          <w:sz w:val="26"/>
          <w:szCs w:val="26"/>
        </w:rPr>
      </w:pPr>
      <w:bookmarkStart w:id="8" w:name="_Toc214672842"/>
      <w:r w:rsidRPr="00EF3058">
        <w:rPr>
          <w:rFonts w:ascii="Arial" w:hAnsi="Arial" w:cs="Arial"/>
          <w:color w:val="262626"/>
          <w:sz w:val="26"/>
          <w:szCs w:val="26"/>
        </w:rPr>
        <w:t xml:space="preserve">3.1 </w:t>
      </w:r>
      <w:r w:rsidR="00DD0E9A" w:rsidRPr="00EF3058">
        <w:rPr>
          <w:rFonts w:ascii="Arial" w:hAnsi="Arial" w:cs="Arial"/>
          <w:color w:val="262626"/>
          <w:sz w:val="26"/>
          <w:szCs w:val="26"/>
        </w:rPr>
        <w:t>Ownership Advantages: Digital Prestige, Scientific IP and Conditional Value (India vs United States)</w:t>
      </w:r>
      <w:bookmarkEnd w:id="8"/>
    </w:p>
    <w:p w14:paraId="6CBDE174" w14:textId="19193CFE" w:rsidR="00975132"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L’Oréal’s strongest ownership advantages derive from (1) proprietary scientific IP, (2) dermatological expertise embedded within research centres in France and the United States, and (3) digital diagnostic technologies that personalise skincare decisions through AI algorithms (Atwal and Williams, 2017; Wohlwend and Cudney, 2021). In mature markets such as the United States, these assets create pricing power because consumers trust clinically validated efficacy and are accustomed to paying for dermatologist-backed formulations (Kumar and Purohit, 2020).</w:t>
      </w:r>
    </w:p>
    <w:p w14:paraId="662A4CFE" w14:textId="78459571" w:rsidR="00975132"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 xml:space="preserve">In India, this ownership value is conditional rather than intrinsic. First, prestige does not automatically translate into willingness to pay unless efficacy is perceived as localised to humidity, melanin-rich skin, or indigenous skincare routines (Rangaswamy and Joshi, 2019). Second, digital ownership depends on access to consumer data; however, premium cosmetics in India are mediated through platforms such as Nykaa, which control user data, visibility, search ranking and discounting (Reinartz, Wiegand and Imschloss, 2019). This creates a </w:t>
      </w:r>
      <w:r w:rsidRPr="006A0BAB">
        <w:rPr>
          <w:rFonts w:ascii="Arial" w:hAnsi="Arial" w:cs="Arial"/>
          <w:color w:val="262626" w:themeColor="text1" w:themeTint="D9"/>
        </w:rPr>
        <w:lastRenderedPageBreak/>
        <w:t>structural paradox: digital ownership is valuable only if negotiated through platform partnerships rather than internalised unilaterally (Wohlwend and Cudney, 2021).</w:t>
      </w:r>
    </w:p>
    <w:p w14:paraId="054D7614" w14:textId="3A9D07FB" w:rsidR="00BE46B7"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Finally, ownership of scientific legitimacy can backfire if not culturally translated. Regulatory tightening now penalises exaggerated claims after consumer backlash against campaigns such as Garnier Men AcnOFight, which used “instant transformation” claims that were criticised for unrealistic promises (Menon, 2021). Thus, ownership advantages must be localised to avoid reputational risk, making them assets that require legitimacy-building rather than mere protection.</w:t>
      </w:r>
    </w:p>
    <w:p w14:paraId="5CBA9A76" w14:textId="77777777" w:rsidR="00975132" w:rsidRPr="006A0BAB" w:rsidRDefault="00975132" w:rsidP="006A0BAB">
      <w:pPr>
        <w:spacing w:line="360" w:lineRule="auto"/>
        <w:rPr>
          <w:rFonts w:ascii="Arial" w:hAnsi="Arial" w:cs="Arial"/>
          <w:color w:val="262626" w:themeColor="text1" w:themeTint="D9"/>
        </w:rPr>
      </w:pPr>
    </w:p>
    <w:p w14:paraId="2258DB03" w14:textId="703B3C6D" w:rsidR="00975132" w:rsidRPr="00EF3058" w:rsidRDefault="00BE46B7" w:rsidP="00975132">
      <w:pPr>
        <w:pStyle w:val="Heading2"/>
        <w:shd w:val="clear" w:color="auto" w:fill="F5ECCF"/>
        <w:rPr>
          <w:rFonts w:ascii="Arial" w:hAnsi="Arial" w:cs="Arial"/>
          <w:color w:val="262626"/>
          <w:sz w:val="26"/>
          <w:szCs w:val="26"/>
        </w:rPr>
      </w:pPr>
      <w:bookmarkStart w:id="9" w:name="_Toc214672843"/>
      <w:r w:rsidRPr="00EF3058">
        <w:rPr>
          <w:rFonts w:ascii="Arial" w:hAnsi="Arial" w:cs="Arial"/>
          <w:color w:val="262626"/>
          <w:sz w:val="26"/>
          <w:szCs w:val="26"/>
        </w:rPr>
        <w:t xml:space="preserve">3.2 </w:t>
      </w:r>
      <w:r w:rsidR="00975132" w:rsidRPr="00EF3058">
        <w:rPr>
          <w:rFonts w:ascii="Arial" w:hAnsi="Arial" w:cs="Arial"/>
          <w:color w:val="262626"/>
          <w:sz w:val="26"/>
          <w:szCs w:val="26"/>
        </w:rPr>
        <w:t>Location Factors: Market Potential, Institutional Distance and Platform Interdependence (India vs China vs Brazil)</w:t>
      </w:r>
      <w:bookmarkEnd w:id="9"/>
    </w:p>
    <w:p w14:paraId="3FFFA811" w14:textId="2B8A1583" w:rsidR="00975132"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India offers strong location advantages for premium cosmetics: affluent millennial consumers, rapid adoption of dermatologically oriented skincare, and high engagement with digital discovery platforms (EY, 2022). The emergence of Nykaa as a specialised premium marketplace reduces cultural uncertainty through review credibility, influencer education and dermatologist-backed messaging (Reinartz, Wiegand and Imschloss, 2019). These location advantages create demand readiness for brands such as Lancôme and Kérastase.</w:t>
      </w:r>
    </w:p>
    <w:p w14:paraId="10CE52A5" w14:textId="5B370178" w:rsidR="00975132" w:rsidRPr="006A0BAB" w:rsidRDefault="00300C13" w:rsidP="006A0BAB">
      <w:pPr>
        <w:spacing w:line="360" w:lineRule="auto"/>
        <w:rPr>
          <w:rFonts w:ascii="Arial" w:hAnsi="Arial" w:cs="Arial"/>
          <w:color w:val="262626" w:themeColor="text1" w:themeTint="D9"/>
        </w:rPr>
      </w:pPr>
      <w:r w:rsidRPr="006A0BAB">
        <w:rPr>
          <w:rFonts w:ascii="Arial" w:hAnsi="Arial" w:cs="Arial"/>
          <w:color w:val="262626" w:themeColor="text1" w:themeTint="D9"/>
        </w:rPr>
        <w:t>Yet India’s institutional conditions create constraints that limit the applicability of ownership-specific advantages. Institutional voids, such as fragmented luxury retail, weak contract enforcement, and relational rather than legalistic distribution norms, generate uncertainty and increase reliance on trusted intermediaries (Khanna and Palepu, 2010).</w:t>
      </w:r>
      <w:r w:rsidR="006A0BAB" w:rsidRPr="006A0BAB">
        <w:rPr>
          <w:rFonts w:ascii="Arial" w:hAnsi="Arial" w:cs="Arial"/>
          <w:color w:val="262626" w:themeColor="text1" w:themeTint="D9"/>
        </w:rPr>
        <w:t xml:space="preserve"> </w:t>
      </w:r>
      <w:r w:rsidR="00975132" w:rsidRPr="006A0BAB">
        <w:rPr>
          <w:rFonts w:ascii="Arial" w:hAnsi="Arial" w:cs="Arial"/>
          <w:color w:val="262626" w:themeColor="text1" w:themeTint="D9"/>
        </w:rPr>
        <w:t>This contrasts with China, where strong state regulation creates data nationalism but predictable enforcement; in India, the absence of robust data governance increases asymmetric dependence on private platforms instead (Huang and Sun, 2023).</w:t>
      </w:r>
    </w:p>
    <w:p w14:paraId="382C9864" w14:textId="141779A3" w:rsidR="00975132"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Institutional distance between France and India further magnifies governance risk. The early underperformance of L’Oréal Paris Total Repair 5 illustrates the consequences of importing global messaging without aligning with Indian hair rituals or localised price anchoring (Mehta and Bandyopadhyay, 2021). In Brazil, acquisitions such as Niely integrated local sourcing and consumer habits, demonstrating that location advantages may depend more on resource absorption than legitimacy-building.</w:t>
      </w:r>
    </w:p>
    <w:p w14:paraId="73F7ED23" w14:textId="59A81BD0" w:rsidR="00975132" w:rsidRPr="006A0BAB" w:rsidRDefault="00975132" w:rsidP="006A0BAB">
      <w:pPr>
        <w:spacing w:line="360" w:lineRule="auto"/>
        <w:rPr>
          <w:rFonts w:ascii="Arial" w:hAnsi="Arial" w:cs="Arial"/>
          <w:color w:val="262626" w:themeColor="text1" w:themeTint="D9"/>
        </w:rPr>
      </w:pPr>
      <w:r w:rsidRPr="006A0BAB">
        <w:rPr>
          <w:rFonts w:ascii="Arial" w:hAnsi="Arial" w:cs="Arial"/>
          <w:color w:val="262626" w:themeColor="text1" w:themeTint="D9"/>
        </w:rPr>
        <w:t>Implication: In India, location value cannot be captured through control alone; it requires legitimacy-oriented partnerships that supplement institutional deficits.</w:t>
      </w:r>
    </w:p>
    <w:p w14:paraId="003E0B4E" w14:textId="213FEA95" w:rsidR="00975132" w:rsidRPr="00854ABC" w:rsidRDefault="00BE46B7" w:rsidP="00854ABC">
      <w:pPr>
        <w:pStyle w:val="Heading2"/>
        <w:shd w:val="clear" w:color="auto" w:fill="F5ECCF"/>
        <w:rPr>
          <w:rFonts w:ascii="Arial" w:hAnsi="Arial" w:cs="Arial"/>
          <w:color w:val="262626"/>
          <w:sz w:val="26"/>
          <w:szCs w:val="26"/>
        </w:rPr>
      </w:pPr>
      <w:bookmarkStart w:id="10" w:name="_Toc214672844"/>
      <w:r w:rsidRPr="00EF3058">
        <w:rPr>
          <w:rFonts w:ascii="Arial" w:hAnsi="Arial" w:cs="Arial"/>
          <w:color w:val="262626"/>
          <w:sz w:val="26"/>
          <w:szCs w:val="26"/>
        </w:rPr>
        <w:lastRenderedPageBreak/>
        <w:t xml:space="preserve">3.3 </w:t>
      </w:r>
      <w:r w:rsidR="00975132" w:rsidRPr="00EF3058">
        <w:rPr>
          <w:rFonts w:ascii="Arial" w:hAnsi="Arial" w:cs="Arial"/>
          <w:color w:val="262626"/>
          <w:sz w:val="26"/>
          <w:szCs w:val="26"/>
        </w:rPr>
        <w:t>Internalisation Advantages: Prestige Control, Ethical Governance and Transaction Cost Inflation</w:t>
      </w:r>
      <w:bookmarkEnd w:id="10"/>
    </w:p>
    <w:p w14:paraId="73B78521" w14:textId="2C171ED0"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Internalisation enables L’Oréal to protect proprietary formulas, brand semantics and premium pricing. Delegating these elements to external partners risks discount drift, counterfeit leakage and influencer misrepresentation (Lannes and Li, 2021). For luxury brands, internalisation is therefore essential to maintain brand integrity and ethical message coherence, particularly in markets where aspirational consumers scrutinise authenticity and ethical claims.</w:t>
      </w:r>
    </w:p>
    <w:p w14:paraId="2DC20111" w14:textId="03C622F3"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However, internalisation in India does not reduce risk; it transforms its nature. Comprehensive control generates governance obligations rather than efficiency. Regulatory scrutiny of cosmetic claims following industry-wide backlash (Bharadwaj and Srivastava, 2022) forces internalised ethical accountability. Moreover, Indian offline distribution remains fragmented, requiring partial dependence on salons, dermatology clinics and platforms like Nykaa.</w:t>
      </w:r>
      <w:r w:rsidR="004B0686" w:rsidRPr="0004139F">
        <w:rPr>
          <w:color w:val="262626" w:themeColor="text1" w:themeTint="D9"/>
        </w:rPr>
        <w:t xml:space="preserve"> </w:t>
      </w:r>
      <w:r w:rsidR="004B0686" w:rsidRPr="0004139F">
        <w:rPr>
          <w:rFonts w:ascii="Arial" w:hAnsi="Arial" w:cs="Arial"/>
          <w:color w:val="262626" w:themeColor="text1" w:themeTint="D9"/>
        </w:rPr>
        <w:t>Internalisation secures brand ideology but is ineffective in compensating for infrastructural gaps.</w:t>
      </w:r>
    </w:p>
    <w:p w14:paraId="73E28573" w14:textId="06AFB3A9" w:rsidR="00BE46B7"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 contrast, China offers more predictable regulatory coordination, allowing internalisation to secure both data and distribution channels. Brazil enables internalisation to protect sourcing and cost structures instead (Huang and Sun, 2023). India is distinct because internalisation secures legitimacy, not accessibility or efficiency.</w:t>
      </w:r>
    </w:p>
    <w:p w14:paraId="0E578545" w14:textId="77777777" w:rsidR="00975132" w:rsidRPr="00EF3058" w:rsidRDefault="00975132" w:rsidP="00975132">
      <w:pPr>
        <w:spacing w:line="360" w:lineRule="auto"/>
        <w:rPr>
          <w:rFonts w:ascii="Arial" w:hAnsi="Arial" w:cs="Arial"/>
          <w:color w:val="262626"/>
        </w:rPr>
      </w:pPr>
    </w:p>
    <w:p w14:paraId="035A3555" w14:textId="444E3CA7" w:rsidR="00975132" w:rsidRPr="00EF3058" w:rsidRDefault="00BE46B7" w:rsidP="00975132">
      <w:pPr>
        <w:pStyle w:val="Heading2"/>
        <w:shd w:val="clear" w:color="auto" w:fill="F5ECCF"/>
        <w:rPr>
          <w:rFonts w:ascii="Arial" w:hAnsi="Arial" w:cs="Arial"/>
          <w:color w:val="262626"/>
          <w:sz w:val="26"/>
          <w:szCs w:val="26"/>
        </w:rPr>
      </w:pPr>
      <w:bookmarkStart w:id="11" w:name="_Toc214672845"/>
      <w:r w:rsidRPr="00EF3058">
        <w:rPr>
          <w:rFonts w:ascii="Arial" w:hAnsi="Arial" w:cs="Arial"/>
          <w:color w:val="262626"/>
          <w:sz w:val="26"/>
          <w:szCs w:val="26"/>
        </w:rPr>
        <w:t xml:space="preserve">3.4 </w:t>
      </w:r>
      <w:r w:rsidR="00975132" w:rsidRPr="00EF3058">
        <w:rPr>
          <w:rFonts w:ascii="Arial" w:hAnsi="Arial" w:cs="Arial"/>
          <w:color w:val="262626"/>
          <w:sz w:val="26"/>
          <w:szCs w:val="26"/>
        </w:rPr>
        <w:t>Alignment Challenges: When O, L and I Contradict Each Other Across Markets</w:t>
      </w:r>
      <w:bookmarkEnd w:id="11"/>
    </w:p>
    <w:p w14:paraId="132D0A83" w14:textId="087999EE"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Misalignment emerges when the three OLI dimensions fail to reinforce one another:</w:t>
      </w:r>
    </w:p>
    <w:p w14:paraId="41F8EF93" w14:textId="581B09CF" w:rsidR="00975132" w:rsidRPr="0004139F" w:rsidRDefault="00975132" w:rsidP="0004139F">
      <w:pPr>
        <w:pStyle w:val="ListParagraph"/>
        <w:numPr>
          <w:ilvl w:val="0"/>
          <w:numId w:val="9"/>
        </w:numPr>
        <w:spacing w:line="360" w:lineRule="auto"/>
        <w:rPr>
          <w:rFonts w:ascii="Arial" w:hAnsi="Arial" w:cs="Arial"/>
          <w:color w:val="262626" w:themeColor="text1" w:themeTint="D9"/>
        </w:rPr>
      </w:pPr>
      <w:r w:rsidRPr="0004139F">
        <w:rPr>
          <w:rFonts w:ascii="Arial" w:hAnsi="Arial" w:cs="Arial"/>
          <w:color w:val="262626" w:themeColor="text1" w:themeTint="D9"/>
        </w:rPr>
        <w:t>Tension 1: O–I Alignment vs High-Cost L Conditions</w:t>
      </w:r>
    </w:p>
    <w:p w14:paraId="060BA5C9" w14:textId="309E5B81"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Internalisation (I) protects ownership (O), but India’s institutional voids impose high legitimacy governance, reducing net benefit</w:t>
      </w:r>
      <w:r w:rsidR="0056599B" w:rsidRPr="0004139F">
        <w:rPr>
          <w:rFonts w:ascii="Arial" w:hAnsi="Arial" w:cs="Arial"/>
          <w:color w:val="262626" w:themeColor="text1" w:themeTint="D9"/>
        </w:rPr>
        <w:t xml:space="preserve"> (a vulnerability amplified under regulatory reform or platform deplatforming).</w:t>
      </w:r>
    </w:p>
    <w:p w14:paraId="464302A8" w14:textId="45F7F6EF"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OLI value declines under high-cost legitimacy management.</w:t>
      </w:r>
    </w:p>
    <w:p w14:paraId="13C9B9AE" w14:textId="3C8F93C3" w:rsidR="00975132" w:rsidRPr="0004139F" w:rsidRDefault="00975132" w:rsidP="0004139F">
      <w:pPr>
        <w:pStyle w:val="ListParagraph"/>
        <w:numPr>
          <w:ilvl w:val="0"/>
          <w:numId w:val="9"/>
        </w:numPr>
        <w:spacing w:line="360" w:lineRule="auto"/>
        <w:rPr>
          <w:rFonts w:ascii="Arial" w:hAnsi="Arial" w:cs="Arial"/>
          <w:color w:val="262626" w:themeColor="text1" w:themeTint="D9"/>
        </w:rPr>
      </w:pPr>
      <w:r w:rsidRPr="0004139F">
        <w:rPr>
          <w:rFonts w:ascii="Arial" w:hAnsi="Arial" w:cs="Arial"/>
          <w:color w:val="262626" w:themeColor="text1" w:themeTint="D9"/>
        </w:rPr>
        <w:t>Tension 2: O-Advantage vs Cultural and Ethical L-Factors</w:t>
      </w:r>
    </w:p>
    <w:p w14:paraId="3CE50919" w14:textId="77777777"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Prestige equity weakens without alignment to cultural norms and ethical expectations. L-risk (misinterpretation, backlash) outweighs I-risk (transaction costs).</w:t>
      </w:r>
    </w:p>
    <w:p w14:paraId="06FB247E" w14:textId="464EF1D8"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Ownership value depends on cultural authentication, not protection.</w:t>
      </w:r>
    </w:p>
    <w:p w14:paraId="6BB3BA55" w14:textId="7CC98D57" w:rsidR="00975132" w:rsidRPr="0004139F" w:rsidRDefault="00975132" w:rsidP="0004139F">
      <w:pPr>
        <w:pStyle w:val="ListParagraph"/>
        <w:numPr>
          <w:ilvl w:val="0"/>
          <w:numId w:val="9"/>
        </w:numPr>
        <w:spacing w:line="360" w:lineRule="auto"/>
        <w:rPr>
          <w:rFonts w:ascii="Arial" w:hAnsi="Arial" w:cs="Arial"/>
          <w:color w:val="262626" w:themeColor="text1" w:themeTint="D9"/>
        </w:rPr>
      </w:pPr>
      <w:r w:rsidRPr="0004139F">
        <w:rPr>
          <w:rFonts w:ascii="Arial" w:hAnsi="Arial" w:cs="Arial"/>
          <w:color w:val="262626" w:themeColor="text1" w:themeTint="D9"/>
        </w:rPr>
        <w:lastRenderedPageBreak/>
        <w:t>Tension 3: Digital O vs Platform-Dominated L Ecosystem</w:t>
      </w:r>
    </w:p>
    <w:p w14:paraId="6900306F" w14:textId="77777777"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AI-driven diagnostics require data internalisation, yet India’s retail ecosystem centralises consumer data within private platforms.</w:t>
      </w:r>
    </w:p>
    <w:p w14:paraId="3CA6B7D3" w14:textId="045488D3" w:rsidR="00975132"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Digital ownership is valuable only if negotiated through platform partnerships.</w:t>
      </w:r>
      <w:r w:rsidR="00E1203B" w:rsidRPr="0004139F">
        <w:rPr>
          <w:rFonts w:ascii="Arial" w:hAnsi="Arial" w:cs="Arial"/>
          <w:color w:val="262626" w:themeColor="text1" w:themeTint="D9"/>
        </w:rPr>
        <w:t xml:space="preserve"> </w:t>
      </w:r>
      <w:r w:rsidR="00E1203B" w:rsidRPr="0004139F">
        <w:rPr>
          <w:rFonts w:ascii="Arial" w:hAnsi="Arial" w:cs="Arial"/>
          <w:color w:val="262626" w:themeColor="text1" w:themeTint="D9"/>
        </w:rPr>
        <w:t>These tensions are illustrated in Appendix 5 (OLI Tension Map for Emerging Premium Markets).</w:t>
      </w:r>
    </w:p>
    <w:p w14:paraId="01F48DE3" w14:textId="14F698B5" w:rsidR="00BE46B7" w:rsidRPr="0004139F" w:rsidRDefault="00975132"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These tensions illustrate that OLI is not a universal entry </w:t>
      </w:r>
      <w:r w:rsidR="00E1203B" w:rsidRPr="0004139F">
        <w:rPr>
          <w:rFonts w:ascii="Arial" w:hAnsi="Arial" w:cs="Arial"/>
          <w:color w:val="262626" w:themeColor="text1" w:themeTint="D9"/>
        </w:rPr>
        <w:t>rationale,</w:t>
      </w:r>
      <w:r w:rsidRPr="0004139F">
        <w:rPr>
          <w:rFonts w:ascii="Arial" w:hAnsi="Arial" w:cs="Arial"/>
          <w:color w:val="262626" w:themeColor="text1" w:themeTint="D9"/>
        </w:rPr>
        <w:t xml:space="preserve"> but a conditional framework </w:t>
      </w:r>
      <w:r w:rsidR="00E1203B" w:rsidRPr="0004139F">
        <w:rPr>
          <w:rFonts w:ascii="Arial" w:hAnsi="Arial" w:cs="Arial"/>
          <w:color w:val="262626" w:themeColor="text1" w:themeTint="D9"/>
        </w:rPr>
        <w:t>distorted by legitimacy-driven market incompleteness.</w:t>
      </w:r>
    </w:p>
    <w:p w14:paraId="018A3C7E" w14:textId="77777777" w:rsidR="00D062C6" w:rsidRPr="00EF3058" w:rsidRDefault="00D062C6" w:rsidP="00975132">
      <w:pPr>
        <w:spacing w:line="360" w:lineRule="auto"/>
        <w:rPr>
          <w:rFonts w:ascii="Arial" w:hAnsi="Arial" w:cs="Arial"/>
          <w:color w:val="262626"/>
        </w:rPr>
      </w:pPr>
    </w:p>
    <w:p w14:paraId="4BD9DA26" w14:textId="2A5AC6C4" w:rsidR="003D174B" w:rsidRPr="00854ABC" w:rsidRDefault="00BE46B7" w:rsidP="00854ABC">
      <w:pPr>
        <w:pStyle w:val="Heading2"/>
        <w:shd w:val="clear" w:color="auto" w:fill="F5ECCF"/>
        <w:rPr>
          <w:rFonts w:ascii="Arial" w:hAnsi="Arial" w:cs="Arial"/>
          <w:color w:val="262626"/>
          <w:sz w:val="26"/>
          <w:szCs w:val="26"/>
        </w:rPr>
      </w:pPr>
      <w:bookmarkStart w:id="12" w:name="_Toc214672846"/>
      <w:r w:rsidRPr="00EF3058">
        <w:rPr>
          <w:rFonts w:ascii="Arial" w:hAnsi="Arial" w:cs="Arial"/>
          <w:color w:val="262626"/>
          <w:sz w:val="26"/>
          <w:szCs w:val="26"/>
        </w:rPr>
        <w:t xml:space="preserve">3.5 </w:t>
      </w:r>
      <w:r w:rsidR="00975132" w:rsidRPr="00EF3058">
        <w:rPr>
          <w:rFonts w:ascii="Arial" w:hAnsi="Arial" w:cs="Arial"/>
          <w:color w:val="262626"/>
          <w:sz w:val="26"/>
          <w:szCs w:val="26"/>
        </w:rPr>
        <w:t>Comparative Implication and Conditional Entry Mode Logic</w:t>
      </w:r>
      <w:bookmarkEnd w:id="12"/>
    </w:p>
    <w:p w14:paraId="38DDE990" w14:textId="3B1500A4" w:rsidR="003D174B" w:rsidRPr="0004139F" w:rsidRDefault="003D174B" w:rsidP="0004139F">
      <w:pPr>
        <w:spacing w:line="360" w:lineRule="auto"/>
        <w:rPr>
          <w:rFonts w:ascii="Arial" w:hAnsi="Arial" w:cs="Arial"/>
          <w:color w:val="262626" w:themeColor="text1" w:themeTint="D9"/>
        </w:rPr>
      </w:pPr>
      <w:r w:rsidRPr="0004139F">
        <w:rPr>
          <w:rFonts w:ascii="Arial" w:hAnsi="Arial" w:cs="Arial"/>
          <w:color w:val="262626" w:themeColor="text1" w:themeTint="D9"/>
        </w:rPr>
        <w:t>L’Oréal’s premium strategy in India illustrates that wholly owned subsidiaries are not deployed to maximise operational efficiency, but to govern legitimacy, ethical claims and brand meaning amid infrastructure gaps and asymmetric control over consumer data. In this context, internalisation functions less as an efficiency strategy and more as a safeguard for prestige assets, where platform partnerships compensate for institutional voids rather than dilute ownership logic.</w:t>
      </w:r>
    </w:p>
    <w:p w14:paraId="657FCCF5" w14:textId="2FC66B78" w:rsidR="003D174B" w:rsidRPr="0004139F" w:rsidRDefault="003D174B" w:rsidP="0004139F">
      <w:pPr>
        <w:spacing w:line="360" w:lineRule="auto"/>
        <w:rPr>
          <w:rFonts w:ascii="Arial" w:hAnsi="Arial" w:cs="Arial"/>
          <w:color w:val="262626" w:themeColor="text1" w:themeTint="D9"/>
        </w:rPr>
      </w:pPr>
      <w:r w:rsidRPr="0004139F">
        <w:rPr>
          <w:rFonts w:ascii="Arial" w:hAnsi="Arial" w:cs="Arial"/>
          <w:color w:val="262626" w:themeColor="text1" w:themeTint="D9"/>
        </w:rPr>
        <w:t>Comparative evidence shows that the firm’s entry mode logic is not universal, but contingent on the dominant institutional barrier: China demands algorithm compliance under data nationalism, Brazil requires acquisition-led resource absorption to localise input dependencies, and the United States leverages acquisitions to diversify portfolios under saturated competition. These variations indicate that emerging and mature markets generate fundamentally different internalisation costs and benefits.</w:t>
      </w:r>
    </w:p>
    <w:p w14:paraId="1AE87973" w14:textId="7FC1097E" w:rsidR="003D174B" w:rsidRPr="0004139F" w:rsidRDefault="003D174B"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Thus, L’Oréal’s entry choices are shaped by institutional context rather than corporate preference, with India representing a case where legitimacy-driven internalisation protects brand equity more than operational efficiencies (See Appendix</w:t>
      </w:r>
      <w:r w:rsidRPr="0004139F">
        <w:rPr>
          <w:rFonts w:ascii="Arial" w:hAnsi="Arial" w:cs="Arial"/>
          <w:color w:val="262626" w:themeColor="text1" w:themeTint="D9"/>
        </w:rPr>
        <w:t xml:space="preserve"> 6</w:t>
      </w:r>
      <w:r w:rsidRPr="0004139F">
        <w:rPr>
          <w:rFonts w:ascii="Arial" w:hAnsi="Arial" w:cs="Arial"/>
          <w:color w:val="262626" w:themeColor="text1" w:themeTint="D9"/>
        </w:rPr>
        <w:t>).</w:t>
      </w:r>
    </w:p>
    <w:p w14:paraId="7A2865FE" w14:textId="77881701" w:rsidR="002B31E3" w:rsidRPr="0004139F" w:rsidRDefault="003D174B"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This conditionality demonstrates that market entry alone cannot deliver sustained competitive advantage in India’s premium cosmetic segment without cultural and behavioural alignment, a dynamic further examined in Section 4 through a cross-cultural evaluation of institutional norms and consumer values.</w:t>
      </w:r>
    </w:p>
    <w:p w14:paraId="47F97F79" w14:textId="1AD510F6" w:rsidR="00C05691" w:rsidRPr="00C05691" w:rsidRDefault="00C05691" w:rsidP="00C05691">
      <w:pPr>
        <w:pStyle w:val="Heading1"/>
        <w:shd w:val="clear" w:color="auto" w:fill="D4AF37"/>
        <w:rPr>
          <w:rFonts w:ascii="Arial" w:hAnsi="Arial" w:cs="Arial"/>
          <w:color w:val="262626"/>
          <w:sz w:val="32"/>
          <w:szCs w:val="32"/>
        </w:rPr>
      </w:pPr>
      <w:bookmarkStart w:id="13" w:name="_Toc214672847"/>
      <w:r w:rsidRPr="00C05691">
        <w:rPr>
          <w:rFonts w:ascii="Arial" w:hAnsi="Arial" w:cs="Arial"/>
          <w:color w:val="262626"/>
          <w:sz w:val="32"/>
          <w:szCs w:val="32"/>
        </w:rPr>
        <w:lastRenderedPageBreak/>
        <w:t>4</w:t>
      </w:r>
      <w:r w:rsidRPr="00C05691">
        <w:rPr>
          <w:rFonts w:ascii="Arial" w:hAnsi="Arial" w:cs="Arial"/>
          <w:color w:val="262626"/>
          <w:sz w:val="32"/>
          <w:szCs w:val="32"/>
        </w:rPr>
        <w:t>.</w:t>
      </w:r>
      <w:r w:rsidRPr="00C05691">
        <w:rPr>
          <w:rFonts w:ascii="Arial" w:hAnsi="Arial" w:cs="Arial"/>
          <w:color w:val="262626"/>
          <w:sz w:val="32"/>
          <w:szCs w:val="32"/>
        </w:rPr>
        <w:t xml:space="preserve"> </w:t>
      </w:r>
      <w:r w:rsidRPr="001F13ED">
        <w:rPr>
          <w:rFonts w:ascii="Arial" w:hAnsi="Arial" w:cs="Arial"/>
          <w:color w:val="262626" w:themeColor="text1" w:themeTint="D9"/>
          <w:sz w:val="32"/>
          <w:szCs w:val="32"/>
        </w:rPr>
        <w:t>C</w:t>
      </w:r>
      <w:r w:rsidR="00B24A08" w:rsidRPr="001F13ED">
        <w:rPr>
          <w:rFonts w:ascii="Arial" w:hAnsi="Arial" w:cs="Arial"/>
          <w:color w:val="262626" w:themeColor="text1" w:themeTint="D9"/>
          <w:sz w:val="32"/>
          <w:szCs w:val="32"/>
        </w:rPr>
        <w:t>RITICAL</w:t>
      </w:r>
      <w:r w:rsidRPr="001F13ED">
        <w:rPr>
          <w:rFonts w:ascii="Arial" w:hAnsi="Arial" w:cs="Arial"/>
          <w:color w:val="262626" w:themeColor="text1" w:themeTint="D9"/>
          <w:sz w:val="32"/>
          <w:szCs w:val="32"/>
        </w:rPr>
        <w:t xml:space="preserve"> C</w:t>
      </w:r>
      <w:r w:rsidR="00B24A08" w:rsidRPr="001F13ED">
        <w:rPr>
          <w:rFonts w:ascii="Arial" w:hAnsi="Arial" w:cs="Arial"/>
          <w:color w:val="262626" w:themeColor="text1" w:themeTint="D9"/>
          <w:sz w:val="32"/>
          <w:szCs w:val="32"/>
        </w:rPr>
        <w:t>ULTURAL</w:t>
      </w:r>
      <w:r w:rsidRPr="001F13ED">
        <w:rPr>
          <w:rFonts w:ascii="Arial" w:hAnsi="Arial" w:cs="Arial"/>
          <w:color w:val="262626" w:themeColor="text1" w:themeTint="D9"/>
          <w:sz w:val="32"/>
          <w:szCs w:val="32"/>
        </w:rPr>
        <w:t xml:space="preserve"> E</w:t>
      </w:r>
      <w:r w:rsidR="00B24A08" w:rsidRPr="001F13ED">
        <w:rPr>
          <w:rFonts w:ascii="Arial" w:hAnsi="Arial" w:cs="Arial"/>
          <w:color w:val="262626" w:themeColor="text1" w:themeTint="D9"/>
          <w:sz w:val="32"/>
          <w:szCs w:val="32"/>
        </w:rPr>
        <w:t>VALUATION</w:t>
      </w:r>
      <w:bookmarkEnd w:id="13"/>
    </w:p>
    <w:p w14:paraId="45275292" w14:textId="77777777" w:rsidR="00C05691" w:rsidRDefault="00C05691" w:rsidP="00C05691">
      <w:pPr>
        <w:spacing w:line="360" w:lineRule="auto"/>
        <w:rPr>
          <w:rFonts w:ascii="Arial" w:hAnsi="Arial" w:cs="Arial"/>
          <w:color w:val="262626"/>
        </w:rPr>
      </w:pPr>
    </w:p>
    <w:p w14:paraId="06A97A86" w14:textId="07F2080B" w:rsidR="00C05691" w:rsidRPr="00C05691" w:rsidRDefault="00C05691" w:rsidP="00C05691">
      <w:pPr>
        <w:pStyle w:val="Heading2"/>
        <w:shd w:val="clear" w:color="auto" w:fill="F5ECCF"/>
        <w:rPr>
          <w:rFonts w:ascii="Arial" w:hAnsi="Arial" w:cs="Arial"/>
          <w:color w:val="262626"/>
          <w:sz w:val="26"/>
          <w:szCs w:val="26"/>
        </w:rPr>
      </w:pPr>
      <w:bookmarkStart w:id="14" w:name="_Toc214672848"/>
      <w:r w:rsidRPr="00C05691">
        <w:rPr>
          <w:rFonts w:ascii="Arial" w:hAnsi="Arial" w:cs="Arial"/>
          <w:color w:val="262626"/>
          <w:sz w:val="26"/>
          <w:szCs w:val="26"/>
        </w:rPr>
        <w:t>4.</w:t>
      </w:r>
      <w:r w:rsidRPr="00C05691">
        <w:rPr>
          <w:rFonts w:ascii="Arial" w:hAnsi="Arial" w:cs="Arial"/>
          <w:color w:val="262626"/>
          <w:sz w:val="26"/>
          <w:szCs w:val="26"/>
        </w:rPr>
        <w:t>1</w:t>
      </w:r>
      <w:r w:rsidRPr="00C05691">
        <w:rPr>
          <w:rFonts w:ascii="Arial" w:hAnsi="Arial" w:cs="Arial"/>
          <w:color w:val="262626"/>
          <w:sz w:val="26"/>
          <w:szCs w:val="26"/>
        </w:rPr>
        <w:t xml:space="preserve"> Cultural Conditions Shaping Entry and Brand Success</w:t>
      </w:r>
      <w:bookmarkEnd w:id="14"/>
    </w:p>
    <w:p w14:paraId="2ECE2625" w14:textId="008B182A"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Cultural divergence between France and India affects not only consumer preferences but the institutional conditions under which prestige cosmetics acquire legitimacy. For a premium portfolio such as Lancôme and Kérastase, expansion depends less on transferring scientific quality than on attaining symbolic capital within a culturally embedded market system (Bourdieu, 1984). Hence, culture functions as a gatekeeper of market legitimacy, shaping how foreign-owned subsidiaries capture trust, justify pricing, and convert global status into local desirability.</w:t>
      </w:r>
      <w:r w:rsidR="001621DB" w:rsidRPr="0004139F">
        <w:rPr>
          <w:rFonts w:ascii="Arial" w:hAnsi="Arial" w:cs="Arial"/>
          <w:color w:val="262626" w:themeColor="text1" w:themeTint="D9"/>
        </w:rPr>
        <w:t xml:space="preserve"> </w:t>
      </w:r>
      <w:r w:rsidR="001621DB" w:rsidRPr="0004139F">
        <w:rPr>
          <w:rFonts w:ascii="Arial" w:hAnsi="Arial" w:cs="Arial"/>
          <w:color w:val="262626" w:themeColor="text1" w:themeTint="D9"/>
        </w:rPr>
        <w:t xml:space="preserve">In India, ethical perception does not merely influence brand sentiment; it actively reshapes product legitimacy. Recent research shows that Indian consumers evaluate premium claims through an ethical lens shaped by </w:t>
      </w:r>
      <w:r w:rsidR="001621DB" w:rsidRPr="0004139F">
        <w:rPr>
          <w:rFonts w:ascii="Arial" w:hAnsi="Arial" w:cs="Arial"/>
          <w:color w:val="262626" w:themeColor="text1" w:themeTint="D9"/>
        </w:rPr>
        <w:t xml:space="preserve">the </w:t>
      </w:r>
      <w:r w:rsidR="001621DB" w:rsidRPr="0004139F">
        <w:rPr>
          <w:rFonts w:ascii="Arial" w:hAnsi="Arial" w:cs="Arial"/>
          <w:color w:val="262626" w:themeColor="text1" w:themeTint="D9"/>
        </w:rPr>
        <w:t>collective memory of colourism and exaggerated transformation messaging (Bhatia, 2022). As a result, prestige narratives that rely on “instant fairness”, strong transformations or Euro-centric aesthetics generate a higher legitimacy liability than in Western markets. Thus, brand equity becomes a conditional asset: it must be ethically defensible before it can be premium-priced.</w:t>
      </w:r>
    </w:p>
    <w:p w14:paraId="359A2D83" w14:textId="77777777" w:rsidR="00C05691" w:rsidRPr="00C05691" w:rsidRDefault="00C05691" w:rsidP="00C05691">
      <w:pPr>
        <w:spacing w:line="360" w:lineRule="auto"/>
        <w:rPr>
          <w:rFonts w:ascii="Arial" w:hAnsi="Arial" w:cs="Arial"/>
          <w:color w:val="262626"/>
        </w:rPr>
      </w:pPr>
    </w:p>
    <w:p w14:paraId="434D1ED3" w14:textId="00C0CE72" w:rsidR="00C05691" w:rsidRPr="00C05691" w:rsidRDefault="00C05691" w:rsidP="00C05691">
      <w:pPr>
        <w:pStyle w:val="Heading2"/>
        <w:shd w:val="clear" w:color="auto" w:fill="F5ECCF"/>
        <w:rPr>
          <w:rFonts w:ascii="Arial" w:hAnsi="Arial" w:cs="Arial"/>
          <w:color w:val="262626"/>
          <w:sz w:val="26"/>
          <w:szCs w:val="26"/>
        </w:rPr>
      </w:pPr>
      <w:bookmarkStart w:id="15" w:name="_Toc214672849"/>
      <w:r w:rsidRPr="00C05691">
        <w:rPr>
          <w:rFonts w:ascii="Arial" w:hAnsi="Arial" w:cs="Arial"/>
          <w:color w:val="262626"/>
          <w:sz w:val="26"/>
          <w:szCs w:val="26"/>
        </w:rPr>
        <w:t>4.</w:t>
      </w:r>
      <w:r w:rsidRPr="00C05691">
        <w:rPr>
          <w:rFonts w:ascii="Arial" w:hAnsi="Arial" w:cs="Arial"/>
          <w:color w:val="262626"/>
          <w:sz w:val="26"/>
          <w:szCs w:val="26"/>
        </w:rPr>
        <w:t>2</w:t>
      </w:r>
      <w:r w:rsidRPr="00C05691">
        <w:rPr>
          <w:rFonts w:ascii="Arial" w:hAnsi="Arial" w:cs="Arial"/>
          <w:color w:val="262626"/>
          <w:sz w:val="26"/>
          <w:szCs w:val="26"/>
        </w:rPr>
        <w:t xml:space="preserve"> Relevant Cultural Differences: France vs. India</w:t>
      </w:r>
      <w:bookmarkEnd w:id="15"/>
    </w:p>
    <w:p w14:paraId="3C795D11" w14:textId="6E929DEE"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French cosmetics branding is grounded in rationalist science: efficacy claims, dermatological precision, and minimalist semiotics. This aligns with France’s high uncertainty avoidance (Hofstede Insights, 2023), where trust is secured through certification, laboratory evidence, and medicalised expertise. In contrast, Indian cosmetics culture is more collectivist and symbolically ritualised, where consumption integrates beauty with wellness, social identity, and moral valuation (Shavitt et al., 20</w:t>
      </w:r>
      <w:r w:rsidR="00290FC3">
        <w:rPr>
          <w:rFonts w:ascii="Arial" w:hAnsi="Arial" w:cs="Arial"/>
          <w:color w:val="262626" w:themeColor="text1" w:themeTint="D9"/>
        </w:rPr>
        <w:t>21</w:t>
      </w:r>
      <w:r w:rsidRPr="0004139F">
        <w:rPr>
          <w:rFonts w:ascii="Arial" w:hAnsi="Arial" w:cs="Arial"/>
          <w:color w:val="262626" w:themeColor="text1" w:themeTint="D9"/>
        </w:rPr>
        <w:t>). Rather than proof-based scientific authority, legitimacy emerges through symbolic, social and ritual authentication.</w:t>
      </w:r>
    </w:p>
    <w:p w14:paraId="30B6C9D9" w14:textId="3B5895F0"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Furthermore, high power distance in India amplifies the influence of hierarchical endorsers (Hall </w:t>
      </w:r>
      <w:r w:rsidR="00674553" w:rsidRPr="0004139F">
        <w:rPr>
          <w:rFonts w:ascii="Arial" w:hAnsi="Arial" w:cs="Arial"/>
          <w:color w:val="262626" w:themeColor="text1" w:themeTint="D9"/>
        </w:rPr>
        <w:t>and</w:t>
      </w:r>
      <w:r w:rsidRPr="0004139F">
        <w:rPr>
          <w:rFonts w:ascii="Arial" w:hAnsi="Arial" w:cs="Arial"/>
          <w:color w:val="262626" w:themeColor="text1" w:themeTint="D9"/>
        </w:rPr>
        <w:t xml:space="preserve"> Hall, 1990), such as dermatologists, Bollywood actors, “skin influencers,” and even Ayurvedic physicians. Thus, the same scientific authority that persuades French consumers carries lower symbolic weight unless embedded within culturally relevant authority systems. The implication is strategic: premium success requires co-created symbolic authority, not the exportation of French scientific capital.</w:t>
      </w:r>
    </w:p>
    <w:p w14:paraId="5F75EF8B" w14:textId="75150DB1" w:rsidR="00C05691" w:rsidRPr="00C05691" w:rsidRDefault="00C05691" w:rsidP="00C05691">
      <w:pPr>
        <w:pStyle w:val="Heading2"/>
        <w:shd w:val="clear" w:color="auto" w:fill="F5ECCF"/>
        <w:rPr>
          <w:rFonts w:ascii="Arial" w:hAnsi="Arial" w:cs="Arial"/>
          <w:color w:val="262626"/>
          <w:sz w:val="26"/>
          <w:szCs w:val="26"/>
        </w:rPr>
      </w:pPr>
      <w:bookmarkStart w:id="16" w:name="_Toc214672850"/>
      <w:r w:rsidRPr="00C05691">
        <w:rPr>
          <w:rFonts w:ascii="Arial" w:hAnsi="Arial" w:cs="Arial"/>
          <w:color w:val="262626"/>
          <w:sz w:val="26"/>
          <w:szCs w:val="26"/>
        </w:rPr>
        <w:lastRenderedPageBreak/>
        <w:t>4.</w:t>
      </w:r>
      <w:r w:rsidR="00036A0A">
        <w:rPr>
          <w:rFonts w:ascii="Arial" w:hAnsi="Arial" w:cs="Arial"/>
          <w:color w:val="262626"/>
          <w:sz w:val="26"/>
          <w:szCs w:val="26"/>
        </w:rPr>
        <w:t>3</w:t>
      </w:r>
      <w:r w:rsidRPr="00C05691">
        <w:rPr>
          <w:rFonts w:ascii="Arial" w:hAnsi="Arial" w:cs="Arial"/>
          <w:color w:val="262626"/>
          <w:sz w:val="26"/>
          <w:szCs w:val="26"/>
        </w:rPr>
        <w:t xml:space="preserve"> Impact on Entry Strategy: Ownership Does Not Secure Legitimacy</w:t>
      </w:r>
      <w:bookmarkEnd w:id="16"/>
    </w:p>
    <w:p w14:paraId="4E017D39" w14:textId="28E6BCCC"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Section 3 established that wholly owned subsidiaries in India protect prestige IP. Yet cultural dynamics reshape what this ownership controls. Internalisation protects formulas and brand image, but cannot secure meaning, because meaning is co-produced with cultural institutions such as rituals, influencers, wellness hierarchies, and ethical norms (DiMaggio </w:t>
      </w:r>
      <w:r w:rsidR="001621DB" w:rsidRPr="0004139F">
        <w:rPr>
          <w:rFonts w:ascii="Arial" w:hAnsi="Arial" w:cs="Arial"/>
          <w:color w:val="262626" w:themeColor="text1" w:themeTint="D9"/>
        </w:rPr>
        <w:t>and</w:t>
      </w:r>
      <w:r w:rsidRPr="0004139F">
        <w:rPr>
          <w:rFonts w:ascii="Arial" w:hAnsi="Arial" w:cs="Arial"/>
          <w:color w:val="262626" w:themeColor="text1" w:themeTint="D9"/>
        </w:rPr>
        <w:t xml:space="preserve"> Powell, 1983). Consequently, control (WOS) must be complemented by locally mediated symbolic capital.</w:t>
      </w:r>
    </w:p>
    <w:p w14:paraId="2A2DC5E8" w14:textId="7CEEF8E1"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Prestige,</w:t>
      </w:r>
      <w:r w:rsidRPr="0004139F">
        <w:rPr>
          <w:rFonts w:ascii="Arial" w:hAnsi="Arial" w:cs="Arial"/>
          <w:color w:val="262626" w:themeColor="text1" w:themeTint="D9"/>
        </w:rPr>
        <w:t xml:space="preserve"> therefore</w:t>
      </w:r>
      <w:r w:rsidRPr="0004139F">
        <w:rPr>
          <w:rFonts w:ascii="Arial" w:hAnsi="Arial" w:cs="Arial"/>
          <w:color w:val="262626" w:themeColor="text1" w:themeTint="D9"/>
        </w:rPr>
        <w:t>,</w:t>
      </w:r>
      <w:r w:rsidRPr="0004139F">
        <w:rPr>
          <w:rFonts w:ascii="Arial" w:hAnsi="Arial" w:cs="Arial"/>
          <w:color w:val="262626" w:themeColor="text1" w:themeTint="D9"/>
        </w:rPr>
        <w:t xml:space="preserve"> depends on culturally authenticated branding coalitions rather than corporate autonomy. Partnering with Nykaa is not merely a distribution choice but a form of legitimacy outsourcing, where the platform’s social proof functions as institutional endorsement (Cialdini, 2021). </w:t>
      </w:r>
      <w:r w:rsidR="001621DB" w:rsidRPr="0004139F">
        <w:rPr>
          <w:rFonts w:ascii="Arial" w:hAnsi="Arial" w:cs="Arial"/>
          <w:color w:val="262626" w:themeColor="text1" w:themeTint="D9"/>
        </w:rPr>
        <w:t>This dependence intensifies under India’s platform-centred trust system, where digital credibility is mediated through influencer platforms, algorithmic rankings and curator authority rather than scientific claims. Studies indicate that Indian consumers treat platforms not only as distribution channels but as legitimating interpreters of expertise, giving them disproportionate power over brand reputation and pricing visibility (Dwivedi et al., 2021). Consequently, platform reliance becomes a form of algorithmic legitimacy outsourcing that constrains internal brand control.</w:t>
      </w:r>
      <w:r w:rsidR="001621DB" w:rsidRPr="0004139F">
        <w:rPr>
          <w:rFonts w:ascii="Arial" w:hAnsi="Arial" w:cs="Arial"/>
          <w:color w:val="262626" w:themeColor="text1" w:themeTint="D9"/>
        </w:rPr>
        <w:t xml:space="preserve"> </w:t>
      </w:r>
      <w:r w:rsidRPr="0004139F">
        <w:rPr>
          <w:rFonts w:ascii="Arial" w:hAnsi="Arial" w:cs="Arial"/>
          <w:color w:val="262626" w:themeColor="text1" w:themeTint="D9"/>
        </w:rPr>
        <w:t>Ownership protects premium identity; culture translates it.</w:t>
      </w:r>
    </w:p>
    <w:p w14:paraId="390E12B9" w14:textId="77777777" w:rsidR="00C05691" w:rsidRPr="00C05691" w:rsidRDefault="00C05691" w:rsidP="00C05691">
      <w:pPr>
        <w:spacing w:line="360" w:lineRule="auto"/>
        <w:rPr>
          <w:rFonts w:ascii="Arial" w:hAnsi="Arial" w:cs="Arial"/>
          <w:color w:val="262626"/>
        </w:rPr>
      </w:pPr>
    </w:p>
    <w:p w14:paraId="1BA3AAA8" w14:textId="7F6F2167" w:rsidR="00C05691" w:rsidRPr="00C05691" w:rsidRDefault="00C05691" w:rsidP="00C05691">
      <w:pPr>
        <w:pStyle w:val="Heading2"/>
        <w:shd w:val="clear" w:color="auto" w:fill="F5ECCF"/>
        <w:rPr>
          <w:rFonts w:ascii="Arial" w:hAnsi="Arial" w:cs="Arial"/>
          <w:color w:val="262626"/>
          <w:sz w:val="26"/>
          <w:szCs w:val="26"/>
        </w:rPr>
      </w:pPr>
      <w:bookmarkStart w:id="17" w:name="_Toc214672851"/>
      <w:r w:rsidRPr="00C05691">
        <w:rPr>
          <w:rFonts w:ascii="Arial" w:hAnsi="Arial" w:cs="Arial"/>
          <w:color w:val="262626"/>
          <w:sz w:val="26"/>
          <w:szCs w:val="26"/>
        </w:rPr>
        <w:t>4.</w:t>
      </w:r>
      <w:r w:rsidR="00036A0A">
        <w:rPr>
          <w:rFonts w:ascii="Arial" w:hAnsi="Arial" w:cs="Arial"/>
          <w:color w:val="262626"/>
          <w:sz w:val="26"/>
          <w:szCs w:val="26"/>
        </w:rPr>
        <w:t>4</w:t>
      </w:r>
      <w:r w:rsidRPr="00C05691">
        <w:rPr>
          <w:rFonts w:ascii="Arial" w:hAnsi="Arial" w:cs="Arial"/>
          <w:color w:val="262626"/>
          <w:sz w:val="26"/>
          <w:szCs w:val="26"/>
        </w:rPr>
        <w:t xml:space="preserve"> Impact on Branding: Misaligned Signalling Risks</w:t>
      </w:r>
      <w:bookmarkEnd w:id="17"/>
    </w:p>
    <w:p w14:paraId="752526E5" w14:textId="475A66EE"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Symbolic misalignment undermines </w:t>
      </w:r>
      <w:r w:rsidR="00CC1FD8" w:rsidRPr="0004139F">
        <w:rPr>
          <w:rFonts w:ascii="Arial" w:hAnsi="Arial" w:cs="Arial"/>
          <w:color w:val="262626" w:themeColor="text1" w:themeTint="D9"/>
        </w:rPr>
        <w:t>the perceived value of a product, even when its</w:t>
      </w:r>
      <w:r w:rsidRPr="0004139F">
        <w:rPr>
          <w:rFonts w:ascii="Arial" w:hAnsi="Arial" w:cs="Arial"/>
          <w:color w:val="262626" w:themeColor="text1" w:themeTint="D9"/>
        </w:rPr>
        <w:t xml:space="preserve"> quality is superior. French beauty narratives emphasise “effortless natural elegance,” whereas Indian premium consumption emphasises ritualised improvement, tone refinement, and social display. Nielsen (2023) shows that Indian men’s grooming motivations prioritise complexion enhancement over functional sweat control, contradicting L’Oréal Men Expert’s sport-oriented messaging. Similarly, Lancôme’s minimalist semiotics conflict with India’s semiotically expressive luxury codes, where premium value is displayed rather than understated.</w:t>
      </w:r>
    </w:p>
    <w:p w14:paraId="2D521F18" w14:textId="3A865750" w:rsidR="00C05691" w:rsidRPr="0004139F" w:rsidRDefault="00036A0A" w:rsidP="0004139F">
      <w:pPr>
        <w:spacing w:line="360" w:lineRule="auto"/>
        <w:rPr>
          <w:rFonts w:ascii="Arial" w:hAnsi="Arial" w:cs="Arial"/>
          <w:color w:val="262626" w:themeColor="text1" w:themeTint="D9"/>
        </w:rPr>
      </w:pPr>
      <w:r w:rsidRPr="0004139F">
        <w:rPr>
          <w:rFonts w:ascii="Arial" w:hAnsi="Arial" w:cs="Arial"/>
          <w:color w:val="262626" w:themeColor="text1" w:themeTint="D9"/>
        </w:rPr>
        <w:t>Global prestige is not imported; it must be culturally authored. Without this authorship, foreign brands become symbolically expensive, not aspirational.</w:t>
      </w:r>
      <w:r w:rsidRPr="0004139F">
        <w:rPr>
          <w:rFonts w:ascii="Arial" w:hAnsi="Arial" w:cs="Arial"/>
          <w:color w:val="262626" w:themeColor="text1" w:themeTint="D9"/>
        </w:rPr>
        <w:t xml:space="preserve"> </w:t>
      </w:r>
      <w:r w:rsidR="00C05691" w:rsidRPr="0004139F">
        <w:rPr>
          <w:rFonts w:ascii="Arial" w:hAnsi="Arial" w:cs="Arial"/>
          <w:color w:val="262626" w:themeColor="text1" w:themeTint="D9"/>
        </w:rPr>
        <w:t>T</w:t>
      </w:r>
      <w:r w:rsidRPr="0004139F">
        <w:rPr>
          <w:rFonts w:ascii="Arial" w:hAnsi="Arial" w:cs="Arial"/>
          <w:color w:val="262626" w:themeColor="text1" w:themeTint="D9"/>
        </w:rPr>
        <w:t>his</w:t>
      </w:r>
      <w:r w:rsidR="00C05691" w:rsidRPr="0004139F">
        <w:rPr>
          <w:rFonts w:ascii="Arial" w:hAnsi="Arial" w:cs="Arial"/>
          <w:color w:val="262626" w:themeColor="text1" w:themeTint="D9"/>
        </w:rPr>
        <w:t xml:space="preserve"> requires cultural semiotics adaptation, e.g., ritual sequences (pre-cleanse, serum, mask), ingredient symbolism (saffron, gold, rose), and hierarchical endorsement (dermatologists + celebrity authority). Failure erodes symbolic capital, not product performance.</w:t>
      </w:r>
    </w:p>
    <w:p w14:paraId="427FB7F5" w14:textId="77777777" w:rsidR="00C05691" w:rsidRPr="00C05691" w:rsidRDefault="00C05691" w:rsidP="00C05691">
      <w:pPr>
        <w:spacing w:line="360" w:lineRule="auto"/>
        <w:rPr>
          <w:rFonts w:ascii="Arial" w:hAnsi="Arial" w:cs="Arial"/>
          <w:color w:val="262626"/>
        </w:rPr>
      </w:pPr>
    </w:p>
    <w:p w14:paraId="5EA2E9A7" w14:textId="653205D9" w:rsidR="00C05691" w:rsidRPr="00C05691" w:rsidRDefault="00C05691" w:rsidP="00C05691">
      <w:pPr>
        <w:pStyle w:val="Heading2"/>
        <w:shd w:val="clear" w:color="auto" w:fill="F5ECCF"/>
      </w:pPr>
      <w:bookmarkStart w:id="18" w:name="_Toc214672852"/>
      <w:r w:rsidRPr="00C05691">
        <w:rPr>
          <w:rFonts w:ascii="Arial" w:hAnsi="Arial" w:cs="Arial"/>
          <w:color w:val="262626"/>
          <w:sz w:val="26"/>
          <w:szCs w:val="26"/>
        </w:rPr>
        <w:lastRenderedPageBreak/>
        <w:t>4.</w:t>
      </w:r>
      <w:r w:rsidR="00036A0A">
        <w:rPr>
          <w:rFonts w:ascii="Arial" w:hAnsi="Arial" w:cs="Arial"/>
          <w:color w:val="262626"/>
          <w:sz w:val="26"/>
          <w:szCs w:val="26"/>
        </w:rPr>
        <w:t>5</w:t>
      </w:r>
      <w:r w:rsidRPr="00C05691">
        <w:rPr>
          <w:rFonts w:ascii="Arial" w:hAnsi="Arial" w:cs="Arial"/>
          <w:color w:val="262626"/>
          <w:sz w:val="26"/>
          <w:szCs w:val="26"/>
        </w:rPr>
        <w:t xml:space="preserve"> Cultural Impact on Trust Formation</w:t>
      </w:r>
      <w:bookmarkEnd w:id="18"/>
    </w:p>
    <w:p w14:paraId="021EFD42" w14:textId="7A5E3221"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French trust is cognitively constructed through dermatological proof. Indian trust is socially validated through networks and authority hierarchies (Shavitt et al., 20</w:t>
      </w:r>
      <w:r w:rsidR="00290FC3">
        <w:rPr>
          <w:rFonts w:ascii="Arial" w:hAnsi="Arial" w:cs="Arial"/>
          <w:color w:val="262626" w:themeColor="text1" w:themeTint="D9"/>
        </w:rPr>
        <w:t>21</w:t>
      </w:r>
      <w:r w:rsidRPr="0004139F">
        <w:rPr>
          <w:rFonts w:ascii="Arial" w:hAnsi="Arial" w:cs="Arial"/>
          <w:color w:val="262626" w:themeColor="text1" w:themeTint="D9"/>
        </w:rPr>
        <w:t>). As a result, L’Oréal cannot assume that laboratory evidence holds persuasive power without social embedding. The firm must move from “science explains efficacy” to science becomes socially authorised.</w:t>
      </w:r>
    </w:p>
    <w:p w14:paraId="17B2F828" w14:textId="53D7E93C"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Unlike France, peer validation and digital reviews </w:t>
      </w:r>
      <w:r w:rsidR="00CC1FD8" w:rsidRPr="0004139F">
        <w:rPr>
          <w:rFonts w:ascii="Arial" w:hAnsi="Arial" w:cs="Arial"/>
          <w:color w:val="262626" w:themeColor="text1" w:themeTint="D9"/>
        </w:rPr>
        <w:t>have a strong influence on the adoption of premium products in India</w:t>
      </w:r>
      <w:r w:rsidRPr="0004139F">
        <w:rPr>
          <w:rFonts w:ascii="Arial" w:hAnsi="Arial" w:cs="Arial"/>
          <w:color w:val="262626" w:themeColor="text1" w:themeTint="D9"/>
        </w:rPr>
        <w:t>. Nykaa’s verified reviewers and dermatology content creators act as institutional intermediaries, carrying greater perceived authenticity than corporate dermatologists. Therefore, trust is transacted through culturally recognised validators, not through brand-owned science. This redefines WOS strategy: internal control over meaning is ineffective without external social endorsement.</w:t>
      </w:r>
    </w:p>
    <w:p w14:paraId="72129C84" w14:textId="77777777" w:rsidR="0004139F" w:rsidRPr="00C05691" w:rsidRDefault="0004139F" w:rsidP="00C05691">
      <w:pPr>
        <w:spacing w:line="360" w:lineRule="auto"/>
        <w:rPr>
          <w:rFonts w:ascii="Arial" w:hAnsi="Arial" w:cs="Arial"/>
          <w:color w:val="262626"/>
        </w:rPr>
      </w:pPr>
    </w:p>
    <w:p w14:paraId="0052CD31" w14:textId="58B40FCB" w:rsidR="00C05691" w:rsidRPr="00C05691" w:rsidRDefault="00C05691" w:rsidP="00C05691">
      <w:pPr>
        <w:pStyle w:val="Heading2"/>
        <w:shd w:val="clear" w:color="auto" w:fill="F5ECCF"/>
        <w:rPr>
          <w:rFonts w:ascii="Arial" w:hAnsi="Arial" w:cs="Arial"/>
          <w:color w:val="262626"/>
          <w:sz w:val="26"/>
          <w:szCs w:val="26"/>
        </w:rPr>
      </w:pPr>
      <w:bookmarkStart w:id="19" w:name="_Toc214672853"/>
      <w:r w:rsidRPr="00C05691">
        <w:rPr>
          <w:rFonts w:ascii="Arial" w:hAnsi="Arial" w:cs="Arial"/>
          <w:color w:val="262626"/>
          <w:sz w:val="26"/>
          <w:szCs w:val="26"/>
        </w:rPr>
        <w:t>4.</w:t>
      </w:r>
      <w:r w:rsidR="00036A0A">
        <w:rPr>
          <w:rFonts w:ascii="Arial" w:hAnsi="Arial" w:cs="Arial"/>
          <w:color w:val="262626"/>
          <w:sz w:val="26"/>
          <w:szCs w:val="26"/>
        </w:rPr>
        <w:t>6</w:t>
      </w:r>
      <w:r w:rsidRPr="00C05691">
        <w:rPr>
          <w:rFonts w:ascii="Arial" w:hAnsi="Arial" w:cs="Arial"/>
          <w:color w:val="262626"/>
          <w:sz w:val="26"/>
          <w:szCs w:val="26"/>
        </w:rPr>
        <w:t xml:space="preserve"> Cultural Impact on Product Ritualisation</w:t>
      </w:r>
      <w:bookmarkEnd w:id="19"/>
    </w:p>
    <w:p w14:paraId="03966F27" w14:textId="77777777"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Ayurvedic norms add a symbolic layer: beauty is a moral-ritual process linked to purity, balance, and cosmic harmony (Mintel, 2022). French clinical minimalism lacks ritual narrative. Thus, premium brands must co-create new ritual propositions rather than translate laboratory claims. L’Oréal’s premium success requires embedding products into ritual sequences, not ingredient lists: e.g., “skin renewal night ritual,” “pre-serum purity step,” or saffron/gold-inspired ceremonial routines. Without such ritual translation, internalisation protects assets that cannot be fully monetised.</w:t>
      </w:r>
    </w:p>
    <w:p w14:paraId="5CBDC205" w14:textId="47B67C2D" w:rsidR="001B3E5D" w:rsidRPr="0004139F" w:rsidRDefault="001B3E5D"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This divergence is illustrated in the Cultural Trust Pathway (see Appendix, Figure A.7).</w:t>
      </w:r>
    </w:p>
    <w:p w14:paraId="3D32CDF0" w14:textId="77777777" w:rsidR="00C05691" w:rsidRPr="00C05691" w:rsidRDefault="00C05691" w:rsidP="00C05691">
      <w:pPr>
        <w:spacing w:line="360" w:lineRule="auto"/>
        <w:rPr>
          <w:rFonts w:ascii="Arial" w:hAnsi="Arial" w:cs="Arial"/>
          <w:color w:val="262626"/>
        </w:rPr>
      </w:pPr>
    </w:p>
    <w:p w14:paraId="3A114D09" w14:textId="2F775708" w:rsidR="00C05691" w:rsidRPr="00C05691" w:rsidRDefault="00C05691" w:rsidP="00C05691">
      <w:pPr>
        <w:pStyle w:val="Heading2"/>
        <w:shd w:val="clear" w:color="auto" w:fill="F5ECCF"/>
      </w:pPr>
      <w:bookmarkStart w:id="20" w:name="_Toc214672854"/>
      <w:r w:rsidRPr="00C05691">
        <w:rPr>
          <w:rFonts w:ascii="Arial" w:hAnsi="Arial" w:cs="Arial"/>
          <w:color w:val="262626"/>
          <w:sz w:val="26"/>
          <w:szCs w:val="26"/>
        </w:rPr>
        <w:t>4.</w:t>
      </w:r>
      <w:r w:rsidR="00036A0A">
        <w:rPr>
          <w:rFonts w:ascii="Arial" w:hAnsi="Arial" w:cs="Arial"/>
          <w:color w:val="262626"/>
          <w:sz w:val="26"/>
          <w:szCs w:val="26"/>
        </w:rPr>
        <w:t>7</w:t>
      </w:r>
      <w:r w:rsidRPr="00C05691">
        <w:rPr>
          <w:rFonts w:ascii="Arial" w:hAnsi="Arial" w:cs="Arial"/>
          <w:color w:val="262626"/>
          <w:sz w:val="26"/>
          <w:szCs w:val="26"/>
        </w:rPr>
        <w:t xml:space="preserve"> Synthesis: Culture as Conditional Value Realisation</w:t>
      </w:r>
      <w:bookmarkEnd w:id="20"/>
    </w:p>
    <w:p w14:paraId="58518157" w14:textId="12EEDD15" w:rsidR="00C05691"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Culture conditions market entry outcomes by shaping how symbolic capital </w:t>
      </w:r>
      <w:proofErr w:type="gramStart"/>
      <w:r w:rsidR="0004139F" w:rsidRPr="0004139F">
        <w:rPr>
          <w:rFonts w:ascii="Arial" w:hAnsi="Arial" w:cs="Arial"/>
          <w:color w:val="262626" w:themeColor="text1" w:themeTint="D9"/>
        </w:rPr>
        <w:t>is</w:t>
      </w:r>
      <w:proofErr w:type="gramEnd"/>
      <w:r w:rsidRPr="0004139F">
        <w:rPr>
          <w:rFonts w:ascii="Arial" w:hAnsi="Arial" w:cs="Arial"/>
          <w:color w:val="262626" w:themeColor="text1" w:themeTint="D9"/>
        </w:rPr>
        <w:t xml:space="preserve"> earned. WOS protects ownership of prestige assets but needs culturally anchored symbolic endorsement to convert assets into revenue. Entry secures protection; culture secures desirability. Consequently, market success hinges on culturally mediated legitimisation, not ownership mode.</w:t>
      </w:r>
    </w:p>
    <w:p w14:paraId="03EC30A9" w14:textId="19A9DA0D" w:rsidR="00A6227A" w:rsidRPr="0004139F" w:rsidRDefault="00C05691"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This strategic logic leads directly to Section 5, where SOP restructuring becomes necessary to institutionalise culturally sensitive legitimacy-building, embedding symbolic capital, ritual adaptation, and authority networks into operational systems.</w:t>
      </w:r>
    </w:p>
    <w:p w14:paraId="60374AC3" w14:textId="78FFF2CD" w:rsidR="00A6227A" w:rsidRPr="001F13ED" w:rsidRDefault="00A6227A" w:rsidP="00A6227A">
      <w:pPr>
        <w:pStyle w:val="Heading1"/>
        <w:shd w:val="clear" w:color="auto" w:fill="D4AF37"/>
        <w:rPr>
          <w:rFonts w:ascii="Arial" w:hAnsi="Arial" w:cs="Arial"/>
          <w:color w:val="262626" w:themeColor="text1" w:themeTint="D9"/>
          <w:sz w:val="32"/>
          <w:szCs w:val="32"/>
        </w:rPr>
      </w:pPr>
      <w:bookmarkStart w:id="21" w:name="_Toc214672855"/>
      <w:r w:rsidRPr="001F13ED">
        <w:rPr>
          <w:rFonts w:ascii="Arial" w:hAnsi="Arial" w:cs="Arial"/>
          <w:color w:val="262626" w:themeColor="text1" w:themeTint="D9"/>
          <w:sz w:val="32"/>
          <w:szCs w:val="32"/>
        </w:rPr>
        <w:lastRenderedPageBreak/>
        <w:t xml:space="preserve">5. </w:t>
      </w:r>
      <w:r w:rsidRPr="001F13ED">
        <w:rPr>
          <w:rFonts w:ascii="Arial" w:hAnsi="Arial" w:cs="Arial"/>
          <w:color w:val="262626" w:themeColor="text1" w:themeTint="D9"/>
          <w:sz w:val="32"/>
          <w:szCs w:val="32"/>
        </w:rPr>
        <w:t>L</w:t>
      </w:r>
      <w:r w:rsidR="00B24A08" w:rsidRPr="001F13ED">
        <w:rPr>
          <w:rFonts w:ascii="Arial" w:hAnsi="Arial" w:cs="Arial"/>
          <w:color w:val="262626" w:themeColor="text1" w:themeTint="D9"/>
          <w:sz w:val="32"/>
          <w:szCs w:val="32"/>
        </w:rPr>
        <w:t>EGITIMACY</w:t>
      </w:r>
      <w:r w:rsidR="001F13ED"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w:t>
      </w:r>
      <w:r w:rsidR="001F13ED"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F</w:t>
      </w:r>
      <w:r w:rsidR="001F13ED" w:rsidRPr="001F13ED">
        <w:rPr>
          <w:rFonts w:ascii="Arial" w:hAnsi="Arial" w:cs="Arial"/>
          <w:color w:val="262626" w:themeColor="text1" w:themeTint="D9"/>
          <w:sz w:val="32"/>
          <w:szCs w:val="32"/>
        </w:rPr>
        <w:t>IRST</w:t>
      </w:r>
      <w:r w:rsidRPr="001F13ED">
        <w:rPr>
          <w:rFonts w:ascii="Arial" w:hAnsi="Arial" w:cs="Arial"/>
          <w:color w:val="262626" w:themeColor="text1" w:themeTint="D9"/>
          <w:sz w:val="32"/>
          <w:szCs w:val="32"/>
        </w:rPr>
        <w:t xml:space="preserve"> SOP R</w:t>
      </w:r>
      <w:r w:rsidR="001F13ED" w:rsidRPr="001F13ED">
        <w:rPr>
          <w:rFonts w:ascii="Arial" w:hAnsi="Arial" w:cs="Arial"/>
          <w:color w:val="262626" w:themeColor="text1" w:themeTint="D9"/>
          <w:sz w:val="32"/>
          <w:szCs w:val="32"/>
        </w:rPr>
        <w:t>EFORMS FOR</w:t>
      </w:r>
      <w:r w:rsidRPr="001F13ED">
        <w:rPr>
          <w:rFonts w:ascii="Arial" w:hAnsi="Arial" w:cs="Arial"/>
          <w:color w:val="262626" w:themeColor="text1" w:themeTint="D9"/>
          <w:sz w:val="32"/>
          <w:szCs w:val="32"/>
        </w:rPr>
        <w:t xml:space="preserve"> P</w:t>
      </w:r>
      <w:r w:rsidR="001F13ED" w:rsidRPr="001F13ED">
        <w:rPr>
          <w:rFonts w:ascii="Arial" w:hAnsi="Arial" w:cs="Arial"/>
          <w:color w:val="262626" w:themeColor="text1" w:themeTint="D9"/>
          <w:sz w:val="32"/>
          <w:szCs w:val="32"/>
        </w:rPr>
        <w:t>REMIUM</w:t>
      </w:r>
      <w:r w:rsidRPr="001F13ED">
        <w:rPr>
          <w:rFonts w:ascii="Arial" w:hAnsi="Arial" w:cs="Arial"/>
          <w:color w:val="262626" w:themeColor="text1" w:themeTint="D9"/>
          <w:sz w:val="32"/>
          <w:szCs w:val="32"/>
        </w:rPr>
        <w:t xml:space="preserve"> M</w:t>
      </w:r>
      <w:r w:rsidR="001F13ED" w:rsidRPr="001F13ED">
        <w:rPr>
          <w:rFonts w:ascii="Arial" w:hAnsi="Arial" w:cs="Arial"/>
          <w:color w:val="262626" w:themeColor="text1" w:themeTint="D9"/>
          <w:sz w:val="32"/>
          <w:szCs w:val="32"/>
        </w:rPr>
        <w:t>ARKET</w:t>
      </w:r>
      <w:r w:rsidRPr="001F13ED">
        <w:rPr>
          <w:rFonts w:ascii="Arial" w:hAnsi="Arial" w:cs="Arial"/>
          <w:color w:val="262626" w:themeColor="text1" w:themeTint="D9"/>
          <w:sz w:val="32"/>
          <w:szCs w:val="32"/>
        </w:rPr>
        <w:t xml:space="preserve"> E</w:t>
      </w:r>
      <w:r w:rsidR="001F13ED" w:rsidRPr="001F13ED">
        <w:rPr>
          <w:rFonts w:ascii="Arial" w:hAnsi="Arial" w:cs="Arial"/>
          <w:color w:val="262626" w:themeColor="text1" w:themeTint="D9"/>
          <w:sz w:val="32"/>
          <w:szCs w:val="32"/>
        </w:rPr>
        <w:t>NTRY IN</w:t>
      </w:r>
      <w:r w:rsidRPr="001F13ED">
        <w:rPr>
          <w:rFonts w:ascii="Arial" w:hAnsi="Arial" w:cs="Arial"/>
          <w:color w:val="262626" w:themeColor="text1" w:themeTint="D9"/>
          <w:sz w:val="32"/>
          <w:szCs w:val="32"/>
        </w:rPr>
        <w:t xml:space="preserve"> I</w:t>
      </w:r>
      <w:r w:rsidR="001F13ED" w:rsidRPr="001F13ED">
        <w:rPr>
          <w:rFonts w:ascii="Arial" w:hAnsi="Arial" w:cs="Arial"/>
          <w:color w:val="262626" w:themeColor="text1" w:themeTint="D9"/>
          <w:sz w:val="32"/>
          <w:szCs w:val="32"/>
        </w:rPr>
        <w:t>NDIA</w:t>
      </w:r>
      <w:bookmarkEnd w:id="21"/>
    </w:p>
    <w:p w14:paraId="23D79353" w14:textId="77777777" w:rsidR="00A6227A" w:rsidRDefault="00A6227A" w:rsidP="00A6227A">
      <w:pPr>
        <w:spacing w:line="360" w:lineRule="auto"/>
        <w:rPr>
          <w:rFonts w:ascii="Arial" w:hAnsi="Arial" w:cs="Arial"/>
          <w:color w:val="262626"/>
        </w:rPr>
      </w:pPr>
    </w:p>
    <w:p w14:paraId="7C6AE4A3" w14:textId="53518E7A" w:rsidR="00A6227A" w:rsidRPr="00A6227A" w:rsidRDefault="00A6227A" w:rsidP="00A6227A">
      <w:pPr>
        <w:pStyle w:val="Heading2"/>
        <w:shd w:val="clear" w:color="auto" w:fill="F5ECCF"/>
        <w:rPr>
          <w:rFonts w:ascii="Arial" w:hAnsi="Arial" w:cs="Arial"/>
          <w:color w:val="262626"/>
          <w:sz w:val="26"/>
          <w:szCs w:val="26"/>
        </w:rPr>
      </w:pPr>
      <w:bookmarkStart w:id="22" w:name="_Toc214672856"/>
      <w:r w:rsidRPr="00A6227A">
        <w:rPr>
          <w:rFonts w:ascii="Arial" w:hAnsi="Arial" w:cs="Arial"/>
          <w:color w:val="262626"/>
          <w:sz w:val="26"/>
          <w:szCs w:val="26"/>
        </w:rPr>
        <w:t>5.</w:t>
      </w:r>
      <w:r>
        <w:rPr>
          <w:rFonts w:ascii="Arial" w:hAnsi="Arial" w:cs="Arial"/>
          <w:color w:val="262626"/>
          <w:sz w:val="26"/>
          <w:szCs w:val="26"/>
        </w:rPr>
        <w:t>1</w:t>
      </w:r>
      <w:r w:rsidRPr="00A6227A">
        <w:rPr>
          <w:rFonts w:ascii="Arial" w:hAnsi="Arial" w:cs="Arial"/>
          <w:color w:val="262626"/>
          <w:sz w:val="26"/>
          <w:szCs w:val="26"/>
        </w:rPr>
        <w:t xml:space="preserve"> Standard Operating Procedure (SOP) Reforms for Legitimacy-First Market Entry in India</w:t>
      </w:r>
      <w:bookmarkEnd w:id="22"/>
    </w:p>
    <w:p w14:paraId="3D74C86A" w14:textId="652B830E"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 xml:space="preserve">L’Oréal’s global Standard Operating Procedures were designed around a universalist assumption: that clinical R&amp;D superiority, proprietary formulas and centralised expertise produce the same premium effect across markets. In the European Union and </w:t>
      </w:r>
      <w:r w:rsidRPr="0004139F">
        <w:rPr>
          <w:rFonts w:ascii="Arial" w:hAnsi="Arial" w:cs="Arial"/>
          <w:color w:val="262626" w:themeColor="text1" w:themeTint="D9"/>
        </w:rPr>
        <w:t xml:space="preserve">the </w:t>
      </w:r>
      <w:r w:rsidRPr="0004139F">
        <w:rPr>
          <w:rFonts w:ascii="Arial" w:hAnsi="Arial" w:cs="Arial"/>
          <w:color w:val="262626" w:themeColor="text1" w:themeTint="D9"/>
        </w:rPr>
        <w:t>United States, internalisation converts ownership-specific advantages into monetisable prestige, as regulatory predictability and dermatological authority systems reward scientific exclusivity. However, Section 3 demonstrated that in India</w:t>
      </w:r>
      <w:r w:rsidRPr="0004139F">
        <w:rPr>
          <w:rFonts w:ascii="Arial" w:hAnsi="Arial" w:cs="Arial"/>
          <w:color w:val="262626" w:themeColor="text1" w:themeTint="D9"/>
        </w:rPr>
        <w:t>,</w:t>
      </w:r>
      <w:r w:rsidRPr="0004139F">
        <w:rPr>
          <w:rFonts w:ascii="Arial" w:hAnsi="Arial" w:cs="Arial"/>
          <w:color w:val="262626" w:themeColor="text1" w:themeTint="D9"/>
        </w:rPr>
        <w:t xml:space="preserve"> this logic is destabilised: proprietary advantages lose value when they lack ritual legitimacy, platform-validated trust, and ethical acceptability. Section 4 showed that value is co-produced through social meaning, climate-specific performance and mediated authority.</w:t>
      </w:r>
    </w:p>
    <w:p w14:paraId="44394E18"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Thus, current SOP frameworks fail not because they lack adaptation, but because they do not institutionalise legitimacy as a procedural requirement. This section recommends three SOP reforms that reposition internalisation from control-based enforcement to cultural and ethical governance. The proposed shift moves L’Oréal from Control-First SOPs to Legitimacy-First SOPs, embedding cultural co-production directly into product validation, trust management and innovation protocols.</w:t>
      </w:r>
    </w:p>
    <w:p w14:paraId="6575C269" w14:textId="77777777" w:rsidR="00A6227A" w:rsidRPr="00A6227A" w:rsidRDefault="00A6227A" w:rsidP="00A6227A">
      <w:pPr>
        <w:spacing w:line="360" w:lineRule="auto"/>
        <w:rPr>
          <w:rFonts w:ascii="Arial" w:hAnsi="Arial" w:cs="Arial"/>
          <w:color w:val="262626"/>
        </w:rPr>
      </w:pPr>
    </w:p>
    <w:p w14:paraId="0F83AD1F" w14:textId="0658391F" w:rsidR="00A6227A" w:rsidRPr="00A6227A" w:rsidRDefault="00A6227A" w:rsidP="00A6227A">
      <w:pPr>
        <w:pStyle w:val="Heading2"/>
        <w:shd w:val="clear" w:color="auto" w:fill="F5ECCF"/>
        <w:rPr>
          <w:rFonts w:ascii="Arial" w:hAnsi="Arial" w:cs="Arial"/>
          <w:color w:val="262626"/>
          <w:sz w:val="26"/>
          <w:szCs w:val="26"/>
        </w:rPr>
      </w:pPr>
      <w:bookmarkStart w:id="23" w:name="_Toc214672857"/>
      <w:r w:rsidRPr="00A6227A">
        <w:rPr>
          <w:rFonts w:ascii="Arial" w:hAnsi="Arial" w:cs="Arial"/>
          <w:color w:val="262626"/>
          <w:sz w:val="26"/>
          <w:szCs w:val="26"/>
        </w:rPr>
        <w:t>5.</w:t>
      </w:r>
      <w:r w:rsidRPr="00A6227A">
        <w:rPr>
          <w:rFonts w:ascii="Arial" w:hAnsi="Arial" w:cs="Arial"/>
          <w:color w:val="262626"/>
          <w:sz w:val="26"/>
          <w:szCs w:val="26"/>
        </w:rPr>
        <w:t>2</w:t>
      </w:r>
      <w:r w:rsidRPr="00A6227A">
        <w:rPr>
          <w:rFonts w:ascii="Arial" w:hAnsi="Arial" w:cs="Arial"/>
          <w:color w:val="262626"/>
          <w:sz w:val="26"/>
          <w:szCs w:val="26"/>
        </w:rPr>
        <w:t xml:space="preserve"> SOP Reform 1: Ritual</w:t>
      </w:r>
      <w:r w:rsidR="0004139F">
        <w:rPr>
          <w:rFonts w:ascii="Arial" w:hAnsi="Arial" w:cs="Arial"/>
          <w:color w:val="262626"/>
          <w:sz w:val="26"/>
          <w:szCs w:val="26"/>
        </w:rPr>
        <w:t xml:space="preserve"> </w:t>
      </w:r>
      <w:r w:rsidRPr="00A6227A">
        <w:rPr>
          <w:rFonts w:ascii="Arial" w:hAnsi="Arial" w:cs="Arial"/>
          <w:color w:val="262626"/>
          <w:sz w:val="26"/>
          <w:szCs w:val="26"/>
        </w:rPr>
        <w:t>-</w:t>
      </w:r>
      <w:r w:rsidR="0004139F">
        <w:rPr>
          <w:rFonts w:ascii="Arial" w:hAnsi="Arial" w:cs="Arial"/>
          <w:color w:val="262626"/>
          <w:sz w:val="26"/>
          <w:szCs w:val="26"/>
        </w:rPr>
        <w:t xml:space="preserve"> </w:t>
      </w:r>
      <w:r w:rsidRPr="00A6227A">
        <w:rPr>
          <w:rFonts w:ascii="Arial" w:hAnsi="Arial" w:cs="Arial"/>
          <w:color w:val="262626"/>
          <w:sz w:val="26"/>
          <w:szCs w:val="26"/>
        </w:rPr>
        <w:t>Legitimacy Validation (RLV-SOP)</w:t>
      </w:r>
      <w:bookmarkEnd w:id="23"/>
    </w:p>
    <w:p w14:paraId="7B0C780E" w14:textId="58BB1054"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 India, the monetisation of proprietary IP depends not solely on scientific proof, but on ethical and ritual legitimacy. Section 4 demonstrated that beauty efficacy is culturally co-produced through heritage ingredients, humidity-specific routines and socially validated meanings. Consequently, L’Oréal’s existing validation protocols generate reputational transaction costs when products are perceived as culturally tone-deaf, tokenistic or symbolic impositions. Rather than adapting after backlash, legitimacy must be procedurally embedded in the validation process.</w:t>
      </w:r>
    </w:p>
    <w:p w14:paraId="2866A0F5"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b/>
          <w:bCs/>
          <w:color w:val="262626" w:themeColor="text1" w:themeTint="D9"/>
        </w:rPr>
        <w:t xml:space="preserve">Proposed SOP: </w:t>
      </w:r>
      <w:r w:rsidRPr="0004139F">
        <w:rPr>
          <w:rFonts w:ascii="Arial" w:hAnsi="Arial" w:cs="Arial"/>
          <w:color w:val="262626" w:themeColor="text1" w:themeTint="D9"/>
        </w:rPr>
        <w:t>Ritual-Legitimacy Validation (RLV-SOP)</w:t>
      </w:r>
    </w:p>
    <w:p w14:paraId="043991D4"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lastRenderedPageBreak/>
        <w:t>This SOP reframes product validation as a governance mechanism, not a marketing adjustment.</w:t>
      </w:r>
    </w:p>
    <w:tbl>
      <w:tblPr>
        <w:tblW w:w="0" w:type="auto"/>
        <w:tblCellSpacing w:w="15" w:type="dxa"/>
        <w:tblBorders>
          <w:insideH w:val="single" w:sz="8" w:space="0" w:color="AA8D3C"/>
        </w:tblBorders>
        <w:tblCellMar>
          <w:top w:w="15" w:type="dxa"/>
          <w:left w:w="15" w:type="dxa"/>
          <w:bottom w:w="15" w:type="dxa"/>
          <w:right w:w="15" w:type="dxa"/>
        </w:tblCellMar>
        <w:tblLook w:val="04A0" w:firstRow="1" w:lastRow="0" w:firstColumn="1" w:lastColumn="0" w:noHBand="0" w:noVBand="1"/>
      </w:tblPr>
      <w:tblGrid>
        <w:gridCol w:w="1703"/>
        <w:gridCol w:w="3947"/>
        <w:gridCol w:w="3710"/>
      </w:tblGrid>
      <w:tr w:rsidR="00CC1FD8" w:rsidRPr="00CC1FD8" w14:paraId="7336D05F" w14:textId="77777777" w:rsidTr="00CC1FD8">
        <w:trPr>
          <w:tblHeader/>
          <w:tblCellSpacing w:w="15" w:type="dxa"/>
        </w:trPr>
        <w:tc>
          <w:tcPr>
            <w:tcW w:w="0" w:type="auto"/>
            <w:shd w:val="clear" w:color="auto" w:fill="F2ECDA"/>
            <w:vAlign w:val="center"/>
            <w:hideMark/>
          </w:tcPr>
          <w:p w14:paraId="46BAAC63" w14:textId="77777777" w:rsidR="00CC1FD8" w:rsidRPr="00CC1FD8" w:rsidRDefault="00CC1FD8" w:rsidP="00CC1FD8">
            <w:pPr>
              <w:spacing w:line="360" w:lineRule="auto"/>
              <w:rPr>
                <w:rFonts w:ascii="Arial" w:hAnsi="Arial" w:cs="Arial"/>
                <w:b/>
                <w:bCs/>
                <w:color w:val="262626" w:themeColor="text1" w:themeTint="D9"/>
              </w:rPr>
            </w:pPr>
            <w:r w:rsidRPr="00CC1FD8">
              <w:rPr>
                <w:rFonts w:ascii="Arial" w:hAnsi="Arial" w:cs="Arial"/>
                <w:b/>
                <w:bCs/>
                <w:color w:val="262626" w:themeColor="text1" w:themeTint="D9"/>
              </w:rPr>
              <w:t>SOP Component</w:t>
            </w:r>
          </w:p>
        </w:tc>
        <w:tc>
          <w:tcPr>
            <w:tcW w:w="0" w:type="auto"/>
            <w:shd w:val="clear" w:color="auto" w:fill="F2ECDA"/>
            <w:vAlign w:val="center"/>
            <w:hideMark/>
          </w:tcPr>
          <w:p w14:paraId="027421D8" w14:textId="77777777" w:rsidR="00CC1FD8" w:rsidRPr="00CC1FD8" w:rsidRDefault="00CC1FD8" w:rsidP="00CC1FD8">
            <w:pPr>
              <w:spacing w:line="360" w:lineRule="auto"/>
              <w:rPr>
                <w:rFonts w:ascii="Arial" w:hAnsi="Arial" w:cs="Arial"/>
                <w:b/>
                <w:bCs/>
                <w:color w:val="262626" w:themeColor="text1" w:themeTint="D9"/>
              </w:rPr>
            </w:pPr>
            <w:r w:rsidRPr="00CC1FD8">
              <w:rPr>
                <w:rFonts w:ascii="Arial" w:hAnsi="Arial" w:cs="Arial"/>
                <w:b/>
                <w:bCs/>
                <w:color w:val="262626" w:themeColor="text1" w:themeTint="D9"/>
              </w:rPr>
              <w:t>Procedural Change</w:t>
            </w:r>
          </w:p>
        </w:tc>
        <w:tc>
          <w:tcPr>
            <w:tcW w:w="0" w:type="auto"/>
            <w:shd w:val="clear" w:color="auto" w:fill="F2ECDA"/>
            <w:vAlign w:val="center"/>
            <w:hideMark/>
          </w:tcPr>
          <w:p w14:paraId="3C430C2C" w14:textId="77777777" w:rsidR="00CC1FD8" w:rsidRPr="00CC1FD8" w:rsidRDefault="00CC1FD8" w:rsidP="00CC1FD8">
            <w:pPr>
              <w:spacing w:line="360" w:lineRule="auto"/>
              <w:rPr>
                <w:rFonts w:ascii="Arial" w:hAnsi="Arial" w:cs="Arial"/>
                <w:b/>
                <w:bCs/>
                <w:color w:val="262626" w:themeColor="text1" w:themeTint="D9"/>
              </w:rPr>
            </w:pPr>
            <w:r w:rsidRPr="00CC1FD8">
              <w:rPr>
                <w:rFonts w:ascii="Arial" w:hAnsi="Arial" w:cs="Arial"/>
                <w:b/>
                <w:bCs/>
                <w:color w:val="262626" w:themeColor="text1" w:themeTint="D9"/>
              </w:rPr>
              <w:t>Governance Purpose</w:t>
            </w:r>
          </w:p>
        </w:tc>
      </w:tr>
      <w:tr w:rsidR="00CC1FD8" w:rsidRPr="00CC1FD8" w14:paraId="6CE96FA5" w14:textId="77777777" w:rsidTr="00CC1FD8">
        <w:trPr>
          <w:tblCellSpacing w:w="15" w:type="dxa"/>
        </w:trPr>
        <w:tc>
          <w:tcPr>
            <w:tcW w:w="0" w:type="auto"/>
            <w:shd w:val="clear" w:color="auto" w:fill="F2ECDA"/>
            <w:vAlign w:val="center"/>
            <w:hideMark/>
          </w:tcPr>
          <w:p w14:paraId="18E4BBEF"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Product Validation</w:t>
            </w:r>
          </w:p>
        </w:tc>
        <w:tc>
          <w:tcPr>
            <w:tcW w:w="0" w:type="auto"/>
            <w:shd w:val="clear" w:color="auto" w:fill="F2ECDA"/>
            <w:vAlign w:val="center"/>
            <w:hideMark/>
          </w:tcPr>
          <w:p w14:paraId="1A0A7733" w14:textId="6CF2F5A9"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 xml:space="preserve">Mandatory cultural-ritual fit review at </w:t>
            </w:r>
            <w:r w:rsidRPr="0004139F">
              <w:rPr>
                <w:rFonts w:ascii="Arial" w:hAnsi="Arial" w:cs="Arial"/>
                <w:color w:val="262626" w:themeColor="text1" w:themeTint="D9"/>
              </w:rPr>
              <w:t xml:space="preserve">the </w:t>
            </w:r>
            <w:r w:rsidRPr="00CC1FD8">
              <w:rPr>
                <w:rFonts w:ascii="Arial" w:hAnsi="Arial" w:cs="Arial"/>
                <w:color w:val="262626" w:themeColor="text1" w:themeTint="D9"/>
              </w:rPr>
              <w:t>formulation stage</w:t>
            </w:r>
          </w:p>
        </w:tc>
        <w:tc>
          <w:tcPr>
            <w:tcW w:w="0" w:type="auto"/>
            <w:shd w:val="clear" w:color="auto" w:fill="F2ECDA"/>
            <w:vAlign w:val="center"/>
            <w:hideMark/>
          </w:tcPr>
          <w:p w14:paraId="1E8B9BEC"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Prevent symbolic misalignment and token</w:t>
            </w:r>
            <w:r w:rsidRPr="00CC1FD8">
              <w:rPr>
                <w:rFonts w:ascii="Cambria Math" w:hAnsi="Cambria Math" w:cs="Cambria Math"/>
                <w:color w:val="262626" w:themeColor="text1" w:themeTint="D9"/>
              </w:rPr>
              <w:t>‐</w:t>
            </w:r>
            <w:r w:rsidRPr="00CC1FD8">
              <w:rPr>
                <w:rFonts w:ascii="Arial" w:hAnsi="Arial" w:cs="Arial"/>
                <w:color w:val="262626" w:themeColor="text1" w:themeTint="D9"/>
              </w:rPr>
              <w:t>ethics</w:t>
            </w:r>
          </w:p>
        </w:tc>
      </w:tr>
      <w:tr w:rsidR="00CC1FD8" w:rsidRPr="00CC1FD8" w14:paraId="77BEE2CB" w14:textId="77777777" w:rsidTr="00CC1FD8">
        <w:trPr>
          <w:tblCellSpacing w:w="15" w:type="dxa"/>
        </w:trPr>
        <w:tc>
          <w:tcPr>
            <w:tcW w:w="0" w:type="auto"/>
            <w:shd w:val="clear" w:color="auto" w:fill="F2ECDA"/>
            <w:vAlign w:val="center"/>
            <w:hideMark/>
          </w:tcPr>
          <w:p w14:paraId="526CEEA6"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Ingredient Approval</w:t>
            </w:r>
          </w:p>
        </w:tc>
        <w:tc>
          <w:tcPr>
            <w:tcW w:w="0" w:type="auto"/>
            <w:shd w:val="clear" w:color="auto" w:fill="F2ECDA"/>
            <w:vAlign w:val="center"/>
            <w:hideMark/>
          </w:tcPr>
          <w:p w14:paraId="380C2AC0" w14:textId="35AACD2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Heritage Ingredient Risk Scale (low</w:t>
            </w:r>
            <w:r w:rsidR="0004139F">
              <w:rPr>
                <w:rFonts w:ascii="Arial" w:hAnsi="Arial" w:cs="Arial"/>
                <w:color w:val="262626" w:themeColor="text1" w:themeTint="D9"/>
              </w:rPr>
              <w:t>-</w:t>
            </w:r>
            <w:r w:rsidRPr="00CC1FD8">
              <w:rPr>
                <w:rFonts w:ascii="Arial" w:hAnsi="Arial" w:cs="Arial"/>
                <w:color w:val="262626" w:themeColor="text1" w:themeTint="D9"/>
              </w:rPr>
              <w:t>high legitimacy risk)</w:t>
            </w:r>
          </w:p>
        </w:tc>
        <w:tc>
          <w:tcPr>
            <w:tcW w:w="0" w:type="auto"/>
            <w:shd w:val="clear" w:color="auto" w:fill="F2ECDA"/>
            <w:vAlign w:val="center"/>
            <w:hideMark/>
          </w:tcPr>
          <w:p w14:paraId="45D0D66D"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Avoid pseudo-Ayurveda and exploitative exoticisation</w:t>
            </w:r>
          </w:p>
        </w:tc>
      </w:tr>
      <w:tr w:rsidR="00CC1FD8" w:rsidRPr="00CC1FD8" w14:paraId="6D87A0AE" w14:textId="77777777" w:rsidTr="00CC1FD8">
        <w:trPr>
          <w:tblCellSpacing w:w="15" w:type="dxa"/>
        </w:trPr>
        <w:tc>
          <w:tcPr>
            <w:tcW w:w="0" w:type="auto"/>
            <w:shd w:val="clear" w:color="auto" w:fill="F2ECDA"/>
            <w:vAlign w:val="center"/>
            <w:hideMark/>
          </w:tcPr>
          <w:p w14:paraId="710F85B9"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Clinical Testing</w:t>
            </w:r>
          </w:p>
        </w:tc>
        <w:tc>
          <w:tcPr>
            <w:tcW w:w="0" w:type="auto"/>
            <w:shd w:val="clear" w:color="auto" w:fill="F2ECDA"/>
            <w:vAlign w:val="center"/>
            <w:hideMark/>
          </w:tcPr>
          <w:p w14:paraId="7B89ED55"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Humidity + ritual usage performance trials</w:t>
            </w:r>
          </w:p>
        </w:tc>
        <w:tc>
          <w:tcPr>
            <w:tcW w:w="0" w:type="auto"/>
            <w:shd w:val="clear" w:color="auto" w:fill="F2ECDA"/>
            <w:vAlign w:val="center"/>
            <w:hideMark/>
          </w:tcPr>
          <w:p w14:paraId="7562E211"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Validate real climate-ritual efficacy</w:t>
            </w:r>
          </w:p>
        </w:tc>
      </w:tr>
      <w:tr w:rsidR="00CC1FD8" w:rsidRPr="00CC1FD8" w14:paraId="2E76F4F1" w14:textId="77777777" w:rsidTr="00CC1FD8">
        <w:trPr>
          <w:tblCellSpacing w:w="15" w:type="dxa"/>
        </w:trPr>
        <w:tc>
          <w:tcPr>
            <w:tcW w:w="0" w:type="auto"/>
            <w:shd w:val="clear" w:color="auto" w:fill="F2ECDA"/>
            <w:vAlign w:val="center"/>
            <w:hideMark/>
          </w:tcPr>
          <w:p w14:paraId="072C32D1"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Ethical Screening</w:t>
            </w:r>
          </w:p>
        </w:tc>
        <w:tc>
          <w:tcPr>
            <w:tcW w:w="0" w:type="auto"/>
            <w:shd w:val="clear" w:color="auto" w:fill="F2ECDA"/>
            <w:vAlign w:val="center"/>
            <w:hideMark/>
          </w:tcPr>
          <w:p w14:paraId="45A63C4A"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ASCI ethics compliance + anti-colourism filter</w:t>
            </w:r>
          </w:p>
        </w:tc>
        <w:tc>
          <w:tcPr>
            <w:tcW w:w="0" w:type="auto"/>
            <w:shd w:val="clear" w:color="auto" w:fill="F2ECDA"/>
            <w:vAlign w:val="center"/>
            <w:hideMark/>
          </w:tcPr>
          <w:p w14:paraId="1563BDD9" w14:textId="77777777" w:rsidR="00CC1FD8" w:rsidRPr="00CC1FD8" w:rsidRDefault="00CC1FD8" w:rsidP="00CC1FD8">
            <w:pPr>
              <w:spacing w:line="360" w:lineRule="auto"/>
              <w:rPr>
                <w:rFonts w:ascii="Arial" w:hAnsi="Arial" w:cs="Arial"/>
                <w:color w:val="262626" w:themeColor="text1" w:themeTint="D9"/>
              </w:rPr>
            </w:pPr>
            <w:r w:rsidRPr="00CC1FD8">
              <w:rPr>
                <w:rFonts w:ascii="Arial" w:hAnsi="Arial" w:cs="Arial"/>
                <w:color w:val="262626" w:themeColor="text1" w:themeTint="D9"/>
              </w:rPr>
              <w:t>Reduce reputational liability from ethical backlash</w:t>
            </w:r>
          </w:p>
        </w:tc>
      </w:tr>
    </w:tbl>
    <w:p w14:paraId="2F9C15AF" w14:textId="77777777" w:rsidR="00A6227A" w:rsidRPr="00A6227A" w:rsidRDefault="00A6227A" w:rsidP="00A6227A">
      <w:pPr>
        <w:spacing w:line="360" w:lineRule="auto"/>
        <w:rPr>
          <w:rFonts w:ascii="Arial" w:hAnsi="Arial" w:cs="Arial"/>
          <w:color w:val="262626"/>
        </w:rPr>
      </w:pPr>
    </w:p>
    <w:p w14:paraId="00659BF9" w14:textId="3DB1B639"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Ethical compliance aligned with ASCI (2021–2023) and Bureau of Indian Standards cosmetics rules (2020 draft revisions).</w:t>
      </w:r>
    </w:p>
    <w:p w14:paraId="20C2F79C" w14:textId="51C212A4"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Strategic Logic</w:t>
      </w:r>
    </w:p>
    <w:p w14:paraId="72A1D9C9"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Ownership advantages (O) become valuable only when procedurally legitimised, transforming prestige from imported science into ethically contextualised efficacy. This operationalises Holt’s (2004) cultural branding and Trompenaars’ particularism through pre-market governance rather than post-launch crisis response.</w:t>
      </w:r>
    </w:p>
    <w:p w14:paraId="55D27422" w14:textId="0B72DC08"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KPIs</w:t>
      </w:r>
    </w:p>
    <w:p w14:paraId="6BD5BFE6" w14:textId="506FE0D8" w:rsidR="00A6227A" w:rsidRPr="0004139F" w:rsidRDefault="00A6227A" w:rsidP="0004139F">
      <w:pPr>
        <w:pStyle w:val="ListParagraph"/>
        <w:numPr>
          <w:ilvl w:val="0"/>
          <w:numId w:val="6"/>
        </w:numPr>
        <w:spacing w:line="360" w:lineRule="auto"/>
        <w:rPr>
          <w:rFonts w:ascii="Arial" w:hAnsi="Arial" w:cs="Arial"/>
          <w:color w:val="262626" w:themeColor="text1" w:themeTint="D9"/>
        </w:rPr>
      </w:pPr>
      <w:r w:rsidRPr="0004139F">
        <w:rPr>
          <w:rFonts w:ascii="Arial" w:hAnsi="Arial" w:cs="Arial"/>
          <w:color w:val="262626" w:themeColor="text1" w:themeTint="D9"/>
        </w:rPr>
        <w:t>Ritual Adoption Rate</w:t>
      </w:r>
    </w:p>
    <w:p w14:paraId="7BD4D0AD" w14:textId="6F119250" w:rsidR="00A6227A" w:rsidRPr="0004139F" w:rsidRDefault="00A6227A" w:rsidP="0004139F">
      <w:pPr>
        <w:pStyle w:val="ListParagraph"/>
        <w:numPr>
          <w:ilvl w:val="0"/>
          <w:numId w:val="6"/>
        </w:numPr>
        <w:spacing w:line="360" w:lineRule="auto"/>
        <w:rPr>
          <w:rFonts w:ascii="Arial" w:hAnsi="Arial" w:cs="Arial"/>
          <w:color w:val="262626" w:themeColor="text1" w:themeTint="D9"/>
        </w:rPr>
      </w:pPr>
      <w:r w:rsidRPr="0004139F">
        <w:rPr>
          <w:rFonts w:ascii="Arial" w:hAnsi="Arial" w:cs="Arial"/>
          <w:color w:val="262626" w:themeColor="text1" w:themeTint="D9"/>
        </w:rPr>
        <w:t>Trust-Lift Index</w:t>
      </w:r>
    </w:p>
    <w:p w14:paraId="4572F6B5" w14:textId="611247B6" w:rsidR="00A6227A" w:rsidRPr="0004139F" w:rsidRDefault="00A6227A" w:rsidP="0004139F">
      <w:pPr>
        <w:pStyle w:val="ListParagraph"/>
        <w:numPr>
          <w:ilvl w:val="0"/>
          <w:numId w:val="6"/>
        </w:numPr>
        <w:spacing w:line="360" w:lineRule="auto"/>
        <w:rPr>
          <w:rFonts w:ascii="Arial" w:hAnsi="Arial" w:cs="Arial"/>
          <w:color w:val="262626" w:themeColor="text1" w:themeTint="D9"/>
        </w:rPr>
      </w:pPr>
      <w:r w:rsidRPr="0004139F">
        <w:rPr>
          <w:rFonts w:ascii="Arial" w:hAnsi="Arial" w:cs="Arial"/>
          <w:color w:val="262626" w:themeColor="text1" w:themeTint="D9"/>
        </w:rPr>
        <w:t>Ethical Harm Score (lower = better)</w:t>
      </w:r>
    </w:p>
    <w:p w14:paraId="666F5AAA" w14:textId="1F0EE90E"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Critical Insight</w:t>
      </w:r>
    </w:p>
    <w:p w14:paraId="2C4989E2" w14:textId="0849D5CE"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RLV-SOP recognises that prestige is not a claim</w:t>
      </w:r>
      <w:r w:rsidR="00674553" w:rsidRPr="0004139F">
        <w:rPr>
          <w:rFonts w:ascii="Arial" w:hAnsi="Arial" w:cs="Arial"/>
          <w:color w:val="262626" w:themeColor="text1" w:themeTint="D9"/>
        </w:rPr>
        <w:t xml:space="preserve"> - </w:t>
      </w:r>
      <w:r w:rsidRPr="0004139F">
        <w:rPr>
          <w:rFonts w:ascii="Arial" w:hAnsi="Arial" w:cs="Arial"/>
          <w:color w:val="262626" w:themeColor="text1" w:themeTint="D9"/>
        </w:rPr>
        <w:t>it is a socially ratified outcome. Scientific superiority must be procedurally translated into cultural legitimacy before entering the market.</w:t>
      </w:r>
    </w:p>
    <w:p w14:paraId="307743C2" w14:textId="3AA36363" w:rsidR="00A6227A" w:rsidRPr="00A6227A" w:rsidRDefault="00A6227A" w:rsidP="00A6227A">
      <w:pPr>
        <w:pStyle w:val="Heading2"/>
        <w:shd w:val="clear" w:color="auto" w:fill="F5ECCF"/>
        <w:rPr>
          <w:rFonts w:ascii="Arial" w:hAnsi="Arial" w:cs="Arial"/>
          <w:color w:val="262626"/>
          <w:sz w:val="26"/>
          <w:szCs w:val="26"/>
        </w:rPr>
      </w:pPr>
      <w:bookmarkStart w:id="24" w:name="_Toc214672858"/>
      <w:r w:rsidRPr="00A6227A">
        <w:rPr>
          <w:rFonts w:ascii="Arial" w:hAnsi="Arial" w:cs="Arial"/>
          <w:color w:val="262626"/>
          <w:sz w:val="26"/>
          <w:szCs w:val="26"/>
        </w:rPr>
        <w:lastRenderedPageBreak/>
        <w:t>5.</w:t>
      </w:r>
      <w:r w:rsidRPr="00A6227A">
        <w:rPr>
          <w:rFonts w:ascii="Arial" w:hAnsi="Arial" w:cs="Arial"/>
          <w:color w:val="262626"/>
          <w:sz w:val="26"/>
          <w:szCs w:val="26"/>
        </w:rPr>
        <w:t>3</w:t>
      </w:r>
      <w:r w:rsidRPr="00A6227A">
        <w:rPr>
          <w:rFonts w:ascii="Arial" w:hAnsi="Arial" w:cs="Arial"/>
          <w:color w:val="262626"/>
          <w:sz w:val="26"/>
          <w:szCs w:val="26"/>
        </w:rPr>
        <w:t xml:space="preserve"> SOP Reform 2: Authority Mediation Governance (AMG-SOP)</w:t>
      </w:r>
      <w:bookmarkEnd w:id="24"/>
    </w:p>
    <w:p w14:paraId="49E946ED" w14:textId="29288EC1" w:rsidR="00A6227A" w:rsidRPr="0004139F" w:rsidRDefault="00A6227A" w:rsidP="0004139F">
      <w:pPr>
        <w:spacing w:line="360" w:lineRule="auto"/>
        <w:rPr>
          <w:rFonts w:ascii="Arial" w:hAnsi="Arial" w:cs="Arial"/>
          <w:color w:val="262626" w:themeColor="text1" w:themeTint="D9"/>
        </w:rPr>
      </w:pPr>
      <w:r w:rsidRPr="00A6227A">
        <w:rPr>
          <w:rFonts w:ascii="Arial" w:hAnsi="Arial" w:cs="Arial"/>
          <w:color w:val="262626"/>
        </w:rPr>
        <w:t>Internalisat</w:t>
      </w:r>
      <w:r w:rsidRPr="0004139F">
        <w:rPr>
          <w:rFonts w:ascii="Arial" w:hAnsi="Arial" w:cs="Arial"/>
          <w:color w:val="262626" w:themeColor="text1" w:themeTint="D9"/>
        </w:rPr>
        <w:t>ion in India is strategically valuable not because it protects formulas, but because it governs legitimacy through trusted intermediaries. Section 4 demonstrated that India’s high-context communication and hierarchical trust norms elevate salons, dermatologists and platform curators as cultural authorities. Thus, L’Oréal’s challenge is not distribution access, but trusted message control. Internalisation must therefore shift from asset protection to authority governance.</w:t>
      </w:r>
    </w:p>
    <w:p w14:paraId="1552C01A"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b/>
          <w:bCs/>
          <w:color w:val="262626" w:themeColor="text1" w:themeTint="D9"/>
        </w:rPr>
        <w:t>Proposed SOP:</w:t>
      </w:r>
      <w:r w:rsidRPr="0004139F">
        <w:rPr>
          <w:rFonts w:ascii="Arial" w:hAnsi="Arial" w:cs="Arial"/>
          <w:color w:val="262626" w:themeColor="text1" w:themeTint="D9"/>
        </w:rPr>
        <w:t xml:space="preserve"> Authority Mediation Governance (AMG-SOP)</w:t>
      </w:r>
    </w:p>
    <w:p w14:paraId="22A05C4C"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Internalises trust by controlling how authority is credentialed, educated and monitored.</w:t>
      </w:r>
    </w:p>
    <w:tbl>
      <w:tblPr>
        <w:tblW w:w="0" w:type="auto"/>
        <w:tblCellSpacing w:w="15" w:type="dxa"/>
        <w:tblBorders>
          <w:insideH w:val="single" w:sz="8" w:space="0" w:color="78642A"/>
        </w:tblBorders>
        <w:tblCellMar>
          <w:top w:w="15" w:type="dxa"/>
          <w:left w:w="15" w:type="dxa"/>
          <w:bottom w:w="15" w:type="dxa"/>
          <w:right w:w="15" w:type="dxa"/>
        </w:tblCellMar>
        <w:tblLook w:val="04A0" w:firstRow="1" w:lastRow="0" w:firstColumn="1" w:lastColumn="0" w:noHBand="0" w:noVBand="1"/>
      </w:tblPr>
      <w:tblGrid>
        <w:gridCol w:w="2076"/>
        <w:gridCol w:w="3525"/>
        <w:gridCol w:w="3759"/>
      </w:tblGrid>
      <w:tr w:rsidR="00BB031B" w:rsidRPr="00BB031B" w14:paraId="35ADB2D5" w14:textId="77777777" w:rsidTr="00BB031B">
        <w:trPr>
          <w:tblHeader/>
          <w:tblCellSpacing w:w="15" w:type="dxa"/>
        </w:trPr>
        <w:tc>
          <w:tcPr>
            <w:tcW w:w="0" w:type="auto"/>
            <w:shd w:val="clear" w:color="auto" w:fill="F2ECDA"/>
            <w:vAlign w:val="center"/>
            <w:hideMark/>
          </w:tcPr>
          <w:p w14:paraId="7894D49E"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SOP Governance Area</w:t>
            </w:r>
          </w:p>
        </w:tc>
        <w:tc>
          <w:tcPr>
            <w:tcW w:w="0" w:type="auto"/>
            <w:shd w:val="clear" w:color="auto" w:fill="F2ECDA"/>
            <w:vAlign w:val="center"/>
            <w:hideMark/>
          </w:tcPr>
          <w:p w14:paraId="00ADB99F"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Procedural Rule</w:t>
            </w:r>
          </w:p>
        </w:tc>
        <w:tc>
          <w:tcPr>
            <w:tcW w:w="0" w:type="auto"/>
            <w:shd w:val="clear" w:color="auto" w:fill="F2ECDA"/>
            <w:vAlign w:val="center"/>
            <w:hideMark/>
          </w:tcPr>
          <w:p w14:paraId="23B6C4EE"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Strategic Logic</w:t>
            </w:r>
          </w:p>
        </w:tc>
      </w:tr>
      <w:tr w:rsidR="00BB031B" w:rsidRPr="00BB031B" w14:paraId="4DF6A2B2" w14:textId="77777777" w:rsidTr="00BB031B">
        <w:trPr>
          <w:tblCellSpacing w:w="15" w:type="dxa"/>
        </w:trPr>
        <w:tc>
          <w:tcPr>
            <w:tcW w:w="0" w:type="auto"/>
            <w:shd w:val="clear" w:color="auto" w:fill="F2ECDA"/>
            <w:vAlign w:val="center"/>
            <w:hideMark/>
          </w:tcPr>
          <w:p w14:paraId="63B26896"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Salon Network</w:t>
            </w:r>
          </w:p>
        </w:tc>
        <w:tc>
          <w:tcPr>
            <w:tcW w:w="0" w:type="auto"/>
            <w:shd w:val="clear" w:color="auto" w:fill="F2ECDA"/>
            <w:vAlign w:val="center"/>
            <w:hideMark/>
          </w:tcPr>
          <w:p w14:paraId="4E63247F"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Tiered certification + ethical renewal audits</w:t>
            </w:r>
          </w:p>
        </w:tc>
        <w:tc>
          <w:tcPr>
            <w:tcW w:w="0" w:type="auto"/>
            <w:shd w:val="clear" w:color="auto" w:fill="F2ECDA"/>
            <w:vAlign w:val="center"/>
            <w:hideMark/>
          </w:tcPr>
          <w:p w14:paraId="4C7C0C74"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Converts informal authority into controlled legitimacy</w:t>
            </w:r>
          </w:p>
        </w:tc>
      </w:tr>
      <w:tr w:rsidR="00BB031B" w:rsidRPr="00BB031B" w14:paraId="3684AD75" w14:textId="77777777" w:rsidTr="00BB031B">
        <w:trPr>
          <w:tblCellSpacing w:w="15" w:type="dxa"/>
        </w:trPr>
        <w:tc>
          <w:tcPr>
            <w:tcW w:w="0" w:type="auto"/>
            <w:shd w:val="clear" w:color="auto" w:fill="F2ECDA"/>
            <w:vAlign w:val="center"/>
            <w:hideMark/>
          </w:tcPr>
          <w:p w14:paraId="09CC575E"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Dermatology Partnerships</w:t>
            </w:r>
          </w:p>
        </w:tc>
        <w:tc>
          <w:tcPr>
            <w:tcW w:w="0" w:type="auto"/>
            <w:shd w:val="clear" w:color="auto" w:fill="F2ECDA"/>
            <w:vAlign w:val="center"/>
            <w:hideMark/>
          </w:tcPr>
          <w:p w14:paraId="7F40564F"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L’Oréal Consultation Protocol + hierarchy scoring</w:t>
            </w:r>
          </w:p>
        </w:tc>
        <w:tc>
          <w:tcPr>
            <w:tcW w:w="0" w:type="auto"/>
            <w:shd w:val="clear" w:color="auto" w:fill="F2ECDA"/>
            <w:vAlign w:val="center"/>
            <w:hideMark/>
          </w:tcPr>
          <w:p w14:paraId="623C187F"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Prioritises credible expertise over celebrity endorsement</w:t>
            </w:r>
          </w:p>
        </w:tc>
      </w:tr>
      <w:tr w:rsidR="00BB031B" w:rsidRPr="00BB031B" w14:paraId="642455BD" w14:textId="77777777" w:rsidTr="00BB031B">
        <w:trPr>
          <w:tblCellSpacing w:w="15" w:type="dxa"/>
        </w:trPr>
        <w:tc>
          <w:tcPr>
            <w:tcW w:w="0" w:type="auto"/>
            <w:shd w:val="clear" w:color="auto" w:fill="F2ECDA"/>
            <w:vAlign w:val="center"/>
            <w:hideMark/>
          </w:tcPr>
          <w:p w14:paraId="1AFF3BDF"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Influencer Ecosystem</w:t>
            </w:r>
          </w:p>
        </w:tc>
        <w:tc>
          <w:tcPr>
            <w:tcW w:w="0" w:type="auto"/>
            <w:shd w:val="clear" w:color="auto" w:fill="F2ECDA"/>
            <w:vAlign w:val="center"/>
            <w:hideMark/>
          </w:tcPr>
          <w:p w14:paraId="4CA88FBC"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Ethical contract clauses + disclosure rules</w:t>
            </w:r>
          </w:p>
        </w:tc>
        <w:tc>
          <w:tcPr>
            <w:tcW w:w="0" w:type="auto"/>
            <w:shd w:val="clear" w:color="auto" w:fill="F2ECDA"/>
            <w:vAlign w:val="center"/>
            <w:hideMark/>
          </w:tcPr>
          <w:p w14:paraId="799F0233"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Prevents symbolic and ethical opportunism</w:t>
            </w:r>
          </w:p>
        </w:tc>
      </w:tr>
      <w:tr w:rsidR="00BB031B" w:rsidRPr="00BB031B" w14:paraId="28EA3E5E" w14:textId="77777777" w:rsidTr="00BB031B">
        <w:trPr>
          <w:tblCellSpacing w:w="15" w:type="dxa"/>
        </w:trPr>
        <w:tc>
          <w:tcPr>
            <w:tcW w:w="0" w:type="auto"/>
            <w:shd w:val="clear" w:color="auto" w:fill="F2ECDA"/>
            <w:vAlign w:val="center"/>
            <w:hideMark/>
          </w:tcPr>
          <w:p w14:paraId="60FA0D33"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Platform Partnerships</w:t>
            </w:r>
          </w:p>
        </w:tc>
        <w:tc>
          <w:tcPr>
            <w:tcW w:w="0" w:type="auto"/>
            <w:shd w:val="clear" w:color="auto" w:fill="F2ECDA"/>
            <w:vAlign w:val="center"/>
            <w:hideMark/>
          </w:tcPr>
          <w:p w14:paraId="73D939B0"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Co-ownership of customer data + disclosure controls</w:t>
            </w:r>
          </w:p>
        </w:tc>
        <w:tc>
          <w:tcPr>
            <w:tcW w:w="0" w:type="auto"/>
            <w:shd w:val="clear" w:color="auto" w:fill="F2ECDA"/>
            <w:vAlign w:val="center"/>
            <w:hideMark/>
          </w:tcPr>
          <w:p w14:paraId="6F86FECF"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Reduces algorithmic asymmetry and dependence</w:t>
            </w:r>
          </w:p>
        </w:tc>
      </w:tr>
    </w:tbl>
    <w:p w14:paraId="7D018195" w14:textId="77777777" w:rsidR="00A6227A" w:rsidRPr="00A6227A" w:rsidRDefault="00A6227A" w:rsidP="00A6227A">
      <w:pPr>
        <w:spacing w:line="360" w:lineRule="auto"/>
        <w:rPr>
          <w:rFonts w:ascii="Arial" w:hAnsi="Arial" w:cs="Arial"/>
          <w:color w:val="262626"/>
        </w:rPr>
      </w:pPr>
    </w:p>
    <w:p w14:paraId="1E26519D" w14:textId="7AED2D2F"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Contracts aligned with ASCI expert endorsement standards and draft Digital Personal Data Protection Bill (DPDP, 2023).</w:t>
      </w:r>
    </w:p>
    <w:p w14:paraId="4176C855" w14:textId="77EB4EC5"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Strategic Logic</w:t>
      </w:r>
    </w:p>
    <w:p w14:paraId="10BF7DB7" w14:textId="241EEDDB"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AMG-SOP reframes internalisation as trust governance. By controlling who mediates authority, L’Oréal converts informal influence into protected legitimacy. This operationalises Internalisation theory (Dunning, 1988) and Transaction Cost Economics (Williamson, 1985), making trust an internalisable asset.</w:t>
      </w:r>
    </w:p>
    <w:p w14:paraId="38093945" w14:textId="013647D8"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KPIs</w:t>
      </w:r>
    </w:p>
    <w:p w14:paraId="36710516" w14:textId="70E5AF8C" w:rsidR="00A6227A" w:rsidRPr="0004139F" w:rsidRDefault="00A6227A" w:rsidP="0004139F">
      <w:pPr>
        <w:pStyle w:val="ListParagraph"/>
        <w:numPr>
          <w:ilvl w:val="0"/>
          <w:numId w:val="7"/>
        </w:numPr>
        <w:spacing w:line="360" w:lineRule="auto"/>
        <w:rPr>
          <w:rFonts w:ascii="Arial" w:hAnsi="Arial" w:cs="Arial"/>
          <w:color w:val="262626" w:themeColor="text1" w:themeTint="D9"/>
        </w:rPr>
      </w:pPr>
      <w:r w:rsidRPr="0004139F">
        <w:rPr>
          <w:rFonts w:ascii="Arial" w:hAnsi="Arial" w:cs="Arial"/>
          <w:color w:val="262626" w:themeColor="text1" w:themeTint="D9"/>
        </w:rPr>
        <w:lastRenderedPageBreak/>
        <w:t>Authority Conversion Ratio (AUC</w:t>
      </w:r>
      <w:r w:rsidR="00BB031B" w:rsidRPr="0004139F">
        <w:rPr>
          <w:rFonts w:ascii="Arial" w:hAnsi="Arial" w:cs="Arial"/>
          <w:color w:val="262626" w:themeColor="text1" w:themeTint="D9"/>
        </w:rPr>
        <w:t xml:space="preserve"> - </w:t>
      </w:r>
      <w:r w:rsidRPr="0004139F">
        <w:rPr>
          <w:rFonts w:ascii="Arial" w:hAnsi="Arial" w:cs="Arial"/>
          <w:color w:val="262626" w:themeColor="text1" w:themeTint="D9"/>
        </w:rPr>
        <w:t>validated conversion)</w:t>
      </w:r>
    </w:p>
    <w:p w14:paraId="400FF9E3" w14:textId="368C702B" w:rsidR="00A6227A" w:rsidRPr="0004139F" w:rsidRDefault="00A6227A" w:rsidP="0004139F">
      <w:pPr>
        <w:pStyle w:val="ListParagraph"/>
        <w:numPr>
          <w:ilvl w:val="0"/>
          <w:numId w:val="7"/>
        </w:numPr>
        <w:spacing w:line="360" w:lineRule="auto"/>
        <w:rPr>
          <w:rFonts w:ascii="Arial" w:hAnsi="Arial" w:cs="Arial"/>
          <w:color w:val="262626" w:themeColor="text1" w:themeTint="D9"/>
        </w:rPr>
      </w:pPr>
      <w:r w:rsidRPr="0004139F">
        <w:rPr>
          <w:rFonts w:ascii="Arial" w:hAnsi="Arial" w:cs="Arial"/>
          <w:color w:val="262626" w:themeColor="text1" w:themeTint="D9"/>
        </w:rPr>
        <w:t>Salon/Derm Compliance Score</w:t>
      </w:r>
    </w:p>
    <w:p w14:paraId="3FF25421" w14:textId="77777777" w:rsidR="00A6227A" w:rsidRPr="0004139F" w:rsidRDefault="00A6227A" w:rsidP="0004139F">
      <w:pPr>
        <w:pStyle w:val="ListParagraph"/>
        <w:numPr>
          <w:ilvl w:val="0"/>
          <w:numId w:val="7"/>
        </w:numPr>
        <w:spacing w:line="360" w:lineRule="auto"/>
        <w:rPr>
          <w:rFonts w:ascii="Arial" w:hAnsi="Arial" w:cs="Arial"/>
          <w:color w:val="262626" w:themeColor="text1" w:themeTint="D9"/>
        </w:rPr>
      </w:pPr>
      <w:r w:rsidRPr="0004139F">
        <w:rPr>
          <w:rFonts w:ascii="Arial" w:hAnsi="Arial" w:cs="Arial"/>
          <w:color w:val="262626" w:themeColor="text1" w:themeTint="D9"/>
        </w:rPr>
        <w:t>Platform Co-Owned Data %</w:t>
      </w:r>
    </w:p>
    <w:p w14:paraId="5C8F3E5A" w14:textId="4E9B7E0E"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Critical Insight</w:t>
      </w:r>
    </w:p>
    <w:p w14:paraId="7E57F46F" w14:textId="10B097B4"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Internalisation is valuable only when it controls cultural authority</w:t>
      </w:r>
      <w:r w:rsidR="00674553" w:rsidRPr="0004139F">
        <w:rPr>
          <w:rFonts w:ascii="Arial" w:hAnsi="Arial" w:cs="Arial"/>
          <w:color w:val="262626" w:themeColor="text1" w:themeTint="D9"/>
        </w:rPr>
        <w:t xml:space="preserve"> - </w:t>
      </w:r>
      <w:r w:rsidRPr="0004139F">
        <w:rPr>
          <w:rFonts w:ascii="Arial" w:hAnsi="Arial" w:cs="Arial"/>
          <w:color w:val="262626" w:themeColor="text1" w:themeTint="D9"/>
        </w:rPr>
        <w:t>not when it merely owns formulas. Prestige in India is mediated, not inherited.</w:t>
      </w:r>
    </w:p>
    <w:p w14:paraId="0F493C31" w14:textId="77777777" w:rsidR="00A6227A" w:rsidRPr="00A6227A" w:rsidRDefault="00A6227A" w:rsidP="00A6227A">
      <w:pPr>
        <w:pStyle w:val="Heading2"/>
      </w:pPr>
    </w:p>
    <w:p w14:paraId="3F3562D4" w14:textId="2AC807DD" w:rsidR="00A6227A" w:rsidRPr="00A6227A" w:rsidRDefault="00A6227A" w:rsidP="00A6227A">
      <w:pPr>
        <w:pStyle w:val="Heading2"/>
        <w:shd w:val="clear" w:color="auto" w:fill="F5ECCF"/>
      </w:pPr>
      <w:bookmarkStart w:id="25" w:name="_Toc214672859"/>
      <w:r w:rsidRPr="00A6227A">
        <w:rPr>
          <w:rFonts w:ascii="Arial" w:hAnsi="Arial" w:cs="Arial"/>
          <w:color w:val="262626"/>
          <w:sz w:val="26"/>
          <w:szCs w:val="26"/>
        </w:rPr>
        <w:t>5.</w:t>
      </w:r>
      <w:r w:rsidRPr="00A6227A">
        <w:rPr>
          <w:rFonts w:ascii="Arial" w:hAnsi="Arial" w:cs="Arial"/>
          <w:color w:val="262626"/>
          <w:sz w:val="26"/>
          <w:szCs w:val="26"/>
        </w:rPr>
        <w:t>4</w:t>
      </w:r>
      <w:r w:rsidRPr="00A6227A">
        <w:rPr>
          <w:rFonts w:ascii="Arial" w:hAnsi="Arial" w:cs="Arial"/>
          <w:color w:val="262626"/>
          <w:sz w:val="26"/>
          <w:szCs w:val="26"/>
        </w:rPr>
        <w:t xml:space="preserve"> SOP Reform 3: Decentralised Co-Innovation via CRIL-Protocol</w:t>
      </w:r>
      <w:bookmarkEnd w:id="25"/>
    </w:p>
    <w:p w14:paraId="437F6B32" w14:textId="12B1409B"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Prestige cannot be imported; it must be co-authored.</w:t>
      </w:r>
      <w:r w:rsidR="001621DB" w:rsidRPr="0004139F">
        <w:rPr>
          <w:rFonts w:ascii="Arial" w:hAnsi="Arial" w:cs="Arial"/>
          <w:color w:val="262626" w:themeColor="text1" w:themeTint="D9"/>
        </w:rPr>
        <w:t xml:space="preserve"> </w:t>
      </w:r>
      <w:r w:rsidR="001621DB" w:rsidRPr="0004139F">
        <w:rPr>
          <w:rFonts w:ascii="Arial" w:hAnsi="Arial" w:cs="Arial"/>
          <w:color w:val="262626" w:themeColor="text1" w:themeTint="D9"/>
        </w:rPr>
        <w:t xml:space="preserve">Research demonstrates that consumer value in India is often produced through culturally embedded rituals rather than perceived scientific superiority. </w:t>
      </w:r>
      <w:r w:rsidR="00674553" w:rsidRPr="0004139F">
        <w:rPr>
          <w:rFonts w:ascii="Arial" w:hAnsi="Arial" w:cs="Arial"/>
          <w:color w:val="262626" w:themeColor="text1" w:themeTint="D9"/>
        </w:rPr>
        <w:t>Banerjee and Mehta (2020) show that beauty products acquire legitimacy when they align with existing socio-ritual routines, such as hair-oiling, multi-step cleansing and seasonally adapted care. These routines function as culturally embedded systems of collective validation.</w:t>
      </w:r>
      <w:r w:rsidR="00674553" w:rsidRPr="0004139F">
        <w:rPr>
          <w:rFonts w:ascii="Arial" w:hAnsi="Arial" w:cs="Arial"/>
          <w:color w:val="262626" w:themeColor="text1" w:themeTint="D9"/>
        </w:rPr>
        <w:t xml:space="preserve"> </w:t>
      </w:r>
      <w:r w:rsidR="001621DB" w:rsidRPr="0004139F">
        <w:rPr>
          <w:rFonts w:ascii="Arial" w:hAnsi="Arial" w:cs="Arial"/>
          <w:color w:val="262626" w:themeColor="text1" w:themeTint="D9"/>
        </w:rPr>
        <w:t>Thus, co-innovation must not translate global formulas into local formats; it must convert ritualised behaviour into performance-based IP. CRIL</w:t>
      </w:r>
      <w:r w:rsidR="001621DB" w:rsidRPr="0004139F">
        <w:rPr>
          <w:rFonts w:ascii="Arial" w:hAnsi="Arial" w:cs="Arial"/>
          <w:color w:val="262626" w:themeColor="text1" w:themeTint="D9"/>
        </w:rPr>
        <w:t>,</w:t>
      </w:r>
      <w:r w:rsidR="001621DB" w:rsidRPr="0004139F">
        <w:rPr>
          <w:rFonts w:ascii="Arial" w:hAnsi="Arial" w:cs="Arial"/>
          <w:color w:val="262626" w:themeColor="text1" w:themeTint="D9"/>
        </w:rPr>
        <w:t xml:space="preserve"> therefore</w:t>
      </w:r>
      <w:r w:rsidR="001621DB" w:rsidRPr="0004139F">
        <w:rPr>
          <w:rFonts w:ascii="Arial" w:hAnsi="Arial" w:cs="Arial"/>
          <w:color w:val="262626" w:themeColor="text1" w:themeTint="D9"/>
        </w:rPr>
        <w:t>,</w:t>
      </w:r>
      <w:r w:rsidR="001621DB" w:rsidRPr="0004139F">
        <w:rPr>
          <w:rFonts w:ascii="Arial" w:hAnsi="Arial" w:cs="Arial"/>
          <w:color w:val="262626" w:themeColor="text1" w:themeTint="D9"/>
        </w:rPr>
        <w:t xml:space="preserve"> transforms ritual into a monetisable innovation loop rather than a marketing adaptation.</w:t>
      </w:r>
      <w:r w:rsidRPr="0004139F">
        <w:rPr>
          <w:rFonts w:ascii="Arial" w:hAnsi="Arial" w:cs="Arial"/>
          <w:color w:val="262626" w:themeColor="text1" w:themeTint="D9"/>
        </w:rPr>
        <w:t xml:space="preserve"> Section 3 showed that proprietary R&amp;D loses value when market relevance depends on behavioural validity (e.g., hair-oiling routines). Section 4 confirmed that scientific claims must be translated into socially meaningful performance. Therefore, decentralisation must not simply “localise</w:t>
      </w:r>
      <w:r w:rsidR="00BB031B" w:rsidRPr="0004139F">
        <w:rPr>
          <w:rFonts w:ascii="Arial" w:hAnsi="Arial" w:cs="Arial"/>
          <w:color w:val="262626" w:themeColor="text1" w:themeTint="D9"/>
        </w:rPr>
        <w:t>” but</w:t>
      </w:r>
      <w:r w:rsidRPr="0004139F">
        <w:rPr>
          <w:rFonts w:ascii="Arial" w:hAnsi="Arial" w:cs="Arial"/>
          <w:color w:val="262626" w:themeColor="text1" w:themeTint="D9"/>
        </w:rPr>
        <w:t xml:space="preserve"> institutionalise culturally authored IP.</w:t>
      </w:r>
    </w:p>
    <w:p w14:paraId="0A402A6B" w14:textId="74A26D53" w:rsidR="00A6227A" w:rsidRPr="0004139F" w:rsidRDefault="00A6227A" w:rsidP="0004139F">
      <w:pPr>
        <w:spacing w:line="360" w:lineRule="auto"/>
        <w:rPr>
          <w:rFonts w:ascii="Arial" w:hAnsi="Arial" w:cs="Arial"/>
          <w:color w:val="262626" w:themeColor="text1" w:themeTint="D9"/>
        </w:rPr>
      </w:pPr>
      <w:r w:rsidRPr="0004139F">
        <w:rPr>
          <w:rFonts w:ascii="Arial" w:hAnsi="Arial" w:cs="Arial"/>
          <w:b/>
          <w:bCs/>
          <w:color w:val="262626" w:themeColor="text1" w:themeTint="D9"/>
        </w:rPr>
        <w:t>Proposed SOP</w:t>
      </w:r>
      <w:r w:rsidRPr="0004139F">
        <w:rPr>
          <w:rFonts w:ascii="Arial" w:hAnsi="Arial" w:cs="Arial"/>
          <w:color w:val="262626" w:themeColor="text1" w:themeTint="D9"/>
        </w:rPr>
        <w:t>: CRIL</w:t>
      </w:r>
      <w:r w:rsidR="00674553" w:rsidRPr="0004139F">
        <w:rPr>
          <w:rFonts w:ascii="Arial" w:hAnsi="Arial" w:cs="Arial"/>
          <w:color w:val="262626" w:themeColor="text1" w:themeTint="D9"/>
        </w:rPr>
        <w:t xml:space="preserve"> - </w:t>
      </w:r>
      <w:r w:rsidRPr="0004139F">
        <w:rPr>
          <w:rFonts w:ascii="Arial" w:hAnsi="Arial" w:cs="Arial"/>
          <w:color w:val="262626" w:themeColor="text1" w:themeTint="D9"/>
        </w:rPr>
        <w:t>Protocol (Climate</w:t>
      </w:r>
      <w:r w:rsidR="00674553" w:rsidRPr="0004139F">
        <w:rPr>
          <w:rFonts w:ascii="Arial" w:hAnsi="Arial" w:cs="Arial"/>
          <w:color w:val="262626" w:themeColor="text1" w:themeTint="D9"/>
        </w:rPr>
        <w:t>-</w:t>
      </w:r>
      <w:r w:rsidRPr="0004139F">
        <w:rPr>
          <w:rFonts w:ascii="Arial" w:hAnsi="Arial" w:cs="Arial"/>
          <w:color w:val="262626" w:themeColor="text1" w:themeTint="D9"/>
        </w:rPr>
        <w:t>Ritual Innovation Loop)</w:t>
      </w:r>
    </w:p>
    <w:tbl>
      <w:tblPr>
        <w:tblW w:w="0" w:type="auto"/>
        <w:tblCellSpacing w:w="15" w:type="dxa"/>
        <w:tblBorders>
          <w:insideH w:val="single" w:sz="8" w:space="0" w:color="78642A"/>
        </w:tblBorders>
        <w:tblCellMar>
          <w:top w:w="15" w:type="dxa"/>
          <w:left w:w="15" w:type="dxa"/>
          <w:bottom w:w="15" w:type="dxa"/>
          <w:right w:w="15" w:type="dxa"/>
        </w:tblCellMar>
        <w:tblLook w:val="04A0" w:firstRow="1" w:lastRow="0" w:firstColumn="1" w:lastColumn="0" w:noHBand="0" w:noVBand="1"/>
      </w:tblPr>
      <w:tblGrid>
        <w:gridCol w:w="858"/>
        <w:gridCol w:w="3967"/>
        <w:gridCol w:w="4535"/>
      </w:tblGrid>
      <w:tr w:rsidR="00BB031B" w:rsidRPr="00BB031B" w14:paraId="5850A2FB" w14:textId="77777777" w:rsidTr="00BB031B">
        <w:trPr>
          <w:tblHeader/>
          <w:tblCellSpacing w:w="15" w:type="dxa"/>
        </w:trPr>
        <w:tc>
          <w:tcPr>
            <w:tcW w:w="0" w:type="auto"/>
            <w:shd w:val="clear" w:color="auto" w:fill="F2ECDA"/>
            <w:vAlign w:val="center"/>
            <w:hideMark/>
          </w:tcPr>
          <w:p w14:paraId="3CDDEEAE"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Stage</w:t>
            </w:r>
          </w:p>
        </w:tc>
        <w:tc>
          <w:tcPr>
            <w:tcW w:w="0" w:type="auto"/>
            <w:shd w:val="clear" w:color="auto" w:fill="F2ECDA"/>
            <w:vAlign w:val="center"/>
            <w:hideMark/>
          </w:tcPr>
          <w:p w14:paraId="291A556A"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Procedural Change</w:t>
            </w:r>
          </w:p>
        </w:tc>
        <w:tc>
          <w:tcPr>
            <w:tcW w:w="0" w:type="auto"/>
            <w:shd w:val="clear" w:color="auto" w:fill="F2ECDA"/>
            <w:vAlign w:val="center"/>
            <w:hideMark/>
          </w:tcPr>
          <w:p w14:paraId="724B92EE" w14:textId="77777777" w:rsidR="00BB031B" w:rsidRPr="00BB031B" w:rsidRDefault="00BB031B" w:rsidP="00BB031B">
            <w:pPr>
              <w:spacing w:line="360" w:lineRule="auto"/>
              <w:rPr>
                <w:rFonts w:ascii="Arial" w:hAnsi="Arial" w:cs="Arial"/>
                <w:b/>
                <w:bCs/>
                <w:color w:val="262626" w:themeColor="text1" w:themeTint="D9"/>
              </w:rPr>
            </w:pPr>
            <w:r w:rsidRPr="00BB031B">
              <w:rPr>
                <w:rFonts w:ascii="Arial" w:hAnsi="Arial" w:cs="Arial"/>
                <w:b/>
                <w:bCs/>
                <w:color w:val="262626" w:themeColor="text1" w:themeTint="D9"/>
              </w:rPr>
              <w:t>Expected Outcome</w:t>
            </w:r>
          </w:p>
        </w:tc>
      </w:tr>
      <w:tr w:rsidR="00BB031B" w:rsidRPr="00BB031B" w14:paraId="742DF89B" w14:textId="77777777" w:rsidTr="00BB031B">
        <w:trPr>
          <w:tblCellSpacing w:w="15" w:type="dxa"/>
        </w:trPr>
        <w:tc>
          <w:tcPr>
            <w:tcW w:w="0" w:type="auto"/>
            <w:shd w:val="clear" w:color="auto" w:fill="F2ECDA"/>
            <w:vAlign w:val="center"/>
            <w:hideMark/>
          </w:tcPr>
          <w:p w14:paraId="28894E07"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Ideation</w:t>
            </w:r>
          </w:p>
        </w:tc>
        <w:tc>
          <w:tcPr>
            <w:tcW w:w="0" w:type="auto"/>
            <w:shd w:val="clear" w:color="auto" w:fill="F2ECDA"/>
            <w:vAlign w:val="center"/>
            <w:hideMark/>
          </w:tcPr>
          <w:p w14:paraId="36832A07"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Local Dermatology + Cultural Usage Councils</w:t>
            </w:r>
          </w:p>
        </w:tc>
        <w:tc>
          <w:tcPr>
            <w:tcW w:w="0" w:type="auto"/>
            <w:shd w:val="clear" w:color="auto" w:fill="F2ECDA"/>
            <w:vAlign w:val="center"/>
            <w:hideMark/>
          </w:tcPr>
          <w:p w14:paraId="60F00CF5" w14:textId="1A89005A"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 xml:space="preserve">Eliminates symbolic error risk at </w:t>
            </w:r>
            <w:r w:rsidRPr="0004139F">
              <w:rPr>
                <w:rFonts w:ascii="Arial" w:hAnsi="Arial" w:cs="Arial"/>
                <w:color w:val="262626" w:themeColor="text1" w:themeTint="D9"/>
              </w:rPr>
              <w:t xml:space="preserve">an </w:t>
            </w:r>
            <w:r w:rsidRPr="00BB031B">
              <w:rPr>
                <w:rFonts w:ascii="Arial" w:hAnsi="Arial" w:cs="Arial"/>
                <w:color w:val="262626" w:themeColor="text1" w:themeTint="D9"/>
              </w:rPr>
              <w:t>early stage</w:t>
            </w:r>
          </w:p>
        </w:tc>
      </w:tr>
      <w:tr w:rsidR="00BB031B" w:rsidRPr="00BB031B" w14:paraId="3A0811DE" w14:textId="77777777" w:rsidTr="00BB031B">
        <w:trPr>
          <w:tblCellSpacing w:w="15" w:type="dxa"/>
        </w:trPr>
        <w:tc>
          <w:tcPr>
            <w:tcW w:w="0" w:type="auto"/>
            <w:shd w:val="clear" w:color="auto" w:fill="F2ECDA"/>
            <w:vAlign w:val="center"/>
            <w:hideMark/>
          </w:tcPr>
          <w:p w14:paraId="22A737D7"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Testing</w:t>
            </w:r>
          </w:p>
        </w:tc>
        <w:tc>
          <w:tcPr>
            <w:tcW w:w="0" w:type="auto"/>
            <w:shd w:val="clear" w:color="auto" w:fill="F2ECDA"/>
            <w:vAlign w:val="center"/>
            <w:hideMark/>
          </w:tcPr>
          <w:p w14:paraId="0415EB61"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Ritual-based behavioural trial cohorts</w:t>
            </w:r>
          </w:p>
        </w:tc>
        <w:tc>
          <w:tcPr>
            <w:tcW w:w="0" w:type="auto"/>
            <w:shd w:val="clear" w:color="auto" w:fill="F2ECDA"/>
            <w:vAlign w:val="center"/>
            <w:hideMark/>
          </w:tcPr>
          <w:p w14:paraId="57F3AB86"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Converts climate + ritual fit into performance IP</w:t>
            </w:r>
          </w:p>
        </w:tc>
      </w:tr>
      <w:tr w:rsidR="00BB031B" w:rsidRPr="00BB031B" w14:paraId="29E8A6B0" w14:textId="77777777" w:rsidTr="00BB031B">
        <w:trPr>
          <w:tblCellSpacing w:w="15" w:type="dxa"/>
        </w:trPr>
        <w:tc>
          <w:tcPr>
            <w:tcW w:w="0" w:type="auto"/>
            <w:shd w:val="clear" w:color="auto" w:fill="F2ECDA"/>
            <w:vAlign w:val="center"/>
            <w:hideMark/>
          </w:tcPr>
          <w:p w14:paraId="62A2317C"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Scaling</w:t>
            </w:r>
          </w:p>
        </w:tc>
        <w:tc>
          <w:tcPr>
            <w:tcW w:w="0" w:type="auto"/>
            <w:shd w:val="clear" w:color="auto" w:fill="F2ECDA"/>
            <w:vAlign w:val="center"/>
            <w:hideMark/>
          </w:tcPr>
          <w:p w14:paraId="035158F6"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Small-format pilots + humidity cohorts</w:t>
            </w:r>
          </w:p>
        </w:tc>
        <w:tc>
          <w:tcPr>
            <w:tcW w:w="0" w:type="auto"/>
            <w:shd w:val="clear" w:color="auto" w:fill="F2ECDA"/>
            <w:vAlign w:val="center"/>
            <w:hideMark/>
          </w:tcPr>
          <w:p w14:paraId="62CE92F5" w14:textId="77777777" w:rsidR="00BB031B" w:rsidRPr="00BB031B" w:rsidRDefault="00BB031B" w:rsidP="00BB031B">
            <w:pPr>
              <w:spacing w:line="360" w:lineRule="auto"/>
              <w:rPr>
                <w:rFonts w:ascii="Arial" w:hAnsi="Arial" w:cs="Arial"/>
                <w:color w:val="262626" w:themeColor="text1" w:themeTint="D9"/>
              </w:rPr>
            </w:pPr>
            <w:r w:rsidRPr="00BB031B">
              <w:rPr>
                <w:rFonts w:ascii="Arial" w:hAnsi="Arial" w:cs="Arial"/>
                <w:color w:val="262626" w:themeColor="text1" w:themeTint="D9"/>
              </w:rPr>
              <w:t>Monetises prestige through legitimacy-first validation</w:t>
            </w:r>
          </w:p>
        </w:tc>
      </w:tr>
    </w:tbl>
    <w:p w14:paraId="72B2FD56" w14:textId="77777777" w:rsidR="00A6227A" w:rsidRPr="00A6227A" w:rsidRDefault="00A6227A" w:rsidP="00A6227A">
      <w:pPr>
        <w:spacing w:line="360" w:lineRule="auto"/>
        <w:rPr>
          <w:rFonts w:ascii="Arial" w:hAnsi="Arial" w:cs="Arial"/>
          <w:color w:val="262626"/>
        </w:rPr>
      </w:pPr>
    </w:p>
    <w:p w14:paraId="41CB2043" w14:textId="3155FCDA"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Councils include dermatologists, hair practitioners, beauty historians and regional salon experts.</w:t>
      </w:r>
    </w:p>
    <w:p w14:paraId="56A95245" w14:textId="65BB8F5A"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Strategic Logic</w:t>
      </w:r>
    </w:p>
    <w:p w14:paraId="2153A422" w14:textId="77679740"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The CRIL</w:t>
      </w:r>
      <w:r w:rsidR="0004139F">
        <w:rPr>
          <w:rFonts w:ascii="Arial" w:hAnsi="Arial" w:cs="Arial"/>
          <w:color w:val="262626" w:themeColor="text1" w:themeTint="D9"/>
        </w:rPr>
        <w:t xml:space="preserve">- </w:t>
      </w:r>
      <w:r w:rsidRPr="0004139F">
        <w:rPr>
          <w:rFonts w:ascii="Arial" w:hAnsi="Arial" w:cs="Arial"/>
          <w:color w:val="262626" w:themeColor="text1" w:themeTint="D9"/>
        </w:rPr>
        <w:t xml:space="preserve">Protocol transforms decentralisation into a legitimacy production system, aligning with Narula’s (2014) decentralised R&amp;D networks and Banerjee </w:t>
      </w:r>
      <w:r w:rsidR="00674553" w:rsidRPr="0004139F">
        <w:rPr>
          <w:rFonts w:ascii="Arial" w:hAnsi="Arial" w:cs="Arial"/>
          <w:color w:val="262626" w:themeColor="text1" w:themeTint="D9"/>
        </w:rPr>
        <w:t>and</w:t>
      </w:r>
      <w:r w:rsidRPr="0004139F">
        <w:rPr>
          <w:rFonts w:ascii="Arial" w:hAnsi="Arial" w:cs="Arial"/>
          <w:color w:val="262626" w:themeColor="text1" w:themeTint="D9"/>
        </w:rPr>
        <w:t xml:space="preserve"> Mehta’s (2020) cultural performance validity. Prestige becomes a co-produced identity, not a transferred asset.</w:t>
      </w:r>
    </w:p>
    <w:p w14:paraId="5CDB2A4C" w14:textId="40294058"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KPIs</w:t>
      </w:r>
    </w:p>
    <w:p w14:paraId="193E02DF" w14:textId="09964B89" w:rsidR="00A6227A" w:rsidRPr="0004139F" w:rsidRDefault="00A6227A" w:rsidP="0004139F">
      <w:pPr>
        <w:pStyle w:val="ListParagraph"/>
        <w:numPr>
          <w:ilvl w:val="0"/>
          <w:numId w:val="8"/>
        </w:numPr>
        <w:spacing w:line="360" w:lineRule="auto"/>
        <w:rPr>
          <w:rFonts w:ascii="Arial" w:hAnsi="Arial" w:cs="Arial"/>
          <w:color w:val="262626" w:themeColor="text1" w:themeTint="D9"/>
        </w:rPr>
      </w:pPr>
      <w:r w:rsidRPr="0004139F">
        <w:rPr>
          <w:rFonts w:ascii="Arial" w:hAnsi="Arial" w:cs="Arial"/>
          <w:color w:val="262626" w:themeColor="text1" w:themeTint="D9"/>
        </w:rPr>
        <w:t>Climate Performance Index</w:t>
      </w:r>
    </w:p>
    <w:p w14:paraId="6E917622" w14:textId="65DC78E5" w:rsidR="00A6227A" w:rsidRPr="0004139F" w:rsidRDefault="00A6227A" w:rsidP="0004139F">
      <w:pPr>
        <w:pStyle w:val="ListParagraph"/>
        <w:numPr>
          <w:ilvl w:val="0"/>
          <w:numId w:val="8"/>
        </w:numPr>
        <w:spacing w:line="360" w:lineRule="auto"/>
        <w:rPr>
          <w:rFonts w:ascii="Arial" w:hAnsi="Arial" w:cs="Arial"/>
          <w:color w:val="262626" w:themeColor="text1" w:themeTint="D9"/>
        </w:rPr>
      </w:pPr>
      <w:r w:rsidRPr="0004139F">
        <w:rPr>
          <w:rFonts w:ascii="Arial" w:hAnsi="Arial" w:cs="Arial"/>
          <w:color w:val="262626" w:themeColor="text1" w:themeTint="D9"/>
        </w:rPr>
        <w:t>Ritual Integration Score</w:t>
      </w:r>
    </w:p>
    <w:p w14:paraId="5E92B797" w14:textId="72C6B49E" w:rsidR="00A6227A" w:rsidRPr="0004139F" w:rsidRDefault="00A6227A" w:rsidP="0004139F">
      <w:pPr>
        <w:pStyle w:val="ListParagraph"/>
        <w:numPr>
          <w:ilvl w:val="0"/>
          <w:numId w:val="8"/>
        </w:numPr>
        <w:spacing w:line="360" w:lineRule="auto"/>
        <w:rPr>
          <w:rFonts w:ascii="Arial" w:hAnsi="Arial" w:cs="Arial"/>
          <w:color w:val="262626" w:themeColor="text1" w:themeTint="D9"/>
        </w:rPr>
      </w:pPr>
      <w:r w:rsidRPr="0004139F">
        <w:rPr>
          <w:rFonts w:ascii="Arial" w:hAnsi="Arial" w:cs="Arial"/>
          <w:color w:val="262626" w:themeColor="text1" w:themeTint="D9"/>
        </w:rPr>
        <w:t>Decentralised Time-to-Market</w:t>
      </w:r>
    </w:p>
    <w:p w14:paraId="58A9C5DC" w14:textId="4C0C108D" w:rsidR="00A6227A" w:rsidRPr="0004139F" w:rsidRDefault="00A6227A" w:rsidP="0004139F">
      <w:pPr>
        <w:spacing w:line="360" w:lineRule="auto"/>
        <w:rPr>
          <w:rFonts w:ascii="Arial" w:hAnsi="Arial" w:cs="Arial"/>
          <w:b/>
          <w:bCs/>
          <w:color w:val="262626" w:themeColor="text1" w:themeTint="D9"/>
        </w:rPr>
      </w:pPr>
      <w:r w:rsidRPr="0004139F">
        <w:rPr>
          <w:rFonts w:ascii="Arial" w:hAnsi="Arial" w:cs="Arial"/>
          <w:b/>
          <w:bCs/>
          <w:color w:val="262626" w:themeColor="text1" w:themeTint="D9"/>
        </w:rPr>
        <w:t>Critical Insight</w:t>
      </w:r>
    </w:p>
    <w:p w14:paraId="04185C19" w14:textId="77777777"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CRIL makes legitimacy a property of R&amp;D, not advertising. It transforms “adaptation” into procedural authorship of value.</w:t>
      </w:r>
    </w:p>
    <w:p w14:paraId="3591D006" w14:textId="77777777" w:rsidR="00A6227A" w:rsidRPr="00A6227A" w:rsidRDefault="00A6227A" w:rsidP="00A6227A">
      <w:pPr>
        <w:spacing w:line="360" w:lineRule="auto"/>
        <w:rPr>
          <w:rFonts w:ascii="Arial" w:hAnsi="Arial" w:cs="Arial"/>
          <w:color w:val="262626"/>
        </w:rPr>
      </w:pPr>
    </w:p>
    <w:p w14:paraId="5D009F5C" w14:textId="19AE4AE9" w:rsidR="00A6227A" w:rsidRPr="00A6227A" w:rsidRDefault="00A6227A" w:rsidP="00A6227A">
      <w:pPr>
        <w:pStyle w:val="Heading2"/>
        <w:shd w:val="clear" w:color="auto" w:fill="F5ECCF"/>
      </w:pPr>
      <w:bookmarkStart w:id="26" w:name="_Toc214672860"/>
      <w:r w:rsidRPr="00A6227A">
        <w:rPr>
          <w:rFonts w:ascii="Arial" w:hAnsi="Arial" w:cs="Arial"/>
          <w:color w:val="262626"/>
          <w:sz w:val="26"/>
          <w:szCs w:val="26"/>
        </w:rPr>
        <w:t>5.</w:t>
      </w:r>
      <w:r w:rsidRPr="00A6227A">
        <w:rPr>
          <w:rFonts w:ascii="Arial" w:hAnsi="Arial" w:cs="Arial"/>
          <w:color w:val="262626"/>
          <w:sz w:val="26"/>
          <w:szCs w:val="26"/>
        </w:rPr>
        <w:t>5</w:t>
      </w:r>
      <w:r w:rsidRPr="00A6227A">
        <w:rPr>
          <w:rFonts w:ascii="Arial" w:hAnsi="Arial" w:cs="Arial"/>
          <w:color w:val="262626"/>
          <w:sz w:val="26"/>
          <w:szCs w:val="26"/>
        </w:rPr>
        <w:t xml:space="preserve"> </w:t>
      </w:r>
      <w:r w:rsidR="00C928B3" w:rsidRPr="00C928B3">
        <w:rPr>
          <w:rFonts w:ascii="Arial" w:hAnsi="Arial" w:cs="Arial"/>
          <w:color w:val="262626"/>
          <w:sz w:val="26"/>
          <w:szCs w:val="26"/>
        </w:rPr>
        <w:t>Strategic Implications Summary</w:t>
      </w:r>
      <w:bookmarkEnd w:id="26"/>
    </w:p>
    <w:p w14:paraId="087354DD" w14:textId="46AC1E4C"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Collectively, these SOP reforms reposition internalisation from an exclusivity mechanism to a legitimacy governance system. RLV</w:t>
      </w:r>
      <w:r w:rsidR="0004139F" w:rsidRPr="0004139F">
        <w:rPr>
          <w:rFonts w:ascii="Arial" w:hAnsi="Arial" w:cs="Arial"/>
          <w:color w:val="262626" w:themeColor="text1" w:themeTint="D9"/>
        </w:rPr>
        <w:t xml:space="preserve"> - </w:t>
      </w:r>
      <w:r w:rsidRPr="0004139F">
        <w:rPr>
          <w:rFonts w:ascii="Arial" w:hAnsi="Arial" w:cs="Arial"/>
          <w:color w:val="262626" w:themeColor="text1" w:themeTint="D9"/>
        </w:rPr>
        <w:t>SOP safeguards ethical and ritual validity; AMG-SOP institutionalises mediated trust; CRIL</w:t>
      </w:r>
      <w:r w:rsidR="0004139F" w:rsidRPr="0004139F">
        <w:rPr>
          <w:rFonts w:ascii="Arial" w:hAnsi="Arial" w:cs="Arial"/>
          <w:color w:val="262626" w:themeColor="text1" w:themeTint="D9"/>
        </w:rPr>
        <w:t xml:space="preserve"> - </w:t>
      </w:r>
      <w:r w:rsidRPr="0004139F">
        <w:rPr>
          <w:rFonts w:ascii="Arial" w:hAnsi="Arial" w:cs="Arial"/>
          <w:color w:val="262626" w:themeColor="text1" w:themeTint="D9"/>
        </w:rPr>
        <w:t xml:space="preserve">Protocol converts scientific ownership into culturally authored prestige. These reforms align ownership, location and internalisation advantages under a Legitimacy-First governance model, addressing India’s institutional voids, mediated authority systems and ritual-performance culture. The result is not market adaptation, but the procedural co-production of identity, where scientific superiority becomes </w:t>
      </w:r>
      <w:r w:rsidR="00BB031B" w:rsidRPr="0004139F">
        <w:rPr>
          <w:rFonts w:ascii="Arial" w:hAnsi="Arial" w:cs="Arial"/>
          <w:color w:val="262626" w:themeColor="text1" w:themeTint="D9"/>
        </w:rPr>
        <w:t xml:space="preserve">a </w:t>
      </w:r>
      <w:r w:rsidRPr="0004139F">
        <w:rPr>
          <w:rFonts w:ascii="Arial" w:hAnsi="Arial" w:cs="Arial"/>
          <w:color w:val="262626" w:themeColor="text1" w:themeTint="D9"/>
        </w:rPr>
        <w:t>socially ratified value.</w:t>
      </w:r>
    </w:p>
    <w:p w14:paraId="5DF86662" w14:textId="4B8B4F9E" w:rsidR="00A6227A" w:rsidRPr="0004139F" w:rsidRDefault="00A6227A" w:rsidP="0004139F">
      <w:pPr>
        <w:spacing w:line="360" w:lineRule="auto"/>
        <w:rPr>
          <w:rFonts w:ascii="Arial" w:hAnsi="Arial" w:cs="Arial"/>
          <w:color w:val="262626" w:themeColor="text1" w:themeTint="D9"/>
        </w:rPr>
      </w:pPr>
      <w:r w:rsidRPr="0004139F">
        <w:rPr>
          <w:rFonts w:ascii="Arial" w:hAnsi="Arial" w:cs="Arial"/>
          <w:color w:val="262626" w:themeColor="text1" w:themeTint="D9"/>
        </w:rPr>
        <w:t>In emerging markets such as India, luxury cannot be imported. It must be institutionally authored, ethically validated and culturally owned.</w:t>
      </w:r>
    </w:p>
    <w:p w14:paraId="52A9D564" w14:textId="77777777" w:rsidR="00C05691" w:rsidRDefault="00C05691" w:rsidP="00C05691">
      <w:pPr>
        <w:spacing w:line="360" w:lineRule="auto"/>
        <w:rPr>
          <w:rFonts w:ascii="Arial" w:hAnsi="Arial" w:cs="Arial"/>
          <w:color w:val="262626"/>
        </w:rPr>
      </w:pPr>
    </w:p>
    <w:p w14:paraId="120A51F6" w14:textId="77777777" w:rsidR="003D2E90" w:rsidRDefault="003D2E90" w:rsidP="00C05691">
      <w:pPr>
        <w:spacing w:line="360" w:lineRule="auto"/>
        <w:rPr>
          <w:rFonts w:ascii="Arial" w:hAnsi="Arial" w:cs="Arial"/>
          <w:color w:val="262626"/>
        </w:rPr>
      </w:pPr>
    </w:p>
    <w:p w14:paraId="0BFC2A08" w14:textId="77777777" w:rsidR="003D2E90" w:rsidRDefault="003D2E90" w:rsidP="00C05691">
      <w:pPr>
        <w:spacing w:line="360" w:lineRule="auto"/>
        <w:rPr>
          <w:rFonts w:ascii="Arial" w:hAnsi="Arial" w:cs="Arial"/>
          <w:color w:val="262626"/>
        </w:rPr>
      </w:pPr>
    </w:p>
    <w:p w14:paraId="68B2B020" w14:textId="28D60017" w:rsidR="003D2E90" w:rsidRPr="001F13ED" w:rsidRDefault="003D2E90" w:rsidP="003D2E90">
      <w:pPr>
        <w:pStyle w:val="Heading1"/>
        <w:shd w:val="clear" w:color="auto" w:fill="DFC267"/>
        <w:rPr>
          <w:rFonts w:ascii="Arial" w:hAnsi="Arial" w:cs="Arial"/>
          <w:color w:val="262626" w:themeColor="text1" w:themeTint="D9"/>
          <w:sz w:val="32"/>
          <w:szCs w:val="32"/>
        </w:rPr>
      </w:pPr>
      <w:bookmarkStart w:id="27" w:name="_Toc214672861"/>
      <w:r w:rsidRPr="001F13ED">
        <w:rPr>
          <w:rFonts w:ascii="Arial" w:hAnsi="Arial" w:cs="Arial"/>
          <w:color w:val="262626" w:themeColor="text1" w:themeTint="D9"/>
          <w:sz w:val="32"/>
          <w:szCs w:val="32"/>
        </w:rPr>
        <w:lastRenderedPageBreak/>
        <w:t>6.</w:t>
      </w:r>
      <w:r w:rsidRPr="001F13ED">
        <w:rPr>
          <w:rFonts w:ascii="Arial" w:hAnsi="Arial" w:cs="Arial"/>
          <w:color w:val="262626" w:themeColor="text1" w:themeTint="D9"/>
          <w:sz w:val="32"/>
          <w:szCs w:val="32"/>
        </w:rPr>
        <w:t xml:space="preserve"> CONCLUSION</w:t>
      </w:r>
      <w:r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LEGITIMISED</w:t>
      </w:r>
      <w:r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CONTROL</w:t>
      </w:r>
      <w:r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IN GLOBAL</w:t>
      </w:r>
      <w:r w:rsidRPr="001F13ED">
        <w:rPr>
          <w:rFonts w:ascii="Arial" w:hAnsi="Arial" w:cs="Arial"/>
          <w:color w:val="262626" w:themeColor="text1" w:themeTint="D9"/>
          <w:sz w:val="32"/>
          <w:szCs w:val="32"/>
        </w:rPr>
        <w:t xml:space="preserve"> </w:t>
      </w:r>
      <w:r w:rsidRPr="001F13ED">
        <w:rPr>
          <w:rFonts w:ascii="Arial" w:hAnsi="Arial" w:cs="Arial"/>
          <w:color w:val="262626" w:themeColor="text1" w:themeTint="D9"/>
          <w:sz w:val="32"/>
          <w:szCs w:val="32"/>
        </w:rPr>
        <w:t>MARKET ENTRY</w:t>
      </w:r>
      <w:bookmarkEnd w:id="27"/>
    </w:p>
    <w:p w14:paraId="32B56B67" w14:textId="77777777" w:rsidR="00C05691" w:rsidRDefault="00C05691" w:rsidP="00C05691">
      <w:pPr>
        <w:spacing w:line="360" w:lineRule="auto"/>
        <w:rPr>
          <w:rFonts w:ascii="Arial" w:hAnsi="Arial" w:cs="Arial"/>
          <w:color w:val="262626"/>
        </w:rPr>
      </w:pPr>
    </w:p>
    <w:p w14:paraId="799CF1B0" w14:textId="3F82493E" w:rsidR="003D2E90" w:rsidRPr="002C09D0" w:rsidRDefault="003D2E90" w:rsidP="002C09D0">
      <w:pPr>
        <w:spacing w:line="360" w:lineRule="auto"/>
        <w:rPr>
          <w:rFonts w:ascii="Arial" w:hAnsi="Arial" w:cs="Arial"/>
          <w:color w:val="262626" w:themeColor="text1" w:themeTint="D9"/>
        </w:rPr>
      </w:pPr>
      <w:r w:rsidRPr="002C09D0">
        <w:rPr>
          <w:rFonts w:ascii="Arial" w:hAnsi="Arial" w:cs="Arial"/>
          <w:color w:val="262626" w:themeColor="text1" w:themeTint="D9"/>
        </w:rPr>
        <w:t>L’Oréal’s international success is not determined by scientific ownership, premium branding or internalised global control alone. Evidence across Sections 2</w:t>
      </w:r>
      <w:r w:rsidR="0004139F" w:rsidRPr="002C09D0">
        <w:rPr>
          <w:rFonts w:ascii="Arial" w:hAnsi="Arial" w:cs="Arial"/>
          <w:color w:val="262626" w:themeColor="text1" w:themeTint="D9"/>
        </w:rPr>
        <w:t xml:space="preserve"> - </w:t>
      </w:r>
      <w:r w:rsidRPr="002C09D0">
        <w:rPr>
          <w:rFonts w:ascii="Arial" w:hAnsi="Arial" w:cs="Arial"/>
          <w:color w:val="262626" w:themeColor="text1" w:themeTint="D9"/>
        </w:rPr>
        <w:t>4 shows that in India</w:t>
      </w:r>
      <w:r w:rsidR="0004139F" w:rsidRPr="002C09D0">
        <w:rPr>
          <w:rFonts w:ascii="Arial" w:hAnsi="Arial" w:cs="Arial"/>
          <w:color w:val="262626" w:themeColor="text1" w:themeTint="D9"/>
        </w:rPr>
        <w:t>,</w:t>
      </w:r>
      <w:r w:rsidRPr="002C09D0">
        <w:rPr>
          <w:rFonts w:ascii="Arial" w:hAnsi="Arial" w:cs="Arial"/>
          <w:color w:val="262626" w:themeColor="text1" w:themeTint="D9"/>
        </w:rPr>
        <w:t xml:space="preserve"> the value of ownership-specific advantages and internalisation is conditional upon cultural legitimacy, mediated authority systems and ritual-performance expectations that determine how prestige is recognised, validated and monetised. Although wholly owned subsidiaries protect formulas and brand identity, they cannot secure desirability without symbolic endorsement from culturally recognised actors nor guarantee efficacy without ritualised performance fit. Entry mode decisions</w:t>
      </w:r>
      <w:r w:rsidR="0004139F" w:rsidRPr="002C09D0">
        <w:rPr>
          <w:rFonts w:ascii="Arial" w:hAnsi="Arial" w:cs="Arial"/>
          <w:color w:val="262626" w:themeColor="text1" w:themeTint="D9"/>
        </w:rPr>
        <w:t>,</w:t>
      </w:r>
      <w:r w:rsidRPr="002C09D0">
        <w:rPr>
          <w:rFonts w:ascii="Arial" w:hAnsi="Arial" w:cs="Arial"/>
          <w:color w:val="262626" w:themeColor="text1" w:themeTint="D9"/>
        </w:rPr>
        <w:t xml:space="preserve"> therefore</w:t>
      </w:r>
      <w:r w:rsidR="0004139F" w:rsidRPr="002C09D0">
        <w:rPr>
          <w:rFonts w:ascii="Arial" w:hAnsi="Arial" w:cs="Arial"/>
          <w:color w:val="262626" w:themeColor="text1" w:themeTint="D9"/>
        </w:rPr>
        <w:t>,</w:t>
      </w:r>
      <w:r w:rsidRPr="002C09D0">
        <w:rPr>
          <w:rFonts w:ascii="Arial" w:hAnsi="Arial" w:cs="Arial"/>
          <w:color w:val="262626" w:themeColor="text1" w:themeTint="D9"/>
        </w:rPr>
        <w:t xml:space="preserve"> function not as static commitments but as governance mechanisms that must manage institutional voids, ethical liability and platform-dependent trust.</w:t>
      </w:r>
    </w:p>
    <w:p w14:paraId="7B2D9F95" w14:textId="602BA664" w:rsidR="003D2E90" w:rsidRPr="002C09D0" w:rsidRDefault="003D2E90" w:rsidP="002C09D0">
      <w:pPr>
        <w:spacing w:line="360" w:lineRule="auto"/>
        <w:rPr>
          <w:rFonts w:ascii="Arial" w:hAnsi="Arial" w:cs="Arial"/>
          <w:color w:val="262626" w:themeColor="text1" w:themeTint="D9"/>
        </w:rPr>
      </w:pPr>
      <w:r w:rsidRPr="002C09D0">
        <w:rPr>
          <w:rFonts w:ascii="Arial" w:hAnsi="Arial" w:cs="Arial"/>
          <w:color w:val="262626" w:themeColor="text1" w:themeTint="D9"/>
        </w:rPr>
        <w:t>The SOP reforms in Section 5 reposition internalisation from exclusivity to legitimacy governance, securing ethical authority through the RLV Protocol, mediating trust via the Authority Mediation Protocol and co-producing culturally authored performance IP through the CRIL Framework. These mechanisms operationalise OLI logic under a legitimacy-first model in which value cannot be extracted without ethical, ritual and trust-based authentication.</w:t>
      </w:r>
    </w:p>
    <w:p w14:paraId="1DBFDA0C" w14:textId="074AE0C4" w:rsidR="00C05691" w:rsidRDefault="003D2E90" w:rsidP="002C09D0">
      <w:pPr>
        <w:spacing w:line="360" w:lineRule="auto"/>
        <w:rPr>
          <w:rFonts w:ascii="Arial" w:hAnsi="Arial" w:cs="Arial"/>
          <w:color w:val="262626" w:themeColor="text1" w:themeTint="D9"/>
        </w:rPr>
      </w:pPr>
      <w:r w:rsidRPr="002C09D0">
        <w:rPr>
          <w:rFonts w:ascii="Arial" w:hAnsi="Arial" w:cs="Arial"/>
          <w:color w:val="262626" w:themeColor="text1" w:themeTint="D9"/>
        </w:rPr>
        <w:t>For L’Oréal in India, prestige is not transferred through ownership nor claimed through scientific proof. Prestige is procedurally authored, culturally validated and institutionally governed. Competitive advantage</w:t>
      </w:r>
      <w:r w:rsidR="0004139F" w:rsidRPr="002C09D0">
        <w:rPr>
          <w:rFonts w:ascii="Arial" w:hAnsi="Arial" w:cs="Arial"/>
          <w:color w:val="262626" w:themeColor="text1" w:themeTint="D9"/>
        </w:rPr>
        <w:t>,</w:t>
      </w:r>
      <w:r w:rsidRPr="002C09D0">
        <w:rPr>
          <w:rFonts w:ascii="Arial" w:hAnsi="Arial" w:cs="Arial"/>
          <w:color w:val="262626" w:themeColor="text1" w:themeTint="D9"/>
        </w:rPr>
        <w:t xml:space="preserve"> therefore</w:t>
      </w:r>
      <w:r w:rsidR="0004139F" w:rsidRPr="002C09D0">
        <w:rPr>
          <w:rFonts w:ascii="Arial" w:hAnsi="Arial" w:cs="Arial"/>
          <w:color w:val="262626" w:themeColor="text1" w:themeTint="D9"/>
        </w:rPr>
        <w:t>,</w:t>
      </w:r>
      <w:r w:rsidRPr="002C09D0">
        <w:rPr>
          <w:rFonts w:ascii="Arial" w:hAnsi="Arial" w:cs="Arial"/>
          <w:color w:val="262626" w:themeColor="text1" w:themeTint="D9"/>
        </w:rPr>
        <w:t xml:space="preserve"> stems not from centralised exclusivity but from legitimised control.</w:t>
      </w:r>
    </w:p>
    <w:p w14:paraId="75EE41F5" w14:textId="77777777" w:rsidR="002C09D0" w:rsidRDefault="002C09D0" w:rsidP="002C09D0">
      <w:pPr>
        <w:spacing w:line="360" w:lineRule="auto"/>
        <w:rPr>
          <w:rFonts w:ascii="Arial" w:hAnsi="Arial" w:cs="Arial"/>
          <w:color w:val="262626" w:themeColor="text1" w:themeTint="D9"/>
        </w:rPr>
      </w:pPr>
    </w:p>
    <w:p w14:paraId="57D5842C" w14:textId="77777777" w:rsidR="002C09D0" w:rsidRDefault="002C09D0" w:rsidP="002C09D0">
      <w:pPr>
        <w:spacing w:line="360" w:lineRule="auto"/>
        <w:rPr>
          <w:rFonts w:ascii="Arial" w:hAnsi="Arial" w:cs="Arial"/>
          <w:color w:val="262626" w:themeColor="text1" w:themeTint="D9"/>
        </w:rPr>
      </w:pPr>
    </w:p>
    <w:p w14:paraId="6C1A9ECB" w14:textId="77777777" w:rsidR="002C09D0" w:rsidRDefault="002C09D0" w:rsidP="002C09D0">
      <w:pPr>
        <w:spacing w:line="360" w:lineRule="auto"/>
        <w:rPr>
          <w:rFonts w:ascii="Arial" w:hAnsi="Arial" w:cs="Arial"/>
          <w:color w:val="262626" w:themeColor="text1" w:themeTint="D9"/>
        </w:rPr>
      </w:pPr>
    </w:p>
    <w:p w14:paraId="5168B6DC" w14:textId="77777777" w:rsidR="002C09D0" w:rsidRDefault="002C09D0" w:rsidP="002C09D0">
      <w:pPr>
        <w:spacing w:line="360" w:lineRule="auto"/>
        <w:rPr>
          <w:rFonts w:ascii="Arial" w:hAnsi="Arial" w:cs="Arial"/>
          <w:color w:val="262626" w:themeColor="text1" w:themeTint="D9"/>
        </w:rPr>
      </w:pPr>
    </w:p>
    <w:p w14:paraId="4C1EF55D" w14:textId="77777777" w:rsidR="002C09D0" w:rsidRDefault="002C09D0" w:rsidP="002C09D0">
      <w:pPr>
        <w:spacing w:line="360" w:lineRule="auto"/>
        <w:rPr>
          <w:rFonts w:ascii="Arial" w:hAnsi="Arial" w:cs="Arial"/>
          <w:color w:val="262626" w:themeColor="text1" w:themeTint="D9"/>
        </w:rPr>
      </w:pPr>
    </w:p>
    <w:p w14:paraId="5929FF2F" w14:textId="77777777" w:rsidR="002C09D0" w:rsidRPr="002C09D0" w:rsidRDefault="002C09D0" w:rsidP="002C09D0">
      <w:pPr>
        <w:spacing w:line="360" w:lineRule="auto"/>
        <w:rPr>
          <w:rFonts w:ascii="Arial" w:hAnsi="Arial" w:cs="Arial"/>
          <w:color w:val="262626" w:themeColor="text1" w:themeTint="D9"/>
        </w:rPr>
      </w:pPr>
    </w:p>
    <w:p w14:paraId="1CB70D9D" w14:textId="77777777" w:rsidR="00C05691" w:rsidRPr="00EF3058" w:rsidRDefault="00C05691" w:rsidP="00C05691">
      <w:pPr>
        <w:spacing w:line="360" w:lineRule="auto"/>
        <w:rPr>
          <w:rFonts w:ascii="Arial" w:hAnsi="Arial" w:cs="Arial"/>
          <w:color w:val="262626"/>
        </w:rPr>
      </w:pPr>
    </w:p>
    <w:p w14:paraId="00A5E7F6" w14:textId="264AAA05" w:rsidR="00257157" w:rsidRPr="00EF3058" w:rsidRDefault="00257157" w:rsidP="00257157">
      <w:pPr>
        <w:pStyle w:val="Heading1"/>
        <w:shd w:val="clear" w:color="auto" w:fill="DFC267"/>
        <w:rPr>
          <w:rFonts w:ascii="Arial" w:hAnsi="Arial" w:cs="Arial"/>
          <w:color w:val="262626"/>
          <w:sz w:val="32"/>
          <w:szCs w:val="32"/>
        </w:rPr>
      </w:pPr>
      <w:bookmarkStart w:id="28" w:name="_Toc214672862"/>
      <w:r w:rsidRPr="00EF3058">
        <w:rPr>
          <w:rFonts w:ascii="Arial" w:hAnsi="Arial" w:cs="Arial"/>
          <w:color w:val="262626"/>
          <w:sz w:val="32"/>
          <w:szCs w:val="32"/>
        </w:rPr>
        <w:lastRenderedPageBreak/>
        <w:t>REFERENCES</w:t>
      </w:r>
      <w:bookmarkEnd w:id="28"/>
    </w:p>
    <w:p w14:paraId="15E3D9D3" w14:textId="77777777" w:rsidR="00257157" w:rsidRPr="007302E3" w:rsidRDefault="00257157" w:rsidP="00257157">
      <w:pPr>
        <w:rPr>
          <w:rFonts w:ascii="Arial" w:hAnsi="Arial" w:cs="Arial"/>
          <w:color w:val="262626" w:themeColor="text1" w:themeTint="D9"/>
        </w:rPr>
      </w:pPr>
    </w:p>
    <w:p w14:paraId="67DA3221" w14:textId="67D696B5"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Atwal, G. and Williams, A. (2017) Luxury Brand Management in Emerging Markets. Palgrave Macmillan.</w:t>
      </w:r>
    </w:p>
    <w:p w14:paraId="456EC789" w14:textId="671509F8"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Banerjee, S. and Mehta, S. (2020) ‘Ritual and cultural performance in beauty consumption’, Consumption Markets </w:t>
      </w:r>
      <w:r w:rsidRPr="007302E3">
        <w:rPr>
          <w:rFonts w:ascii="Arial" w:hAnsi="Arial" w:cs="Arial"/>
          <w:color w:val="262626" w:themeColor="text1" w:themeTint="D9"/>
        </w:rPr>
        <w:t>and</w:t>
      </w:r>
      <w:r w:rsidRPr="007302E3">
        <w:rPr>
          <w:rFonts w:ascii="Arial" w:hAnsi="Arial" w:cs="Arial"/>
          <w:color w:val="262626" w:themeColor="text1" w:themeTint="D9"/>
        </w:rPr>
        <w:t xml:space="preserve"> Culture, 23(5), pp. 543–561.</w:t>
      </w:r>
    </w:p>
    <w:p w14:paraId="4F22AA77" w14:textId="701EC78C" w:rsidR="007002B9"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Bartlett, C.A. and Ghoshal, S. (1989) Managing Across Borders: The Transnational Solution. </w:t>
      </w:r>
      <w:r w:rsidR="007002B9" w:rsidRPr="007302E3">
        <w:rPr>
          <w:rFonts w:ascii="Arial" w:hAnsi="Arial" w:cs="Arial"/>
          <w:color w:val="262626" w:themeColor="text1" w:themeTint="D9"/>
        </w:rPr>
        <w:t>Harvard Business School Press.</w:t>
      </w:r>
    </w:p>
    <w:p w14:paraId="2FAC68D4" w14:textId="735A3A5B"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Bharadwaj, A. and Srivastava, S. (2022) ‘Regulating cosmetics advertising in India: Ethical standards and legal accountability’, International Journal of Consumer Policy, 45(4), pp. 821–838.</w:t>
      </w:r>
    </w:p>
    <w:p w14:paraId="51890B2E" w14:textId="4151A7F0"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Bhatia, S. (2022) ‘Ethical perceptions and colourism backlash in Indian beauty markets’, International Journal of Consumer Studies, 46(3), pp. 1121–1134.</w:t>
      </w:r>
    </w:p>
    <w:p w14:paraId="1BDB97DE" w14:textId="044A1791"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Bourdieu, P. (1984) Distinction: A Social Critique of the Judgement of Taste. Cambridge, MA: Harvard University Press.</w:t>
      </w:r>
    </w:p>
    <w:p w14:paraId="52CFDBD0" w14:textId="034557CF"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Casson, M. and Wadeson, N. (2018) ‘International business and dynamic theory of the firm’, Journal of Institutional Economics, 14(3), pp. 411–442.</w:t>
      </w:r>
    </w:p>
    <w:p w14:paraId="79C7C13D" w14:textId="0D2082BD" w:rsidR="00EF3058" w:rsidRPr="007302E3" w:rsidRDefault="00EF3058" w:rsidP="007302E3">
      <w:pPr>
        <w:spacing w:line="360" w:lineRule="auto"/>
        <w:rPr>
          <w:rFonts w:ascii="Arial" w:hAnsi="Arial" w:cs="Arial"/>
          <w:color w:val="262626" w:themeColor="text1" w:themeTint="D9"/>
        </w:rPr>
      </w:pPr>
      <w:r w:rsidRPr="007302E3">
        <w:rPr>
          <w:rFonts w:ascii="Arial" w:hAnsi="Arial" w:cs="Arial"/>
          <w:color w:val="262626" w:themeColor="text1" w:themeTint="D9"/>
        </w:rPr>
        <w:t>Cavusgil, S.T., Knight, G. and Riesenberger, J.R. (2021) International Business: The New Realities. 5th edn. Harlow: Pearson.</w:t>
      </w:r>
    </w:p>
    <w:p w14:paraId="1C32DBC4" w14:textId="16E53A8D" w:rsidR="00C237FF" w:rsidRPr="007302E3" w:rsidRDefault="00C237FF" w:rsidP="007302E3">
      <w:pPr>
        <w:spacing w:line="360" w:lineRule="auto"/>
        <w:rPr>
          <w:rFonts w:ascii="Arial" w:hAnsi="Arial" w:cs="Arial"/>
          <w:color w:val="262626" w:themeColor="text1" w:themeTint="D9"/>
        </w:rPr>
      </w:pPr>
      <w:r w:rsidRPr="007302E3">
        <w:rPr>
          <w:rFonts w:ascii="Arial" w:hAnsi="Arial" w:cs="Arial"/>
          <w:color w:val="262626" w:themeColor="text1" w:themeTint="D9"/>
        </w:rPr>
        <w:t>Cialdini, R. B. (2021) Influence: The Psychology of Persuasion. Revised edn. Harper Business.</w:t>
      </w:r>
    </w:p>
    <w:p w14:paraId="0106CF6E" w14:textId="0C1B06AE" w:rsidR="00C4264B"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Deloitte. (2022) Resilient supply chains in a post-pandemic world. Available at: </w:t>
      </w:r>
      <w:hyperlink r:id="rId9" w:history="1">
        <w:r w:rsidR="002C09D0" w:rsidRPr="007302E3">
          <w:rPr>
            <w:rStyle w:val="Hyperlink"/>
            <w:rFonts w:ascii="Arial" w:hAnsi="Arial" w:cs="Arial"/>
            <w:color w:val="262626" w:themeColor="text1" w:themeTint="D9"/>
          </w:rPr>
          <w:t>https://www2.deloitte.com</w:t>
        </w:r>
      </w:hyperlink>
    </w:p>
    <w:p w14:paraId="75D58C32" w14:textId="3D81ED40"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DiMaggio, P. and Powell, W. (1983) ‘The iron cage revisited’, American Sociological Review, 48(2), pp. 147–160.</w:t>
      </w:r>
    </w:p>
    <w:p w14:paraId="1F254E19" w14:textId="38FE7F78" w:rsidR="00AE4026"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Doz, Y.L. and Prahalad, C.K. (1991) Managing DMNCs: A Search for a New Paradigm. Strategic Management Journal, 12(S1), pp.145–164. </w:t>
      </w:r>
    </w:p>
    <w:p w14:paraId="771645C8" w14:textId="1E96D110" w:rsidR="002C09D0" w:rsidRPr="007302E3" w:rsidRDefault="002C09D0" w:rsidP="007302E3">
      <w:pPr>
        <w:spacing w:line="360" w:lineRule="auto"/>
        <w:rPr>
          <w:rFonts w:ascii="Arial" w:hAnsi="Arial" w:cs="Arial"/>
          <w:color w:val="262626" w:themeColor="text1" w:themeTint="D9"/>
        </w:rPr>
      </w:pPr>
      <w:r w:rsidRPr="007302E3">
        <w:rPr>
          <w:rFonts w:ascii="Arial" w:hAnsi="Arial" w:cs="Arial"/>
          <w:color w:val="262626" w:themeColor="text1" w:themeTint="D9"/>
        </w:rPr>
        <w:t>Dwivedi, Y. et al. (2021) ‘Digital trust and platform authority in emerging markets’, Journal of Business Research, 134, pp. 232–245.</w:t>
      </w:r>
    </w:p>
    <w:p w14:paraId="79D50123" w14:textId="67CDE4B9" w:rsidR="0028146B"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lastRenderedPageBreak/>
        <w:t xml:space="preserve">Dunning, J.H. (1988) ‘The eclectic paradigm of international production: A restatement and some possible extensions’, Journal of International Business Studies, 19(1), pp.1–31. </w:t>
      </w:r>
    </w:p>
    <w:p w14:paraId="0AF5DBA5" w14:textId="6139F12F" w:rsidR="00937E4E" w:rsidRPr="007302E3" w:rsidRDefault="00937E4E"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EY (Ernst and Young). (2022) Beauty reimagined: India’s transformation into a global beauty hub. Available at: </w:t>
      </w:r>
      <w:hyperlink r:id="rId10" w:history="1">
        <w:r w:rsidRPr="007302E3">
          <w:rPr>
            <w:rStyle w:val="Hyperlink"/>
            <w:rFonts w:ascii="Arial" w:hAnsi="Arial" w:cs="Arial"/>
            <w:color w:val="262626" w:themeColor="text1" w:themeTint="D9"/>
          </w:rPr>
          <w:t>https://www.ey.com</w:t>
        </w:r>
        <w:r w:rsidRPr="007302E3">
          <w:rPr>
            <w:rStyle w:val="Hyperlink"/>
            <w:rFonts w:ascii="Arial" w:hAnsi="Arial" w:cs="Arial"/>
            <w:color w:val="262626" w:themeColor="text1" w:themeTint="D9"/>
          </w:rPr>
          <w:t>/</w:t>
        </w:r>
        <w:r w:rsidRPr="007302E3">
          <w:rPr>
            <w:rStyle w:val="Hyperlink"/>
            <w:rFonts w:ascii="Arial" w:hAnsi="Arial" w:cs="Arial"/>
            <w:color w:val="262626" w:themeColor="text1" w:themeTint="D9"/>
          </w:rPr>
          <w:t>en_in</w:t>
        </w:r>
      </w:hyperlink>
    </w:p>
    <w:p w14:paraId="775C3FE7" w14:textId="2F456102" w:rsidR="007002B9"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Ghemawat, P. (2018) Redefining global strategy: Crossing borders in a world where differences still matter.</w:t>
      </w:r>
      <w:r w:rsidR="007002B9" w:rsidRPr="007302E3">
        <w:rPr>
          <w:rFonts w:ascii="Arial" w:hAnsi="Arial" w:cs="Arial"/>
          <w:color w:val="262626" w:themeColor="text1" w:themeTint="D9"/>
        </w:rPr>
        <w:t xml:space="preserve"> Harvard Business Review Press.</w:t>
      </w:r>
    </w:p>
    <w:p w14:paraId="26807C15" w14:textId="32BE0769" w:rsidR="00937E4E" w:rsidRPr="007302E3" w:rsidRDefault="00937E4E" w:rsidP="007302E3">
      <w:pPr>
        <w:spacing w:line="360" w:lineRule="auto"/>
        <w:rPr>
          <w:rFonts w:ascii="Arial" w:hAnsi="Arial" w:cs="Arial"/>
          <w:color w:val="262626" w:themeColor="text1" w:themeTint="D9"/>
        </w:rPr>
      </w:pPr>
      <w:r w:rsidRPr="007302E3">
        <w:rPr>
          <w:rFonts w:ascii="Arial" w:hAnsi="Arial" w:cs="Arial"/>
          <w:color w:val="262626" w:themeColor="text1" w:themeTint="D9"/>
        </w:rPr>
        <w:t>Hall, E.T. and Hall, M.R. (1990) Understanding Cultural Differences. Intercultural Press</w:t>
      </w:r>
    </w:p>
    <w:p w14:paraId="682BC754" w14:textId="7599DBE7" w:rsidR="00C4264B"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Hartmann, M. (2021) 'Sustainability in the cosmetics industry: Challenges and strategies', Journal of Business Ethics, 172(4), pp. 759–774. </w:t>
      </w:r>
    </w:p>
    <w:p w14:paraId="3CFAE006" w14:textId="6F6D24A2" w:rsidR="00AE4026"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t>Hofstede, G. (2011) Dimensionalising Cultures: The Hofstede Model in Context, Online Readings in Psychology and Culture, 2(1), pp.1–26</w:t>
      </w:r>
    </w:p>
    <w:p w14:paraId="16D2A1A5" w14:textId="2A94B1D6" w:rsidR="00C4264B"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Holt, D. (2004) How brands become icons: The principles of cultural branding. Harvard Business School Press.</w:t>
      </w:r>
    </w:p>
    <w:p w14:paraId="7E136414" w14:textId="7E153D3F" w:rsidR="00290FC3" w:rsidRPr="007302E3" w:rsidRDefault="00290FC3" w:rsidP="007302E3">
      <w:pPr>
        <w:spacing w:line="360" w:lineRule="auto"/>
        <w:rPr>
          <w:rFonts w:ascii="Arial" w:hAnsi="Arial" w:cs="Arial"/>
          <w:color w:val="262626" w:themeColor="text1" w:themeTint="D9"/>
        </w:rPr>
      </w:pPr>
      <w:r w:rsidRPr="007302E3">
        <w:rPr>
          <w:rFonts w:ascii="Arial" w:hAnsi="Arial" w:cs="Arial"/>
          <w:color w:val="262626" w:themeColor="text1" w:themeTint="D9"/>
        </w:rPr>
        <w:t>Huang, Q. and Sun, T. (2023) ‘Data nationalism and consumer markets’, Journal of International Marketing, 31(2), pp. 55–71.</w:t>
      </w:r>
    </w:p>
    <w:p w14:paraId="2FE54E6D" w14:textId="479016E0"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Khanna, T. and Palepu, K.G. (2010) Winning in Emerging Markets. Harvard Business Press.</w:t>
      </w:r>
    </w:p>
    <w:p w14:paraId="306A06CF" w14:textId="1CFAF4F0" w:rsidR="00C4264B"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KPMG. (2023) The future of beauty: Global e-commerce insights. Available at: </w:t>
      </w:r>
      <w:hyperlink r:id="rId11" w:history="1">
        <w:r w:rsidR="0028146B" w:rsidRPr="007302E3">
          <w:rPr>
            <w:rStyle w:val="Hyperlink"/>
            <w:rFonts w:ascii="Arial" w:hAnsi="Arial" w:cs="Arial"/>
            <w:color w:val="262626" w:themeColor="text1" w:themeTint="D9"/>
          </w:rPr>
          <w:t>https://h</w:t>
        </w:r>
        <w:r w:rsidR="0028146B" w:rsidRPr="007302E3">
          <w:rPr>
            <w:rStyle w:val="Hyperlink"/>
            <w:rFonts w:ascii="Arial" w:hAnsi="Arial" w:cs="Arial"/>
            <w:color w:val="262626" w:themeColor="text1" w:themeTint="D9"/>
          </w:rPr>
          <w:t>o</w:t>
        </w:r>
        <w:r w:rsidR="0028146B" w:rsidRPr="007302E3">
          <w:rPr>
            <w:rStyle w:val="Hyperlink"/>
            <w:rFonts w:ascii="Arial" w:hAnsi="Arial" w:cs="Arial"/>
            <w:color w:val="262626" w:themeColor="text1" w:themeTint="D9"/>
          </w:rPr>
          <w:t>me.kpmg/</w:t>
        </w:r>
      </w:hyperlink>
    </w:p>
    <w:p w14:paraId="285643C1" w14:textId="77A93FCD"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Kumar, A. and Purohit, H. (2020) ‘Luxury consumption in emerging markets: Cultural legitimacy and affordability paradox’, Journal of Consumer Behaviour, 19(6), pp. 537–551.</w:t>
      </w:r>
    </w:p>
    <w:p w14:paraId="6775EE84" w14:textId="25D39549" w:rsidR="007002B9" w:rsidRPr="007302E3" w:rsidRDefault="007002B9" w:rsidP="007302E3">
      <w:pPr>
        <w:spacing w:line="360" w:lineRule="auto"/>
        <w:rPr>
          <w:rFonts w:ascii="Arial" w:hAnsi="Arial" w:cs="Arial"/>
          <w:color w:val="262626" w:themeColor="text1" w:themeTint="D9"/>
        </w:rPr>
      </w:pPr>
      <w:r w:rsidRPr="007302E3">
        <w:rPr>
          <w:rFonts w:ascii="Arial" w:hAnsi="Arial" w:cs="Arial"/>
          <w:color w:val="262626" w:themeColor="text1" w:themeTint="D9"/>
        </w:rPr>
        <w:t>Li, Y. and Wang, J. (2023) ‘Digital governance and data protection in transnational consumer markets: implications for foreign MNEs in China.’ Journal of International Business Studies, 54(6), pp. 1128–1149.</w:t>
      </w:r>
    </w:p>
    <w:p w14:paraId="767ABC85" w14:textId="53AE7972" w:rsidR="00AE4026"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L’Oréal (2024) Universal Registration Document 2024. Available at: </w:t>
      </w:r>
      <w:hyperlink r:id="rId12" w:history="1">
        <w:r w:rsidRPr="007302E3">
          <w:rPr>
            <w:rStyle w:val="Hyperlink"/>
            <w:rFonts w:ascii="Arial" w:hAnsi="Arial" w:cs="Arial"/>
            <w:color w:val="262626" w:themeColor="text1" w:themeTint="D9"/>
          </w:rPr>
          <w:t>https://www.loreal-finance.com</w:t>
        </w:r>
      </w:hyperlink>
    </w:p>
    <w:p w14:paraId="3878C3DF" w14:textId="0BFF13FD" w:rsidR="007002B9"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L’Oréal. (2024) Annual Report 2024. Available at: </w:t>
      </w:r>
      <w:hyperlink r:id="rId13" w:history="1">
        <w:r w:rsidR="00B34094" w:rsidRPr="007302E3">
          <w:rPr>
            <w:rStyle w:val="Hyperlink"/>
            <w:rFonts w:ascii="Arial" w:hAnsi="Arial" w:cs="Arial"/>
            <w:color w:val="262626" w:themeColor="text1" w:themeTint="D9"/>
          </w:rPr>
          <w:t>https://www.loreal-finance.com/en/annual-report-2024</w:t>
        </w:r>
      </w:hyperlink>
    </w:p>
    <w:p w14:paraId="767A45F7" w14:textId="77777777" w:rsidR="00EF3058" w:rsidRPr="007302E3" w:rsidRDefault="00EF3058" w:rsidP="007302E3">
      <w:pPr>
        <w:spacing w:line="360" w:lineRule="auto"/>
        <w:rPr>
          <w:rFonts w:ascii="Arial" w:hAnsi="Arial" w:cs="Arial"/>
          <w:color w:val="262626" w:themeColor="text1" w:themeTint="D9"/>
        </w:rPr>
      </w:pPr>
      <w:r w:rsidRPr="007302E3">
        <w:rPr>
          <w:rFonts w:ascii="Arial" w:hAnsi="Arial" w:cs="Arial"/>
          <w:color w:val="262626" w:themeColor="text1" w:themeTint="D9"/>
        </w:rPr>
        <w:lastRenderedPageBreak/>
        <w:t>Luo, Y. and Tung, R.L. (2007) ‘International expansion of emerging market enterprises: A springboard perspective’, Journal of International Business Studies, 38(4), pp. 481–498.</w:t>
      </w:r>
    </w:p>
    <w:p w14:paraId="32D0FED7" w14:textId="27F39139"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Mehta, R. and Bandyopadhyay, S. (2021) ‘Product positioning pitfalls in emerging markets: Lessons from the Indian premium haircare category’, Asia Pacific Journal of Marketing and Logistics, 33(8), pp. 1779–1798.</w:t>
      </w:r>
    </w:p>
    <w:p w14:paraId="4567DAA0" w14:textId="313053F1" w:rsidR="00290FC3" w:rsidRPr="007302E3" w:rsidRDefault="00290FC3" w:rsidP="007302E3">
      <w:pPr>
        <w:spacing w:line="360" w:lineRule="auto"/>
        <w:rPr>
          <w:rFonts w:ascii="Arial" w:hAnsi="Arial" w:cs="Arial"/>
          <w:color w:val="262626" w:themeColor="text1" w:themeTint="D9"/>
        </w:rPr>
      </w:pPr>
      <w:r w:rsidRPr="007302E3">
        <w:rPr>
          <w:rFonts w:ascii="Arial" w:hAnsi="Arial" w:cs="Arial"/>
          <w:color w:val="262626" w:themeColor="text1" w:themeTint="D9"/>
        </w:rPr>
        <w:t>Mintel (2022) Ayurvedic beauty in India. London: Mintel Group Ltd.</w:t>
      </w:r>
    </w:p>
    <w:p w14:paraId="5AC73816" w14:textId="56D03E3B" w:rsidR="00652AB1" w:rsidRPr="007302E3" w:rsidRDefault="00652AB1" w:rsidP="007302E3">
      <w:pPr>
        <w:spacing w:line="360" w:lineRule="auto"/>
        <w:rPr>
          <w:rFonts w:ascii="Arial" w:hAnsi="Arial" w:cs="Arial"/>
          <w:color w:val="262626" w:themeColor="text1" w:themeTint="D9"/>
        </w:rPr>
      </w:pPr>
      <w:r w:rsidRPr="007302E3">
        <w:rPr>
          <w:rFonts w:ascii="Arial" w:hAnsi="Arial" w:cs="Arial"/>
          <w:color w:val="262626" w:themeColor="text1" w:themeTint="D9"/>
        </w:rPr>
        <w:t>Moon, Y., Quelch, J. and Lacoste, A. (2018) ‘Marketing implications of country-of-origin effects’, Harvard Business Review, 96(2), pp. 112–119.</w:t>
      </w:r>
    </w:p>
    <w:p w14:paraId="45600A59" w14:textId="66B7AEFA" w:rsidR="00290FC3" w:rsidRPr="007302E3" w:rsidRDefault="00290FC3" w:rsidP="007302E3">
      <w:pPr>
        <w:spacing w:line="360" w:lineRule="auto"/>
        <w:rPr>
          <w:rFonts w:ascii="Arial" w:hAnsi="Arial" w:cs="Arial"/>
          <w:color w:val="262626" w:themeColor="text1" w:themeTint="D9"/>
        </w:rPr>
      </w:pPr>
      <w:r w:rsidRPr="007302E3">
        <w:rPr>
          <w:rFonts w:ascii="Arial" w:hAnsi="Arial" w:cs="Arial"/>
          <w:color w:val="262626" w:themeColor="text1" w:themeTint="D9"/>
        </w:rPr>
        <w:t>Narula, R. (2014) ‘R&amp;D and innovation in multinational firms’, Research Policy, 43(3), pp. 113–122.</w:t>
      </w:r>
    </w:p>
    <w:p w14:paraId="3A735CE7" w14:textId="3264FF05" w:rsidR="00937E4E" w:rsidRPr="007302E3" w:rsidRDefault="00937E4E" w:rsidP="007302E3">
      <w:pPr>
        <w:spacing w:line="360" w:lineRule="auto"/>
        <w:rPr>
          <w:rFonts w:ascii="Arial" w:hAnsi="Arial" w:cs="Arial"/>
          <w:color w:val="262626" w:themeColor="text1" w:themeTint="D9"/>
        </w:rPr>
      </w:pPr>
      <w:r w:rsidRPr="007302E3">
        <w:rPr>
          <w:rFonts w:ascii="Arial" w:hAnsi="Arial" w:cs="Arial"/>
          <w:color w:val="262626" w:themeColor="text1" w:themeTint="D9"/>
        </w:rPr>
        <w:t>Nielsen (2023) Men’s grooming insights: India. Mumbai: NielsenIQ.</w:t>
      </w:r>
    </w:p>
    <w:p w14:paraId="593720DC" w14:textId="5050538C" w:rsidR="00652AB1" w:rsidRPr="007302E3" w:rsidRDefault="00652AB1" w:rsidP="007302E3">
      <w:pPr>
        <w:spacing w:line="360" w:lineRule="auto"/>
        <w:rPr>
          <w:rFonts w:ascii="Arial" w:hAnsi="Arial" w:cs="Arial"/>
          <w:color w:val="262626" w:themeColor="text1" w:themeTint="D9"/>
        </w:rPr>
      </w:pPr>
      <w:r w:rsidRPr="007302E3">
        <w:rPr>
          <w:rFonts w:ascii="Arial" w:hAnsi="Arial" w:cs="Arial"/>
          <w:color w:val="262626" w:themeColor="text1" w:themeTint="D9"/>
        </w:rPr>
        <w:t>Pisano, G. (2015) ‘You need an innovation strategy’, Harvard Business Review, 93(6), pp. 44–54.</w:t>
      </w:r>
    </w:p>
    <w:p w14:paraId="3D451B34" w14:textId="719F098F" w:rsidR="00A1661B" w:rsidRPr="007302E3" w:rsidRDefault="00A1661B" w:rsidP="007302E3">
      <w:pPr>
        <w:spacing w:line="360" w:lineRule="auto"/>
        <w:rPr>
          <w:rFonts w:ascii="Arial" w:hAnsi="Arial" w:cs="Arial"/>
          <w:color w:val="262626" w:themeColor="text1" w:themeTint="D9"/>
        </w:rPr>
      </w:pPr>
      <w:r w:rsidRPr="007302E3">
        <w:rPr>
          <w:rFonts w:ascii="Arial" w:hAnsi="Arial" w:cs="Arial"/>
          <w:color w:val="262626" w:themeColor="text1" w:themeTint="D9"/>
        </w:rPr>
        <w:t>Porter, M. E. (1985) Competitive Advantage: Creating and Sustaining Superior Performance. Free Press.</w:t>
      </w:r>
    </w:p>
    <w:p w14:paraId="2B05117E" w14:textId="11BBF9EF" w:rsidR="00290FC3" w:rsidRPr="007302E3" w:rsidRDefault="00290FC3" w:rsidP="007302E3">
      <w:pPr>
        <w:spacing w:line="360" w:lineRule="auto"/>
        <w:rPr>
          <w:rFonts w:ascii="Arial" w:hAnsi="Arial" w:cs="Arial"/>
          <w:color w:val="262626" w:themeColor="text1" w:themeTint="D9"/>
        </w:rPr>
      </w:pPr>
      <w:r w:rsidRPr="007302E3">
        <w:rPr>
          <w:rFonts w:ascii="Arial" w:hAnsi="Arial" w:cs="Arial"/>
          <w:color w:val="262626" w:themeColor="text1" w:themeTint="D9"/>
        </w:rPr>
        <w:t>Rangaswamy, A. and Joshi, S. (2019) ‘Consumer behaviour in humid skincare markets’, Asia Pacific Journal of Marketing, 31(4), pp. 1043–1065.</w:t>
      </w:r>
    </w:p>
    <w:p w14:paraId="78517146" w14:textId="6C1D6DEA"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Reinartz, W., Wiegand, N. and Imschloss, M. (2019) ‘The impact of digital channels on luxury consumption’, Journal of Retailing, 95(4), pp. 1–16.</w:t>
      </w:r>
    </w:p>
    <w:p w14:paraId="41F6623B" w14:textId="7E8748D3" w:rsidR="00AE4026" w:rsidRPr="007302E3" w:rsidRDefault="00AE4026" w:rsidP="007302E3">
      <w:pPr>
        <w:spacing w:line="360" w:lineRule="auto"/>
        <w:rPr>
          <w:rFonts w:ascii="Arial" w:hAnsi="Arial" w:cs="Arial"/>
          <w:color w:val="262626" w:themeColor="text1" w:themeTint="D9"/>
        </w:rPr>
      </w:pPr>
      <w:r w:rsidRPr="007302E3">
        <w:rPr>
          <w:rFonts w:ascii="Arial" w:hAnsi="Arial" w:cs="Arial"/>
          <w:color w:val="262626" w:themeColor="text1" w:themeTint="D9"/>
        </w:rPr>
        <w:t>Rugman, A.M. and Collinson, S. (2020) International Business. 8th edn. Pearson Education.</w:t>
      </w:r>
    </w:p>
    <w:p w14:paraId="1AD0ED3F" w14:textId="3BA934B1" w:rsidR="00C4264B" w:rsidRPr="007302E3" w:rsidRDefault="00C4264B" w:rsidP="007302E3">
      <w:pPr>
        <w:spacing w:line="360" w:lineRule="auto"/>
        <w:rPr>
          <w:rFonts w:ascii="Arial" w:hAnsi="Arial" w:cs="Arial"/>
          <w:color w:val="262626" w:themeColor="text1" w:themeTint="D9"/>
        </w:rPr>
      </w:pPr>
      <w:r w:rsidRPr="007302E3">
        <w:rPr>
          <w:rFonts w:ascii="Arial" w:hAnsi="Arial" w:cs="Arial"/>
          <w:color w:val="262626" w:themeColor="text1" w:themeTint="D9"/>
        </w:rPr>
        <w:t xml:space="preserve">Rugman, A. and Verbeke, A. (2017) ‘The theory and practice of regional strategy: The case of L’Oréal’, Journal of International Business Studies, 48(9), pp. 1071–1089. </w:t>
      </w:r>
    </w:p>
    <w:p w14:paraId="3D22D131" w14:textId="0A8BE6AC" w:rsidR="007002B9" w:rsidRPr="007302E3" w:rsidRDefault="007002B9" w:rsidP="007302E3">
      <w:pPr>
        <w:spacing w:line="360" w:lineRule="auto"/>
        <w:rPr>
          <w:rFonts w:ascii="Arial" w:hAnsi="Arial" w:cs="Arial"/>
          <w:color w:val="262626" w:themeColor="text1" w:themeTint="D9"/>
        </w:rPr>
      </w:pPr>
      <w:r w:rsidRPr="007302E3">
        <w:rPr>
          <w:rFonts w:ascii="Arial" w:hAnsi="Arial" w:cs="Arial"/>
          <w:color w:val="262626" w:themeColor="text1" w:themeTint="D9"/>
        </w:rPr>
        <w:t>Sengupta, S. (2021) ‘Decolonising beauty marketing: cultural backlash and consumer resistance in India’s skincare industry.’ International Journal of Consumer Studies, 45(4), pp. 765–780.</w:t>
      </w:r>
    </w:p>
    <w:p w14:paraId="6DBD66A0" w14:textId="70742AC9" w:rsidR="00C237FF" w:rsidRPr="007302E3" w:rsidRDefault="00C237FF" w:rsidP="007302E3">
      <w:pPr>
        <w:spacing w:line="360" w:lineRule="auto"/>
        <w:rPr>
          <w:rFonts w:ascii="Arial" w:hAnsi="Arial" w:cs="Arial"/>
          <w:color w:val="262626" w:themeColor="text1" w:themeTint="D9"/>
        </w:rPr>
      </w:pPr>
      <w:r w:rsidRPr="007302E3">
        <w:rPr>
          <w:rFonts w:ascii="Arial" w:hAnsi="Arial" w:cs="Arial"/>
          <w:color w:val="262626" w:themeColor="text1" w:themeTint="D9"/>
        </w:rPr>
        <w:t>Shavitt, S., Torelli, C.J. and Wong, J. (2021) ‘The cultural shaping of consumer persuasion’, Annual Review of Psychology, 72(1), pp. 803–829.</w:t>
      </w:r>
    </w:p>
    <w:p w14:paraId="2CE6DF87" w14:textId="56675425" w:rsidR="00937E4E" w:rsidRPr="007302E3" w:rsidRDefault="00937E4E" w:rsidP="007302E3">
      <w:pPr>
        <w:spacing w:line="360" w:lineRule="auto"/>
        <w:rPr>
          <w:rFonts w:ascii="Arial" w:hAnsi="Arial" w:cs="Arial"/>
          <w:color w:val="262626" w:themeColor="text1" w:themeTint="D9"/>
        </w:rPr>
      </w:pPr>
      <w:r w:rsidRPr="007302E3">
        <w:rPr>
          <w:rFonts w:ascii="Arial" w:hAnsi="Arial" w:cs="Arial"/>
          <w:color w:val="262626" w:themeColor="text1" w:themeTint="D9"/>
        </w:rPr>
        <w:lastRenderedPageBreak/>
        <w:t xml:space="preserve">UNCTAD. (2024) World Investment Report 2024: Investing in sustainable value chains. United Nations Conference on Trade and Development. Available at: </w:t>
      </w:r>
      <w:hyperlink r:id="rId14" w:history="1">
        <w:r w:rsidRPr="007302E3">
          <w:rPr>
            <w:rStyle w:val="Hyperlink"/>
            <w:rFonts w:ascii="Arial" w:hAnsi="Arial" w:cs="Arial"/>
            <w:color w:val="262626" w:themeColor="text1" w:themeTint="D9"/>
          </w:rPr>
          <w:t>https://unctad.org</w:t>
        </w:r>
      </w:hyperlink>
    </w:p>
    <w:p w14:paraId="4D0293D2" w14:textId="69CB1439" w:rsidR="00290FC3" w:rsidRPr="007302E3" w:rsidRDefault="00290FC3" w:rsidP="007302E3">
      <w:pPr>
        <w:spacing w:line="360" w:lineRule="auto"/>
        <w:rPr>
          <w:rFonts w:ascii="Arial" w:hAnsi="Arial" w:cs="Arial"/>
          <w:color w:val="262626" w:themeColor="text1" w:themeTint="D9"/>
        </w:rPr>
      </w:pPr>
      <w:r w:rsidRPr="007302E3">
        <w:rPr>
          <w:rFonts w:ascii="Arial" w:hAnsi="Arial" w:cs="Arial"/>
          <w:color w:val="262626" w:themeColor="text1" w:themeTint="D9"/>
        </w:rPr>
        <w:t>Williamson, O. (1985) The Economic Institutions of Capitalism. Free Press.</w:t>
      </w:r>
    </w:p>
    <w:p w14:paraId="10FFCAA3" w14:textId="2A250550" w:rsidR="009C5AD7" w:rsidRPr="007302E3" w:rsidRDefault="009C5AD7" w:rsidP="007302E3">
      <w:pPr>
        <w:spacing w:line="360" w:lineRule="auto"/>
        <w:rPr>
          <w:rFonts w:ascii="Arial" w:hAnsi="Arial" w:cs="Arial"/>
          <w:color w:val="262626" w:themeColor="text1" w:themeTint="D9"/>
        </w:rPr>
      </w:pPr>
      <w:r w:rsidRPr="007302E3">
        <w:rPr>
          <w:rFonts w:ascii="Arial" w:hAnsi="Arial" w:cs="Arial"/>
          <w:color w:val="262626" w:themeColor="text1" w:themeTint="D9"/>
        </w:rPr>
        <w:t>Wohlwend, L. and Cudney, E. (2021) ‘Data-driven personalisation in skin diagnostics: Challenges in consumer privacy and algorithmic trust’, Technovation, 104, pp. 1–15.</w:t>
      </w:r>
    </w:p>
    <w:p w14:paraId="45C35C9A" w14:textId="77777777" w:rsidR="00C4264B" w:rsidRPr="00EF3058" w:rsidRDefault="00C4264B" w:rsidP="00257157"/>
    <w:p w14:paraId="62162DBF" w14:textId="77777777" w:rsidR="003F64E4" w:rsidRDefault="003F64E4" w:rsidP="00257157"/>
    <w:p w14:paraId="5864D6AD" w14:textId="77777777" w:rsidR="00854ABC" w:rsidRDefault="00854ABC" w:rsidP="00257157"/>
    <w:p w14:paraId="4020DF33" w14:textId="77777777" w:rsidR="00854ABC" w:rsidRDefault="00854ABC" w:rsidP="00257157"/>
    <w:p w14:paraId="7C2E5F42" w14:textId="77777777" w:rsidR="00854ABC" w:rsidRDefault="00854ABC" w:rsidP="00257157"/>
    <w:p w14:paraId="7227AB27" w14:textId="77777777" w:rsidR="00854ABC" w:rsidRDefault="00854ABC" w:rsidP="00257157"/>
    <w:p w14:paraId="3A98FE28" w14:textId="77777777" w:rsidR="00854ABC" w:rsidRDefault="00854ABC" w:rsidP="00257157"/>
    <w:p w14:paraId="003A24A8" w14:textId="77777777" w:rsidR="003F64E4" w:rsidRDefault="003F64E4" w:rsidP="00257157"/>
    <w:p w14:paraId="2C86CECC" w14:textId="77777777" w:rsidR="002460EC" w:rsidRDefault="002460EC" w:rsidP="00257157"/>
    <w:p w14:paraId="1593C952" w14:textId="77777777" w:rsidR="002460EC" w:rsidRDefault="002460EC" w:rsidP="00257157"/>
    <w:p w14:paraId="14D31687" w14:textId="77777777" w:rsidR="002460EC" w:rsidRDefault="002460EC" w:rsidP="00257157"/>
    <w:p w14:paraId="66FF6583" w14:textId="77777777" w:rsidR="002460EC" w:rsidRDefault="002460EC" w:rsidP="00257157"/>
    <w:p w14:paraId="2EB092C8" w14:textId="77777777" w:rsidR="002460EC" w:rsidRDefault="002460EC" w:rsidP="00257157"/>
    <w:p w14:paraId="3E554FF0" w14:textId="77777777" w:rsidR="002460EC" w:rsidRDefault="002460EC" w:rsidP="00257157"/>
    <w:p w14:paraId="5CB91570" w14:textId="77777777" w:rsidR="002460EC" w:rsidRDefault="002460EC" w:rsidP="00257157"/>
    <w:p w14:paraId="2B21AFFF" w14:textId="77777777" w:rsidR="002460EC" w:rsidRDefault="002460EC" w:rsidP="00257157"/>
    <w:p w14:paraId="010D3C6B" w14:textId="77777777" w:rsidR="002460EC" w:rsidRDefault="002460EC" w:rsidP="00257157"/>
    <w:p w14:paraId="30F43F9B" w14:textId="77777777" w:rsidR="002460EC" w:rsidRDefault="002460EC" w:rsidP="00257157"/>
    <w:p w14:paraId="3CA24771" w14:textId="77777777" w:rsidR="002460EC" w:rsidRDefault="002460EC" w:rsidP="00257157"/>
    <w:p w14:paraId="4B80EC56" w14:textId="77777777" w:rsidR="002460EC" w:rsidRDefault="002460EC" w:rsidP="00257157"/>
    <w:p w14:paraId="0473F19A" w14:textId="77777777" w:rsidR="002460EC" w:rsidRDefault="002460EC" w:rsidP="00257157"/>
    <w:p w14:paraId="3E616DD6" w14:textId="77777777" w:rsidR="002460EC" w:rsidRPr="00EF3058" w:rsidRDefault="002460EC" w:rsidP="00257157"/>
    <w:p w14:paraId="1592807A" w14:textId="01CB7BE3" w:rsidR="005C09D0" w:rsidRPr="001F13ED" w:rsidRDefault="00257157" w:rsidP="005C09D0">
      <w:pPr>
        <w:pStyle w:val="Heading1"/>
        <w:shd w:val="clear" w:color="auto" w:fill="DFC267"/>
        <w:rPr>
          <w:rFonts w:ascii="Arial" w:hAnsi="Arial" w:cs="Arial"/>
          <w:color w:val="262626" w:themeColor="text1" w:themeTint="D9"/>
          <w:sz w:val="32"/>
          <w:szCs w:val="32"/>
        </w:rPr>
      </w:pPr>
      <w:bookmarkStart w:id="29" w:name="_Toc214672863"/>
      <w:r w:rsidRPr="001F13ED">
        <w:rPr>
          <w:rFonts w:ascii="Arial" w:hAnsi="Arial" w:cs="Arial"/>
          <w:color w:val="262626" w:themeColor="text1" w:themeTint="D9"/>
          <w:sz w:val="32"/>
          <w:szCs w:val="32"/>
        </w:rPr>
        <w:lastRenderedPageBreak/>
        <w:t>APPENDICES</w:t>
      </w:r>
      <w:bookmarkEnd w:id="29"/>
    </w:p>
    <w:p w14:paraId="3D475AA6" w14:textId="77777777" w:rsidR="003F64E4" w:rsidRPr="00787B3C" w:rsidRDefault="003F64E4" w:rsidP="009F0879">
      <w:pPr>
        <w:spacing w:line="360" w:lineRule="auto"/>
        <w:rPr>
          <w:rFonts w:ascii="Arial" w:hAnsi="Arial" w:cs="Arial"/>
          <w:color w:val="262626" w:themeColor="text1" w:themeTint="D9"/>
        </w:rPr>
      </w:pPr>
    </w:p>
    <w:p w14:paraId="5AF4EA84" w14:textId="2F0AAFBC" w:rsidR="002B31E3" w:rsidRPr="00787B3C" w:rsidRDefault="007E0859" w:rsidP="009F0879">
      <w:pPr>
        <w:spacing w:line="360" w:lineRule="auto"/>
        <w:rPr>
          <w:rFonts w:ascii="Arial" w:hAnsi="Arial" w:cs="Arial"/>
          <w:color w:val="262626" w:themeColor="text1" w:themeTint="D9"/>
        </w:rPr>
      </w:pPr>
      <w:r w:rsidRPr="00787B3C">
        <w:rPr>
          <w:rFonts w:ascii="Arial" w:hAnsi="Arial" w:cs="Arial"/>
          <w:b/>
          <w:bCs/>
          <w:color w:val="262626" w:themeColor="text1" w:themeTint="D9"/>
        </w:rPr>
        <w:t xml:space="preserve">Appendix </w:t>
      </w:r>
      <w:r w:rsidR="00236766" w:rsidRPr="00787B3C">
        <w:rPr>
          <w:rFonts w:ascii="Arial" w:hAnsi="Arial" w:cs="Arial"/>
          <w:b/>
          <w:bCs/>
          <w:color w:val="262626" w:themeColor="text1" w:themeTint="D9"/>
        </w:rPr>
        <w:t>A</w:t>
      </w:r>
      <w:r w:rsidR="00C237FF" w:rsidRPr="00787B3C">
        <w:rPr>
          <w:rFonts w:ascii="Arial" w:hAnsi="Arial" w:cs="Arial"/>
          <w:b/>
          <w:bCs/>
          <w:color w:val="262626" w:themeColor="text1" w:themeTint="D9"/>
        </w:rPr>
        <w:t>.</w:t>
      </w:r>
      <w:r w:rsidR="003F64E4" w:rsidRPr="00787B3C">
        <w:rPr>
          <w:rFonts w:ascii="Arial" w:hAnsi="Arial" w:cs="Arial"/>
          <w:b/>
          <w:bCs/>
          <w:color w:val="262626" w:themeColor="text1" w:themeTint="D9"/>
        </w:rPr>
        <w:t>1</w:t>
      </w:r>
      <w:r w:rsidRPr="00787B3C">
        <w:rPr>
          <w:rFonts w:ascii="Arial" w:hAnsi="Arial" w:cs="Arial"/>
          <w:b/>
          <w:bCs/>
          <w:color w:val="262626" w:themeColor="text1" w:themeTint="D9"/>
        </w:rPr>
        <w:t>:</w:t>
      </w:r>
      <w:r w:rsidRPr="00787B3C">
        <w:rPr>
          <w:rFonts w:ascii="Arial" w:hAnsi="Arial" w:cs="Arial"/>
          <w:color w:val="262626" w:themeColor="text1" w:themeTint="D9"/>
        </w:rPr>
        <w:t xml:space="preserve"> </w:t>
      </w:r>
      <w:r w:rsidR="00D005FB" w:rsidRPr="00787B3C">
        <w:rPr>
          <w:rFonts w:ascii="Arial" w:hAnsi="Arial" w:cs="Arial"/>
          <w:color w:val="262626" w:themeColor="text1" w:themeTint="D9"/>
        </w:rPr>
        <w:t>Global Value Chain Diagram (</w:t>
      </w:r>
      <w:r w:rsidR="002B31E3" w:rsidRPr="00787B3C">
        <w:rPr>
          <w:rFonts w:ascii="Arial" w:hAnsi="Arial" w:cs="Arial"/>
          <w:color w:val="262626" w:themeColor="text1" w:themeTint="D9"/>
        </w:rPr>
        <w:t xml:space="preserve">Cyclical </w:t>
      </w:r>
      <w:r w:rsidR="00D005FB" w:rsidRPr="00787B3C">
        <w:rPr>
          <w:rFonts w:ascii="Arial" w:hAnsi="Arial" w:cs="Arial"/>
          <w:color w:val="262626" w:themeColor="text1" w:themeTint="D9"/>
        </w:rPr>
        <w:t>SmartArt Representation)</w:t>
      </w:r>
    </w:p>
    <w:p w14:paraId="78F8F576" w14:textId="26DE6689" w:rsidR="007E0859" w:rsidRPr="00EF3058" w:rsidRDefault="004D18A3" w:rsidP="009F0879">
      <w:pPr>
        <w:spacing w:line="360" w:lineRule="auto"/>
        <w:rPr>
          <w:rFonts w:ascii="Arial" w:hAnsi="Arial" w:cs="Arial"/>
          <w:color w:val="262626"/>
        </w:rPr>
      </w:pPr>
      <w:r w:rsidRPr="00EF3058">
        <w:rPr>
          <w:rFonts w:ascii="Arial" w:hAnsi="Arial" w:cs="Arial"/>
          <w:noProof/>
          <w:color w:val="262626"/>
        </w:rPr>
        <w:drawing>
          <wp:inline distT="0" distB="0" distL="0" distR="0" wp14:anchorId="3D104CFE" wp14:editId="3E7CB17D">
            <wp:extent cx="5623034" cy="3840218"/>
            <wp:effectExtent l="0" t="38100" r="0" b="46355"/>
            <wp:docPr id="4545422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06BB07E" w14:textId="4A8A8116" w:rsidR="00D005FB" w:rsidRPr="00787B3C" w:rsidRDefault="003113C4" w:rsidP="00787B3C">
      <w:pPr>
        <w:spacing w:line="360" w:lineRule="auto"/>
        <w:rPr>
          <w:rFonts w:ascii="Arial" w:hAnsi="Arial" w:cs="Arial"/>
          <w:color w:val="262626" w:themeColor="text1" w:themeTint="D9"/>
        </w:rPr>
      </w:pPr>
      <w:r w:rsidRPr="00787B3C">
        <w:rPr>
          <w:rFonts w:ascii="Arial" w:hAnsi="Arial" w:cs="Arial"/>
          <w:b/>
          <w:bCs/>
          <w:color w:val="262626" w:themeColor="text1" w:themeTint="D9"/>
        </w:rPr>
        <w:t>Source</w:t>
      </w:r>
      <w:r w:rsidRPr="00787B3C">
        <w:rPr>
          <w:rFonts w:ascii="Arial" w:hAnsi="Arial" w:cs="Arial"/>
          <w:color w:val="262626" w:themeColor="text1" w:themeTint="D9"/>
        </w:rPr>
        <w:t>: Author’s synthesis based on L’Oréal (2024); Ghemawat (2018); UNCTAD (202</w:t>
      </w:r>
      <w:r w:rsidR="00290FC3" w:rsidRPr="00787B3C">
        <w:rPr>
          <w:rFonts w:ascii="Arial" w:hAnsi="Arial" w:cs="Arial"/>
          <w:color w:val="262626" w:themeColor="text1" w:themeTint="D9"/>
        </w:rPr>
        <w:t>4</w:t>
      </w:r>
      <w:r w:rsidRPr="00787B3C">
        <w:rPr>
          <w:rFonts w:ascii="Arial" w:hAnsi="Arial" w:cs="Arial"/>
          <w:color w:val="262626" w:themeColor="text1" w:themeTint="D9"/>
        </w:rPr>
        <w:t>).</w:t>
      </w:r>
    </w:p>
    <w:p w14:paraId="7C423BAF" w14:textId="77777777" w:rsidR="00766DBC" w:rsidRPr="00787B3C" w:rsidRDefault="00766DBC" w:rsidP="00787B3C">
      <w:pPr>
        <w:spacing w:line="360" w:lineRule="auto"/>
        <w:rPr>
          <w:rFonts w:ascii="Arial" w:hAnsi="Arial" w:cs="Arial"/>
          <w:color w:val="262626" w:themeColor="text1" w:themeTint="D9"/>
        </w:rPr>
      </w:pPr>
    </w:p>
    <w:p w14:paraId="4C418D61" w14:textId="61AE716D" w:rsidR="00D005FB" w:rsidRPr="00787B3C" w:rsidRDefault="00D005FB" w:rsidP="00787B3C">
      <w:pPr>
        <w:spacing w:line="360" w:lineRule="auto"/>
        <w:rPr>
          <w:rFonts w:ascii="Arial" w:hAnsi="Arial" w:cs="Arial"/>
          <w:color w:val="262626" w:themeColor="text1" w:themeTint="D9"/>
        </w:rPr>
      </w:pPr>
      <w:r w:rsidRPr="00787B3C">
        <w:rPr>
          <w:rFonts w:ascii="Arial" w:hAnsi="Arial" w:cs="Arial"/>
          <w:color w:val="262626" w:themeColor="text1" w:themeTint="D9"/>
        </w:rPr>
        <w:t>The cyclical nature of the diagram highlights that competitive advantage does not arise from any single component, but from the interdependence of globally dispersed activities. However, this interdependence increases coordination complexity and operational risk, reinforcing the need for strong governance mechanisms.</w:t>
      </w:r>
    </w:p>
    <w:p w14:paraId="601B0492" w14:textId="4BF237F7" w:rsidR="00787B3C" w:rsidRPr="00787B3C" w:rsidRDefault="00D005FB" w:rsidP="00787B3C">
      <w:pPr>
        <w:spacing w:line="360" w:lineRule="auto"/>
        <w:rPr>
          <w:rFonts w:ascii="Arial" w:hAnsi="Arial" w:cs="Arial"/>
          <w:color w:val="262626" w:themeColor="text1" w:themeTint="D9"/>
        </w:rPr>
      </w:pPr>
      <w:r w:rsidRPr="00787B3C">
        <w:rPr>
          <w:rFonts w:ascii="Arial" w:hAnsi="Arial" w:cs="Arial"/>
          <w:color w:val="262626" w:themeColor="text1" w:themeTint="D9"/>
        </w:rPr>
        <w:t>While such integration enhances innovation speed and operational scale, it simultaneously amplifies vulnerability to supply chain disruptions and regulatory fragmentation across regions. Consequently, the effectiveness of the value chain is contingent upon L’Oréal’s ability to govern external dependencies, harmonise subsidiary decision-making and maintain traceability across distributed activities.</w:t>
      </w:r>
    </w:p>
    <w:p w14:paraId="5D9189EA" w14:textId="48049AA2" w:rsidR="008E67A8" w:rsidRPr="00787B3C" w:rsidRDefault="008E67A8" w:rsidP="00787B3C">
      <w:pPr>
        <w:spacing w:line="360" w:lineRule="auto"/>
        <w:rPr>
          <w:rFonts w:ascii="Arial" w:hAnsi="Arial" w:cs="Arial"/>
          <w:color w:val="262626" w:themeColor="text1" w:themeTint="D9"/>
        </w:rPr>
      </w:pPr>
      <w:r w:rsidRPr="00787B3C">
        <w:rPr>
          <w:rFonts w:ascii="Arial" w:hAnsi="Arial" w:cs="Arial"/>
          <w:b/>
          <w:bCs/>
          <w:color w:val="262626" w:themeColor="text1" w:themeTint="D9"/>
        </w:rPr>
        <w:lastRenderedPageBreak/>
        <w:t xml:space="preserve">Appendix </w:t>
      </w:r>
      <w:r w:rsidR="00236766" w:rsidRPr="00787B3C">
        <w:rPr>
          <w:rFonts w:ascii="Arial" w:hAnsi="Arial" w:cs="Arial"/>
          <w:b/>
          <w:bCs/>
          <w:color w:val="262626" w:themeColor="text1" w:themeTint="D9"/>
        </w:rPr>
        <w:t>A</w:t>
      </w:r>
      <w:r w:rsidR="00C237FF" w:rsidRPr="00787B3C">
        <w:rPr>
          <w:rFonts w:ascii="Arial" w:hAnsi="Arial" w:cs="Arial"/>
          <w:b/>
          <w:bCs/>
          <w:color w:val="262626" w:themeColor="text1" w:themeTint="D9"/>
        </w:rPr>
        <w:t>.</w:t>
      </w:r>
      <w:r w:rsidR="003F64E4" w:rsidRPr="00787B3C">
        <w:rPr>
          <w:rFonts w:ascii="Arial" w:hAnsi="Arial" w:cs="Arial"/>
          <w:b/>
          <w:bCs/>
          <w:color w:val="262626" w:themeColor="text1" w:themeTint="D9"/>
        </w:rPr>
        <w:t>2</w:t>
      </w:r>
      <w:r w:rsidRPr="00787B3C">
        <w:rPr>
          <w:rFonts w:ascii="Arial" w:hAnsi="Arial" w:cs="Arial"/>
          <w:b/>
          <w:bCs/>
          <w:color w:val="262626" w:themeColor="text1" w:themeTint="D9"/>
        </w:rPr>
        <w:t xml:space="preserve">: </w:t>
      </w:r>
      <w:r w:rsidRPr="00787B3C">
        <w:rPr>
          <w:rFonts w:ascii="Arial" w:hAnsi="Arial" w:cs="Arial"/>
          <w:color w:val="262626" w:themeColor="text1" w:themeTint="D9"/>
        </w:rPr>
        <w:t>L’Oréal’s Transnational R&amp;D Network (Hybrid Map Representation)</w:t>
      </w:r>
    </w:p>
    <w:p w14:paraId="21C25A05" w14:textId="77777777" w:rsidR="002B31E3" w:rsidRPr="00EF3058" w:rsidRDefault="002B31E3" w:rsidP="003113C4">
      <w:pPr>
        <w:spacing w:line="360" w:lineRule="auto"/>
        <w:rPr>
          <w:rFonts w:ascii="Arial" w:hAnsi="Arial" w:cs="Arial"/>
          <w:color w:val="262626" w:themeColor="text1" w:themeTint="D9"/>
        </w:rPr>
      </w:pPr>
    </w:p>
    <w:p w14:paraId="13517DA9" w14:textId="5263E693" w:rsidR="00D005FB" w:rsidRPr="00EF3058" w:rsidRDefault="00ED6CA3" w:rsidP="003113C4">
      <w:pPr>
        <w:spacing w:line="360" w:lineRule="auto"/>
        <w:rPr>
          <w:rFonts w:ascii="Arial" w:hAnsi="Arial" w:cs="Arial"/>
          <w:color w:val="262626" w:themeColor="text1" w:themeTint="D9"/>
        </w:rPr>
      </w:pPr>
      <w:r w:rsidRPr="00EF3058">
        <w:rPr>
          <w:rFonts w:ascii="Arial" w:hAnsi="Arial" w:cs="Arial"/>
          <w:noProof/>
          <w:color w:val="000000" w:themeColor="text1"/>
        </w:rPr>
        <w:drawing>
          <wp:anchor distT="0" distB="0" distL="114300" distR="114300" simplePos="0" relativeHeight="251679744" behindDoc="0" locked="0" layoutInCell="1" allowOverlap="1" wp14:anchorId="13CB423F" wp14:editId="31B13930">
            <wp:simplePos x="0" y="0"/>
            <wp:positionH relativeFrom="column">
              <wp:posOffset>942</wp:posOffset>
            </wp:positionH>
            <wp:positionV relativeFrom="paragraph">
              <wp:posOffset>-63062</wp:posOffset>
            </wp:positionV>
            <wp:extent cx="5943600" cy="4378325"/>
            <wp:effectExtent l="0" t="0" r="0" b="3175"/>
            <wp:wrapNone/>
            <wp:docPr id="819246671" name="Picture 14"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6671" name="Picture 14" descr="A map of the world&#10;&#10;AI-generated content may be incorrect."/>
                    <pic:cNvPicPr/>
                  </pic:nvPicPr>
                  <pic:blipFill>
                    <a:blip r:embed="rId20">
                      <a:alphaModFix amt="33000"/>
                      <a:extLst>
                        <a:ext uri="{28A0092B-C50C-407E-A947-70E740481C1C}">
                          <a14:useLocalDpi xmlns:a14="http://schemas.microsoft.com/office/drawing/2010/main" val="0"/>
                        </a:ext>
                      </a:extLst>
                    </a:blip>
                    <a:stretch>
                      <a:fillRect/>
                    </a:stretch>
                  </pic:blipFill>
                  <pic:spPr>
                    <a:xfrm>
                      <a:off x="0" y="0"/>
                      <a:ext cx="5943600" cy="4378325"/>
                    </a:xfrm>
                    <a:prstGeom prst="rect">
                      <a:avLst/>
                    </a:prstGeom>
                    <a:noFill/>
                    <a:ln>
                      <a:noFill/>
                    </a:ln>
                    <a:effectLst>
                      <a:softEdge rad="112500"/>
                    </a:effectLst>
                  </pic:spPr>
                </pic:pic>
              </a:graphicData>
            </a:graphic>
            <wp14:sizeRelH relativeFrom="page">
              <wp14:pctWidth>0</wp14:pctWidth>
            </wp14:sizeRelH>
            <wp14:sizeRelV relativeFrom="page">
              <wp14:pctHeight>0</wp14:pctHeight>
            </wp14:sizeRelV>
          </wp:anchor>
        </w:drawing>
      </w:r>
      <w:r w:rsidR="00742661" w:rsidRPr="00EF3058">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5475A35D" wp14:editId="4C7CCC53">
                <wp:simplePos x="0" y="0"/>
                <wp:positionH relativeFrom="column">
                  <wp:posOffset>4184542</wp:posOffset>
                </wp:positionH>
                <wp:positionV relativeFrom="paragraph">
                  <wp:posOffset>1517758</wp:posOffset>
                </wp:positionV>
                <wp:extent cx="0" cy="373035"/>
                <wp:effectExtent l="0" t="0" r="38100" b="27305"/>
                <wp:wrapNone/>
                <wp:docPr id="1347713731" name="Straight Connector 45"/>
                <wp:cNvGraphicFramePr/>
                <a:graphic xmlns:a="http://schemas.openxmlformats.org/drawingml/2006/main">
                  <a:graphicData uri="http://schemas.microsoft.com/office/word/2010/wordprocessingShape">
                    <wps:wsp>
                      <wps:cNvCnPr/>
                      <wps:spPr>
                        <a:xfrm>
                          <a:off x="0" y="0"/>
                          <a:ext cx="0" cy="373035"/>
                        </a:xfrm>
                        <a:prstGeom prst="line">
                          <a:avLst/>
                        </a:prstGeom>
                        <a:ln w="19050">
                          <a:solidFill>
                            <a:srgbClr val="856E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40B648" id="Straight Connector 45"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29.5pt,119.5pt" to="329.5pt,1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" strokecolor="#856e00" strokeweight="1.5pt">
                <v:stroke joinstyle="miter"/>
              </v:line>
            </w:pict>
          </mc:Fallback>
        </mc:AlternateContent>
      </w:r>
      <w:r w:rsidR="00742661" w:rsidRPr="00EF3058">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57AF379E" wp14:editId="4AC73B70">
                <wp:simplePos x="0" y="0"/>
                <wp:positionH relativeFrom="column">
                  <wp:posOffset>4486275</wp:posOffset>
                </wp:positionH>
                <wp:positionV relativeFrom="paragraph">
                  <wp:posOffset>1352022</wp:posOffset>
                </wp:positionV>
                <wp:extent cx="401652" cy="0"/>
                <wp:effectExtent l="0" t="0" r="0" b="0"/>
                <wp:wrapNone/>
                <wp:docPr id="1612310884" name="Straight Connector 40"/>
                <wp:cNvGraphicFramePr/>
                <a:graphic xmlns:a="http://schemas.openxmlformats.org/drawingml/2006/main">
                  <a:graphicData uri="http://schemas.microsoft.com/office/word/2010/wordprocessingShape">
                    <wps:wsp>
                      <wps:cNvCnPr/>
                      <wps:spPr>
                        <a:xfrm>
                          <a:off x="0" y="0"/>
                          <a:ext cx="401652" cy="0"/>
                        </a:xfrm>
                        <a:prstGeom prst="line">
                          <a:avLst/>
                        </a:prstGeom>
                        <a:ln w="19050">
                          <a:solidFill>
                            <a:srgbClr val="856E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D698C" id="Straight Connector 4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53.25pt,106.45pt" to="384.9pt,1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" strokecolor="#856e00" strokeweight="1.5pt">
                <v:stroke joinstyle="miter"/>
              </v:line>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76672" behindDoc="0" locked="0" layoutInCell="1" allowOverlap="1" wp14:anchorId="561E02F7" wp14:editId="2204E699">
                <wp:simplePos x="0" y="0"/>
                <wp:positionH relativeFrom="column">
                  <wp:posOffset>3094891</wp:posOffset>
                </wp:positionH>
                <wp:positionV relativeFrom="paragraph">
                  <wp:posOffset>1326839</wp:posOffset>
                </wp:positionV>
                <wp:extent cx="1032333" cy="0"/>
                <wp:effectExtent l="0" t="0" r="0" b="0"/>
                <wp:wrapNone/>
                <wp:docPr id="387163506" name="Straight Connector 39"/>
                <wp:cNvGraphicFramePr/>
                <a:graphic xmlns:a="http://schemas.openxmlformats.org/drawingml/2006/main">
                  <a:graphicData uri="http://schemas.microsoft.com/office/word/2010/wordprocessingShape">
                    <wps:wsp>
                      <wps:cNvCnPr/>
                      <wps:spPr>
                        <a:xfrm>
                          <a:off x="0" y="0"/>
                          <a:ext cx="1032333" cy="0"/>
                        </a:xfrm>
                        <a:prstGeom prst="line">
                          <a:avLst/>
                        </a:prstGeom>
                        <a:ln w="19050">
                          <a:solidFill>
                            <a:srgbClr val="856E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F58F5F" id="Straight Connector 3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3.7pt,104.5pt" to="32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" strokecolor="#856e00" strokeweight="1.5pt">
                <v:stroke joinstyle="miter"/>
              </v:line>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6346E9D6" wp14:editId="680C83AB">
                <wp:simplePos x="0" y="0"/>
                <wp:positionH relativeFrom="column">
                  <wp:posOffset>3008568</wp:posOffset>
                </wp:positionH>
                <wp:positionV relativeFrom="paragraph">
                  <wp:posOffset>1307656</wp:posOffset>
                </wp:positionV>
                <wp:extent cx="0" cy="0"/>
                <wp:effectExtent l="0" t="0" r="0" b="0"/>
                <wp:wrapNone/>
                <wp:docPr id="1517261453" name="Straight Connector 3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42163B" id="Straight Connector 3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36.9pt,102.95pt" to="236.9pt,1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" strokecolor="#156082 [3204]" strokeweight=".5pt">
                <v:stroke joinstyle="miter"/>
              </v:line>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62B7EF73" wp14:editId="5CE2A08B">
                <wp:simplePos x="0" y="0"/>
                <wp:positionH relativeFrom="column">
                  <wp:posOffset>1301262</wp:posOffset>
                </wp:positionH>
                <wp:positionV relativeFrom="paragraph">
                  <wp:posOffset>1298064</wp:posOffset>
                </wp:positionV>
                <wp:extent cx="1352416" cy="9592"/>
                <wp:effectExtent l="0" t="0" r="19685" b="28575"/>
                <wp:wrapNone/>
                <wp:docPr id="812036880" name="Straight Connector 36"/>
                <wp:cNvGraphicFramePr/>
                <a:graphic xmlns:a="http://schemas.openxmlformats.org/drawingml/2006/main">
                  <a:graphicData uri="http://schemas.microsoft.com/office/word/2010/wordprocessingShape">
                    <wps:wsp>
                      <wps:cNvCnPr/>
                      <wps:spPr>
                        <a:xfrm flipV="1">
                          <a:off x="0" y="0"/>
                          <a:ext cx="1352416" cy="9592"/>
                        </a:xfrm>
                        <a:prstGeom prst="line">
                          <a:avLst/>
                        </a:prstGeom>
                        <a:ln w="19050">
                          <a:solidFill>
                            <a:srgbClr val="856E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AAE057" id="Straight Connector 3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02.45pt,102.2pt" to="208.95pt,1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" strokecolor="#856e00" strokeweight="1.5pt">
                <v:stroke joinstyle="miter"/>
              </v:line>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2A291540" wp14:editId="679D4C93">
                <wp:simplePos x="0" y="0"/>
                <wp:positionH relativeFrom="column">
                  <wp:posOffset>1014575</wp:posOffset>
                </wp:positionH>
                <wp:positionV relativeFrom="paragraph">
                  <wp:posOffset>1266825</wp:posOffset>
                </wp:positionV>
                <wp:extent cx="144000" cy="144000"/>
                <wp:effectExtent l="0" t="0" r="27940" b="27940"/>
                <wp:wrapNone/>
                <wp:docPr id="1575706529" name="Oval 29"/>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004E98"/>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91AF59" id="Oval 29" o:spid="_x0000_s1026" style="position:absolute;margin-left:79.9pt;margin-top:99.7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" fillcolor="#004e98" strokecolor="#042433" strokeweight="1pt">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200B0BE8" wp14:editId="6B16B6F1">
                <wp:simplePos x="0" y="0"/>
                <wp:positionH relativeFrom="column">
                  <wp:posOffset>4234180</wp:posOffset>
                </wp:positionH>
                <wp:positionV relativeFrom="paragraph">
                  <wp:posOffset>1346692</wp:posOffset>
                </wp:positionV>
                <wp:extent cx="144000" cy="144000"/>
                <wp:effectExtent l="0" t="0" r="27940" b="27940"/>
                <wp:wrapNone/>
                <wp:docPr id="1665740573" name="Oval 29"/>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6B4E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47414D" id="Oval 29" o:spid="_x0000_s1026" style="position:absolute;margin-left:333.4pt;margin-top:106.05pt;width:11.35pt;height:1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" fillcolor="#6b4eff" strokecolor="#042433" strokeweight="1pt">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3360" behindDoc="0" locked="0" layoutInCell="1" allowOverlap="1" wp14:anchorId="31101F9A" wp14:editId="3ABA61DB">
                <wp:simplePos x="0" y="0"/>
                <wp:positionH relativeFrom="column">
                  <wp:posOffset>4185285</wp:posOffset>
                </wp:positionH>
                <wp:positionV relativeFrom="paragraph">
                  <wp:posOffset>1298647</wp:posOffset>
                </wp:positionV>
                <wp:extent cx="215900" cy="215900"/>
                <wp:effectExtent l="0" t="0" r="12700" b="12700"/>
                <wp:wrapNone/>
                <wp:docPr id="1212383115" name="Oval 27"/>
                <wp:cNvGraphicFramePr/>
                <a:graphic xmlns:a="http://schemas.openxmlformats.org/drawingml/2006/main">
                  <a:graphicData uri="http://schemas.microsoft.com/office/word/2010/wordprocessingShape">
                    <wps:wsp>
                      <wps:cNvSpPr/>
                      <wps:spPr>
                        <a:xfrm>
                          <a:off x="0" y="0"/>
                          <a:ext cx="215900" cy="215900"/>
                        </a:xfrm>
                        <a:prstGeom prst="ellipse">
                          <a:avLst/>
                        </a:prstGeom>
                        <a:solidFill>
                          <a:srgbClr val="C8A300">
                            <a:alpha val="35000"/>
                          </a:srgbClr>
                        </a:solidFill>
                        <a:ln>
                          <a:solidFill>
                            <a:srgbClr val="856E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6DB7D0" id="Oval 27" o:spid="_x0000_s1026" style="position:absolute;margin-left:329.55pt;margin-top:102.25pt;width:17pt;height: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" fillcolor="#c8a300" strokecolor="#856e00" strokeweight="1pt">
                <v:fill opacity="22873f"/>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61ED6350" wp14:editId="3D2687D0">
                <wp:simplePos x="0" y="0"/>
                <wp:positionH relativeFrom="column">
                  <wp:posOffset>5007610</wp:posOffset>
                </wp:positionH>
                <wp:positionV relativeFrom="paragraph">
                  <wp:posOffset>1309081</wp:posOffset>
                </wp:positionV>
                <wp:extent cx="144000" cy="144000"/>
                <wp:effectExtent l="0" t="0" r="27940" b="27940"/>
                <wp:wrapNone/>
                <wp:docPr id="507966817" name="Oval 29"/>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6B4E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A53743" id="Oval 29" o:spid="_x0000_s1026" style="position:absolute;margin-left:394.3pt;margin-top:103.1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" fillcolor="#6b4eff" strokecolor="#042433" strokeweight="1pt">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6E40957C" wp14:editId="632649A6">
                <wp:simplePos x="0" y="0"/>
                <wp:positionH relativeFrom="column">
                  <wp:posOffset>4960913</wp:posOffset>
                </wp:positionH>
                <wp:positionV relativeFrom="paragraph">
                  <wp:posOffset>1277207</wp:posOffset>
                </wp:positionV>
                <wp:extent cx="215900" cy="215900"/>
                <wp:effectExtent l="0" t="0" r="12700" b="12700"/>
                <wp:wrapNone/>
                <wp:docPr id="1343737031" name="Oval 28"/>
                <wp:cNvGraphicFramePr/>
                <a:graphic xmlns:a="http://schemas.openxmlformats.org/drawingml/2006/main">
                  <a:graphicData uri="http://schemas.microsoft.com/office/word/2010/wordprocessingShape">
                    <wps:wsp>
                      <wps:cNvSpPr/>
                      <wps:spPr>
                        <a:xfrm>
                          <a:off x="0" y="0"/>
                          <a:ext cx="215900" cy="215900"/>
                        </a:xfrm>
                        <a:prstGeom prst="ellipse">
                          <a:avLst/>
                        </a:prstGeom>
                        <a:solidFill>
                          <a:srgbClr val="C8A300">
                            <a:alpha val="35000"/>
                          </a:srgbClr>
                        </a:solidFill>
                        <a:ln>
                          <a:solidFill>
                            <a:srgbClr val="856E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9B46C1" id="Oval 28" o:spid="_x0000_s1026" style="position:absolute;margin-left:390.6pt;margin-top:100.55pt;width:17pt;height: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" fillcolor="#c8a300" strokecolor="#856e00" strokeweight="1pt">
                <v:fill opacity="22873f"/>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6738939E" wp14:editId="1B23975C">
                <wp:simplePos x="0" y="0"/>
                <wp:positionH relativeFrom="column">
                  <wp:posOffset>964565</wp:posOffset>
                </wp:positionH>
                <wp:positionV relativeFrom="paragraph">
                  <wp:posOffset>1237615</wp:posOffset>
                </wp:positionV>
                <wp:extent cx="216000" cy="216000"/>
                <wp:effectExtent l="0" t="0" r="12700" b="12700"/>
                <wp:wrapNone/>
                <wp:docPr id="1260370872" name="Oval 24"/>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C8A300">
                            <a:alpha val="35000"/>
                          </a:srgbClr>
                        </a:solidFill>
                        <a:ln>
                          <a:solidFill>
                            <a:srgbClr val="856E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8DCA5A" id="Oval 24" o:spid="_x0000_s1026" style="position:absolute;margin-left:75.95pt;margin-top:97.45pt;width:17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" fillcolor="#c8a300" strokecolor="#856e00" strokeweight="1pt">
                <v:fill opacity="22873f"/>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228FC420" wp14:editId="06D8AE81">
                <wp:simplePos x="0" y="0"/>
                <wp:positionH relativeFrom="column">
                  <wp:posOffset>2811695</wp:posOffset>
                </wp:positionH>
                <wp:positionV relativeFrom="paragraph">
                  <wp:posOffset>1200823</wp:posOffset>
                </wp:positionV>
                <wp:extent cx="143510" cy="143510"/>
                <wp:effectExtent l="0" t="0" r="27940" b="27940"/>
                <wp:wrapNone/>
                <wp:docPr id="329676499" name="Oval 29"/>
                <wp:cNvGraphicFramePr/>
                <a:graphic xmlns:a="http://schemas.openxmlformats.org/drawingml/2006/main">
                  <a:graphicData uri="http://schemas.microsoft.com/office/word/2010/wordprocessingShape">
                    <wps:wsp>
                      <wps:cNvSpPr/>
                      <wps:spPr>
                        <a:xfrm>
                          <a:off x="0" y="0"/>
                          <a:ext cx="143510" cy="143510"/>
                        </a:xfrm>
                        <a:prstGeom prst="ellipse">
                          <a:avLst/>
                        </a:prstGeom>
                        <a:solidFill>
                          <a:srgbClr val="004E98"/>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36D611" id="Oval 29" o:spid="_x0000_s1026" style="position:absolute;margin-left:221.4pt;margin-top:94.55pt;width:11.3pt;height:1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" fillcolor="#004e98" strokecolor="#030e13 [484]" strokeweight="1pt">
                <v:stroke joinstyle="miter"/>
              </v:oval>
            </w:pict>
          </mc:Fallback>
        </mc:AlternateContent>
      </w:r>
      <w:r w:rsidR="00CE636C" w:rsidRPr="00EF3058">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291A09C8" wp14:editId="7871C39B">
                <wp:simplePos x="0" y="0"/>
                <wp:positionH relativeFrom="column">
                  <wp:posOffset>2768619</wp:posOffset>
                </wp:positionH>
                <wp:positionV relativeFrom="paragraph">
                  <wp:posOffset>1171499</wp:posOffset>
                </wp:positionV>
                <wp:extent cx="215900" cy="215900"/>
                <wp:effectExtent l="0" t="0" r="12700" b="12700"/>
                <wp:wrapNone/>
                <wp:docPr id="359085916" name="Oval 15"/>
                <wp:cNvGraphicFramePr/>
                <a:graphic xmlns:a="http://schemas.openxmlformats.org/drawingml/2006/main">
                  <a:graphicData uri="http://schemas.microsoft.com/office/word/2010/wordprocessingShape">
                    <wps:wsp>
                      <wps:cNvSpPr/>
                      <wps:spPr>
                        <a:xfrm flipH="1" flipV="1">
                          <a:off x="0" y="0"/>
                          <a:ext cx="215900" cy="215900"/>
                        </a:xfrm>
                        <a:prstGeom prst="ellipse">
                          <a:avLst/>
                        </a:prstGeom>
                        <a:solidFill>
                          <a:srgbClr val="C8A300">
                            <a:alpha val="35000"/>
                          </a:srgbClr>
                        </a:solidFill>
                        <a:ln>
                          <a:solidFill>
                            <a:srgbClr val="856E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BD618C" id="Oval 15" o:spid="_x0000_s1026" style="position:absolute;margin-left:218pt;margin-top:92.25pt;width:17pt;height:17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" fillcolor="#c8a300" strokecolor="#856e00" strokeweight="1pt">
                <v:fill opacity="22873f"/>
                <v:stroke joinstyle="miter"/>
              </v:oval>
            </w:pict>
          </mc:Fallback>
        </mc:AlternateContent>
      </w:r>
      <w:r w:rsidR="008305A2" w:rsidRPr="00EF3058">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292FFE77" wp14:editId="3E39BDA2">
                <wp:simplePos x="0" y="0"/>
                <wp:positionH relativeFrom="column">
                  <wp:posOffset>3984625</wp:posOffset>
                </wp:positionH>
                <wp:positionV relativeFrom="paragraph">
                  <wp:posOffset>1918961</wp:posOffset>
                </wp:positionV>
                <wp:extent cx="143510" cy="143510"/>
                <wp:effectExtent l="0" t="0" r="27940" b="27940"/>
                <wp:wrapNone/>
                <wp:docPr id="1704412688" name="Oval 29"/>
                <wp:cNvGraphicFramePr/>
                <a:graphic xmlns:a="http://schemas.openxmlformats.org/drawingml/2006/main">
                  <a:graphicData uri="http://schemas.microsoft.com/office/word/2010/wordprocessingShape">
                    <wps:wsp>
                      <wps:cNvSpPr/>
                      <wps:spPr>
                        <a:xfrm>
                          <a:off x="0" y="0"/>
                          <a:ext cx="143510" cy="143510"/>
                        </a:xfrm>
                        <a:prstGeom prst="ellipse">
                          <a:avLst/>
                        </a:prstGeom>
                        <a:solidFill>
                          <a:srgbClr val="009B6D"/>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F5EF55" id="Oval 29" o:spid="_x0000_s1026" style="position:absolute;margin-left:313.75pt;margin-top:151.1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" fillcolor="#009b6d" strokecolor="#042433" strokeweight="1pt">
                <v:stroke joinstyle="miter"/>
              </v:oval>
            </w:pict>
          </mc:Fallback>
        </mc:AlternateContent>
      </w:r>
      <w:r w:rsidR="00637E61" w:rsidRPr="00EF3058">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5AF046F1" wp14:editId="105953CE">
                <wp:simplePos x="0" y="0"/>
                <wp:positionH relativeFrom="column">
                  <wp:posOffset>3938701</wp:posOffset>
                </wp:positionH>
                <wp:positionV relativeFrom="paragraph">
                  <wp:posOffset>1893522</wp:posOffset>
                </wp:positionV>
                <wp:extent cx="216000" cy="216000"/>
                <wp:effectExtent l="0" t="0" r="12065" b="12700"/>
                <wp:wrapNone/>
                <wp:docPr id="544116966" name="Oval 26"/>
                <wp:cNvGraphicFramePr/>
                <a:graphic xmlns:a="http://schemas.openxmlformats.org/drawingml/2006/main">
                  <a:graphicData uri="http://schemas.microsoft.com/office/word/2010/wordprocessingShape">
                    <wps:wsp>
                      <wps:cNvSpPr/>
                      <wps:spPr>
                        <a:xfrm>
                          <a:off x="0" y="0"/>
                          <a:ext cx="216000" cy="216000"/>
                        </a:xfrm>
                        <a:prstGeom prst="ellipse">
                          <a:avLst/>
                        </a:prstGeom>
                        <a:solidFill>
                          <a:srgbClr val="C8A300">
                            <a:alpha val="35000"/>
                          </a:srgbClr>
                        </a:solidFill>
                        <a:ln>
                          <a:solidFill>
                            <a:srgbClr val="856E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6CEB5" id="Oval 26" o:spid="_x0000_s1026" style="position:absolute;margin-left:310.15pt;margin-top:149.1pt;width:17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" fillcolor="#c8a300" strokecolor="#856e00" strokeweight="1pt">
                <v:fill opacity="22873f"/>
                <v:stroke joinstyle="miter"/>
              </v:oval>
            </w:pict>
          </mc:Fallback>
        </mc:AlternateContent>
      </w:r>
    </w:p>
    <w:p w14:paraId="323F7740" w14:textId="2E74C342" w:rsidR="00B5216E" w:rsidRPr="00EF3058" w:rsidRDefault="0060454B" w:rsidP="006E3C49">
      <w:pPr>
        <w:spacing w:line="360" w:lineRule="auto"/>
        <w:jc w:val="both"/>
        <w:rPr>
          <w:rFonts w:ascii="Arial" w:hAnsi="Arial" w:cs="Arial"/>
          <w:color w:val="262626" w:themeColor="text1" w:themeTint="D9"/>
        </w:rPr>
      </w:pPr>
      <w:r w:rsidRPr="00EF3058">
        <w:rPr>
          <w:rFonts w:ascii="Arial" w:hAnsi="Arial" w:cs="Arial"/>
          <w:noProof/>
          <w:color w:val="262626" w:themeColor="text1" w:themeTint="D9"/>
        </w:rPr>
        <mc:AlternateContent>
          <mc:Choice Requires="wps">
            <w:drawing>
              <wp:anchor distT="45720" distB="45720" distL="114300" distR="114300" simplePos="0" relativeHeight="251683840" behindDoc="0" locked="0" layoutInCell="1" allowOverlap="1" wp14:anchorId="110098E9" wp14:editId="2A24690D">
                <wp:simplePos x="0" y="0"/>
                <wp:positionH relativeFrom="column">
                  <wp:posOffset>431800</wp:posOffset>
                </wp:positionH>
                <wp:positionV relativeFrom="paragraph">
                  <wp:posOffset>203835</wp:posOffset>
                </wp:positionV>
                <wp:extent cx="1282065" cy="677545"/>
                <wp:effectExtent l="0" t="0" r="0" b="0"/>
                <wp:wrapSquare wrapText="bothSides"/>
                <wp:docPr id="1819573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065" cy="677545"/>
                        </a:xfrm>
                        <a:prstGeom prst="rect">
                          <a:avLst/>
                        </a:prstGeom>
                        <a:solidFill>
                          <a:srgbClr val="FFFFFF">
                            <a:alpha val="0"/>
                          </a:srgbClr>
                        </a:solidFill>
                        <a:ln w="9525">
                          <a:noFill/>
                          <a:miter lim="800000"/>
                          <a:headEnd/>
                          <a:tailEnd/>
                        </a:ln>
                      </wps:spPr>
                      <wps:txbx>
                        <w:txbxContent>
                          <w:p w14:paraId="5F48CBFB" w14:textId="78445755" w:rsidR="00885404" w:rsidRPr="00EF3058" w:rsidRDefault="00885404" w:rsidP="00885404">
                            <w:pPr>
                              <w:jc w:val="center"/>
                              <w:rPr>
                                <w:rFonts w:ascii="Arial" w:hAnsi="Arial" w:cs="Arial"/>
                                <w:b/>
                                <w:bCs/>
                                <w:sz w:val="18"/>
                                <w:szCs w:val="18"/>
                              </w:rPr>
                            </w:pPr>
                            <w:r w:rsidRPr="00EF3058">
                              <w:rPr>
                                <w:rFonts w:ascii="Arial" w:hAnsi="Arial" w:cs="Arial"/>
                                <w:b/>
                                <w:bCs/>
                                <w:sz w:val="18"/>
                                <w:szCs w:val="18"/>
                              </w:rPr>
                              <w:t>United States</w:t>
                            </w:r>
                          </w:p>
                          <w:p w14:paraId="7549FA7B" w14:textId="78E86144" w:rsidR="00885404" w:rsidRPr="00EF3058" w:rsidRDefault="00885404" w:rsidP="00885404">
                            <w:pPr>
                              <w:jc w:val="center"/>
                              <w:rPr>
                                <w:rFonts w:ascii="Arial" w:hAnsi="Arial" w:cs="Arial"/>
                                <w:i/>
                                <w:iCs/>
                                <w:sz w:val="18"/>
                                <w:szCs w:val="18"/>
                              </w:rPr>
                            </w:pPr>
                            <w:r w:rsidRPr="00EF3058">
                              <w:rPr>
                                <w:rFonts w:ascii="Arial" w:hAnsi="Arial" w:cs="Arial"/>
                                <w:i/>
                                <w:iCs/>
                                <w:sz w:val="18"/>
                                <w:szCs w:val="18"/>
                              </w:rPr>
                              <w:t>Clinical</w:t>
                            </w:r>
                            <w:r w:rsidR="0060454B" w:rsidRPr="00EF3058">
                              <w:rPr>
                                <w:rFonts w:ascii="Arial" w:hAnsi="Arial" w:cs="Arial"/>
                                <w:i/>
                                <w:iCs/>
                                <w:sz w:val="18"/>
                                <w:szCs w:val="18"/>
                              </w:rPr>
                              <w:t xml:space="preserve"> Science and</w:t>
                            </w:r>
                            <w:r w:rsidRPr="00EF3058">
                              <w:rPr>
                                <w:rFonts w:ascii="Arial" w:hAnsi="Arial" w:cs="Arial"/>
                                <w:i/>
                                <w:iCs/>
                                <w:sz w:val="18"/>
                                <w:szCs w:val="18"/>
                              </w:rPr>
                              <w:t xml:space="preserve"> Dermatology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0098E9" id="_x0000_t202" coordsize="21600,21600" o:spt="202" path="m,l,21600r21600,l21600,xe">
                <v:stroke joinstyle="miter"/>
                <v:path gradientshapeok="t" o:connecttype="rect"/>
              </v:shapetype>
              <v:shape id="Text Box 2" o:spid="_x0000_s1026" type="#_x0000_t202" style="position:absolute;left:0;text-align:left;margin-left:34pt;margin-top:16.05pt;width:100.95pt;height:53.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" stroked="f">
                <v:fill opacity="0"/>
                <v:textbox>
                  <w:txbxContent>
                    <w:p w14:paraId="5F48CBFB" w14:textId="78445755" w:rsidR="00885404" w:rsidRPr="00EF3058" w:rsidRDefault="00885404" w:rsidP="00885404">
                      <w:pPr>
                        <w:jc w:val="center"/>
                        <w:rPr>
                          <w:rFonts w:ascii="Arial" w:hAnsi="Arial" w:cs="Arial"/>
                          <w:b/>
                          <w:bCs/>
                          <w:sz w:val="18"/>
                          <w:szCs w:val="18"/>
                        </w:rPr>
                      </w:pPr>
                      <w:r w:rsidRPr="00EF3058">
                        <w:rPr>
                          <w:rFonts w:ascii="Arial" w:hAnsi="Arial" w:cs="Arial"/>
                          <w:b/>
                          <w:bCs/>
                          <w:sz w:val="18"/>
                          <w:szCs w:val="18"/>
                        </w:rPr>
                        <w:t>United States</w:t>
                      </w:r>
                    </w:p>
                    <w:p w14:paraId="7549FA7B" w14:textId="78E86144" w:rsidR="00885404" w:rsidRPr="00EF3058" w:rsidRDefault="00885404" w:rsidP="00885404">
                      <w:pPr>
                        <w:jc w:val="center"/>
                        <w:rPr>
                          <w:rFonts w:ascii="Arial" w:hAnsi="Arial" w:cs="Arial"/>
                          <w:i/>
                          <w:iCs/>
                          <w:sz w:val="18"/>
                          <w:szCs w:val="18"/>
                        </w:rPr>
                      </w:pPr>
                      <w:r w:rsidRPr="00EF3058">
                        <w:rPr>
                          <w:rFonts w:ascii="Arial" w:hAnsi="Arial" w:cs="Arial"/>
                          <w:i/>
                          <w:iCs/>
                          <w:sz w:val="18"/>
                          <w:szCs w:val="18"/>
                        </w:rPr>
                        <w:t>Clinical</w:t>
                      </w:r>
                      <w:r w:rsidR="0060454B" w:rsidRPr="00EF3058">
                        <w:rPr>
                          <w:rFonts w:ascii="Arial" w:hAnsi="Arial" w:cs="Arial"/>
                          <w:i/>
                          <w:iCs/>
                          <w:sz w:val="18"/>
                          <w:szCs w:val="18"/>
                        </w:rPr>
                        <w:t xml:space="preserve"> Science and</w:t>
                      </w:r>
                      <w:r w:rsidRPr="00EF3058">
                        <w:rPr>
                          <w:rFonts w:ascii="Arial" w:hAnsi="Arial" w:cs="Arial"/>
                          <w:i/>
                          <w:iCs/>
                          <w:sz w:val="18"/>
                          <w:szCs w:val="18"/>
                        </w:rPr>
                        <w:t xml:space="preserve"> Dermatology</w:t>
                      </w:r>
                    </w:p>
                  </w:txbxContent>
                </v:textbox>
                <w10:wrap type="square"/>
              </v:shape>
            </w:pict>
          </mc:Fallback>
        </mc:AlternateContent>
      </w:r>
      <w:r w:rsidR="00885404" w:rsidRPr="00EF3058">
        <w:rPr>
          <w:rFonts w:ascii="Arial" w:hAnsi="Arial" w:cs="Arial"/>
          <w:noProof/>
          <w:color w:val="262626" w:themeColor="text1" w:themeTint="D9"/>
        </w:rPr>
        <mc:AlternateContent>
          <mc:Choice Requires="wps">
            <w:drawing>
              <wp:anchor distT="45720" distB="45720" distL="114300" distR="114300" simplePos="0" relativeHeight="251685888" behindDoc="0" locked="0" layoutInCell="1" allowOverlap="1" wp14:anchorId="17B4EE46" wp14:editId="44E433AF">
                <wp:simplePos x="0" y="0"/>
                <wp:positionH relativeFrom="column">
                  <wp:posOffset>3726048</wp:posOffset>
                </wp:positionH>
                <wp:positionV relativeFrom="paragraph">
                  <wp:posOffset>319689</wp:posOffset>
                </wp:positionV>
                <wp:extent cx="1163013" cy="651642"/>
                <wp:effectExtent l="0" t="0" r="0" b="0"/>
                <wp:wrapNone/>
                <wp:docPr id="542150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013" cy="651642"/>
                        </a:xfrm>
                        <a:prstGeom prst="rect">
                          <a:avLst/>
                        </a:prstGeom>
                        <a:solidFill>
                          <a:srgbClr val="FFFFFF">
                            <a:alpha val="0"/>
                          </a:srgbClr>
                        </a:solidFill>
                        <a:ln w="9525">
                          <a:noFill/>
                          <a:miter lim="800000"/>
                          <a:headEnd/>
                          <a:tailEnd/>
                        </a:ln>
                      </wps:spPr>
                      <wps:txbx>
                        <w:txbxContent>
                          <w:p w14:paraId="471E8555" w14:textId="00BC4441" w:rsidR="00885404" w:rsidRPr="00EF3058" w:rsidRDefault="00885404" w:rsidP="00885404">
                            <w:pPr>
                              <w:jc w:val="center"/>
                              <w:rPr>
                                <w:rFonts w:ascii="Arial" w:hAnsi="Arial" w:cs="Arial"/>
                                <w:b/>
                                <w:bCs/>
                                <w:sz w:val="18"/>
                                <w:szCs w:val="18"/>
                              </w:rPr>
                            </w:pPr>
                            <w:r w:rsidRPr="00EF3058">
                              <w:rPr>
                                <w:rFonts w:ascii="Arial" w:hAnsi="Arial" w:cs="Arial"/>
                                <w:b/>
                                <w:bCs/>
                                <w:sz w:val="18"/>
                                <w:szCs w:val="18"/>
                              </w:rPr>
                              <w:t>China</w:t>
                            </w:r>
                          </w:p>
                          <w:p w14:paraId="069438BA" w14:textId="1A9EF486" w:rsidR="00885404" w:rsidRPr="00EF3058" w:rsidRDefault="00885404" w:rsidP="00885404">
                            <w:pPr>
                              <w:jc w:val="center"/>
                              <w:rPr>
                                <w:rFonts w:ascii="Arial" w:hAnsi="Arial" w:cs="Arial"/>
                                <w:i/>
                                <w:iCs/>
                                <w:sz w:val="18"/>
                                <w:szCs w:val="18"/>
                              </w:rPr>
                            </w:pPr>
                            <w:r w:rsidRPr="00EF3058">
                              <w:rPr>
                                <w:rFonts w:ascii="Arial" w:hAnsi="Arial" w:cs="Arial"/>
                                <w:i/>
                                <w:iCs/>
                                <w:sz w:val="18"/>
                                <w:szCs w:val="18"/>
                              </w:rPr>
                              <w:t>AI Diagnostics and Prototyping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4EE46" id="_x0000_s1027" type="#_x0000_t202" style="position:absolute;left:0;text-align:left;margin-left:293.4pt;margin-top:25.15pt;width:91.6pt;height:51.3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" stroked="f">
                <v:fill opacity="0"/>
                <v:textbox>
                  <w:txbxContent>
                    <w:p w14:paraId="471E8555" w14:textId="00BC4441" w:rsidR="00885404" w:rsidRPr="00EF3058" w:rsidRDefault="00885404" w:rsidP="00885404">
                      <w:pPr>
                        <w:jc w:val="center"/>
                        <w:rPr>
                          <w:rFonts w:ascii="Arial" w:hAnsi="Arial" w:cs="Arial"/>
                          <w:b/>
                          <w:bCs/>
                          <w:sz w:val="18"/>
                          <w:szCs w:val="18"/>
                        </w:rPr>
                      </w:pPr>
                      <w:r w:rsidRPr="00EF3058">
                        <w:rPr>
                          <w:rFonts w:ascii="Arial" w:hAnsi="Arial" w:cs="Arial"/>
                          <w:b/>
                          <w:bCs/>
                          <w:sz w:val="18"/>
                          <w:szCs w:val="18"/>
                        </w:rPr>
                        <w:t>China</w:t>
                      </w:r>
                    </w:p>
                    <w:p w14:paraId="069438BA" w14:textId="1A9EF486" w:rsidR="00885404" w:rsidRPr="00EF3058" w:rsidRDefault="00885404" w:rsidP="00885404">
                      <w:pPr>
                        <w:jc w:val="center"/>
                        <w:rPr>
                          <w:rFonts w:ascii="Arial" w:hAnsi="Arial" w:cs="Arial"/>
                          <w:i/>
                          <w:iCs/>
                          <w:sz w:val="18"/>
                          <w:szCs w:val="18"/>
                        </w:rPr>
                      </w:pPr>
                      <w:r w:rsidRPr="00EF3058">
                        <w:rPr>
                          <w:rFonts w:ascii="Arial" w:hAnsi="Arial" w:cs="Arial"/>
                          <w:i/>
                          <w:iCs/>
                          <w:sz w:val="18"/>
                          <w:szCs w:val="18"/>
                        </w:rPr>
                        <w:t>AI Diagnostics and Prototyping</w:t>
                      </w:r>
                    </w:p>
                  </w:txbxContent>
                </v:textbox>
              </v:shape>
            </w:pict>
          </mc:Fallback>
        </mc:AlternateContent>
      </w:r>
      <w:r w:rsidR="00885404" w:rsidRPr="00EF3058">
        <w:rPr>
          <w:rFonts w:ascii="Arial" w:hAnsi="Arial" w:cs="Arial"/>
          <w:noProof/>
          <w:color w:val="262626" w:themeColor="text1" w:themeTint="D9"/>
        </w:rPr>
        <mc:AlternateContent>
          <mc:Choice Requires="wps">
            <w:drawing>
              <wp:anchor distT="45720" distB="45720" distL="114300" distR="114300" simplePos="0" relativeHeight="251681792" behindDoc="0" locked="0" layoutInCell="1" allowOverlap="1" wp14:anchorId="3A35C66B" wp14:editId="4AD7B49F">
                <wp:simplePos x="0" y="0"/>
                <wp:positionH relativeFrom="column">
                  <wp:posOffset>2353814</wp:posOffset>
                </wp:positionH>
                <wp:positionV relativeFrom="paragraph">
                  <wp:posOffset>204382</wp:posOffset>
                </wp:positionV>
                <wp:extent cx="1163013" cy="62011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013" cy="620110"/>
                        </a:xfrm>
                        <a:prstGeom prst="rect">
                          <a:avLst/>
                        </a:prstGeom>
                        <a:solidFill>
                          <a:srgbClr val="FFFFFF">
                            <a:alpha val="0"/>
                          </a:srgbClr>
                        </a:solidFill>
                        <a:ln w="9525">
                          <a:noFill/>
                          <a:miter lim="800000"/>
                          <a:headEnd/>
                          <a:tailEnd/>
                        </a:ln>
                      </wps:spPr>
                      <wps:txbx>
                        <w:txbxContent>
                          <w:p w14:paraId="2E330F73" w14:textId="5A0E8F5F" w:rsidR="00885404" w:rsidRPr="00EF3058" w:rsidRDefault="00885404" w:rsidP="00885404">
                            <w:pPr>
                              <w:jc w:val="center"/>
                              <w:rPr>
                                <w:rFonts w:ascii="Arial" w:hAnsi="Arial" w:cs="Arial"/>
                                <w:b/>
                                <w:bCs/>
                                <w:color w:val="262626" w:themeColor="text1" w:themeTint="D9"/>
                                <w:sz w:val="18"/>
                                <w:szCs w:val="18"/>
                              </w:rPr>
                            </w:pPr>
                            <w:r w:rsidRPr="00EF3058">
                              <w:rPr>
                                <w:rFonts w:ascii="Arial" w:hAnsi="Arial" w:cs="Arial"/>
                                <w:b/>
                                <w:bCs/>
                                <w:color w:val="262626" w:themeColor="text1" w:themeTint="D9"/>
                                <w:sz w:val="18"/>
                                <w:szCs w:val="18"/>
                              </w:rPr>
                              <w:t>France (HQ)</w:t>
                            </w:r>
                          </w:p>
                          <w:p w14:paraId="301DE935" w14:textId="77141FA2" w:rsidR="00885404" w:rsidRPr="00EF3058" w:rsidRDefault="00885404" w:rsidP="00885404">
                            <w:pPr>
                              <w:jc w:val="center"/>
                              <w:rPr>
                                <w:rFonts w:ascii="Arial" w:hAnsi="Arial" w:cs="Arial"/>
                                <w:i/>
                                <w:iCs/>
                                <w:color w:val="262626" w:themeColor="text1" w:themeTint="D9"/>
                                <w:sz w:val="18"/>
                                <w:szCs w:val="18"/>
                              </w:rPr>
                            </w:pPr>
                            <w:r w:rsidRPr="00EF3058">
                              <w:rPr>
                                <w:rFonts w:ascii="Arial" w:hAnsi="Arial" w:cs="Arial"/>
                                <w:i/>
                                <w:iCs/>
                                <w:color w:val="262626" w:themeColor="text1" w:themeTint="D9"/>
                                <w:sz w:val="18"/>
                                <w:szCs w:val="18"/>
                              </w:rPr>
                              <w:t>Advanced Formulations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5C66B" id="_x0000_s1028" type="#_x0000_t202" style="position:absolute;left:0;text-align:left;margin-left:185.35pt;margin-top:16.1pt;width:91.6pt;height:48.8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" stroked="f">
                <v:fill opacity="0"/>
                <v:textbox>
                  <w:txbxContent>
                    <w:p w14:paraId="2E330F73" w14:textId="5A0E8F5F" w:rsidR="00885404" w:rsidRPr="00EF3058" w:rsidRDefault="00885404" w:rsidP="00885404">
                      <w:pPr>
                        <w:jc w:val="center"/>
                        <w:rPr>
                          <w:rFonts w:ascii="Arial" w:hAnsi="Arial" w:cs="Arial"/>
                          <w:b/>
                          <w:bCs/>
                          <w:color w:val="262626" w:themeColor="text1" w:themeTint="D9"/>
                          <w:sz w:val="18"/>
                          <w:szCs w:val="18"/>
                        </w:rPr>
                      </w:pPr>
                      <w:r w:rsidRPr="00EF3058">
                        <w:rPr>
                          <w:rFonts w:ascii="Arial" w:hAnsi="Arial" w:cs="Arial"/>
                          <w:b/>
                          <w:bCs/>
                          <w:color w:val="262626" w:themeColor="text1" w:themeTint="D9"/>
                          <w:sz w:val="18"/>
                          <w:szCs w:val="18"/>
                        </w:rPr>
                        <w:t>France (HQ)</w:t>
                      </w:r>
                    </w:p>
                    <w:p w14:paraId="301DE935" w14:textId="77141FA2" w:rsidR="00885404" w:rsidRPr="00EF3058" w:rsidRDefault="00885404" w:rsidP="00885404">
                      <w:pPr>
                        <w:jc w:val="center"/>
                        <w:rPr>
                          <w:rFonts w:ascii="Arial" w:hAnsi="Arial" w:cs="Arial"/>
                          <w:i/>
                          <w:iCs/>
                          <w:color w:val="262626" w:themeColor="text1" w:themeTint="D9"/>
                          <w:sz w:val="18"/>
                          <w:szCs w:val="18"/>
                        </w:rPr>
                      </w:pPr>
                      <w:r w:rsidRPr="00EF3058">
                        <w:rPr>
                          <w:rFonts w:ascii="Arial" w:hAnsi="Arial" w:cs="Arial"/>
                          <w:i/>
                          <w:iCs/>
                          <w:color w:val="262626" w:themeColor="text1" w:themeTint="D9"/>
                          <w:sz w:val="18"/>
                          <w:szCs w:val="18"/>
                        </w:rPr>
                        <w:t>Advanced Formulations</w:t>
                      </w:r>
                    </w:p>
                  </w:txbxContent>
                </v:textbox>
              </v:shape>
            </w:pict>
          </mc:Fallback>
        </mc:AlternateContent>
      </w:r>
    </w:p>
    <w:p w14:paraId="25DE51A6" w14:textId="19640DDE" w:rsidR="006E3C49" w:rsidRPr="00EF3058" w:rsidRDefault="00885404" w:rsidP="003113C4">
      <w:pPr>
        <w:spacing w:line="360" w:lineRule="auto"/>
        <w:rPr>
          <w:rFonts w:ascii="Arial" w:hAnsi="Arial" w:cs="Arial"/>
          <w:color w:val="000000" w:themeColor="text1"/>
        </w:rPr>
      </w:pPr>
      <w:r w:rsidRPr="00EF3058">
        <w:rPr>
          <w:rFonts w:ascii="Arial" w:hAnsi="Arial" w:cs="Arial"/>
          <w:noProof/>
          <w:color w:val="262626" w:themeColor="text1" w:themeTint="D9"/>
        </w:rPr>
        <mc:AlternateContent>
          <mc:Choice Requires="wps">
            <w:drawing>
              <wp:anchor distT="45720" distB="45720" distL="114300" distR="114300" simplePos="0" relativeHeight="251687936" behindDoc="0" locked="0" layoutInCell="1" allowOverlap="1" wp14:anchorId="02C37A76" wp14:editId="3B91F651">
                <wp:simplePos x="0" y="0"/>
                <wp:positionH relativeFrom="column">
                  <wp:posOffset>5074920</wp:posOffset>
                </wp:positionH>
                <wp:positionV relativeFrom="paragraph">
                  <wp:posOffset>129540</wp:posOffset>
                </wp:positionV>
                <wp:extent cx="868045" cy="525145"/>
                <wp:effectExtent l="0" t="0" r="0" b="0"/>
                <wp:wrapSquare wrapText="bothSides"/>
                <wp:docPr id="883571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525145"/>
                        </a:xfrm>
                        <a:prstGeom prst="rect">
                          <a:avLst/>
                        </a:prstGeom>
                        <a:solidFill>
                          <a:srgbClr val="FFFFFF">
                            <a:alpha val="0"/>
                          </a:srgbClr>
                        </a:solidFill>
                        <a:ln w="9525">
                          <a:noFill/>
                          <a:miter lim="800000"/>
                          <a:headEnd/>
                          <a:tailEnd/>
                        </a:ln>
                      </wps:spPr>
                      <wps:txbx>
                        <w:txbxContent>
                          <w:p w14:paraId="681CE07C" w14:textId="438C8FC7" w:rsidR="00885404" w:rsidRPr="00EF3058" w:rsidRDefault="00885404">
                            <w:pPr>
                              <w:rPr>
                                <w:rFonts w:ascii="Arial" w:hAnsi="Arial" w:cs="Arial"/>
                                <w:sz w:val="18"/>
                                <w:szCs w:val="18"/>
                              </w:rPr>
                            </w:pPr>
                            <w:r w:rsidRPr="00EF3058">
                              <w:rPr>
                                <w:rFonts w:ascii="Arial" w:hAnsi="Arial" w:cs="Arial"/>
                                <w:b/>
                                <w:bCs/>
                                <w:sz w:val="18"/>
                                <w:szCs w:val="18"/>
                              </w:rPr>
                              <w:t>Japan</w:t>
                            </w:r>
                            <w:r w:rsidRPr="00EF3058">
                              <w:rPr>
                                <w:rFonts w:ascii="Arial" w:hAnsi="Arial" w:cs="Arial"/>
                                <w:sz w:val="18"/>
                                <w:szCs w:val="18"/>
                              </w:rPr>
                              <w:br/>
                            </w:r>
                            <w:r w:rsidRPr="00EF3058">
                              <w:rPr>
                                <w:rFonts w:ascii="Arial" w:hAnsi="Arial" w:cs="Arial"/>
                                <w:i/>
                                <w:iCs/>
                                <w:sz w:val="18"/>
                                <w:szCs w:val="18"/>
                              </w:rPr>
                              <w:t>Beauty-Tech Precision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37A76" id="_x0000_s1029" type="#_x0000_t202" style="position:absolute;margin-left:399.6pt;margin-top:10.2pt;width:68.35pt;height:4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" stroked="f">
                <v:fill opacity="0"/>
                <v:textbox>
                  <w:txbxContent>
                    <w:p w14:paraId="681CE07C" w14:textId="438C8FC7" w:rsidR="00885404" w:rsidRPr="00EF3058" w:rsidRDefault="00885404">
                      <w:pPr>
                        <w:rPr>
                          <w:rFonts w:ascii="Arial" w:hAnsi="Arial" w:cs="Arial"/>
                          <w:sz w:val="18"/>
                          <w:szCs w:val="18"/>
                        </w:rPr>
                      </w:pPr>
                      <w:r w:rsidRPr="00EF3058">
                        <w:rPr>
                          <w:rFonts w:ascii="Arial" w:hAnsi="Arial" w:cs="Arial"/>
                          <w:b/>
                          <w:bCs/>
                          <w:sz w:val="18"/>
                          <w:szCs w:val="18"/>
                        </w:rPr>
                        <w:t>Japan</w:t>
                      </w:r>
                      <w:r w:rsidRPr="00EF3058">
                        <w:rPr>
                          <w:rFonts w:ascii="Arial" w:hAnsi="Arial" w:cs="Arial"/>
                          <w:sz w:val="18"/>
                          <w:szCs w:val="18"/>
                        </w:rPr>
                        <w:br/>
                      </w:r>
                      <w:r w:rsidRPr="00EF3058">
                        <w:rPr>
                          <w:rFonts w:ascii="Arial" w:hAnsi="Arial" w:cs="Arial"/>
                          <w:i/>
                          <w:iCs/>
                          <w:sz w:val="18"/>
                          <w:szCs w:val="18"/>
                        </w:rPr>
                        <w:t>Beauty-Tech Precision</w:t>
                      </w:r>
                    </w:p>
                  </w:txbxContent>
                </v:textbox>
                <w10:wrap type="square"/>
              </v:shape>
            </w:pict>
          </mc:Fallback>
        </mc:AlternateContent>
      </w:r>
    </w:p>
    <w:p w14:paraId="3ED0B4B3" w14:textId="3C9559A6" w:rsidR="006E3C49" w:rsidRPr="00EF3058" w:rsidRDefault="006E3C49" w:rsidP="003113C4">
      <w:pPr>
        <w:spacing w:line="360" w:lineRule="auto"/>
        <w:rPr>
          <w:rFonts w:ascii="Arial" w:hAnsi="Arial" w:cs="Arial"/>
          <w:color w:val="262626" w:themeColor="text1" w:themeTint="D9"/>
        </w:rPr>
      </w:pPr>
    </w:p>
    <w:p w14:paraId="0EFDA508" w14:textId="19B4B4CB" w:rsidR="006E3C49" w:rsidRPr="00EF3058" w:rsidRDefault="006E3C49" w:rsidP="003113C4">
      <w:pPr>
        <w:spacing w:line="360" w:lineRule="auto"/>
        <w:rPr>
          <w:rFonts w:ascii="Arial" w:hAnsi="Arial" w:cs="Arial"/>
          <w:color w:val="262626" w:themeColor="text1" w:themeTint="D9"/>
        </w:rPr>
      </w:pPr>
    </w:p>
    <w:p w14:paraId="21C521F7" w14:textId="144FEE0C" w:rsidR="006E3C49" w:rsidRPr="00EF3058" w:rsidRDefault="006E3C49" w:rsidP="003113C4">
      <w:pPr>
        <w:spacing w:line="360" w:lineRule="auto"/>
        <w:rPr>
          <w:rFonts w:ascii="Arial" w:hAnsi="Arial" w:cs="Arial"/>
          <w:color w:val="262626" w:themeColor="text1" w:themeTint="D9"/>
        </w:rPr>
      </w:pPr>
    </w:p>
    <w:p w14:paraId="452B3B0E" w14:textId="597AF32F" w:rsidR="00B5216E" w:rsidRPr="00EF3058" w:rsidRDefault="00ED6CA3" w:rsidP="003113C4">
      <w:pPr>
        <w:spacing w:line="360" w:lineRule="auto"/>
        <w:rPr>
          <w:rFonts w:ascii="Arial" w:hAnsi="Arial" w:cs="Arial"/>
          <w:color w:val="262626" w:themeColor="text1" w:themeTint="D9"/>
        </w:rPr>
      </w:pPr>
      <w:r w:rsidRPr="00EF3058">
        <w:rPr>
          <w:rFonts w:ascii="Arial" w:hAnsi="Arial" w:cs="Arial"/>
          <w:noProof/>
          <w:color w:val="262626" w:themeColor="text1" w:themeTint="D9"/>
        </w:rPr>
        <mc:AlternateContent>
          <mc:Choice Requires="wps">
            <w:drawing>
              <wp:anchor distT="45720" distB="45720" distL="114300" distR="114300" simplePos="0" relativeHeight="251689984" behindDoc="0" locked="0" layoutInCell="1" allowOverlap="1" wp14:anchorId="0148C912" wp14:editId="7076BF37">
                <wp:simplePos x="0" y="0"/>
                <wp:positionH relativeFrom="column">
                  <wp:posOffset>3800234</wp:posOffset>
                </wp:positionH>
                <wp:positionV relativeFrom="paragraph">
                  <wp:posOffset>119249</wp:posOffset>
                </wp:positionV>
                <wp:extent cx="1163013" cy="641131"/>
                <wp:effectExtent l="0" t="0" r="0" b="0"/>
                <wp:wrapNone/>
                <wp:docPr id="10519521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013" cy="641131"/>
                        </a:xfrm>
                        <a:prstGeom prst="rect">
                          <a:avLst/>
                        </a:prstGeom>
                        <a:solidFill>
                          <a:srgbClr val="FFFFFF">
                            <a:alpha val="0"/>
                          </a:srgbClr>
                        </a:solidFill>
                        <a:ln w="9525">
                          <a:noFill/>
                          <a:miter lim="800000"/>
                          <a:headEnd/>
                          <a:tailEnd/>
                        </a:ln>
                      </wps:spPr>
                      <wps:txbx>
                        <w:txbxContent>
                          <w:p w14:paraId="206C71D3" w14:textId="41B61820" w:rsidR="00885404" w:rsidRPr="00EF3058" w:rsidRDefault="00885404" w:rsidP="00885404">
                            <w:pPr>
                              <w:rPr>
                                <w:rFonts w:ascii="Arial" w:hAnsi="Arial" w:cs="Arial"/>
                                <w:b/>
                                <w:bCs/>
                                <w:sz w:val="18"/>
                                <w:szCs w:val="18"/>
                              </w:rPr>
                            </w:pPr>
                            <w:r w:rsidRPr="00EF3058">
                              <w:rPr>
                                <w:rFonts w:ascii="Arial" w:hAnsi="Arial" w:cs="Arial"/>
                                <w:b/>
                                <w:bCs/>
                                <w:sz w:val="18"/>
                                <w:szCs w:val="18"/>
                              </w:rPr>
                              <w:t>India</w:t>
                            </w:r>
                          </w:p>
                          <w:p w14:paraId="5E8F29FE" w14:textId="77872781" w:rsidR="00885404" w:rsidRPr="00EF3058" w:rsidRDefault="00885404" w:rsidP="00885404">
                            <w:pPr>
                              <w:rPr>
                                <w:rFonts w:ascii="Arial" w:hAnsi="Arial" w:cs="Arial"/>
                                <w:i/>
                                <w:iCs/>
                                <w:sz w:val="18"/>
                                <w:szCs w:val="18"/>
                              </w:rPr>
                            </w:pPr>
                            <w:r w:rsidRPr="00EF3058">
                              <w:rPr>
                                <w:rFonts w:ascii="Arial" w:hAnsi="Arial" w:cs="Arial"/>
                                <w:i/>
                                <w:iCs/>
                                <w:sz w:val="18"/>
                                <w:szCs w:val="18"/>
                              </w:rPr>
                              <w:t>Melanin Research and Ayurveda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8C912" id="_x0000_s1030" type="#_x0000_t202" style="position:absolute;margin-left:299.25pt;margin-top:9.4pt;width:91.6pt;height:50.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" stroked="f">
                <v:fill opacity="0"/>
                <v:textbox>
                  <w:txbxContent>
                    <w:p w14:paraId="206C71D3" w14:textId="41B61820" w:rsidR="00885404" w:rsidRPr="00EF3058" w:rsidRDefault="00885404" w:rsidP="00885404">
                      <w:pPr>
                        <w:rPr>
                          <w:rFonts w:ascii="Arial" w:hAnsi="Arial" w:cs="Arial"/>
                          <w:b/>
                          <w:bCs/>
                          <w:sz w:val="18"/>
                          <w:szCs w:val="18"/>
                        </w:rPr>
                      </w:pPr>
                      <w:r w:rsidRPr="00EF3058">
                        <w:rPr>
                          <w:rFonts w:ascii="Arial" w:hAnsi="Arial" w:cs="Arial"/>
                          <w:b/>
                          <w:bCs/>
                          <w:sz w:val="18"/>
                          <w:szCs w:val="18"/>
                        </w:rPr>
                        <w:t>India</w:t>
                      </w:r>
                    </w:p>
                    <w:p w14:paraId="5E8F29FE" w14:textId="77872781" w:rsidR="00885404" w:rsidRPr="00EF3058" w:rsidRDefault="00885404" w:rsidP="00885404">
                      <w:pPr>
                        <w:rPr>
                          <w:rFonts w:ascii="Arial" w:hAnsi="Arial" w:cs="Arial"/>
                          <w:i/>
                          <w:iCs/>
                          <w:sz w:val="18"/>
                          <w:szCs w:val="18"/>
                        </w:rPr>
                      </w:pPr>
                      <w:r w:rsidRPr="00EF3058">
                        <w:rPr>
                          <w:rFonts w:ascii="Arial" w:hAnsi="Arial" w:cs="Arial"/>
                          <w:i/>
                          <w:iCs/>
                          <w:sz w:val="18"/>
                          <w:szCs w:val="18"/>
                        </w:rPr>
                        <w:t>Melanin Research and Ayurveda</w:t>
                      </w:r>
                    </w:p>
                  </w:txbxContent>
                </v:textbox>
              </v:shape>
            </w:pict>
          </mc:Fallback>
        </mc:AlternateContent>
      </w:r>
    </w:p>
    <w:p w14:paraId="699D9691" w14:textId="77777777" w:rsidR="00ED6CA3" w:rsidRPr="00EF3058" w:rsidRDefault="00ED6CA3" w:rsidP="003113C4">
      <w:pPr>
        <w:spacing w:line="360" w:lineRule="auto"/>
        <w:rPr>
          <w:rFonts w:ascii="Arial" w:hAnsi="Arial" w:cs="Arial"/>
          <w:color w:val="262626" w:themeColor="text1" w:themeTint="D9"/>
        </w:rPr>
      </w:pPr>
    </w:p>
    <w:p w14:paraId="3D4A2672" w14:textId="77777777" w:rsidR="00ED6CA3" w:rsidRPr="00EF3058" w:rsidRDefault="00ED6CA3" w:rsidP="003113C4">
      <w:pPr>
        <w:spacing w:line="360" w:lineRule="auto"/>
        <w:rPr>
          <w:rFonts w:ascii="Arial" w:hAnsi="Arial" w:cs="Arial"/>
          <w:color w:val="262626" w:themeColor="text1" w:themeTint="D9"/>
        </w:rPr>
      </w:pPr>
    </w:p>
    <w:p w14:paraId="1BAB0FD3" w14:textId="77777777" w:rsidR="00ED6CA3" w:rsidRPr="00EF3058" w:rsidRDefault="00ED6CA3" w:rsidP="003113C4">
      <w:pPr>
        <w:spacing w:line="360" w:lineRule="auto"/>
        <w:rPr>
          <w:rFonts w:ascii="Arial" w:hAnsi="Arial" w:cs="Arial"/>
          <w:color w:val="262626" w:themeColor="text1" w:themeTint="D9"/>
        </w:rPr>
      </w:pPr>
    </w:p>
    <w:p w14:paraId="45D2B0F7" w14:textId="77777777" w:rsidR="00ED6CA3" w:rsidRPr="00EF3058" w:rsidRDefault="00ED6CA3" w:rsidP="003113C4">
      <w:pPr>
        <w:spacing w:line="360" w:lineRule="auto"/>
        <w:rPr>
          <w:rFonts w:ascii="Arial" w:hAnsi="Arial" w:cs="Arial"/>
          <w:color w:val="262626" w:themeColor="text1" w:themeTint="D9"/>
        </w:rPr>
      </w:pPr>
    </w:p>
    <w:p w14:paraId="135E5536" w14:textId="77777777" w:rsidR="00ED6CA3" w:rsidRPr="00EF3058" w:rsidRDefault="00ED6CA3" w:rsidP="003113C4">
      <w:pPr>
        <w:spacing w:line="360" w:lineRule="auto"/>
        <w:rPr>
          <w:rFonts w:ascii="Arial" w:hAnsi="Arial" w:cs="Arial"/>
          <w:color w:val="262626" w:themeColor="text1" w:themeTint="D9"/>
        </w:rPr>
      </w:pPr>
    </w:p>
    <w:p w14:paraId="4E46D2BC" w14:textId="77777777" w:rsidR="00ED6CA3" w:rsidRPr="00EF3058" w:rsidRDefault="00ED6CA3" w:rsidP="003113C4">
      <w:pPr>
        <w:spacing w:line="360" w:lineRule="auto"/>
        <w:rPr>
          <w:rFonts w:ascii="Arial" w:hAnsi="Arial" w:cs="Arial"/>
          <w:color w:val="262626" w:themeColor="text1" w:themeTint="D9"/>
        </w:rPr>
      </w:pPr>
    </w:p>
    <w:p w14:paraId="7A8DF6E3" w14:textId="5DFD061C" w:rsidR="00ED6CA3" w:rsidRPr="00787B3C" w:rsidRDefault="008E67A8" w:rsidP="00787B3C">
      <w:pPr>
        <w:spacing w:line="360" w:lineRule="auto"/>
        <w:rPr>
          <w:rFonts w:ascii="Arial" w:hAnsi="Arial" w:cs="Arial"/>
          <w:color w:val="262626" w:themeColor="text1" w:themeTint="D9"/>
        </w:rPr>
      </w:pPr>
      <w:r w:rsidRPr="00787B3C">
        <w:rPr>
          <w:rFonts w:ascii="Arial" w:hAnsi="Arial" w:cs="Arial"/>
          <w:b/>
          <w:bCs/>
          <w:color w:val="262626" w:themeColor="text1" w:themeTint="D9"/>
        </w:rPr>
        <w:t>Source:</w:t>
      </w:r>
      <w:r w:rsidRPr="00787B3C">
        <w:rPr>
          <w:rFonts w:ascii="Arial" w:hAnsi="Arial" w:cs="Arial"/>
          <w:color w:val="262626" w:themeColor="text1" w:themeTint="D9"/>
        </w:rPr>
        <w:t xml:space="preserve"> Author’s synthesis based on L’Oréal (2024); KPMG (2023); UNCTAD (202</w:t>
      </w:r>
      <w:r w:rsidR="00290FC3" w:rsidRPr="00787B3C">
        <w:rPr>
          <w:rFonts w:ascii="Arial" w:hAnsi="Arial" w:cs="Arial"/>
          <w:color w:val="262626" w:themeColor="text1" w:themeTint="D9"/>
        </w:rPr>
        <w:t>4</w:t>
      </w:r>
      <w:r w:rsidRPr="00787B3C">
        <w:rPr>
          <w:rFonts w:ascii="Arial" w:hAnsi="Arial" w:cs="Arial"/>
          <w:color w:val="262626" w:themeColor="text1" w:themeTint="D9"/>
        </w:rPr>
        <w:t>).</w:t>
      </w:r>
    </w:p>
    <w:p w14:paraId="4A42072F" w14:textId="16DEE622" w:rsidR="00C75F46" w:rsidRPr="00787B3C" w:rsidRDefault="00C75F46" w:rsidP="00787B3C">
      <w:pPr>
        <w:spacing w:line="360" w:lineRule="auto"/>
        <w:rPr>
          <w:rFonts w:ascii="Arial" w:hAnsi="Arial" w:cs="Arial"/>
          <w:b/>
          <w:bCs/>
          <w:color w:val="262626" w:themeColor="text1" w:themeTint="D9"/>
        </w:rPr>
      </w:pPr>
      <w:r w:rsidRPr="00787B3C">
        <w:rPr>
          <w:rFonts w:ascii="Arial" w:hAnsi="Arial" w:cs="Arial"/>
          <w:b/>
          <w:bCs/>
          <w:color w:val="262626" w:themeColor="text1" w:themeTint="D9"/>
        </w:rPr>
        <w:t>Legend:</w:t>
      </w:r>
    </w:p>
    <w:p w14:paraId="064C7849" w14:textId="4CE67B7F" w:rsidR="008E67A8" w:rsidRPr="00787B3C" w:rsidRDefault="008E67A8" w:rsidP="00787B3C">
      <w:pPr>
        <w:pStyle w:val="ListParagraph"/>
        <w:numPr>
          <w:ilvl w:val="0"/>
          <w:numId w:val="4"/>
        </w:numPr>
        <w:spacing w:line="360" w:lineRule="auto"/>
        <w:rPr>
          <w:rFonts w:ascii="Arial" w:hAnsi="Arial" w:cs="Arial"/>
          <w:color w:val="262626" w:themeColor="text1" w:themeTint="D9"/>
        </w:rPr>
      </w:pPr>
      <w:r w:rsidRPr="00787B3C">
        <w:rPr>
          <w:rFonts w:ascii="Arial" w:hAnsi="Arial" w:cs="Arial"/>
          <w:color w:val="262626" w:themeColor="text1" w:themeTint="D9"/>
        </w:rPr>
        <w:t>Blue Node: Formulation and Clinical Science (France, United States)</w:t>
      </w:r>
    </w:p>
    <w:p w14:paraId="3EAF3122" w14:textId="2423F0E5" w:rsidR="008E67A8" w:rsidRPr="00787B3C" w:rsidRDefault="008E67A8" w:rsidP="00787B3C">
      <w:pPr>
        <w:pStyle w:val="ListParagraph"/>
        <w:numPr>
          <w:ilvl w:val="0"/>
          <w:numId w:val="5"/>
        </w:numPr>
        <w:spacing w:line="360" w:lineRule="auto"/>
        <w:rPr>
          <w:rFonts w:ascii="Arial" w:hAnsi="Arial" w:cs="Arial"/>
          <w:color w:val="262626" w:themeColor="text1" w:themeTint="D9"/>
        </w:rPr>
      </w:pPr>
      <w:r w:rsidRPr="00787B3C">
        <w:rPr>
          <w:rFonts w:ascii="Arial" w:hAnsi="Arial" w:cs="Arial"/>
          <w:color w:val="262626" w:themeColor="text1" w:themeTint="D9"/>
        </w:rPr>
        <w:t>Purple Node: Beauty -Tech and AI Innovation (China, Japan)</w:t>
      </w:r>
    </w:p>
    <w:p w14:paraId="060FA115" w14:textId="1FF9D212" w:rsidR="00ED6CA3" w:rsidRPr="00787B3C" w:rsidRDefault="008E67A8" w:rsidP="00787B3C">
      <w:pPr>
        <w:pStyle w:val="ListParagraph"/>
        <w:numPr>
          <w:ilvl w:val="0"/>
          <w:numId w:val="5"/>
        </w:numPr>
        <w:spacing w:line="360" w:lineRule="auto"/>
        <w:rPr>
          <w:rFonts w:ascii="Arial" w:hAnsi="Arial" w:cs="Arial"/>
          <w:color w:val="262626" w:themeColor="text1" w:themeTint="D9"/>
        </w:rPr>
      </w:pPr>
      <w:r w:rsidRPr="00787B3C">
        <w:rPr>
          <w:rFonts w:ascii="Arial" w:hAnsi="Arial" w:cs="Arial"/>
          <w:color w:val="262626" w:themeColor="text1" w:themeTint="D9"/>
        </w:rPr>
        <w:t>Green Node: Localised Skin Research (India)</w:t>
      </w:r>
    </w:p>
    <w:p w14:paraId="0928B721" w14:textId="1FD9D432" w:rsidR="003F64E4" w:rsidRPr="00787B3C" w:rsidRDefault="008E67A8" w:rsidP="00787B3C">
      <w:pPr>
        <w:spacing w:line="360" w:lineRule="auto"/>
        <w:rPr>
          <w:rFonts w:ascii="Arial" w:hAnsi="Arial" w:cs="Arial"/>
          <w:color w:val="262626" w:themeColor="text1" w:themeTint="D9"/>
        </w:rPr>
      </w:pPr>
      <w:r w:rsidRPr="00787B3C">
        <w:rPr>
          <w:rFonts w:ascii="Arial" w:hAnsi="Arial" w:cs="Arial"/>
          <w:color w:val="262626" w:themeColor="text1" w:themeTint="D9"/>
        </w:rPr>
        <w:t xml:space="preserve">L’Oréal’s innovation ecosystem functions as a transnational network, where core formulation and clinical science are centralised in France and the United States, while beauty-tech development and AI diagnostics are concentrated in East Asia. India supports melanin-specific and Ayurvedic research, reinforcing localisation for emerging markets. This configuration accelerates market adaptability and decentralised </w:t>
      </w:r>
      <w:r w:rsidR="00C75F46" w:rsidRPr="00787B3C">
        <w:rPr>
          <w:rFonts w:ascii="Arial" w:hAnsi="Arial" w:cs="Arial"/>
          <w:color w:val="262626" w:themeColor="text1" w:themeTint="D9"/>
        </w:rPr>
        <w:t>learning but</w:t>
      </w:r>
      <w:r w:rsidRPr="00787B3C">
        <w:rPr>
          <w:rFonts w:ascii="Arial" w:hAnsi="Arial" w:cs="Arial"/>
          <w:color w:val="262626" w:themeColor="text1" w:themeTint="D9"/>
        </w:rPr>
        <w:t xml:space="preserve"> increases dependency on knowledge sharing and IP protection across laboratories.</w:t>
      </w:r>
    </w:p>
    <w:p w14:paraId="325D6FB7" w14:textId="73AD22CC" w:rsidR="002B31E3" w:rsidRPr="00787B3C" w:rsidRDefault="0052379E" w:rsidP="00787B3C">
      <w:pPr>
        <w:spacing w:line="360" w:lineRule="auto"/>
        <w:rPr>
          <w:rFonts w:ascii="Arial" w:hAnsi="Arial" w:cs="Arial"/>
          <w:color w:val="262626" w:themeColor="text1" w:themeTint="D9"/>
        </w:rPr>
      </w:pPr>
      <w:r w:rsidRPr="00787B3C">
        <w:rPr>
          <w:rFonts w:ascii="Arial" w:hAnsi="Arial" w:cs="Arial"/>
          <w:b/>
          <w:bCs/>
          <w:color w:val="262626" w:themeColor="text1" w:themeTint="D9"/>
        </w:rPr>
        <w:lastRenderedPageBreak/>
        <w:t xml:space="preserve">Appendix </w:t>
      </w:r>
      <w:r w:rsidR="00236766" w:rsidRPr="00787B3C">
        <w:rPr>
          <w:rFonts w:ascii="Arial" w:hAnsi="Arial" w:cs="Arial"/>
          <w:b/>
          <w:bCs/>
          <w:color w:val="262626" w:themeColor="text1" w:themeTint="D9"/>
        </w:rPr>
        <w:t>A</w:t>
      </w:r>
      <w:r w:rsidR="00C237FF" w:rsidRPr="00787B3C">
        <w:rPr>
          <w:rFonts w:ascii="Arial" w:hAnsi="Arial" w:cs="Arial"/>
          <w:b/>
          <w:bCs/>
          <w:color w:val="262626" w:themeColor="text1" w:themeTint="D9"/>
        </w:rPr>
        <w:t>.</w:t>
      </w:r>
      <w:r w:rsidR="003F64E4" w:rsidRPr="00787B3C">
        <w:rPr>
          <w:rFonts w:ascii="Arial" w:hAnsi="Arial" w:cs="Arial"/>
          <w:b/>
          <w:bCs/>
          <w:color w:val="262626" w:themeColor="text1" w:themeTint="D9"/>
        </w:rPr>
        <w:t>3</w:t>
      </w:r>
      <w:r w:rsidRPr="00787B3C">
        <w:rPr>
          <w:rFonts w:ascii="Arial" w:hAnsi="Arial" w:cs="Arial"/>
          <w:b/>
          <w:bCs/>
          <w:color w:val="262626" w:themeColor="text1" w:themeTint="D9"/>
        </w:rPr>
        <w:t>:</w:t>
      </w:r>
      <w:r w:rsidR="00B51FA4" w:rsidRPr="00787B3C">
        <w:rPr>
          <w:color w:val="262626" w:themeColor="text1" w:themeTint="D9"/>
        </w:rPr>
        <w:t xml:space="preserve"> </w:t>
      </w:r>
      <w:r w:rsidR="00B51FA4" w:rsidRPr="00787B3C">
        <w:rPr>
          <w:rFonts w:ascii="Arial" w:hAnsi="Arial" w:cs="Arial"/>
          <w:color w:val="262626" w:themeColor="text1" w:themeTint="D9"/>
        </w:rPr>
        <w:t>Porter’s Value Chain – Critical Diagnostic for L’Oréal</w:t>
      </w:r>
    </w:p>
    <w:p w14:paraId="33AB2214" w14:textId="77777777" w:rsidR="002B31E3" w:rsidRPr="00EF3058" w:rsidRDefault="002B31E3" w:rsidP="008E67A8">
      <w:pPr>
        <w:spacing w:line="360" w:lineRule="auto"/>
        <w:rPr>
          <w:rFonts w:ascii="Arial" w:hAnsi="Arial" w:cs="Arial"/>
          <w:color w:val="262626" w:themeColor="text1" w:themeTint="D9"/>
        </w:rPr>
      </w:pPr>
    </w:p>
    <w:tbl>
      <w:tblPr>
        <w:tblStyle w:val="PlainTable4"/>
        <w:tblW w:w="0" w:type="auto"/>
        <w:tblBorders>
          <w:bottom w:val="single" w:sz="4" w:space="0" w:color="856E00"/>
          <w:insideH w:val="single" w:sz="4" w:space="0" w:color="856E00"/>
          <w:insideV w:val="single" w:sz="4" w:space="0" w:color="856E00"/>
        </w:tblBorders>
        <w:shd w:val="clear" w:color="auto" w:fill="F7EFD9"/>
        <w:tblLook w:val="04A0" w:firstRow="1" w:lastRow="0" w:firstColumn="1" w:lastColumn="0" w:noHBand="0" w:noVBand="1"/>
      </w:tblPr>
      <w:tblGrid>
        <w:gridCol w:w="1659"/>
        <w:gridCol w:w="3869"/>
        <w:gridCol w:w="3832"/>
      </w:tblGrid>
      <w:tr w:rsidR="0052379E" w:rsidRPr="00EF3058" w14:paraId="40618A7A" w14:textId="77777777" w:rsidTr="00A57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518ED3D1" w14:textId="77777777" w:rsidR="0060454B" w:rsidRPr="00787B3C" w:rsidRDefault="0060454B" w:rsidP="0060454B">
            <w:pPr>
              <w:spacing w:after="160" w:line="360" w:lineRule="auto"/>
              <w:rPr>
                <w:rFonts w:ascii="Arial" w:hAnsi="Arial" w:cs="Arial"/>
                <w:b w:val="0"/>
                <w:bCs w:val="0"/>
                <w:color w:val="262626" w:themeColor="text1" w:themeTint="D9"/>
                <w:sz w:val="18"/>
                <w:szCs w:val="18"/>
              </w:rPr>
            </w:pPr>
          </w:p>
          <w:p w14:paraId="4DC59987" w14:textId="09165C4C" w:rsidR="0052379E" w:rsidRPr="00787B3C" w:rsidRDefault="0052379E" w:rsidP="0060454B">
            <w:pPr>
              <w:spacing w:after="160" w:line="360" w:lineRule="auto"/>
              <w:rPr>
                <w:rFonts w:ascii="Arial" w:hAnsi="Arial" w:cs="Arial"/>
                <w:color w:val="262626" w:themeColor="text1" w:themeTint="D9"/>
                <w:sz w:val="18"/>
                <w:szCs w:val="18"/>
              </w:rPr>
            </w:pPr>
          </w:p>
        </w:tc>
        <w:tc>
          <w:tcPr>
            <w:tcW w:w="0" w:type="auto"/>
            <w:shd w:val="clear" w:color="auto" w:fill="F7EFD9"/>
            <w:hideMark/>
          </w:tcPr>
          <w:p w14:paraId="309FABD5" w14:textId="77777777" w:rsidR="0060454B" w:rsidRPr="00787B3C" w:rsidRDefault="0060454B" w:rsidP="0060454B">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L’Oréal Operational Practice</w:t>
            </w:r>
          </w:p>
        </w:tc>
        <w:tc>
          <w:tcPr>
            <w:tcW w:w="0" w:type="auto"/>
            <w:shd w:val="clear" w:color="auto" w:fill="F7EFD9"/>
            <w:hideMark/>
          </w:tcPr>
          <w:p w14:paraId="788FD168" w14:textId="77777777" w:rsidR="0060454B" w:rsidRPr="00787B3C" w:rsidRDefault="0060454B" w:rsidP="0060454B">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Critical Implications / Risks</w:t>
            </w:r>
          </w:p>
        </w:tc>
      </w:tr>
      <w:tr w:rsidR="0052379E" w:rsidRPr="00EF3058" w14:paraId="0349D348" w14:textId="77777777" w:rsidTr="00A57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790A425C"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Inbound Logistics</w:t>
            </w:r>
          </w:p>
        </w:tc>
        <w:tc>
          <w:tcPr>
            <w:tcW w:w="0" w:type="auto"/>
            <w:shd w:val="clear" w:color="auto" w:fill="F7EFD9"/>
            <w:hideMark/>
          </w:tcPr>
          <w:p w14:paraId="19A0ADAC" w14:textId="10479C09"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 xml:space="preserve">Global sourcing of botanical ingredients from Brazil, India, </w:t>
            </w:r>
            <w:r w:rsidR="0052379E" w:rsidRPr="00787B3C">
              <w:rPr>
                <w:rFonts w:ascii="Arial" w:hAnsi="Arial" w:cs="Arial"/>
                <w:color w:val="262626" w:themeColor="text1" w:themeTint="D9"/>
                <w:sz w:val="18"/>
                <w:szCs w:val="18"/>
              </w:rPr>
              <w:t xml:space="preserve">and </w:t>
            </w:r>
            <w:r w:rsidRPr="00787B3C">
              <w:rPr>
                <w:rFonts w:ascii="Arial" w:hAnsi="Arial" w:cs="Arial"/>
                <w:color w:val="262626" w:themeColor="text1" w:themeTint="D9"/>
                <w:sz w:val="18"/>
                <w:szCs w:val="18"/>
              </w:rPr>
              <w:t>Indonesia; supplier audits and long-term contracts to ensure quality and traceability.</w:t>
            </w:r>
          </w:p>
        </w:tc>
        <w:tc>
          <w:tcPr>
            <w:tcW w:w="0" w:type="auto"/>
            <w:shd w:val="clear" w:color="auto" w:fill="F7EFD9"/>
            <w:hideMark/>
          </w:tcPr>
          <w:p w14:paraId="443368D7"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Environmental and ethical risks (deforestation, biodiversity loss); dependency on volatile emerging-market suppliers; potential reputational exposure if audits fail.</w:t>
            </w:r>
          </w:p>
        </w:tc>
      </w:tr>
      <w:tr w:rsidR="0052379E" w:rsidRPr="00EF3058" w14:paraId="231733E0" w14:textId="77777777" w:rsidTr="00A579AB">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423B1619"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Operations</w:t>
            </w:r>
          </w:p>
        </w:tc>
        <w:tc>
          <w:tcPr>
            <w:tcW w:w="0" w:type="auto"/>
            <w:shd w:val="clear" w:color="auto" w:fill="F7EFD9"/>
            <w:hideMark/>
          </w:tcPr>
          <w:p w14:paraId="6FCB859D" w14:textId="77777777"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Regional manufacturing hubs in China, India and Brazil; high-end production in France; cost-efficient localisation strategy.</w:t>
            </w:r>
          </w:p>
        </w:tc>
        <w:tc>
          <w:tcPr>
            <w:tcW w:w="0" w:type="auto"/>
            <w:shd w:val="clear" w:color="auto" w:fill="F7EFD9"/>
            <w:hideMark/>
          </w:tcPr>
          <w:p w14:paraId="6DD1C248" w14:textId="13315DDE"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Exposure to labour-law complexities and infrastructure constraints (e.g. India); risk of supply chain bottlenecks and product quality variations across regions.</w:t>
            </w:r>
          </w:p>
        </w:tc>
      </w:tr>
      <w:tr w:rsidR="0052379E" w:rsidRPr="00EF3058" w14:paraId="4D675CD5" w14:textId="77777777" w:rsidTr="00A57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4C2DEB9F"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Outbound Logistics</w:t>
            </w:r>
          </w:p>
        </w:tc>
        <w:tc>
          <w:tcPr>
            <w:tcW w:w="0" w:type="auto"/>
            <w:shd w:val="clear" w:color="auto" w:fill="F7EFD9"/>
            <w:hideMark/>
          </w:tcPr>
          <w:p w14:paraId="18B50509"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Multichannel distribution combining EU logistics hubs with Asian digital networks, particularly Tmall and JD.com.</w:t>
            </w:r>
          </w:p>
        </w:tc>
        <w:tc>
          <w:tcPr>
            <w:tcW w:w="0" w:type="auto"/>
            <w:shd w:val="clear" w:color="auto" w:fill="F7EFD9"/>
            <w:hideMark/>
          </w:tcPr>
          <w:p w14:paraId="738EEEAD"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Vulnerable to geopolitical tensions, e-commerce regulation shifts and intellectual property leakage through digital platforms.</w:t>
            </w:r>
          </w:p>
        </w:tc>
      </w:tr>
      <w:tr w:rsidR="0052379E" w:rsidRPr="00EF3058" w14:paraId="649093AF" w14:textId="77777777" w:rsidTr="00A579AB">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11612622" w14:textId="25BF8AFF"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 xml:space="preserve">Marketing </w:t>
            </w:r>
            <w:r w:rsidR="0052379E" w:rsidRPr="00787B3C">
              <w:rPr>
                <w:rFonts w:ascii="Arial" w:hAnsi="Arial" w:cs="Arial"/>
                <w:color w:val="262626" w:themeColor="text1" w:themeTint="D9"/>
                <w:sz w:val="18"/>
                <w:szCs w:val="18"/>
              </w:rPr>
              <w:t>and</w:t>
            </w:r>
            <w:r w:rsidRPr="00787B3C">
              <w:rPr>
                <w:rFonts w:ascii="Arial" w:hAnsi="Arial" w:cs="Arial"/>
                <w:color w:val="262626" w:themeColor="text1" w:themeTint="D9"/>
                <w:sz w:val="18"/>
                <w:szCs w:val="18"/>
              </w:rPr>
              <w:t xml:space="preserve"> Sales</w:t>
            </w:r>
          </w:p>
        </w:tc>
        <w:tc>
          <w:tcPr>
            <w:tcW w:w="0" w:type="auto"/>
            <w:shd w:val="clear" w:color="auto" w:fill="F7EFD9"/>
            <w:hideMark/>
          </w:tcPr>
          <w:p w14:paraId="57009628" w14:textId="77777777"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Global-brand positioning with localised sub-brand adaptations; influencer-centric marketing in the US and China; value-for-money segmentation in India.</w:t>
            </w:r>
          </w:p>
        </w:tc>
        <w:tc>
          <w:tcPr>
            <w:tcW w:w="0" w:type="auto"/>
            <w:shd w:val="clear" w:color="auto" w:fill="F7EFD9"/>
            <w:hideMark/>
          </w:tcPr>
          <w:p w14:paraId="4C8D5206" w14:textId="34A0B30E"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Cultural misalignment risks</w:t>
            </w:r>
            <w:r w:rsidR="0052379E" w:rsidRPr="00787B3C">
              <w:rPr>
                <w:rFonts w:ascii="Arial" w:hAnsi="Arial" w:cs="Arial"/>
                <w:color w:val="262626" w:themeColor="text1" w:themeTint="D9"/>
                <w:sz w:val="18"/>
                <w:szCs w:val="18"/>
              </w:rPr>
              <w:t>:</w:t>
            </w:r>
            <w:r w:rsidRPr="00787B3C">
              <w:rPr>
                <w:rFonts w:ascii="Arial" w:hAnsi="Arial" w:cs="Arial"/>
                <w:color w:val="262626" w:themeColor="text1" w:themeTint="D9"/>
                <w:sz w:val="18"/>
                <w:szCs w:val="18"/>
              </w:rPr>
              <w:t xml:space="preserve"> stereotyping of beauty norms (Holt, 2004); reliance on volatile influencer ecosystems; market backlash risk.</w:t>
            </w:r>
          </w:p>
        </w:tc>
      </w:tr>
      <w:tr w:rsidR="0052379E" w:rsidRPr="00EF3058" w14:paraId="74098661" w14:textId="77777777" w:rsidTr="00A57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197E82CF"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Service</w:t>
            </w:r>
          </w:p>
        </w:tc>
        <w:tc>
          <w:tcPr>
            <w:tcW w:w="0" w:type="auto"/>
            <w:shd w:val="clear" w:color="auto" w:fill="F7EFD9"/>
            <w:hideMark/>
          </w:tcPr>
          <w:p w14:paraId="256CF7B2"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Beauty-tech apps (AI skin diagnostics); personalised product recommendations linked to consumer data.</w:t>
            </w:r>
          </w:p>
        </w:tc>
        <w:tc>
          <w:tcPr>
            <w:tcW w:w="0" w:type="auto"/>
            <w:shd w:val="clear" w:color="auto" w:fill="F7EFD9"/>
            <w:hideMark/>
          </w:tcPr>
          <w:p w14:paraId="60673FDA"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High data privacy concerns, particularly in China and India; regulatory exposure under data governance laws (e.g. localisation, consent requirements).</w:t>
            </w:r>
          </w:p>
        </w:tc>
      </w:tr>
      <w:tr w:rsidR="0052379E" w:rsidRPr="00EF3058" w14:paraId="6D38FF60" w14:textId="77777777" w:rsidTr="00A579AB">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2C751E91"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Procurement</w:t>
            </w:r>
          </w:p>
        </w:tc>
        <w:tc>
          <w:tcPr>
            <w:tcW w:w="0" w:type="auto"/>
            <w:shd w:val="clear" w:color="auto" w:fill="F7EFD9"/>
            <w:hideMark/>
          </w:tcPr>
          <w:p w14:paraId="242266BC" w14:textId="6F7C392C"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 xml:space="preserve">Strategic partnerships and long-term </w:t>
            </w:r>
            <w:r w:rsidR="0052379E" w:rsidRPr="00787B3C">
              <w:rPr>
                <w:rFonts w:ascii="Arial" w:hAnsi="Arial" w:cs="Arial"/>
                <w:color w:val="262626" w:themeColor="text1" w:themeTint="D9"/>
                <w:sz w:val="18"/>
                <w:szCs w:val="18"/>
              </w:rPr>
              <w:t>raw material</w:t>
            </w:r>
            <w:r w:rsidRPr="00787B3C">
              <w:rPr>
                <w:rFonts w:ascii="Arial" w:hAnsi="Arial" w:cs="Arial"/>
                <w:color w:val="262626" w:themeColor="text1" w:themeTint="D9"/>
                <w:sz w:val="18"/>
                <w:szCs w:val="18"/>
              </w:rPr>
              <w:t xml:space="preserve"> sourcing contracts; investment in sustainability certifications.</w:t>
            </w:r>
          </w:p>
        </w:tc>
        <w:tc>
          <w:tcPr>
            <w:tcW w:w="0" w:type="auto"/>
            <w:shd w:val="clear" w:color="auto" w:fill="F7EFD9"/>
            <w:hideMark/>
          </w:tcPr>
          <w:p w14:paraId="56CC0DC4" w14:textId="77777777"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Increased supplier monitoring costs; lack of enforcement power in fragmented emerging economies; tension between cost efficiency and ethical sourcing.</w:t>
            </w:r>
          </w:p>
        </w:tc>
      </w:tr>
      <w:tr w:rsidR="0052379E" w:rsidRPr="00EF3058" w14:paraId="1FEA165D" w14:textId="77777777" w:rsidTr="00A57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3EAA0AA6"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Technology Development</w:t>
            </w:r>
          </w:p>
        </w:tc>
        <w:tc>
          <w:tcPr>
            <w:tcW w:w="0" w:type="auto"/>
            <w:shd w:val="clear" w:color="auto" w:fill="F7EFD9"/>
            <w:hideMark/>
          </w:tcPr>
          <w:p w14:paraId="1C67570D" w14:textId="77777777"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Decentralised R&amp;D specialisation (Japan, China, India) combined with centralised formulation in France/US.</w:t>
            </w:r>
          </w:p>
        </w:tc>
        <w:tc>
          <w:tcPr>
            <w:tcW w:w="0" w:type="auto"/>
            <w:shd w:val="clear" w:color="auto" w:fill="F7EFD9"/>
            <w:hideMark/>
          </w:tcPr>
          <w:p w14:paraId="438351E8" w14:textId="34137E3B" w:rsidR="0060454B" w:rsidRPr="00787B3C" w:rsidRDefault="0060454B" w:rsidP="0060454B">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Coordination challenges</w:t>
            </w:r>
            <w:r w:rsidR="0052379E" w:rsidRPr="00787B3C">
              <w:rPr>
                <w:rFonts w:ascii="Arial" w:hAnsi="Arial" w:cs="Arial"/>
                <w:color w:val="262626" w:themeColor="text1" w:themeTint="D9"/>
                <w:sz w:val="18"/>
                <w:szCs w:val="18"/>
              </w:rPr>
              <w:t>,</w:t>
            </w:r>
            <w:r w:rsidRPr="00787B3C">
              <w:rPr>
                <w:rFonts w:ascii="Arial" w:hAnsi="Arial" w:cs="Arial"/>
                <w:color w:val="262626" w:themeColor="text1" w:themeTint="D9"/>
                <w:sz w:val="18"/>
                <w:szCs w:val="18"/>
              </w:rPr>
              <w:t xml:space="preserve"> risk of IP duplication and data leakage</w:t>
            </w:r>
            <w:r w:rsidR="0052379E" w:rsidRPr="00787B3C">
              <w:rPr>
                <w:rFonts w:ascii="Arial" w:hAnsi="Arial" w:cs="Arial"/>
                <w:color w:val="262626" w:themeColor="text1" w:themeTint="D9"/>
                <w:sz w:val="18"/>
                <w:szCs w:val="18"/>
              </w:rPr>
              <w:t>,</w:t>
            </w:r>
            <w:r w:rsidRPr="00787B3C">
              <w:rPr>
                <w:rFonts w:ascii="Arial" w:hAnsi="Arial" w:cs="Arial"/>
                <w:color w:val="262626" w:themeColor="text1" w:themeTint="D9"/>
                <w:sz w:val="18"/>
                <w:szCs w:val="18"/>
              </w:rPr>
              <w:t xml:space="preserve"> </w:t>
            </w:r>
            <w:r w:rsidR="0052379E" w:rsidRPr="00787B3C">
              <w:rPr>
                <w:rFonts w:ascii="Arial" w:hAnsi="Arial" w:cs="Arial"/>
                <w:color w:val="262626" w:themeColor="text1" w:themeTint="D9"/>
                <w:sz w:val="18"/>
                <w:szCs w:val="18"/>
              </w:rPr>
              <w:t xml:space="preserve">and </w:t>
            </w:r>
            <w:r w:rsidRPr="00787B3C">
              <w:rPr>
                <w:rFonts w:ascii="Arial" w:hAnsi="Arial" w:cs="Arial"/>
                <w:color w:val="262626" w:themeColor="text1" w:themeTint="D9"/>
                <w:sz w:val="18"/>
                <w:szCs w:val="18"/>
              </w:rPr>
              <w:t xml:space="preserve">uneven innovation capabilities across subsidiaries </w:t>
            </w:r>
            <w:r w:rsidR="0052379E" w:rsidRPr="00787B3C">
              <w:rPr>
                <w:rFonts w:ascii="Arial" w:hAnsi="Arial" w:cs="Arial"/>
                <w:color w:val="262626" w:themeColor="text1" w:themeTint="D9"/>
                <w:sz w:val="18"/>
                <w:szCs w:val="18"/>
              </w:rPr>
              <w:t>require</w:t>
            </w:r>
            <w:r w:rsidRPr="00787B3C">
              <w:rPr>
                <w:rFonts w:ascii="Arial" w:hAnsi="Arial" w:cs="Arial"/>
                <w:color w:val="262626" w:themeColor="text1" w:themeTint="D9"/>
                <w:sz w:val="18"/>
                <w:szCs w:val="18"/>
              </w:rPr>
              <w:t xml:space="preserve"> governance controls.</w:t>
            </w:r>
          </w:p>
        </w:tc>
      </w:tr>
      <w:tr w:rsidR="0052379E" w:rsidRPr="00EF3058" w14:paraId="1681ED3B" w14:textId="77777777" w:rsidTr="00A579AB">
        <w:tc>
          <w:tcPr>
            <w:cnfStyle w:val="001000000000" w:firstRow="0" w:lastRow="0" w:firstColumn="1" w:lastColumn="0" w:oddVBand="0" w:evenVBand="0" w:oddHBand="0" w:evenHBand="0" w:firstRowFirstColumn="0" w:firstRowLastColumn="0" w:lastRowFirstColumn="0" w:lastRowLastColumn="0"/>
            <w:tcW w:w="0" w:type="auto"/>
            <w:shd w:val="clear" w:color="auto" w:fill="F7EFD9"/>
            <w:hideMark/>
          </w:tcPr>
          <w:p w14:paraId="7268A288" w14:textId="77777777" w:rsidR="0060454B" w:rsidRPr="00787B3C" w:rsidRDefault="0060454B" w:rsidP="0060454B">
            <w:pPr>
              <w:spacing w:after="160" w:line="360" w:lineRule="auto"/>
              <w:rPr>
                <w:rFonts w:ascii="Arial" w:hAnsi="Arial" w:cs="Arial"/>
                <w:color w:val="262626" w:themeColor="text1" w:themeTint="D9"/>
                <w:sz w:val="18"/>
                <w:szCs w:val="18"/>
              </w:rPr>
            </w:pPr>
            <w:r w:rsidRPr="00787B3C">
              <w:rPr>
                <w:rFonts w:ascii="Arial" w:hAnsi="Arial" w:cs="Arial"/>
                <w:color w:val="262626" w:themeColor="text1" w:themeTint="D9"/>
                <w:sz w:val="18"/>
                <w:szCs w:val="18"/>
              </w:rPr>
              <w:t>Human Resource Management</w:t>
            </w:r>
          </w:p>
        </w:tc>
        <w:tc>
          <w:tcPr>
            <w:tcW w:w="0" w:type="auto"/>
            <w:shd w:val="clear" w:color="auto" w:fill="F7EFD9"/>
            <w:hideMark/>
          </w:tcPr>
          <w:p w14:paraId="333036D0" w14:textId="77777777"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Cross-cultural teams, local hiring, leadership training; culturally adapted HR (hierarchical in India, individualistic in France/US).</w:t>
            </w:r>
          </w:p>
        </w:tc>
        <w:tc>
          <w:tcPr>
            <w:tcW w:w="0" w:type="auto"/>
            <w:shd w:val="clear" w:color="auto" w:fill="F7EFD9"/>
            <w:hideMark/>
          </w:tcPr>
          <w:p w14:paraId="5BB3A9B2" w14:textId="2AE054E0" w:rsidR="0060454B" w:rsidRPr="00787B3C" w:rsidRDefault="0060454B" w:rsidP="0060454B">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62626" w:themeColor="text1" w:themeTint="D9"/>
                <w:sz w:val="18"/>
                <w:szCs w:val="18"/>
              </w:rPr>
            </w:pPr>
            <w:r w:rsidRPr="00787B3C">
              <w:rPr>
                <w:rFonts w:ascii="Arial" w:hAnsi="Arial" w:cs="Arial"/>
                <w:color w:val="262626" w:themeColor="text1" w:themeTint="D9"/>
                <w:sz w:val="18"/>
                <w:szCs w:val="18"/>
              </w:rPr>
              <w:t>Team integration challenges</w:t>
            </w:r>
            <w:r w:rsidR="0052379E" w:rsidRPr="00787B3C">
              <w:rPr>
                <w:rFonts w:ascii="Arial" w:hAnsi="Arial" w:cs="Arial"/>
                <w:color w:val="262626" w:themeColor="text1" w:themeTint="D9"/>
                <w:sz w:val="18"/>
                <w:szCs w:val="18"/>
              </w:rPr>
              <w:t>,</w:t>
            </w:r>
            <w:r w:rsidRPr="00787B3C">
              <w:rPr>
                <w:rFonts w:ascii="Arial" w:hAnsi="Arial" w:cs="Arial"/>
                <w:color w:val="262626" w:themeColor="text1" w:themeTint="D9"/>
                <w:sz w:val="18"/>
                <w:szCs w:val="18"/>
              </w:rPr>
              <w:t xml:space="preserve"> communication breakdown</w:t>
            </w:r>
            <w:r w:rsidR="0052379E" w:rsidRPr="00787B3C">
              <w:rPr>
                <w:rFonts w:ascii="Arial" w:hAnsi="Arial" w:cs="Arial"/>
                <w:color w:val="262626" w:themeColor="text1" w:themeTint="D9"/>
                <w:sz w:val="18"/>
                <w:szCs w:val="18"/>
              </w:rPr>
              <w:t>,</w:t>
            </w:r>
            <w:r w:rsidRPr="00787B3C">
              <w:rPr>
                <w:rFonts w:ascii="Arial" w:hAnsi="Arial" w:cs="Arial"/>
                <w:color w:val="262626" w:themeColor="text1" w:themeTint="D9"/>
                <w:sz w:val="18"/>
                <w:szCs w:val="18"/>
              </w:rPr>
              <w:t xml:space="preserve"> </w:t>
            </w:r>
            <w:r w:rsidR="0052379E" w:rsidRPr="00787B3C">
              <w:rPr>
                <w:rFonts w:ascii="Arial" w:hAnsi="Arial" w:cs="Arial"/>
                <w:color w:val="262626" w:themeColor="text1" w:themeTint="D9"/>
                <w:sz w:val="18"/>
                <w:szCs w:val="18"/>
              </w:rPr>
              <w:t xml:space="preserve">and </w:t>
            </w:r>
            <w:r w:rsidRPr="00787B3C">
              <w:rPr>
                <w:rFonts w:ascii="Arial" w:hAnsi="Arial" w:cs="Arial"/>
                <w:color w:val="262626" w:themeColor="text1" w:themeTint="D9"/>
                <w:sz w:val="18"/>
                <w:szCs w:val="18"/>
              </w:rPr>
              <w:t>risk of misaligned performance incentives due to differing cultural expectations.</w:t>
            </w:r>
          </w:p>
        </w:tc>
      </w:tr>
    </w:tbl>
    <w:p w14:paraId="304FEB89" w14:textId="0AA2BC54" w:rsidR="00766DBC" w:rsidRPr="002460EC" w:rsidRDefault="00766DBC" w:rsidP="00340912">
      <w:pPr>
        <w:spacing w:line="360" w:lineRule="auto"/>
        <w:rPr>
          <w:rFonts w:ascii="Arial" w:hAnsi="Arial" w:cs="Arial"/>
          <w:color w:val="262626" w:themeColor="text1" w:themeTint="D9"/>
        </w:rPr>
      </w:pPr>
      <w:r w:rsidRPr="002460EC">
        <w:rPr>
          <w:rFonts w:ascii="Arial" w:hAnsi="Arial" w:cs="Arial"/>
          <w:b/>
          <w:bCs/>
          <w:color w:val="262626" w:themeColor="text1" w:themeTint="D9"/>
        </w:rPr>
        <w:lastRenderedPageBreak/>
        <w:t>Source:</w:t>
      </w:r>
      <w:r w:rsidRPr="002460EC">
        <w:rPr>
          <w:rFonts w:ascii="Arial" w:hAnsi="Arial" w:cs="Arial"/>
          <w:color w:val="262626" w:themeColor="text1" w:themeTint="D9"/>
        </w:rPr>
        <w:t xml:space="preserve"> Adapted by author based on Porter (1985); L’Oréal (2024); KPMG (2023); UNCTAD (202</w:t>
      </w:r>
      <w:r w:rsidR="00290FC3" w:rsidRPr="002460EC">
        <w:rPr>
          <w:rFonts w:ascii="Arial" w:hAnsi="Arial" w:cs="Arial"/>
          <w:color w:val="262626" w:themeColor="text1" w:themeTint="D9"/>
        </w:rPr>
        <w:t>4</w:t>
      </w:r>
      <w:r w:rsidRPr="002460EC">
        <w:rPr>
          <w:rFonts w:ascii="Arial" w:hAnsi="Arial" w:cs="Arial"/>
          <w:color w:val="262626" w:themeColor="text1" w:themeTint="D9"/>
        </w:rPr>
        <w:t>); Holt (2004).</w:t>
      </w:r>
    </w:p>
    <w:p w14:paraId="58C5DFF7" w14:textId="77777777" w:rsidR="00766DBC" w:rsidRDefault="00766DBC" w:rsidP="00766DBC">
      <w:pPr>
        <w:spacing w:line="360" w:lineRule="auto"/>
        <w:rPr>
          <w:rFonts w:ascii="Arial" w:hAnsi="Arial" w:cs="Arial"/>
          <w:color w:val="262626" w:themeColor="text1" w:themeTint="D9"/>
        </w:rPr>
      </w:pPr>
    </w:p>
    <w:p w14:paraId="6FF8A0A4" w14:textId="5A2501E0" w:rsidR="003F64E4" w:rsidRPr="002460EC" w:rsidRDefault="00766DBC" w:rsidP="002460EC">
      <w:pPr>
        <w:spacing w:line="360" w:lineRule="auto"/>
        <w:rPr>
          <w:rFonts w:ascii="Arial" w:hAnsi="Arial" w:cs="Arial"/>
          <w:color w:val="262626" w:themeColor="text1" w:themeTint="D9"/>
        </w:rPr>
      </w:pPr>
      <w:r w:rsidRPr="002460EC">
        <w:rPr>
          <w:rFonts w:ascii="Arial" w:hAnsi="Arial" w:cs="Arial"/>
          <w:color w:val="262626" w:themeColor="text1" w:themeTint="D9"/>
        </w:rPr>
        <w:t xml:space="preserve">The diagnostic highlights that L’Oréal’s value-chain advantage in premium markets does not stem from production superiority, but from strategic cost–value trade-offs. Premium positioning requires high-cost scientific inputs and specialised sourcing, yet the commercial value is realised only when these capabilities are culturally </w:t>
      </w:r>
      <w:r w:rsidRPr="002460EC">
        <w:rPr>
          <w:rFonts w:ascii="Arial" w:hAnsi="Arial" w:cs="Arial"/>
          <w:color w:val="262626" w:themeColor="text1" w:themeTint="D9"/>
        </w:rPr>
        <w:t>legitimised,</w:t>
      </w:r>
      <w:r w:rsidRPr="002460EC">
        <w:rPr>
          <w:rFonts w:ascii="Arial" w:hAnsi="Arial" w:cs="Arial"/>
          <w:color w:val="262626" w:themeColor="text1" w:themeTint="D9"/>
        </w:rPr>
        <w:t xml:space="preserve"> and price signalling is aspirational. Thus, operational efficiency becomes secondary to symbolic value capture and demand authentication, making value-chain optimisation contingent on cultural and market-specific translation rather than standard cost minimisation.</w:t>
      </w:r>
    </w:p>
    <w:p w14:paraId="71AE3657" w14:textId="77777777" w:rsidR="00493A3A" w:rsidRPr="00EF3058" w:rsidRDefault="00493A3A" w:rsidP="0052379E">
      <w:pPr>
        <w:spacing w:line="360" w:lineRule="auto"/>
        <w:rPr>
          <w:rFonts w:ascii="Arial" w:hAnsi="Arial" w:cs="Arial"/>
          <w:color w:val="262626" w:themeColor="text1" w:themeTint="D9"/>
        </w:rPr>
      </w:pPr>
    </w:p>
    <w:p w14:paraId="3DECE442" w14:textId="77777777" w:rsidR="00C237FF" w:rsidRDefault="00C237FF" w:rsidP="003F64E4">
      <w:pPr>
        <w:spacing w:line="360" w:lineRule="auto"/>
        <w:rPr>
          <w:rFonts w:ascii="Arial" w:hAnsi="Arial" w:cs="Arial"/>
          <w:b/>
          <w:bCs/>
          <w:color w:val="262626"/>
        </w:rPr>
      </w:pPr>
    </w:p>
    <w:p w14:paraId="71D87035" w14:textId="77777777" w:rsidR="00C237FF" w:rsidRDefault="00C237FF" w:rsidP="003F64E4">
      <w:pPr>
        <w:spacing w:line="360" w:lineRule="auto"/>
        <w:rPr>
          <w:rFonts w:ascii="Arial" w:hAnsi="Arial" w:cs="Arial"/>
          <w:b/>
          <w:bCs/>
          <w:color w:val="262626"/>
        </w:rPr>
      </w:pPr>
    </w:p>
    <w:p w14:paraId="49344D4A" w14:textId="77777777" w:rsidR="00C237FF" w:rsidRDefault="00C237FF" w:rsidP="003F64E4">
      <w:pPr>
        <w:spacing w:line="360" w:lineRule="auto"/>
        <w:rPr>
          <w:rFonts w:ascii="Arial" w:hAnsi="Arial" w:cs="Arial"/>
          <w:b/>
          <w:bCs/>
          <w:color w:val="262626"/>
        </w:rPr>
      </w:pPr>
    </w:p>
    <w:p w14:paraId="0C723837" w14:textId="77777777" w:rsidR="00C237FF" w:rsidRDefault="00C237FF" w:rsidP="003F64E4">
      <w:pPr>
        <w:spacing w:line="360" w:lineRule="auto"/>
        <w:rPr>
          <w:rFonts w:ascii="Arial" w:hAnsi="Arial" w:cs="Arial"/>
          <w:b/>
          <w:bCs/>
          <w:color w:val="262626"/>
        </w:rPr>
      </w:pPr>
    </w:p>
    <w:p w14:paraId="706E8930" w14:textId="77777777" w:rsidR="00C237FF" w:rsidRDefault="00C237FF" w:rsidP="003F64E4">
      <w:pPr>
        <w:spacing w:line="360" w:lineRule="auto"/>
        <w:rPr>
          <w:rFonts w:ascii="Arial" w:hAnsi="Arial" w:cs="Arial"/>
          <w:b/>
          <w:bCs/>
          <w:color w:val="262626"/>
        </w:rPr>
      </w:pPr>
    </w:p>
    <w:p w14:paraId="081D556F" w14:textId="77777777" w:rsidR="00C237FF" w:rsidRDefault="00C237FF" w:rsidP="003F64E4">
      <w:pPr>
        <w:spacing w:line="360" w:lineRule="auto"/>
        <w:rPr>
          <w:rFonts w:ascii="Arial" w:hAnsi="Arial" w:cs="Arial"/>
          <w:b/>
          <w:bCs/>
          <w:color w:val="262626"/>
        </w:rPr>
      </w:pPr>
    </w:p>
    <w:p w14:paraId="426DBA4F" w14:textId="77777777" w:rsidR="00C237FF" w:rsidRDefault="00C237FF" w:rsidP="003F64E4">
      <w:pPr>
        <w:spacing w:line="360" w:lineRule="auto"/>
        <w:rPr>
          <w:rFonts w:ascii="Arial" w:hAnsi="Arial" w:cs="Arial"/>
          <w:b/>
          <w:bCs/>
          <w:color w:val="262626"/>
        </w:rPr>
      </w:pPr>
    </w:p>
    <w:p w14:paraId="0AC9FB4E" w14:textId="77777777" w:rsidR="00C237FF" w:rsidRDefault="00C237FF" w:rsidP="003F64E4">
      <w:pPr>
        <w:spacing w:line="360" w:lineRule="auto"/>
        <w:rPr>
          <w:rFonts w:ascii="Arial" w:hAnsi="Arial" w:cs="Arial"/>
          <w:b/>
          <w:bCs/>
          <w:color w:val="262626"/>
        </w:rPr>
      </w:pPr>
    </w:p>
    <w:p w14:paraId="6C8833C7" w14:textId="77777777" w:rsidR="00C237FF" w:rsidRDefault="00C237FF" w:rsidP="003F64E4">
      <w:pPr>
        <w:spacing w:line="360" w:lineRule="auto"/>
        <w:rPr>
          <w:rFonts w:ascii="Arial" w:hAnsi="Arial" w:cs="Arial"/>
          <w:b/>
          <w:bCs/>
          <w:color w:val="262626"/>
        </w:rPr>
      </w:pPr>
    </w:p>
    <w:p w14:paraId="230A4D13" w14:textId="77777777" w:rsidR="00C237FF" w:rsidRDefault="00C237FF" w:rsidP="003F64E4">
      <w:pPr>
        <w:spacing w:line="360" w:lineRule="auto"/>
        <w:rPr>
          <w:rFonts w:ascii="Arial" w:hAnsi="Arial" w:cs="Arial"/>
          <w:b/>
          <w:bCs/>
          <w:color w:val="262626"/>
        </w:rPr>
      </w:pPr>
    </w:p>
    <w:p w14:paraId="50964259" w14:textId="77777777" w:rsidR="00715BE9" w:rsidRDefault="00715BE9" w:rsidP="003F64E4">
      <w:pPr>
        <w:spacing w:line="360" w:lineRule="auto"/>
        <w:rPr>
          <w:rFonts w:ascii="Arial" w:hAnsi="Arial" w:cs="Arial"/>
          <w:b/>
          <w:bCs/>
          <w:color w:val="262626"/>
        </w:rPr>
      </w:pPr>
    </w:p>
    <w:p w14:paraId="4B89F337" w14:textId="77777777" w:rsidR="00715BE9" w:rsidRDefault="00715BE9" w:rsidP="003F64E4">
      <w:pPr>
        <w:spacing w:line="360" w:lineRule="auto"/>
        <w:rPr>
          <w:rFonts w:ascii="Arial" w:hAnsi="Arial" w:cs="Arial"/>
          <w:b/>
          <w:bCs/>
          <w:color w:val="262626"/>
        </w:rPr>
      </w:pPr>
    </w:p>
    <w:p w14:paraId="0627A4C9" w14:textId="77777777" w:rsidR="00715BE9" w:rsidRDefault="00715BE9" w:rsidP="003F64E4">
      <w:pPr>
        <w:spacing w:line="360" w:lineRule="auto"/>
        <w:rPr>
          <w:rFonts w:ascii="Arial" w:hAnsi="Arial" w:cs="Arial"/>
          <w:b/>
          <w:bCs/>
          <w:color w:val="262626"/>
        </w:rPr>
      </w:pPr>
    </w:p>
    <w:p w14:paraId="4BAEB50E" w14:textId="77777777" w:rsidR="00715BE9" w:rsidRDefault="00715BE9" w:rsidP="003F64E4">
      <w:pPr>
        <w:spacing w:line="360" w:lineRule="auto"/>
        <w:rPr>
          <w:rFonts w:ascii="Arial" w:hAnsi="Arial" w:cs="Arial"/>
          <w:b/>
          <w:bCs/>
          <w:color w:val="262626"/>
        </w:rPr>
      </w:pPr>
    </w:p>
    <w:p w14:paraId="1CB5E17C" w14:textId="77777777" w:rsidR="00715BE9" w:rsidRPr="002460EC" w:rsidRDefault="00715BE9" w:rsidP="003F64E4">
      <w:pPr>
        <w:spacing w:line="360" w:lineRule="auto"/>
        <w:rPr>
          <w:rFonts w:ascii="Arial" w:hAnsi="Arial" w:cs="Arial"/>
          <w:b/>
          <w:bCs/>
          <w:color w:val="262626" w:themeColor="text1" w:themeTint="D9"/>
        </w:rPr>
      </w:pPr>
    </w:p>
    <w:p w14:paraId="560FCACC" w14:textId="403742CB" w:rsidR="003F64E4" w:rsidRPr="002460EC" w:rsidRDefault="003F64E4" w:rsidP="003F64E4">
      <w:pPr>
        <w:spacing w:line="360" w:lineRule="auto"/>
        <w:rPr>
          <w:rFonts w:ascii="Arial" w:hAnsi="Arial" w:cs="Arial"/>
          <w:color w:val="262626" w:themeColor="text1" w:themeTint="D9"/>
        </w:rPr>
      </w:pPr>
      <w:r w:rsidRPr="002460EC">
        <w:rPr>
          <w:rFonts w:ascii="Arial" w:hAnsi="Arial" w:cs="Arial"/>
          <w:b/>
          <w:bCs/>
          <w:color w:val="262626" w:themeColor="text1" w:themeTint="D9"/>
        </w:rPr>
        <w:lastRenderedPageBreak/>
        <w:t xml:space="preserve">Appendix </w:t>
      </w:r>
      <w:r w:rsidR="00236766" w:rsidRPr="002460EC">
        <w:rPr>
          <w:rFonts w:ascii="Arial" w:hAnsi="Arial" w:cs="Arial"/>
          <w:b/>
          <w:bCs/>
          <w:color w:val="262626" w:themeColor="text1" w:themeTint="D9"/>
        </w:rPr>
        <w:t>A</w:t>
      </w:r>
      <w:r w:rsidR="00C237FF" w:rsidRPr="002460EC">
        <w:rPr>
          <w:rFonts w:ascii="Arial" w:hAnsi="Arial" w:cs="Arial"/>
          <w:b/>
          <w:bCs/>
          <w:color w:val="262626" w:themeColor="text1" w:themeTint="D9"/>
        </w:rPr>
        <w:t>.</w:t>
      </w:r>
      <w:r w:rsidRPr="002460EC">
        <w:rPr>
          <w:rFonts w:ascii="Arial" w:hAnsi="Arial" w:cs="Arial"/>
          <w:b/>
          <w:bCs/>
          <w:color w:val="262626" w:themeColor="text1" w:themeTint="D9"/>
        </w:rPr>
        <w:t>4</w:t>
      </w:r>
      <w:r w:rsidRPr="002460EC">
        <w:rPr>
          <w:rFonts w:ascii="Arial" w:hAnsi="Arial" w:cs="Arial"/>
          <w:color w:val="262626" w:themeColor="text1" w:themeTint="D9"/>
        </w:rPr>
        <w:t>: Comparative Matrix of L’Oréal’s International Market Entry Modes</w:t>
      </w:r>
    </w:p>
    <w:p w14:paraId="36E3D824" w14:textId="77777777" w:rsidR="003F64E4" w:rsidRPr="00EF3058" w:rsidRDefault="003F64E4" w:rsidP="003F64E4">
      <w:pPr>
        <w:spacing w:line="360" w:lineRule="auto"/>
        <w:rPr>
          <w:rFonts w:ascii="Arial" w:hAnsi="Arial" w:cs="Arial"/>
          <w:color w:val="262626"/>
        </w:rPr>
      </w:pPr>
    </w:p>
    <w:tbl>
      <w:tblPr>
        <w:tblW w:w="0" w:type="auto"/>
        <w:tblCellSpacing w:w="15" w:type="dxa"/>
        <w:tblBorders>
          <w:insideH w:val="single" w:sz="4" w:space="0" w:color="D4AF37"/>
        </w:tblBorders>
        <w:tblCellMar>
          <w:top w:w="15" w:type="dxa"/>
          <w:left w:w="15" w:type="dxa"/>
          <w:bottom w:w="15" w:type="dxa"/>
          <w:right w:w="15" w:type="dxa"/>
        </w:tblCellMar>
        <w:tblLook w:val="04A0" w:firstRow="1" w:lastRow="0" w:firstColumn="1" w:lastColumn="0" w:noHBand="0" w:noVBand="1"/>
      </w:tblPr>
      <w:tblGrid>
        <w:gridCol w:w="842"/>
        <w:gridCol w:w="2270"/>
        <w:gridCol w:w="1931"/>
        <w:gridCol w:w="1922"/>
        <w:gridCol w:w="2395"/>
      </w:tblGrid>
      <w:tr w:rsidR="003F64E4" w:rsidRPr="00EF3058" w14:paraId="25ACA9FC" w14:textId="77777777" w:rsidTr="009B0262">
        <w:trPr>
          <w:tblHeader/>
          <w:tblCellSpacing w:w="15" w:type="dxa"/>
        </w:trPr>
        <w:tc>
          <w:tcPr>
            <w:tcW w:w="0" w:type="auto"/>
            <w:shd w:val="clear" w:color="auto" w:fill="FAF5E6"/>
            <w:vAlign w:val="center"/>
            <w:hideMark/>
          </w:tcPr>
          <w:p w14:paraId="5DE7A35C" w14:textId="77777777" w:rsidR="003F64E4" w:rsidRPr="002460EC" w:rsidRDefault="003F64E4" w:rsidP="009B0262">
            <w:pPr>
              <w:rPr>
                <w:rFonts w:ascii="Arial" w:hAnsi="Arial" w:cs="Arial"/>
                <w:b/>
                <w:bCs/>
                <w:color w:val="262626" w:themeColor="text1" w:themeTint="D9"/>
                <w:sz w:val="20"/>
                <w:szCs w:val="20"/>
              </w:rPr>
            </w:pPr>
            <w:r w:rsidRPr="002460EC">
              <w:rPr>
                <w:rFonts w:ascii="Arial" w:hAnsi="Arial" w:cs="Arial"/>
                <w:b/>
                <w:bCs/>
                <w:color w:val="262626" w:themeColor="text1" w:themeTint="D9"/>
                <w:sz w:val="20"/>
                <w:szCs w:val="20"/>
              </w:rPr>
              <w:t>Country</w:t>
            </w:r>
          </w:p>
        </w:tc>
        <w:tc>
          <w:tcPr>
            <w:tcW w:w="0" w:type="auto"/>
            <w:shd w:val="clear" w:color="auto" w:fill="FAF5E6"/>
            <w:vAlign w:val="center"/>
            <w:hideMark/>
          </w:tcPr>
          <w:p w14:paraId="1A72E8CD" w14:textId="77777777" w:rsidR="003F64E4" w:rsidRPr="002460EC" w:rsidRDefault="003F64E4" w:rsidP="009B0262">
            <w:pPr>
              <w:rPr>
                <w:rFonts w:ascii="Arial" w:hAnsi="Arial" w:cs="Arial"/>
                <w:b/>
                <w:bCs/>
                <w:color w:val="262626" w:themeColor="text1" w:themeTint="D9"/>
                <w:sz w:val="20"/>
                <w:szCs w:val="20"/>
              </w:rPr>
            </w:pPr>
            <w:r w:rsidRPr="002460EC">
              <w:rPr>
                <w:rFonts w:ascii="Arial" w:hAnsi="Arial" w:cs="Arial"/>
                <w:b/>
                <w:bCs/>
                <w:color w:val="262626" w:themeColor="text1" w:themeTint="D9"/>
                <w:sz w:val="20"/>
                <w:szCs w:val="20"/>
              </w:rPr>
              <w:t>Entry Mode(s)</w:t>
            </w:r>
          </w:p>
        </w:tc>
        <w:tc>
          <w:tcPr>
            <w:tcW w:w="0" w:type="auto"/>
            <w:shd w:val="clear" w:color="auto" w:fill="FAF5E6"/>
            <w:vAlign w:val="center"/>
            <w:hideMark/>
          </w:tcPr>
          <w:p w14:paraId="4559B4EC" w14:textId="77777777" w:rsidR="003F64E4" w:rsidRPr="002460EC" w:rsidRDefault="003F64E4" w:rsidP="009B0262">
            <w:pPr>
              <w:rPr>
                <w:rFonts w:ascii="Arial" w:hAnsi="Arial" w:cs="Arial"/>
                <w:b/>
                <w:bCs/>
                <w:color w:val="262626" w:themeColor="text1" w:themeTint="D9"/>
                <w:sz w:val="20"/>
                <w:szCs w:val="20"/>
              </w:rPr>
            </w:pPr>
            <w:r w:rsidRPr="002460EC">
              <w:rPr>
                <w:rFonts w:ascii="Arial" w:hAnsi="Arial" w:cs="Arial"/>
                <w:b/>
                <w:bCs/>
                <w:color w:val="262626" w:themeColor="text1" w:themeTint="D9"/>
                <w:sz w:val="20"/>
                <w:szCs w:val="20"/>
              </w:rPr>
              <w:t>Strategic Objective</w:t>
            </w:r>
          </w:p>
        </w:tc>
        <w:tc>
          <w:tcPr>
            <w:tcW w:w="0" w:type="auto"/>
            <w:shd w:val="clear" w:color="auto" w:fill="FAF5E6"/>
            <w:vAlign w:val="center"/>
            <w:hideMark/>
          </w:tcPr>
          <w:p w14:paraId="1D7EA145" w14:textId="77777777" w:rsidR="003F64E4" w:rsidRPr="002460EC" w:rsidRDefault="003F64E4" w:rsidP="009B0262">
            <w:pPr>
              <w:rPr>
                <w:rFonts w:ascii="Arial" w:hAnsi="Arial" w:cs="Arial"/>
                <w:b/>
                <w:bCs/>
                <w:color w:val="262626" w:themeColor="text1" w:themeTint="D9"/>
                <w:sz w:val="20"/>
                <w:szCs w:val="20"/>
              </w:rPr>
            </w:pPr>
            <w:r w:rsidRPr="002460EC">
              <w:rPr>
                <w:rFonts w:ascii="Arial" w:hAnsi="Arial" w:cs="Arial"/>
                <w:b/>
                <w:bCs/>
                <w:color w:val="262626" w:themeColor="text1" w:themeTint="D9"/>
                <w:sz w:val="20"/>
                <w:szCs w:val="20"/>
              </w:rPr>
              <w:t>Main Benefits</w:t>
            </w:r>
          </w:p>
        </w:tc>
        <w:tc>
          <w:tcPr>
            <w:tcW w:w="0" w:type="auto"/>
            <w:shd w:val="clear" w:color="auto" w:fill="FAF5E6"/>
            <w:vAlign w:val="center"/>
            <w:hideMark/>
          </w:tcPr>
          <w:p w14:paraId="1DFD9E3F" w14:textId="77777777" w:rsidR="003F64E4" w:rsidRPr="002460EC" w:rsidRDefault="003F64E4" w:rsidP="009B0262">
            <w:pPr>
              <w:rPr>
                <w:rFonts w:ascii="Arial" w:hAnsi="Arial" w:cs="Arial"/>
                <w:b/>
                <w:bCs/>
                <w:color w:val="262626" w:themeColor="text1" w:themeTint="D9"/>
                <w:sz w:val="20"/>
                <w:szCs w:val="20"/>
              </w:rPr>
            </w:pPr>
            <w:r w:rsidRPr="002460EC">
              <w:rPr>
                <w:rFonts w:ascii="Arial" w:hAnsi="Arial" w:cs="Arial"/>
                <w:b/>
                <w:bCs/>
                <w:color w:val="262626" w:themeColor="text1" w:themeTint="D9"/>
                <w:sz w:val="20"/>
                <w:szCs w:val="20"/>
              </w:rPr>
              <w:t>Key Risks / Constraints</w:t>
            </w:r>
          </w:p>
        </w:tc>
      </w:tr>
      <w:tr w:rsidR="003F64E4" w:rsidRPr="00EF3058" w14:paraId="6FEA2CC9" w14:textId="77777777" w:rsidTr="009B0262">
        <w:trPr>
          <w:tblCellSpacing w:w="15" w:type="dxa"/>
        </w:trPr>
        <w:tc>
          <w:tcPr>
            <w:tcW w:w="0" w:type="auto"/>
            <w:shd w:val="clear" w:color="auto" w:fill="FAF5E6"/>
            <w:vAlign w:val="center"/>
            <w:hideMark/>
          </w:tcPr>
          <w:p w14:paraId="6C01ECE1"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b/>
                <w:bCs/>
                <w:color w:val="262626" w:themeColor="text1" w:themeTint="D9"/>
                <w:sz w:val="20"/>
                <w:szCs w:val="20"/>
              </w:rPr>
              <w:t>USA</w:t>
            </w:r>
          </w:p>
        </w:tc>
        <w:tc>
          <w:tcPr>
            <w:tcW w:w="0" w:type="auto"/>
            <w:shd w:val="clear" w:color="auto" w:fill="FAF5E6"/>
            <w:vAlign w:val="center"/>
            <w:hideMark/>
          </w:tcPr>
          <w:p w14:paraId="20E966C1"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Acquisition (Urban Decay, IT Cosmetics)</w:t>
            </w:r>
          </w:p>
        </w:tc>
        <w:tc>
          <w:tcPr>
            <w:tcW w:w="0" w:type="auto"/>
            <w:shd w:val="clear" w:color="auto" w:fill="FAF5E6"/>
            <w:vAlign w:val="center"/>
            <w:hideMark/>
          </w:tcPr>
          <w:p w14:paraId="3517CD0F"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Fast market entry, brand portfolio expansion</w:t>
            </w:r>
          </w:p>
        </w:tc>
        <w:tc>
          <w:tcPr>
            <w:tcW w:w="0" w:type="auto"/>
            <w:shd w:val="clear" w:color="auto" w:fill="FAF5E6"/>
            <w:vAlign w:val="center"/>
            <w:hideMark/>
          </w:tcPr>
          <w:p w14:paraId="6D229535"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Access to premium segments, strong local brands</w:t>
            </w:r>
          </w:p>
        </w:tc>
        <w:tc>
          <w:tcPr>
            <w:tcW w:w="0" w:type="auto"/>
            <w:shd w:val="clear" w:color="auto" w:fill="FAF5E6"/>
            <w:vAlign w:val="center"/>
            <w:hideMark/>
          </w:tcPr>
          <w:p w14:paraId="62C30D82"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High integration complexity, post-merger culture clash</w:t>
            </w:r>
          </w:p>
        </w:tc>
      </w:tr>
      <w:tr w:rsidR="003F64E4" w:rsidRPr="00EF3058" w14:paraId="1BB9CB04" w14:textId="77777777" w:rsidTr="009B0262">
        <w:trPr>
          <w:tblCellSpacing w:w="15" w:type="dxa"/>
        </w:trPr>
        <w:tc>
          <w:tcPr>
            <w:tcW w:w="0" w:type="auto"/>
            <w:shd w:val="clear" w:color="auto" w:fill="FAF5E6"/>
            <w:vAlign w:val="center"/>
            <w:hideMark/>
          </w:tcPr>
          <w:p w14:paraId="05C4FED4"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b/>
                <w:bCs/>
                <w:color w:val="262626" w:themeColor="text1" w:themeTint="D9"/>
                <w:sz w:val="20"/>
                <w:szCs w:val="20"/>
              </w:rPr>
              <w:t>China</w:t>
            </w:r>
          </w:p>
        </w:tc>
        <w:tc>
          <w:tcPr>
            <w:tcW w:w="0" w:type="auto"/>
            <w:shd w:val="clear" w:color="auto" w:fill="FAF5E6"/>
            <w:vAlign w:val="center"/>
            <w:hideMark/>
          </w:tcPr>
          <w:p w14:paraId="7170BC64"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Wholly owned subsidiaries + e-commerce partnerships (Tmall, JD.com)</w:t>
            </w:r>
          </w:p>
        </w:tc>
        <w:tc>
          <w:tcPr>
            <w:tcW w:w="0" w:type="auto"/>
            <w:shd w:val="clear" w:color="auto" w:fill="FAF5E6"/>
            <w:vAlign w:val="center"/>
            <w:hideMark/>
          </w:tcPr>
          <w:p w14:paraId="0CF83D12"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Control + digital presence</w:t>
            </w:r>
          </w:p>
        </w:tc>
        <w:tc>
          <w:tcPr>
            <w:tcW w:w="0" w:type="auto"/>
            <w:shd w:val="clear" w:color="auto" w:fill="FAF5E6"/>
            <w:vAlign w:val="center"/>
            <w:hideMark/>
          </w:tcPr>
          <w:p w14:paraId="2A4B8F04"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Brand consistency, platform access</w:t>
            </w:r>
          </w:p>
        </w:tc>
        <w:tc>
          <w:tcPr>
            <w:tcW w:w="0" w:type="auto"/>
            <w:shd w:val="clear" w:color="auto" w:fill="FAF5E6"/>
            <w:vAlign w:val="center"/>
            <w:hideMark/>
          </w:tcPr>
          <w:p w14:paraId="2FBA5E20"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Regulatory compliance, data protection, and localisation challenges</w:t>
            </w:r>
          </w:p>
        </w:tc>
      </w:tr>
      <w:tr w:rsidR="003F64E4" w:rsidRPr="00EF3058" w14:paraId="7C9F15F0" w14:textId="77777777" w:rsidTr="009B0262">
        <w:trPr>
          <w:tblCellSpacing w:w="15" w:type="dxa"/>
        </w:trPr>
        <w:tc>
          <w:tcPr>
            <w:tcW w:w="0" w:type="auto"/>
            <w:shd w:val="clear" w:color="auto" w:fill="FAF5E6"/>
            <w:vAlign w:val="center"/>
            <w:hideMark/>
          </w:tcPr>
          <w:p w14:paraId="41AE26AE"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b/>
                <w:bCs/>
                <w:color w:val="262626" w:themeColor="text1" w:themeTint="D9"/>
                <w:sz w:val="20"/>
                <w:szCs w:val="20"/>
              </w:rPr>
              <w:t>Brazil</w:t>
            </w:r>
          </w:p>
        </w:tc>
        <w:tc>
          <w:tcPr>
            <w:tcW w:w="0" w:type="auto"/>
            <w:shd w:val="clear" w:color="auto" w:fill="FAF5E6"/>
            <w:vAlign w:val="center"/>
            <w:hideMark/>
          </w:tcPr>
          <w:p w14:paraId="510EACF6"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Acquisition (Niely) + sourcing partnerships</w:t>
            </w:r>
          </w:p>
        </w:tc>
        <w:tc>
          <w:tcPr>
            <w:tcW w:w="0" w:type="auto"/>
            <w:shd w:val="clear" w:color="auto" w:fill="FAF5E6"/>
            <w:vAlign w:val="center"/>
            <w:hideMark/>
          </w:tcPr>
          <w:p w14:paraId="3B0E4BB5"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Cost efficiency + access to biodiversity-rich ingredients</w:t>
            </w:r>
          </w:p>
        </w:tc>
        <w:tc>
          <w:tcPr>
            <w:tcW w:w="0" w:type="auto"/>
            <w:shd w:val="clear" w:color="auto" w:fill="FAF5E6"/>
            <w:vAlign w:val="center"/>
            <w:hideMark/>
          </w:tcPr>
          <w:p w14:paraId="2E7B3FA3"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Local market penetration, sustainable sourcing image</w:t>
            </w:r>
          </w:p>
        </w:tc>
        <w:tc>
          <w:tcPr>
            <w:tcW w:w="0" w:type="auto"/>
            <w:shd w:val="clear" w:color="auto" w:fill="FAF5E6"/>
            <w:vAlign w:val="center"/>
            <w:hideMark/>
          </w:tcPr>
          <w:p w14:paraId="494524BC"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Currency volatility, regulatory unpredictability</w:t>
            </w:r>
          </w:p>
        </w:tc>
      </w:tr>
      <w:tr w:rsidR="003F64E4" w:rsidRPr="00EF3058" w14:paraId="38CBFBF5" w14:textId="77777777" w:rsidTr="009B0262">
        <w:trPr>
          <w:tblCellSpacing w:w="15" w:type="dxa"/>
        </w:trPr>
        <w:tc>
          <w:tcPr>
            <w:tcW w:w="0" w:type="auto"/>
            <w:shd w:val="clear" w:color="auto" w:fill="FAF5E6"/>
            <w:vAlign w:val="center"/>
            <w:hideMark/>
          </w:tcPr>
          <w:p w14:paraId="7E1989A0"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b/>
                <w:bCs/>
                <w:color w:val="262626" w:themeColor="text1" w:themeTint="D9"/>
                <w:sz w:val="20"/>
                <w:szCs w:val="20"/>
              </w:rPr>
              <w:t>India</w:t>
            </w:r>
          </w:p>
        </w:tc>
        <w:tc>
          <w:tcPr>
            <w:tcW w:w="0" w:type="auto"/>
            <w:shd w:val="clear" w:color="auto" w:fill="FAF5E6"/>
            <w:vAlign w:val="center"/>
            <w:hideMark/>
          </w:tcPr>
          <w:p w14:paraId="34C1BFA1"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Acquisitions (Matrix) + Subsidiaries + Local partnerships (Nykaa)</w:t>
            </w:r>
          </w:p>
        </w:tc>
        <w:tc>
          <w:tcPr>
            <w:tcW w:w="0" w:type="auto"/>
            <w:shd w:val="clear" w:color="auto" w:fill="FAF5E6"/>
            <w:vAlign w:val="center"/>
            <w:hideMark/>
          </w:tcPr>
          <w:p w14:paraId="07E14AC0"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Regional adaptation, e-commerce expansion</w:t>
            </w:r>
          </w:p>
        </w:tc>
        <w:tc>
          <w:tcPr>
            <w:tcW w:w="0" w:type="auto"/>
            <w:shd w:val="clear" w:color="auto" w:fill="FAF5E6"/>
            <w:vAlign w:val="center"/>
            <w:hideMark/>
          </w:tcPr>
          <w:p w14:paraId="68FD5142"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Cultural fit, distribution expansion</w:t>
            </w:r>
          </w:p>
        </w:tc>
        <w:tc>
          <w:tcPr>
            <w:tcW w:w="0" w:type="auto"/>
            <w:shd w:val="clear" w:color="auto" w:fill="FAF5E6"/>
            <w:vAlign w:val="center"/>
            <w:hideMark/>
          </w:tcPr>
          <w:p w14:paraId="592342F1" w14:textId="77777777" w:rsidR="003F64E4" w:rsidRPr="002460EC" w:rsidRDefault="003F64E4" w:rsidP="009B0262">
            <w:pPr>
              <w:rPr>
                <w:rFonts w:ascii="Arial" w:hAnsi="Arial" w:cs="Arial"/>
                <w:color w:val="262626" w:themeColor="text1" w:themeTint="D9"/>
                <w:sz w:val="20"/>
                <w:szCs w:val="20"/>
              </w:rPr>
            </w:pPr>
            <w:r w:rsidRPr="002460EC">
              <w:rPr>
                <w:rFonts w:ascii="Arial" w:hAnsi="Arial" w:cs="Arial"/>
                <w:color w:val="262626" w:themeColor="text1" w:themeTint="D9"/>
                <w:sz w:val="20"/>
                <w:szCs w:val="20"/>
              </w:rPr>
              <w:t>Infrastructure gaps, complex labour and tax laws</w:t>
            </w:r>
          </w:p>
        </w:tc>
      </w:tr>
    </w:tbl>
    <w:p w14:paraId="16E79E43" w14:textId="74883CF0" w:rsidR="00E93CB6" w:rsidRPr="002460EC" w:rsidRDefault="003F64E4" w:rsidP="002460EC">
      <w:pPr>
        <w:spacing w:line="360" w:lineRule="auto"/>
        <w:rPr>
          <w:rFonts w:ascii="Arial" w:hAnsi="Arial" w:cs="Arial"/>
          <w:color w:val="262626" w:themeColor="text1" w:themeTint="D9"/>
        </w:rPr>
      </w:pPr>
      <w:r w:rsidRPr="002460EC">
        <w:rPr>
          <w:rFonts w:ascii="Arial" w:hAnsi="Arial" w:cs="Arial"/>
          <w:b/>
          <w:bCs/>
          <w:color w:val="262626" w:themeColor="text1" w:themeTint="D9"/>
        </w:rPr>
        <w:t>Source</w:t>
      </w:r>
      <w:r w:rsidRPr="002460EC">
        <w:rPr>
          <w:rFonts w:ascii="Arial" w:hAnsi="Arial" w:cs="Arial"/>
          <w:color w:val="262626" w:themeColor="text1" w:themeTint="D9"/>
        </w:rPr>
        <w:t>: Compiled by the author based on data from L’Oréal (2024), UNCTAD (202</w:t>
      </w:r>
      <w:r w:rsidR="00290FC3" w:rsidRPr="002460EC">
        <w:rPr>
          <w:rFonts w:ascii="Arial" w:hAnsi="Arial" w:cs="Arial"/>
          <w:color w:val="262626" w:themeColor="text1" w:themeTint="D9"/>
        </w:rPr>
        <w:t>4</w:t>
      </w:r>
      <w:r w:rsidRPr="002460EC">
        <w:rPr>
          <w:rFonts w:ascii="Arial" w:hAnsi="Arial" w:cs="Arial"/>
          <w:color w:val="262626" w:themeColor="text1" w:themeTint="D9"/>
        </w:rPr>
        <w:t>), EY (2022), KPMG (2023), and Dunning (1988).</w:t>
      </w:r>
    </w:p>
    <w:p w14:paraId="48261C86" w14:textId="77777777" w:rsidR="00C237FF" w:rsidRDefault="00C237FF" w:rsidP="00340912">
      <w:pPr>
        <w:spacing w:line="360" w:lineRule="auto"/>
        <w:rPr>
          <w:rFonts w:ascii="Arial" w:hAnsi="Arial" w:cs="Arial"/>
          <w:color w:val="262626"/>
        </w:rPr>
      </w:pPr>
    </w:p>
    <w:p w14:paraId="523EABF7" w14:textId="77777777" w:rsidR="00C237FF" w:rsidRDefault="00C237FF" w:rsidP="00340912">
      <w:pPr>
        <w:spacing w:line="360" w:lineRule="auto"/>
        <w:rPr>
          <w:rFonts w:ascii="Arial" w:hAnsi="Arial" w:cs="Arial"/>
          <w:color w:val="262626"/>
        </w:rPr>
      </w:pPr>
    </w:p>
    <w:p w14:paraId="521F0094" w14:textId="77777777" w:rsidR="00C237FF" w:rsidRDefault="00C237FF" w:rsidP="00340912">
      <w:pPr>
        <w:spacing w:line="360" w:lineRule="auto"/>
        <w:rPr>
          <w:rFonts w:ascii="Arial" w:hAnsi="Arial" w:cs="Arial"/>
          <w:color w:val="262626"/>
        </w:rPr>
      </w:pPr>
    </w:p>
    <w:p w14:paraId="070239B3" w14:textId="77777777" w:rsidR="00C237FF" w:rsidRDefault="00C237FF" w:rsidP="00340912">
      <w:pPr>
        <w:spacing w:line="360" w:lineRule="auto"/>
        <w:rPr>
          <w:rFonts w:ascii="Arial" w:hAnsi="Arial" w:cs="Arial"/>
          <w:color w:val="262626"/>
        </w:rPr>
      </w:pPr>
    </w:p>
    <w:p w14:paraId="039AE560" w14:textId="77777777" w:rsidR="00C237FF" w:rsidRDefault="00C237FF" w:rsidP="00340912">
      <w:pPr>
        <w:spacing w:line="360" w:lineRule="auto"/>
        <w:rPr>
          <w:rFonts w:ascii="Arial" w:hAnsi="Arial" w:cs="Arial"/>
          <w:color w:val="262626"/>
        </w:rPr>
      </w:pPr>
    </w:p>
    <w:p w14:paraId="01603657" w14:textId="77777777" w:rsidR="00C237FF" w:rsidRDefault="00C237FF" w:rsidP="00340912">
      <w:pPr>
        <w:spacing w:line="360" w:lineRule="auto"/>
        <w:rPr>
          <w:rFonts w:ascii="Arial" w:hAnsi="Arial" w:cs="Arial"/>
          <w:color w:val="262626"/>
        </w:rPr>
      </w:pPr>
    </w:p>
    <w:p w14:paraId="2C2AC2F1" w14:textId="77777777" w:rsidR="00C237FF" w:rsidRDefault="00C237FF" w:rsidP="00340912">
      <w:pPr>
        <w:spacing w:line="360" w:lineRule="auto"/>
        <w:rPr>
          <w:rFonts w:ascii="Arial" w:hAnsi="Arial" w:cs="Arial"/>
          <w:color w:val="262626"/>
        </w:rPr>
      </w:pPr>
    </w:p>
    <w:p w14:paraId="3A735C7F" w14:textId="77777777" w:rsidR="00C237FF" w:rsidRDefault="00C237FF" w:rsidP="00340912">
      <w:pPr>
        <w:spacing w:line="360" w:lineRule="auto"/>
        <w:rPr>
          <w:rFonts w:ascii="Arial" w:hAnsi="Arial" w:cs="Arial"/>
          <w:color w:val="262626"/>
        </w:rPr>
      </w:pPr>
    </w:p>
    <w:p w14:paraId="63984DE8" w14:textId="77777777" w:rsidR="00C237FF" w:rsidRDefault="00C237FF" w:rsidP="00340912">
      <w:pPr>
        <w:spacing w:line="360" w:lineRule="auto"/>
        <w:rPr>
          <w:rFonts w:ascii="Arial" w:hAnsi="Arial" w:cs="Arial"/>
          <w:color w:val="262626"/>
        </w:rPr>
      </w:pPr>
    </w:p>
    <w:p w14:paraId="24FFBDC3" w14:textId="77777777" w:rsidR="00C237FF" w:rsidRDefault="00C237FF" w:rsidP="00340912">
      <w:pPr>
        <w:spacing w:line="360" w:lineRule="auto"/>
        <w:rPr>
          <w:rFonts w:ascii="Arial" w:hAnsi="Arial" w:cs="Arial"/>
          <w:color w:val="262626"/>
        </w:rPr>
      </w:pPr>
    </w:p>
    <w:p w14:paraId="0B14A0C9" w14:textId="77777777" w:rsidR="001B3E5D" w:rsidRPr="00766DBC" w:rsidRDefault="001B3E5D" w:rsidP="00340912">
      <w:pPr>
        <w:spacing w:line="360" w:lineRule="auto"/>
        <w:rPr>
          <w:rFonts w:ascii="Arial" w:hAnsi="Arial" w:cs="Arial"/>
          <w:color w:val="262626"/>
        </w:rPr>
      </w:pPr>
    </w:p>
    <w:p w14:paraId="3322B663" w14:textId="7921126C" w:rsidR="00E93CB6" w:rsidRPr="002460EC" w:rsidRDefault="00E93CB6" w:rsidP="0052379E">
      <w:pPr>
        <w:spacing w:line="360" w:lineRule="auto"/>
        <w:rPr>
          <w:rFonts w:ascii="Arial" w:hAnsi="Arial" w:cs="Arial"/>
          <w:color w:val="262626" w:themeColor="text1" w:themeTint="D9"/>
        </w:rPr>
      </w:pPr>
      <w:r w:rsidRPr="002460EC">
        <w:rPr>
          <w:rFonts w:ascii="Arial" w:hAnsi="Arial" w:cs="Arial"/>
          <w:b/>
          <w:bCs/>
          <w:color w:val="262626" w:themeColor="text1" w:themeTint="D9"/>
        </w:rPr>
        <w:lastRenderedPageBreak/>
        <w:t xml:space="preserve">Appendix </w:t>
      </w:r>
      <w:r w:rsidR="00236766" w:rsidRPr="002460EC">
        <w:rPr>
          <w:rFonts w:ascii="Arial" w:hAnsi="Arial" w:cs="Arial"/>
          <w:b/>
          <w:bCs/>
          <w:color w:val="262626" w:themeColor="text1" w:themeTint="D9"/>
        </w:rPr>
        <w:t>A</w:t>
      </w:r>
      <w:r w:rsidR="00C237FF" w:rsidRPr="002460EC">
        <w:rPr>
          <w:rFonts w:ascii="Arial" w:hAnsi="Arial" w:cs="Arial"/>
          <w:b/>
          <w:bCs/>
          <w:color w:val="262626" w:themeColor="text1" w:themeTint="D9"/>
        </w:rPr>
        <w:t>.</w:t>
      </w:r>
      <w:r w:rsidRPr="002460EC">
        <w:rPr>
          <w:rFonts w:ascii="Arial" w:hAnsi="Arial" w:cs="Arial"/>
          <w:b/>
          <w:bCs/>
          <w:color w:val="262626" w:themeColor="text1" w:themeTint="D9"/>
        </w:rPr>
        <w:t>5:</w:t>
      </w:r>
      <w:r w:rsidRPr="002460EC">
        <w:rPr>
          <w:rFonts w:ascii="Arial" w:hAnsi="Arial" w:cs="Arial"/>
          <w:color w:val="262626" w:themeColor="text1" w:themeTint="D9"/>
        </w:rPr>
        <w:t xml:space="preserve"> </w:t>
      </w:r>
      <w:r w:rsidRPr="002460EC">
        <w:rPr>
          <w:rFonts w:ascii="Arial" w:hAnsi="Arial" w:cs="Arial"/>
          <w:color w:val="262626" w:themeColor="text1" w:themeTint="D9"/>
        </w:rPr>
        <w:t xml:space="preserve">OLI Tension Map for Emerging Premium Markets </w:t>
      </w:r>
    </w:p>
    <w:p w14:paraId="51AE728F" w14:textId="77777777" w:rsidR="00854ABC" w:rsidRDefault="00854ABC" w:rsidP="0052379E">
      <w:pPr>
        <w:spacing w:line="360" w:lineRule="auto"/>
        <w:rPr>
          <w:rFonts w:ascii="Arial" w:hAnsi="Arial" w:cs="Arial"/>
          <w:color w:val="262626" w:themeColor="text1" w:themeTint="D9"/>
        </w:rPr>
      </w:pPr>
    </w:p>
    <w:p w14:paraId="2CB4B636" w14:textId="3E149DE0" w:rsidR="00E93CB6" w:rsidRDefault="00E93CB6" w:rsidP="0052379E">
      <w:pPr>
        <w:spacing w:line="360" w:lineRule="auto"/>
        <w:rPr>
          <w:rFonts w:ascii="Arial" w:hAnsi="Arial" w:cs="Arial"/>
          <w:color w:val="262626" w:themeColor="text1" w:themeTint="D9"/>
        </w:rPr>
      </w:pPr>
      <w:r w:rsidRPr="00E93CB6">
        <w:rPr>
          <w:rFonts w:ascii="Arial" w:hAnsi="Arial" w:cs="Arial"/>
          <w:color w:val="262626" w:themeColor="text1" w:themeTint="D9"/>
        </w:rPr>
        <w:drawing>
          <wp:inline distT="0" distB="0" distL="0" distR="0" wp14:anchorId="651A914E" wp14:editId="76301509">
            <wp:extent cx="6071235" cy="4172595"/>
            <wp:effectExtent l="0" t="0" r="5715" b="0"/>
            <wp:docPr id="1108257972" name="Picture 1" descr="A diagram of 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257972" name="Picture 1" descr="A diagram of a diagram of a company&#10;&#10;AI-generated content may be incorrect."/>
                    <pic:cNvPicPr/>
                  </pic:nvPicPr>
                  <pic:blipFill>
                    <a:blip r:embed="rId21"/>
                    <a:stretch>
                      <a:fillRect/>
                    </a:stretch>
                  </pic:blipFill>
                  <pic:spPr>
                    <a:xfrm>
                      <a:off x="0" y="0"/>
                      <a:ext cx="6071235" cy="4172595"/>
                    </a:xfrm>
                    <a:prstGeom prst="rect">
                      <a:avLst/>
                    </a:prstGeom>
                  </pic:spPr>
                </pic:pic>
              </a:graphicData>
            </a:graphic>
          </wp:inline>
        </w:drawing>
      </w:r>
    </w:p>
    <w:p w14:paraId="263AA856" w14:textId="77777777" w:rsidR="00766DBC" w:rsidRDefault="00766DBC" w:rsidP="0052379E">
      <w:pPr>
        <w:spacing w:line="360" w:lineRule="auto"/>
        <w:rPr>
          <w:rFonts w:ascii="Arial" w:hAnsi="Arial" w:cs="Arial"/>
          <w:color w:val="262626" w:themeColor="text1" w:themeTint="D9"/>
        </w:rPr>
      </w:pPr>
    </w:p>
    <w:p w14:paraId="3E6244EF" w14:textId="45BE07B6" w:rsidR="00E1203B" w:rsidRPr="002460EC" w:rsidRDefault="00766DBC" w:rsidP="002460EC">
      <w:pPr>
        <w:spacing w:line="360" w:lineRule="auto"/>
        <w:jc w:val="center"/>
        <w:rPr>
          <w:rFonts w:ascii="Arial" w:hAnsi="Arial" w:cs="Arial"/>
          <w:color w:val="262626" w:themeColor="text1" w:themeTint="D9"/>
        </w:rPr>
      </w:pPr>
      <w:r w:rsidRPr="002460EC">
        <w:rPr>
          <w:rFonts w:ascii="Arial" w:hAnsi="Arial" w:cs="Arial"/>
          <w:color w:val="262626" w:themeColor="text1" w:themeTint="D9"/>
        </w:rPr>
        <w:t>Figure A5: OLI Tension Map – Emerging Premium Markets (Author’s elaboration)</w:t>
      </w:r>
    </w:p>
    <w:p w14:paraId="5B62034A" w14:textId="77777777" w:rsidR="00766DBC" w:rsidRPr="002460EC" w:rsidRDefault="00766DBC" w:rsidP="002460EC">
      <w:pPr>
        <w:spacing w:line="360" w:lineRule="auto"/>
        <w:rPr>
          <w:rFonts w:ascii="Arial" w:hAnsi="Arial" w:cs="Arial"/>
          <w:color w:val="262626" w:themeColor="text1" w:themeTint="D9"/>
        </w:rPr>
      </w:pPr>
    </w:p>
    <w:p w14:paraId="763AEAA5" w14:textId="6C462E10" w:rsidR="00E1203B" w:rsidRPr="002460EC" w:rsidRDefault="004B0686" w:rsidP="002460EC">
      <w:pPr>
        <w:spacing w:line="360" w:lineRule="auto"/>
        <w:rPr>
          <w:rFonts w:ascii="Arial" w:hAnsi="Arial" w:cs="Arial"/>
          <w:color w:val="262626" w:themeColor="text1" w:themeTint="D9"/>
        </w:rPr>
      </w:pPr>
      <w:r w:rsidRPr="002460EC">
        <w:rPr>
          <w:rFonts w:ascii="Arial" w:hAnsi="Arial" w:cs="Arial"/>
          <w:color w:val="262626" w:themeColor="text1" w:themeTint="D9"/>
        </w:rPr>
        <w:t>The effectiveness of O, L</w:t>
      </w:r>
      <w:r w:rsidRPr="002460EC">
        <w:rPr>
          <w:rFonts w:ascii="Arial" w:hAnsi="Arial" w:cs="Arial"/>
          <w:color w:val="262626" w:themeColor="text1" w:themeTint="D9"/>
        </w:rPr>
        <w:t>,</w:t>
      </w:r>
      <w:r w:rsidRPr="002460EC">
        <w:rPr>
          <w:rFonts w:ascii="Arial" w:hAnsi="Arial" w:cs="Arial"/>
          <w:color w:val="262626" w:themeColor="text1" w:themeTint="D9"/>
        </w:rPr>
        <w:t xml:space="preserve"> and I </w:t>
      </w:r>
      <w:r w:rsidRPr="002460EC">
        <w:rPr>
          <w:rFonts w:ascii="Arial" w:hAnsi="Arial" w:cs="Arial"/>
          <w:color w:val="262626" w:themeColor="text1" w:themeTint="D9"/>
        </w:rPr>
        <w:t>advantage</w:t>
      </w:r>
      <w:r w:rsidRPr="002460EC">
        <w:rPr>
          <w:rFonts w:ascii="Arial" w:hAnsi="Arial" w:cs="Arial"/>
          <w:color w:val="262626" w:themeColor="text1" w:themeTint="D9"/>
        </w:rPr>
        <w:t xml:space="preserve"> is conditional rather than additive. Entry strategy success in emerging markets depends on legitimacy-centred internalisation and adaptive governance, not mere ownership control.</w:t>
      </w:r>
    </w:p>
    <w:p w14:paraId="13F1C93F" w14:textId="77777777" w:rsidR="00854ABC" w:rsidRPr="002460EC" w:rsidRDefault="00854ABC" w:rsidP="002460EC">
      <w:pPr>
        <w:spacing w:line="360" w:lineRule="auto"/>
        <w:rPr>
          <w:rFonts w:ascii="Arial" w:hAnsi="Arial" w:cs="Arial"/>
          <w:color w:val="262626" w:themeColor="text1" w:themeTint="D9"/>
        </w:rPr>
      </w:pPr>
    </w:p>
    <w:p w14:paraId="5D0D02B5" w14:textId="77777777" w:rsidR="00854ABC" w:rsidRPr="002460EC" w:rsidRDefault="00854ABC" w:rsidP="002460EC">
      <w:pPr>
        <w:spacing w:line="360" w:lineRule="auto"/>
        <w:rPr>
          <w:rFonts w:ascii="Arial" w:hAnsi="Arial" w:cs="Arial"/>
          <w:color w:val="262626" w:themeColor="text1" w:themeTint="D9"/>
        </w:rPr>
      </w:pPr>
    </w:p>
    <w:p w14:paraId="0E94C84D" w14:textId="77777777" w:rsidR="00854ABC" w:rsidRPr="002460EC" w:rsidRDefault="00854ABC" w:rsidP="002460EC">
      <w:pPr>
        <w:spacing w:line="360" w:lineRule="auto"/>
        <w:rPr>
          <w:rFonts w:ascii="Arial" w:hAnsi="Arial" w:cs="Arial"/>
          <w:color w:val="262626" w:themeColor="text1" w:themeTint="D9"/>
        </w:rPr>
      </w:pPr>
    </w:p>
    <w:p w14:paraId="7A2FADB6" w14:textId="77777777" w:rsidR="004B0686" w:rsidRPr="002460EC" w:rsidRDefault="004B0686" w:rsidP="002460EC">
      <w:pPr>
        <w:spacing w:line="360" w:lineRule="auto"/>
        <w:rPr>
          <w:rFonts w:ascii="Arial" w:hAnsi="Arial" w:cs="Arial"/>
          <w:color w:val="262626" w:themeColor="text1" w:themeTint="D9"/>
        </w:rPr>
      </w:pPr>
    </w:p>
    <w:p w14:paraId="2AC7370F" w14:textId="31E28063" w:rsidR="00D062C6" w:rsidRPr="002460EC" w:rsidRDefault="00D062C6" w:rsidP="002460EC">
      <w:pPr>
        <w:spacing w:line="360" w:lineRule="auto"/>
        <w:rPr>
          <w:rFonts w:ascii="Arial" w:hAnsi="Arial" w:cs="Arial"/>
          <w:b/>
          <w:bCs/>
          <w:color w:val="262626" w:themeColor="text1" w:themeTint="D9"/>
        </w:rPr>
      </w:pPr>
      <w:r w:rsidRPr="002460EC">
        <w:rPr>
          <w:rFonts w:ascii="Arial" w:hAnsi="Arial" w:cs="Arial"/>
          <w:b/>
          <w:bCs/>
          <w:color w:val="262626" w:themeColor="text1" w:themeTint="D9"/>
        </w:rPr>
        <w:lastRenderedPageBreak/>
        <w:t xml:space="preserve">Appendix </w:t>
      </w:r>
      <w:r w:rsidR="00236766" w:rsidRPr="002460EC">
        <w:rPr>
          <w:rFonts w:ascii="Arial" w:hAnsi="Arial" w:cs="Arial"/>
          <w:b/>
          <w:bCs/>
          <w:color w:val="262626" w:themeColor="text1" w:themeTint="D9"/>
        </w:rPr>
        <w:t>A</w:t>
      </w:r>
      <w:r w:rsidR="00C237FF" w:rsidRPr="002460EC">
        <w:rPr>
          <w:rFonts w:ascii="Arial" w:hAnsi="Arial" w:cs="Arial"/>
          <w:b/>
          <w:bCs/>
          <w:color w:val="262626" w:themeColor="text1" w:themeTint="D9"/>
        </w:rPr>
        <w:t>.</w:t>
      </w:r>
      <w:r w:rsidRPr="002460EC">
        <w:rPr>
          <w:rFonts w:ascii="Arial" w:hAnsi="Arial" w:cs="Arial"/>
          <w:b/>
          <w:bCs/>
          <w:color w:val="262626" w:themeColor="text1" w:themeTint="D9"/>
        </w:rPr>
        <w:t>6</w:t>
      </w:r>
      <w:r w:rsidRPr="002460EC">
        <w:rPr>
          <w:rFonts w:ascii="Arial" w:hAnsi="Arial" w:cs="Arial"/>
          <w:b/>
          <w:bCs/>
          <w:color w:val="262626" w:themeColor="text1" w:themeTint="D9"/>
        </w:rPr>
        <w:t>:</w:t>
      </w:r>
      <w:r w:rsidRPr="002460EC">
        <w:rPr>
          <w:rFonts w:ascii="Arial" w:hAnsi="Arial" w:cs="Arial"/>
          <w:color w:val="262626" w:themeColor="text1" w:themeTint="D9"/>
        </w:rPr>
        <w:t xml:space="preserve"> Country Comparison Matrix – Premium Entry Mode Logic </w:t>
      </w:r>
    </w:p>
    <w:p w14:paraId="7D3DC758" w14:textId="77777777" w:rsidR="00D062C6" w:rsidRDefault="00D062C6" w:rsidP="0052379E">
      <w:pPr>
        <w:spacing w:line="360" w:lineRule="auto"/>
        <w:rPr>
          <w:rFonts w:ascii="Arial" w:hAnsi="Arial" w:cs="Arial"/>
          <w:color w:val="262626" w:themeColor="text1" w:themeTint="D9"/>
        </w:rPr>
      </w:pPr>
    </w:p>
    <w:tbl>
      <w:tblPr>
        <w:tblW w:w="0" w:type="auto"/>
        <w:tblCellSpacing w:w="15" w:type="dxa"/>
        <w:tblBorders>
          <w:insideH w:val="single" w:sz="8" w:space="0" w:color="C6AB5E"/>
        </w:tblBorders>
        <w:tblCellMar>
          <w:top w:w="15" w:type="dxa"/>
          <w:left w:w="15" w:type="dxa"/>
          <w:bottom w:w="15" w:type="dxa"/>
          <w:right w:w="15" w:type="dxa"/>
        </w:tblCellMar>
        <w:tblLook w:val="04A0" w:firstRow="1" w:lastRow="0" w:firstColumn="1" w:lastColumn="0" w:noHBand="0" w:noVBand="1"/>
      </w:tblPr>
      <w:tblGrid>
        <w:gridCol w:w="1112"/>
        <w:gridCol w:w="2162"/>
        <w:gridCol w:w="2600"/>
        <w:gridCol w:w="3486"/>
      </w:tblGrid>
      <w:tr w:rsidR="00E1203B" w:rsidRPr="00E1203B" w14:paraId="6675566D" w14:textId="77777777" w:rsidTr="00BB0771">
        <w:trPr>
          <w:tblHeader/>
          <w:tblCellSpacing w:w="15" w:type="dxa"/>
        </w:trPr>
        <w:tc>
          <w:tcPr>
            <w:tcW w:w="0" w:type="auto"/>
            <w:shd w:val="clear" w:color="auto" w:fill="EBE2C7"/>
            <w:vAlign w:val="center"/>
            <w:hideMark/>
          </w:tcPr>
          <w:p w14:paraId="37B7FF11" w14:textId="77777777" w:rsidR="00E1203B" w:rsidRPr="00E1203B" w:rsidRDefault="00E1203B" w:rsidP="00E1203B">
            <w:pPr>
              <w:spacing w:line="360" w:lineRule="auto"/>
              <w:rPr>
                <w:rFonts w:ascii="Arial" w:hAnsi="Arial" w:cs="Arial"/>
                <w:b/>
                <w:bCs/>
                <w:color w:val="262626" w:themeColor="text1" w:themeTint="D9"/>
              </w:rPr>
            </w:pPr>
            <w:r w:rsidRPr="00E1203B">
              <w:rPr>
                <w:rFonts w:ascii="Arial" w:hAnsi="Arial" w:cs="Arial"/>
                <w:b/>
                <w:bCs/>
                <w:color w:val="262626" w:themeColor="text1" w:themeTint="D9"/>
              </w:rPr>
              <w:t>Country</w:t>
            </w:r>
          </w:p>
        </w:tc>
        <w:tc>
          <w:tcPr>
            <w:tcW w:w="0" w:type="auto"/>
            <w:shd w:val="clear" w:color="auto" w:fill="EBE2C7"/>
            <w:vAlign w:val="center"/>
            <w:hideMark/>
          </w:tcPr>
          <w:p w14:paraId="28C10246" w14:textId="77777777" w:rsidR="00E1203B" w:rsidRPr="00E1203B" w:rsidRDefault="00E1203B" w:rsidP="00E1203B">
            <w:pPr>
              <w:spacing w:line="360" w:lineRule="auto"/>
              <w:rPr>
                <w:rFonts w:ascii="Arial" w:hAnsi="Arial" w:cs="Arial"/>
                <w:b/>
                <w:bCs/>
                <w:color w:val="262626" w:themeColor="text1" w:themeTint="D9"/>
              </w:rPr>
            </w:pPr>
            <w:r w:rsidRPr="00E1203B">
              <w:rPr>
                <w:rFonts w:ascii="Arial" w:hAnsi="Arial" w:cs="Arial"/>
                <w:b/>
                <w:bCs/>
                <w:color w:val="262626" w:themeColor="text1" w:themeTint="D9"/>
              </w:rPr>
              <w:t>Barrier</w:t>
            </w:r>
          </w:p>
        </w:tc>
        <w:tc>
          <w:tcPr>
            <w:tcW w:w="0" w:type="auto"/>
            <w:shd w:val="clear" w:color="auto" w:fill="EBE2C7"/>
            <w:vAlign w:val="center"/>
            <w:hideMark/>
          </w:tcPr>
          <w:p w14:paraId="0F80FBC4" w14:textId="77777777" w:rsidR="00E1203B" w:rsidRPr="00E1203B" w:rsidRDefault="00E1203B" w:rsidP="00E1203B">
            <w:pPr>
              <w:spacing w:line="360" w:lineRule="auto"/>
              <w:rPr>
                <w:rFonts w:ascii="Arial" w:hAnsi="Arial" w:cs="Arial"/>
                <w:b/>
                <w:bCs/>
                <w:color w:val="262626" w:themeColor="text1" w:themeTint="D9"/>
              </w:rPr>
            </w:pPr>
            <w:r w:rsidRPr="00E1203B">
              <w:rPr>
                <w:rFonts w:ascii="Arial" w:hAnsi="Arial" w:cs="Arial"/>
                <w:b/>
                <w:bCs/>
                <w:color w:val="262626" w:themeColor="text1" w:themeTint="D9"/>
              </w:rPr>
              <w:t>WOS/Acquisition Logic</w:t>
            </w:r>
          </w:p>
        </w:tc>
        <w:tc>
          <w:tcPr>
            <w:tcW w:w="0" w:type="auto"/>
            <w:shd w:val="clear" w:color="auto" w:fill="EBE2C7"/>
            <w:vAlign w:val="center"/>
            <w:hideMark/>
          </w:tcPr>
          <w:p w14:paraId="62475ADA" w14:textId="77777777" w:rsidR="00E1203B" w:rsidRPr="00E1203B" w:rsidRDefault="00E1203B" w:rsidP="00E1203B">
            <w:pPr>
              <w:spacing w:line="360" w:lineRule="auto"/>
              <w:rPr>
                <w:rFonts w:ascii="Arial" w:hAnsi="Arial" w:cs="Arial"/>
                <w:b/>
                <w:bCs/>
                <w:color w:val="262626" w:themeColor="text1" w:themeTint="D9"/>
              </w:rPr>
            </w:pPr>
            <w:r w:rsidRPr="00E1203B">
              <w:rPr>
                <w:rFonts w:ascii="Arial" w:hAnsi="Arial" w:cs="Arial"/>
                <w:b/>
                <w:bCs/>
                <w:color w:val="262626" w:themeColor="text1" w:themeTint="D9"/>
              </w:rPr>
              <w:t>OLI Implication</w:t>
            </w:r>
          </w:p>
        </w:tc>
      </w:tr>
      <w:tr w:rsidR="00E1203B" w:rsidRPr="00E1203B" w14:paraId="7CC80622" w14:textId="77777777" w:rsidTr="00BB0771">
        <w:trPr>
          <w:tblCellSpacing w:w="15" w:type="dxa"/>
        </w:trPr>
        <w:tc>
          <w:tcPr>
            <w:tcW w:w="0" w:type="auto"/>
            <w:shd w:val="clear" w:color="auto" w:fill="EBE2C7"/>
            <w:vAlign w:val="center"/>
            <w:hideMark/>
          </w:tcPr>
          <w:p w14:paraId="3E818FC1"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b/>
                <w:bCs/>
                <w:color w:val="262626" w:themeColor="text1" w:themeTint="D9"/>
              </w:rPr>
              <w:t>India</w:t>
            </w:r>
          </w:p>
        </w:tc>
        <w:tc>
          <w:tcPr>
            <w:tcW w:w="0" w:type="auto"/>
            <w:shd w:val="clear" w:color="auto" w:fill="EBE2C7"/>
            <w:vAlign w:val="center"/>
            <w:hideMark/>
          </w:tcPr>
          <w:p w14:paraId="0B74B822"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Institutional voids + legitimacy risk</w:t>
            </w:r>
          </w:p>
        </w:tc>
        <w:tc>
          <w:tcPr>
            <w:tcW w:w="0" w:type="auto"/>
            <w:shd w:val="clear" w:color="auto" w:fill="EBE2C7"/>
            <w:vAlign w:val="center"/>
            <w:hideMark/>
          </w:tcPr>
          <w:p w14:paraId="17C89BBD"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WOS + platform partnerships</w:t>
            </w:r>
          </w:p>
        </w:tc>
        <w:tc>
          <w:tcPr>
            <w:tcW w:w="0" w:type="auto"/>
            <w:shd w:val="clear" w:color="auto" w:fill="EBE2C7"/>
            <w:vAlign w:val="center"/>
            <w:hideMark/>
          </w:tcPr>
          <w:p w14:paraId="060B5BA9"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Internalisation to protect legitimacy rather than efficiency</w:t>
            </w:r>
          </w:p>
        </w:tc>
      </w:tr>
      <w:tr w:rsidR="00E1203B" w:rsidRPr="00E1203B" w14:paraId="6B571619" w14:textId="77777777" w:rsidTr="00BB0771">
        <w:trPr>
          <w:tblCellSpacing w:w="15" w:type="dxa"/>
        </w:trPr>
        <w:tc>
          <w:tcPr>
            <w:tcW w:w="0" w:type="auto"/>
            <w:shd w:val="clear" w:color="auto" w:fill="EBE2C7"/>
            <w:vAlign w:val="center"/>
            <w:hideMark/>
          </w:tcPr>
          <w:p w14:paraId="20A038D8"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b/>
                <w:bCs/>
                <w:color w:val="262626" w:themeColor="text1" w:themeTint="D9"/>
              </w:rPr>
              <w:t>China</w:t>
            </w:r>
          </w:p>
        </w:tc>
        <w:tc>
          <w:tcPr>
            <w:tcW w:w="0" w:type="auto"/>
            <w:shd w:val="clear" w:color="auto" w:fill="EBE2C7"/>
            <w:vAlign w:val="center"/>
            <w:hideMark/>
          </w:tcPr>
          <w:p w14:paraId="3DB17EED"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Data nationalism</w:t>
            </w:r>
          </w:p>
        </w:tc>
        <w:tc>
          <w:tcPr>
            <w:tcW w:w="0" w:type="auto"/>
            <w:shd w:val="clear" w:color="auto" w:fill="EBE2C7"/>
            <w:vAlign w:val="center"/>
            <w:hideMark/>
          </w:tcPr>
          <w:p w14:paraId="5D5F1660"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WOS for compliance + algorithm control</w:t>
            </w:r>
          </w:p>
        </w:tc>
        <w:tc>
          <w:tcPr>
            <w:tcW w:w="0" w:type="auto"/>
            <w:shd w:val="clear" w:color="auto" w:fill="EBE2C7"/>
            <w:vAlign w:val="center"/>
            <w:hideMark/>
          </w:tcPr>
          <w:p w14:paraId="23EA3745" w14:textId="14280549" w:rsidR="00E1203B" w:rsidRPr="00E1203B" w:rsidRDefault="00236766" w:rsidP="00E1203B">
            <w:pPr>
              <w:spacing w:line="360" w:lineRule="auto"/>
              <w:rPr>
                <w:rFonts w:ascii="Arial" w:hAnsi="Arial" w:cs="Arial"/>
                <w:color w:val="262626" w:themeColor="text1" w:themeTint="D9"/>
              </w:rPr>
            </w:pPr>
            <w:r w:rsidRPr="002460EC">
              <w:rPr>
                <w:rFonts w:ascii="Arial" w:hAnsi="Arial" w:cs="Arial"/>
                <w:color w:val="262626" w:themeColor="text1" w:themeTint="D9"/>
              </w:rPr>
              <w:t>Internalisation to secure data-driven brand control under state regulation</w:t>
            </w:r>
          </w:p>
        </w:tc>
      </w:tr>
      <w:tr w:rsidR="00E1203B" w:rsidRPr="00E1203B" w14:paraId="380C3D37" w14:textId="77777777" w:rsidTr="00BB0771">
        <w:trPr>
          <w:tblCellSpacing w:w="15" w:type="dxa"/>
        </w:trPr>
        <w:tc>
          <w:tcPr>
            <w:tcW w:w="0" w:type="auto"/>
            <w:shd w:val="clear" w:color="auto" w:fill="EBE2C7"/>
            <w:vAlign w:val="center"/>
            <w:hideMark/>
          </w:tcPr>
          <w:p w14:paraId="06F7BA97"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b/>
                <w:bCs/>
                <w:color w:val="262626" w:themeColor="text1" w:themeTint="D9"/>
              </w:rPr>
              <w:t>Brazil</w:t>
            </w:r>
          </w:p>
        </w:tc>
        <w:tc>
          <w:tcPr>
            <w:tcW w:w="0" w:type="auto"/>
            <w:shd w:val="clear" w:color="auto" w:fill="EBE2C7"/>
            <w:vAlign w:val="center"/>
            <w:hideMark/>
          </w:tcPr>
          <w:p w14:paraId="68BDEFEB" w14:textId="224995A9" w:rsidR="00E1203B" w:rsidRPr="00E1203B" w:rsidRDefault="00236766" w:rsidP="00E1203B">
            <w:pPr>
              <w:spacing w:line="360" w:lineRule="auto"/>
              <w:rPr>
                <w:rFonts w:ascii="Arial" w:hAnsi="Arial" w:cs="Arial"/>
                <w:color w:val="262626" w:themeColor="text1" w:themeTint="D9"/>
              </w:rPr>
            </w:pPr>
            <w:r w:rsidRPr="002460EC">
              <w:rPr>
                <w:rFonts w:ascii="Arial" w:hAnsi="Arial" w:cs="Arial"/>
                <w:color w:val="262626" w:themeColor="text1" w:themeTint="D9"/>
              </w:rPr>
              <w:t>Local ingredient and biodiversity reliance</w:t>
            </w:r>
          </w:p>
        </w:tc>
        <w:tc>
          <w:tcPr>
            <w:tcW w:w="0" w:type="auto"/>
            <w:shd w:val="clear" w:color="auto" w:fill="EBE2C7"/>
            <w:vAlign w:val="center"/>
            <w:hideMark/>
          </w:tcPr>
          <w:p w14:paraId="59AA0BFF"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Acquisition to absorb inputs</w:t>
            </w:r>
          </w:p>
        </w:tc>
        <w:tc>
          <w:tcPr>
            <w:tcW w:w="0" w:type="auto"/>
            <w:shd w:val="clear" w:color="auto" w:fill="EBE2C7"/>
            <w:vAlign w:val="center"/>
            <w:hideMark/>
          </w:tcPr>
          <w:p w14:paraId="6B9B189D"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Ownership advantage depends on resource integration rather than prestige</w:t>
            </w:r>
          </w:p>
        </w:tc>
      </w:tr>
      <w:tr w:rsidR="00E1203B" w:rsidRPr="00E1203B" w14:paraId="14D03E02" w14:textId="77777777" w:rsidTr="00BB0771">
        <w:trPr>
          <w:tblCellSpacing w:w="15" w:type="dxa"/>
        </w:trPr>
        <w:tc>
          <w:tcPr>
            <w:tcW w:w="0" w:type="auto"/>
            <w:shd w:val="clear" w:color="auto" w:fill="EBE2C7"/>
            <w:vAlign w:val="center"/>
            <w:hideMark/>
          </w:tcPr>
          <w:p w14:paraId="48953C53"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b/>
                <w:bCs/>
                <w:color w:val="262626" w:themeColor="text1" w:themeTint="D9"/>
              </w:rPr>
              <w:t>United States</w:t>
            </w:r>
          </w:p>
        </w:tc>
        <w:tc>
          <w:tcPr>
            <w:tcW w:w="0" w:type="auto"/>
            <w:shd w:val="clear" w:color="auto" w:fill="EBE2C7"/>
            <w:vAlign w:val="center"/>
            <w:hideMark/>
          </w:tcPr>
          <w:p w14:paraId="203811B9"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Saturation + influencer competition</w:t>
            </w:r>
          </w:p>
        </w:tc>
        <w:tc>
          <w:tcPr>
            <w:tcW w:w="0" w:type="auto"/>
            <w:shd w:val="clear" w:color="auto" w:fill="EBE2C7"/>
            <w:vAlign w:val="center"/>
            <w:hideMark/>
          </w:tcPr>
          <w:p w14:paraId="220CAA52" w14:textId="5FECD294" w:rsidR="00E1203B" w:rsidRPr="00E1203B" w:rsidRDefault="00236766" w:rsidP="00E1203B">
            <w:pPr>
              <w:spacing w:line="360" w:lineRule="auto"/>
              <w:rPr>
                <w:rFonts w:ascii="Arial" w:hAnsi="Arial" w:cs="Arial"/>
                <w:color w:val="262626" w:themeColor="text1" w:themeTint="D9"/>
              </w:rPr>
            </w:pPr>
            <w:r w:rsidRPr="002460EC">
              <w:rPr>
                <w:rFonts w:ascii="Arial" w:hAnsi="Arial" w:cs="Arial"/>
                <w:color w:val="262626" w:themeColor="text1" w:themeTint="D9"/>
              </w:rPr>
              <w:t>Acquisitions to extend category influence</w:t>
            </w:r>
          </w:p>
        </w:tc>
        <w:tc>
          <w:tcPr>
            <w:tcW w:w="0" w:type="auto"/>
            <w:shd w:val="clear" w:color="auto" w:fill="EBE2C7"/>
            <w:vAlign w:val="center"/>
            <w:hideMark/>
          </w:tcPr>
          <w:p w14:paraId="5AEEC389" w14:textId="77777777" w:rsidR="00E1203B" w:rsidRPr="00E1203B" w:rsidRDefault="00E1203B" w:rsidP="00E1203B">
            <w:pPr>
              <w:spacing w:line="360" w:lineRule="auto"/>
              <w:rPr>
                <w:rFonts w:ascii="Arial" w:hAnsi="Arial" w:cs="Arial"/>
                <w:color w:val="262626" w:themeColor="text1" w:themeTint="D9"/>
              </w:rPr>
            </w:pPr>
            <w:r w:rsidRPr="00E1203B">
              <w:rPr>
                <w:rFonts w:ascii="Arial" w:hAnsi="Arial" w:cs="Arial"/>
                <w:color w:val="262626" w:themeColor="text1" w:themeTint="D9"/>
              </w:rPr>
              <w:t>Internalisation to diversify portfolio and defend brand equity</w:t>
            </w:r>
          </w:p>
        </w:tc>
      </w:tr>
    </w:tbl>
    <w:p w14:paraId="2B646B4C" w14:textId="10079968" w:rsidR="00E93CB6" w:rsidRDefault="00E93CB6" w:rsidP="0052379E">
      <w:pPr>
        <w:spacing w:line="360" w:lineRule="auto"/>
        <w:rPr>
          <w:rFonts w:ascii="Arial" w:hAnsi="Arial" w:cs="Arial"/>
          <w:color w:val="262626" w:themeColor="text1" w:themeTint="D9"/>
        </w:rPr>
      </w:pPr>
    </w:p>
    <w:p w14:paraId="12359F59" w14:textId="0163C30A" w:rsidR="00E93CB6" w:rsidRPr="002460EC" w:rsidRDefault="00D062C6" w:rsidP="002460EC">
      <w:pPr>
        <w:spacing w:line="360" w:lineRule="auto"/>
        <w:rPr>
          <w:rFonts w:ascii="Arial" w:hAnsi="Arial" w:cs="Arial"/>
          <w:color w:val="262626" w:themeColor="text1" w:themeTint="D9"/>
        </w:rPr>
      </w:pPr>
      <w:r w:rsidRPr="002460EC">
        <w:rPr>
          <w:rFonts w:ascii="Arial" w:hAnsi="Arial" w:cs="Arial"/>
          <w:b/>
          <w:bCs/>
          <w:color w:val="262626" w:themeColor="text1" w:themeTint="D9"/>
        </w:rPr>
        <w:t>Source</w:t>
      </w:r>
      <w:r w:rsidRPr="002460EC">
        <w:rPr>
          <w:rFonts w:ascii="Arial" w:hAnsi="Arial" w:cs="Arial"/>
          <w:color w:val="262626" w:themeColor="text1" w:themeTint="D9"/>
        </w:rPr>
        <w:t xml:space="preserve">: Author’s elaboration based on Dunning (1988), Luo </w:t>
      </w:r>
      <w:r w:rsidRPr="002460EC">
        <w:rPr>
          <w:rFonts w:ascii="Arial" w:hAnsi="Arial" w:cs="Arial"/>
          <w:color w:val="262626" w:themeColor="text1" w:themeTint="D9"/>
        </w:rPr>
        <w:t>and</w:t>
      </w:r>
      <w:r w:rsidRPr="002460EC">
        <w:rPr>
          <w:rFonts w:ascii="Arial" w:hAnsi="Arial" w:cs="Arial"/>
          <w:color w:val="262626" w:themeColor="text1" w:themeTint="D9"/>
        </w:rPr>
        <w:t xml:space="preserve"> Tung (2007), and case data from EY (2022).</w:t>
      </w:r>
    </w:p>
    <w:p w14:paraId="682A86BD" w14:textId="26BBB71C" w:rsidR="00DF71FE" w:rsidRDefault="00DF71FE" w:rsidP="0052379E">
      <w:pPr>
        <w:spacing w:line="360" w:lineRule="auto"/>
        <w:rPr>
          <w:rFonts w:ascii="Arial" w:hAnsi="Arial" w:cs="Arial"/>
          <w:color w:val="262626" w:themeColor="text1" w:themeTint="D9"/>
        </w:rPr>
      </w:pPr>
    </w:p>
    <w:p w14:paraId="41E7C464" w14:textId="59FE986A" w:rsidR="00DF71FE" w:rsidRDefault="00DF71FE" w:rsidP="0052379E">
      <w:pPr>
        <w:spacing w:line="360" w:lineRule="auto"/>
        <w:rPr>
          <w:rFonts w:ascii="Arial" w:hAnsi="Arial" w:cs="Arial"/>
          <w:color w:val="262626" w:themeColor="text1" w:themeTint="D9"/>
        </w:rPr>
      </w:pPr>
    </w:p>
    <w:p w14:paraId="2C6767E2" w14:textId="100A1F4C" w:rsidR="00DF71FE" w:rsidRDefault="00DF71FE" w:rsidP="0052379E">
      <w:pPr>
        <w:spacing w:line="360" w:lineRule="auto"/>
        <w:rPr>
          <w:rFonts w:ascii="Arial" w:hAnsi="Arial" w:cs="Arial"/>
          <w:color w:val="262626" w:themeColor="text1" w:themeTint="D9"/>
        </w:rPr>
      </w:pPr>
    </w:p>
    <w:p w14:paraId="729D8220" w14:textId="074E7691" w:rsidR="00DF71FE" w:rsidRDefault="00DF71FE" w:rsidP="0052379E">
      <w:pPr>
        <w:spacing w:line="360" w:lineRule="auto"/>
        <w:rPr>
          <w:rFonts w:ascii="Arial" w:hAnsi="Arial" w:cs="Arial"/>
          <w:color w:val="262626" w:themeColor="text1" w:themeTint="D9"/>
        </w:rPr>
      </w:pPr>
    </w:p>
    <w:p w14:paraId="5520592A" w14:textId="7956E90C" w:rsidR="00DF71FE" w:rsidRDefault="00DF71FE" w:rsidP="0052379E">
      <w:pPr>
        <w:spacing w:line="360" w:lineRule="auto"/>
        <w:rPr>
          <w:rFonts w:ascii="Arial" w:hAnsi="Arial" w:cs="Arial"/>
          <w:color w:val="262626" w:themeColor="text1" w:themeTint="D9"/>
        </w:rPr>
      </w:pPr>
    </w:p>
    <w:p w14:paraId="4539386A" w14:textId="77777777" w:rsidR="00C237FF" w:rsidRDefault="00C237FF" w:rsidP="0052379E">
      <w:pPr>
        <w:spacing w:line="360" w:lineRule="auto"/>
        <w:rPr>
          <w:rFonts w:ascii="Arial" w:hAnsi="Arial" w:cs="Arial"/>
          <w:color w:val="262626" w:themeColor="text1" w:themeTint="D9"/>
        </w:rPr>
      </w:pPr>
    </w:p>
    <w:p w14:paraId="16BAA2E6" w14:textId="77777777" w:rsidR="00C237FF" w:rsidRDefault="00C237FF" w:rsidP="0052379E">
      <w:pPr>
        <w:spacing w:line="360" w:lineRule="auto"/>
        <w:rPr>
          <w:rFonts w:ascii="Arial" w:hAnsi="Arial" w:cs="Arial"/>
          <w:color w:val="262626" w:themeColor="text1" w:themeTint="D9"/>
        </w:rPr>
      </w:pPr>
    </w:p>
    <w:p w14:paraId="7BB8B572" w14:textId="77777777" w:rsidR="00C237FF" w:rsidRDefault="00C237FF" w:rsidP="0052379E">
      <w:pPr>
        <w:spacing w:line="360" w:lineRule="auto"/>
        <w:rPr>
          <w:rFonts w:ascii="Arial" w:hAnsi="Arial" w:cs="Arial"/>
          <w:color w:val="262626" w:themeColor="text1" w:themeTint="D9"/>
        </w:rPr>
      </w:pPr>
    </w:p>
    <w:p w14:paraId="7827E51B" w14:textId="77777777" w:rsidR="00C237FF" w:rsidRDefault="00C237FF" w:rsidP="0052379E">
      <w:pPr>
        <w:spacing w:line="360" w:lineRule="auto"/>
        <w:rPr>
          <w:rFonts w:ascii="Arial" w:hAnsi="Arial" w:cs="Arial"/>
          <w:color w:val="262626" w:themeColor="text1" w:themeTint="D9"/>
        </w:rPr>
      </w:pPr>
    </w:p>
    <w:p w14:paraId="0FA80B62" w14:textId="25FD83A9" w:rsidR="00DF71FE" w:rsidRPr="002460EC" w:rsidRDefault="00C237FF" w:rsidP="0052379E">
      <w:pPr>
        <w:spacing w:line="360" w:lineRule="auto"/>
        <w:rPr>
          <w:rFonts w:ascii="Arial" w:hAnsi="Arial" w:cs="Arial"/>
          <w:color w:val="262626" w:themeColor="text1" w:themeTint="D9"/>
        </w:rPr>
      </w:pPr>
      <w:r w:rsidRPr="002460EC">
        <w:rPr>
          <w:rFonts w:ascii="Arial" w:hAnsi="Arial" w:cs="Arial"/>
          <w:b/>
          <w:bCs/>
          <w:color w:val="262626" w:themeColor="text1" w:themeTint="D9"/>
        </w:rPr>
        <w:lastRenderedPageBreak/>
        <w:t>Appendix A.7:</w:t>
      </w:r>
      <w:r w:rsidRPr="002460EC">
        <w:rPr>
          <w:rFonts w:ascii="Arial" w:hAnsi="Arial" w:cs="Arial"/>
          <w:color w:val="262626" w:themeColor="text1" w:themeTint="D9"/>
        </w:rPr>
        <w:t xml:space="preserve"> Cultural Trust Pathway</w:t>
      </w:r>
    </w:p>
    <w:p w14:paraId="577D585A" w14:textId="4BED8CE8" w:rsidR="0036658B" w:rsidRDefault="007D2155" w:rsidP="0052379E">
      <w:pPr>
        <w:spacing w:line="360" w:lineRule="auto"/>
        <w:rPr>
          <w:rFonts w:ascii="Arial" w:hAnsi="Arial" w:cs="Arial"/>
          <w:color w:val="262626" w:themeColor="text1" w:themeTint="D9"/>
        </w:rPr>
      </w:pPr>
      <w:r w:rsidRPr="007D2155">
        <w:rPr>
          <w:rFonts w:ascii="Arial" w:hAnsi="Arial" w:cs="Arial"/>
          <w:noProof/>
          <w:color w:val="262626" w:themeColor="text1" w:themeTint="D9"/>
        </w:rPr>
        <mc:AlternateContent>
          <mc:Choice Requires="wps">
            <w:drawing>
              <wp:anchor distT="45720" distB="45720" distL="114300" distR="114300" simplePos="0" relativeHeight="251692032" behindDoc="0" locked="0" layoutInCell="1" allowOverlap="1" wp14:anchorId="73436D74" wp14:editId="7DF3B129">
                <wp:simplePos x="0" y="0"/>
                <wp:positionH relativeFrom="column">
                  <wp:align>center</wp:align>
                </wp:positionH>
                <wp:positionV relativeFrom="paragraph">
                  <wp:posOffset>182880</wp:posOffset>
                </wp:positionV>
                <wp:extent cx="2360930" cy="1404620"/>
                <wp:effectExtent l="0" t="0" r="3810" b="0"/>
                <wp:wrapSquare wrapText="bothSides"/>
                <wp:docPr id="974967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BD9442" w14:textId="1DAFBEAF" w:rsidR="007D2155" w:rsidRPr="007D2155" w:rsidRDefault="007D2155" w:rsidP="007D2155">
                            <w:pPr>
                              <w:jc w:val="center"/>
                              <w:rPr>
                                <w:rFonts w:ascii="Arial" w:hAnsi="Arial" w:cs="Arial"/>
                                <w:color w:val="262626" w:themeColor="text1" w:themeTint="D9"/>
                              </w:rPr>
                            </w:pPr>
                            <w:r w:rsidRPr="007D2155">
                              <w:t>Cognitive Trust Pathway – France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436D74" id="_x0000_s1031" type="#_x0000_t202" style="position:absolute;margin-left:0;margin-top:14.4pt;width:185.9pt;height:110.6pt;z-index:25169203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x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" stroked="f">
                <v:textbox style="mso-fit-shape-to-text:t">
                  <w:txbxContent>
                    <w:p w14:paraId="68BD9442" w14:textId="1DAFBEAF" w:rsidR="007D2155" w:rsidRPr="007D2155" w:rsidRDefault="007D2155" w:rsidP="007D2155">
                      <w:pPr>
                        <w:jc w:val="center"/>
                        <w:rPr>
                          <w:rFonts w:ascii="Arial" w:hAnsi="Arial" w:cs="Arial"/>
                          <w:color w:val="262626" w:themeColor="text1" w:themeTint="D9"/>
                        </w:rPr>
                      </w:pPr>
                      <w:r w:rsidRPr="007D2155">
                        <w:t>Cognitive Trust Pathway – France</w:t>
                      </w:r>
                    </w:p>
                  </w:txbxContent>
                </v:textbox>
                <w10:wrap type="square"/>
              </v:shape>
            </w:pict>
          </mc:Fallback>
        </mc:AlternateContent>
      </w:r>
    </w:p>
    <w:p w14:paraId="14BBCB54" w14:textId="063CEEC7" w:rsidR="00DF71FE" w:rsidRDefault="0036658B" w:rsidP="0052379E">
      <w:pPr>
        <w:spacing w:line="360" w:lineRule="auto"/>
        <w:rPr>
          <w:rFonts w:ascii="Arial" w:hAnsi="Arial" w:cs="Arial"/>
          <w:color w:val="262626" w:themeColor="text1" w:themeTint="D9"/>
        </w:rPr>
      </w:pPr>
      <w:r>
        <w:rPr>
          <w:rFonts w:ascii="Arial" w:hAnsi="Arial" w:cs="Arial"/>
          <w:noProof/>
          <w:color w:val="262626" w:themeColor="text1" w:themeTint="D9"/>
        </w:rPr>
        <w:drawing>
          <wp:inline distT="0" distB="0" distL="0" distR="0" wp14:anchorId="2E3E46B3" wp14:editId="5871A261">
            <wp:extent cx="5389880" cy="969201"/>
            <wp:effectExtent l="19050" t="0" r="20320" b="0"/>
            <wp:docPr id="987874472"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631CAC9" w14:textId="77777777" w:rsidR="007D2155" w:rsidRDefault="007D2155" w:rsidP="0052379E">
      <w:pPr>
        <w:spacing w:line="360" w:lineRule="auto"/>
        <w:rPr>
          <w:rFonts w:ascii="Arial" w:hAnsi="Arial" w:cs="Arial"/>
          <w:color w:val="262626" w:themeColor="text1" w:themeTint="D9"/>
        </w:rPr>
      </w:pPr>
    </w:p>
    <w:p w14:paraId="296185D4" w14:textId="3EC37746" w:rsidR="007D2155" w:rsidRDefault="007D2155" w:rsidP="0052379E">
      <w:pPr>
        <w:spacing w:line="360" w:lineRule="auto"/>
        <w:rPr>
          <w:rFonts w:ascii="Arial" w:hAnsi="Arial" w:cs="Arial"/>
          <w:color w:val="262626" w:themeColor="text1" w:themeTint="D9"/>
        </w:rPr>
      </w:pPr>
      <w:r w:rsidRPr="007D2155">
        <w:rPr>
          <w:rFonts w:ascii="Arial" w:hAnsi="Arial" w:cs="Arial"/>
          <w:noProof/>
          <w:color w:val="262626" w:themeColor="text1" w:themeTint="D9"/>
        </w:rPr>
        <mc:AlternateContent>
          <mc:Choice Requires="wps">
            <w:drawing>
              <wp:anchor distT="45720" distB="45720" distL="114300" distR="114300" simplePos="0" relativeHeight="251694080" behindDoc="0" locked="0" layoutInCell="1" allowOverlap="1" wp14:anchorId="6BC38C7F" wp14:editId="21370C90">
                <wp:simplePos x="0" y="0"/>
                <wp:positionH relativeFrom="column">
                  <wp:align>center</wp:align>
                </wp:positionH>
                <wp:positionV relativeFrom="paragraph">
                  <wp:posOffset>182880</wp:posOffset>
                </wp:positionV>
                <wp:extent cx="2360930" cy="1404620"/>
                <wp:effectExtent l="0" t="0" r="3810" b="0"/>
                <wp:wrapSquare wrapText="bothSides"/>
                <wp:docPr id="1577930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47A9C1B" w14:textId="4F7FC590" w:rsidR="007D2155" w:rsidRPr="007D2155" w:rsidRDefault="007D2155" w:rsidP="007D2155">
                            <w:pPr>
                              <w:jc w:val="center"/>
                              <w:rPr>
                                <w:rFonts w:ascii="Arial" w:hAnsi="Arial" w:cs="Arial"/>
                                <w:color w:val="262626" w:themeColor="text1" w:themeTint="D9"/>
                              </w:rPr>
                            </w:pPr>
                            <w:r w:rsidRPr="007D2155">
                              <w:t>Social-Legitimacy Pathway – India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C38C7F" id="_x0000_s1032" type="#_x0000_t202" style="position:absolute;margin-left:0;margin-top:14.4pt;width:185.9pt;height:110.6pt;z-index:25169408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SH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" stroked="f">
                <v:textbox style="mso-fit-shape-to-text:t">
                  <w:txbxContent>
                    <w:p w14:paraId="147A9C1B" w14:textId="4F7FC590" w:rsidR="007D2155" w:rsidRPr="007D2155" w:rsidRDefault="007D2155" w:rsidP="007D2155">
                      <w:pPr>
                        <w:jc w:val="center"/>
                        <w:rPr>
                          <w:rFonts w:ascii="Arial" w:hAnsi="Arial" w:cs="Arial"/>
                          <w:color w:val="262626" w:themeColor="text1" w:themeTint="D9"/>
                        </w:rPr>
                      </w:pPr>
                      <w:r w:rsidRPr="007D2155">
                        <w:t>Social-Legitimacy Pathway – India</w:t>
                      </w:r>
                    </w:p>
                  </w:txbxContent>
                </v:textbox>
                <w10:wrap type="square"/>
              </v:shape>
            </w:pict>
          </mc:Fallback>
        </mc:AlternateContent>
      </w:r>
    </w:p>
    <w:p w14:paraId="6C37A8CC" w14:textId="4CF5C14D" w:rsidR="00DF71FE" w:rsidRDefault="007D2155" w:rsidP="0052379E">
      <w:pPr>
        <w:spacing w:line="360" w:lineRule="auto"/>
        <w:rPr>
          <w:rFonts w:ascii="Arial" w:hAnsi="Arial" w:cs="Arial"/>
          <w:color w:val="262626" w:themeColor="text1" w:themeTint="D9"/>
        </w:rPr>
      </w:pPr>
      <w:r>
        <w:rPr>
          <w:rFonts w:ascii="Arial" w:hAnsi="Arial" w:cs="Arial"/>
          <w:noProof/>
          <w:color w:val="262626" w:themeColor="text1" w:themeTint="D9"/>
        </w:rPr>
        <w:drawing>
          <wp:inline distT="0" distB="0" distL="0" distR="0" wp14:anchorId="0B058FA7" wp14:editId="5D525D87">
            <wp:extent cx="5389880" cy="969201"/>
            <wp:effectExtent l="19050" t="0" r="20320" b="0"/>
            <wp:docPr id="2618545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88A5E6D" w14:textId="60246088" w:rsidR="00DF71FE" w:rsidRPr="002460EC" w:rsidRDefault="001B3E5D" w:rsidP="001B3E5D">
      <w:pPr>
        <w:spacing w:line="360" w:lineRule="auto"/>
        <w:jc w:val="center"/>
        <w:rPr>
          <w:rFonts w:ascii="Arial" w:hAnsi="Arial" w:cs="Arial"/>
          <w:color w:val="262626" w:themeColor="text1" w:themeTint="D9"/>
        </w:rPr>
      </w:pPr>
      <w:r w:rsidRPr="002460EC">
        <w:rPr>
          <w:rFonts w:ascii="Arial" w:hAnsi="Arial" w:cs="Arial"/>
          <w:color w:val="262626" w:themeColor="text1" w:themeTint="D9"/>
        </w:rPr>
        <w:t>Figure A.7: Cultural Trust Pathway in France and India (Author’s elaboration)</w:t>
      </w:r>
    </w:p>
    <w:p w14:paraId="02B79EEF" w14:textId="77777777" w:rsidR="001B3E5D" w:rsidRDefault="001B3E5D" w:rsidP="001B3E5D">
      <w:pPr>
        <w:spacing w:line="360" w:lineRule="auto"/>
        <w:jc w:val="center"/>
        <w:rPr>
          <w:rFonts w:ascii="Arial" w:hAnsi="Arial" w:cs="Arial"/>
          <w:color w:val="262626" w:themeColor="text1" w:themeTint="D9"/>
        </w:rPr>
      </w:pPr>
    </w:p>
    <w:p w14:paraId="4021E02D" w14:textId="77777777" w:rsidR="001B3E5D" w:rsidRDefault="001B3E5D" w:rsidP="001B3E5D">
      <w:pPr>
        <w:spacing w:line="360" w:lineRule="auto"/>
        <w:jc w:val="center"/>
        <w:rPr>
          <w:rFonts w:ascii="Arial" w:hAnsi="Arial" w:cs="Arial"/>
          <w:color w:val="262626" w:themeColor="text1" w:themeTint="D9"/>
        </w:rPr>
      </w:pPr>
    </w:p>
    <w:p w14:paraId="198486CD" w14:textId="05618415" w:rsidR="00DF71FE" w:rsidRDefault="00DF71FE" w:rsidP="0052379E">
      <w:pPr>
        <w:spacing w:line="360" w:lineRule="auto"/>
        <w:rPr>
          <w:rFonts w:ascii="Arial" w:hAnsi="Arial" w:cs="Arial"/>
          <w:color w:val="262626" w:themeColor="text1" w:themeTint="D9"/>
        </w:rPr>
      </w:pPr>
    </w:p>
    <w:p w14:paraId="4E8CAE9D" w14:textId="0D88E89F" w:rsidR="00DF71FE" w:rsidRDefault="00DF71FE" w:rsidP="0052379E">
      <w:pPr>
        <w:spacing w:line="360" w:lineRule="auto"/>
        <w:rPr>
          <w:rFonts w:ascii="Arial" w:hAnsi="Arial" w:cs="Arial"/>
          <w:color w:val="262626" w:themeColor="text1" w:themeTint="D9"/>
        </w:rPr>
      </w:pPr>
    </w:p>
    <w:p w14:paraId="4B3B674F" w14:textId="556F88DB" w:rsidR="00DF71FE" w:rsidRDefault="00DF71FE" w:rsidP="0052379E">
      <w:pPr>
        <w:spacing w:line="360" w:lineRule="auto"/>
        <w:rPr>
          <w:rFonts w:ascii="Arial" w:hAnsi="Arial" w:cs="Arial"/>
          <w:color w:val="262626" w:themeColor="text1" w:themeTint="D9"/>
        </w:rPr>
      </w:pPr>
    </w:p>
    <w:p w14:paraId="62D70F94" w14:textId="77777777" w:rsidR="00DF71FE" w:rsidRDefault="00DF71FE" w:rsidP="0052379E">
      <w:pPr>
        <w:spacing w:line="360" w:lineRule="auto"/>
        <w:rPr>
          <w:rFonts w:ascii="Arial" w:hAnsi="Arial" w:cs="Arial"/>
          <w:color w:val="262626" w:themeColor="text1" w:themeTint="D9"/>
        </w:rPr>
      </w:pPr>
    </w:p>
    <w:p w14:paraId="57E3E616" w14:textId="01185D04" w:rsidR="00DF71FE" w:rsidRDefault="00DF71FE" w:rsidP="0052379E">
      <w:pPr>
        <w:spacing w:line="360" w:lineRule="auto"/>
        <w:rPr>
          <w:rFonts w:ascii="Arial" w:hAnsi="Arial" w:cs="Arial"/>
          <w:color w:val="262626" w:themeColor="text1" w:themeTint="D9"/>
        </w:rPr>
      </w:pPr>
    </w:p>
    <w:p w14:paraId="3273C1FC" w14:textId="11083392" w:rsidR="00DF71FE" w:rsidRDefault="00DF71FE" w:rsidP="0052379E">
      <w:pPr>
        <w:spacing w:line="360" w:lineRule="auto"/>
        <w:rPr>
          <w:rFonts w:ascii="Arial" w:hAnsi="Arial" w:cs="Arial"/>
          <w:color w:val="262626" w:themeColor="text1" w:themeTint="D9"/>
        </w:rPr>
      </w:pPr>
    </w:p>
    <w:p w14:paraId="687E9933" w14:textId="01707A49" w:rsidR="000B6210" w:rsidRPr="0052379E" w:rsidRDefault="000B6210" w:rsidP="0052379E">
      <w:pPr>
        <w:spacing w:line="360" w:lineRule="auto"/>
        <w:rPr>
          <w:rFonts w:ascii="Arial" w:hAnsi="Arial" w:cs="Arial"/>
          <w:color w:val="262626" w:themeColor="text1" w:themeTint="D9"/>
        </w:rPr>
      </w:pPr>
    </w:p>
    <w:sectPr w:rsidR="000B6210" w:rsidRPr="0052379E" w:rsidSect="00B1219A">
      <w:footerReference w:type="default" r:id="rId32"/>
      <w:pgSz w:w="12240" w:h="15840"/>
      <w:pgMar w:top="1440" w:right="1440" w:bottom="1440" w:left="1440" w:header="720" w:footer="720" w:gutter="0"/>
      <w:pgBorders w:display="firstPage" w:offsetFrom="page">
        <w:top w:val="single" w:sz="4" w:space="24" w:color="D4AF37"/>
        <w:left w:val="single" w:sz="4" w:space="24" w:color="D4AF37"/>
        <w:bottom w:val="single" w:sz="4" w:space="24" w:color="D4AF37"/>
        <w:right w:val="single" w:sz="4" w:space="24" w:color="D4AF37"/>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BD655" w14:textId="77777777" w:rsidR="00DB047E" w:rsidRPr="00EF3058" w:rsidRDefault="00DB047E" w:rsidP="00F06FD0">
      <w:pPr>
        <w:spacing w:after="0" w:line="240" w:lineRule="auto"/>
      </w:pPr>
      <w:r w:rsidRPr="00EF3058">
        <w:separator/>
      </w:r>
    </w:p>
  </w:endnote>
  <w:endnote w:type="continuationSeparator" w:id="0">
    <w:p w14:paraId="0A7031FB" w14:textId="77777777" w:rsidR="00DB047E" w:rsidRPr="00EF3058" w:rsidRDefault="00DB047E" w:rsidP="00F06FD0">
      <w:pPr>
        <w:spacing w:after="0" w:line="240" w:lineRule="auto"/>
      </w:pPr>
      <w:r w:rsidRPr="00EF30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64268"/>
      <w:docPartObj>
        <w:docPartGallery w:val="Page Numbers (Bottom of Page)"/>
        <w:docPartUnique/>
      </w:docPartObj>
    </w:sdtPr>
    <w:sdtEndPr/>
    <w:sdtContent>
      <w:p w14:paraId="44228995" w14:textId="0D185F05" w:rsidR="00F06FD0" w:rsidRPr="00EF3058" w:rsidRDefault="00F06FD0">
        <w:pPr>
          <w:pStyle w:val="Footer"/>
          <w:jc w:val="center"/>
        </w:pPr>
        <w:r w:rsidRPr="00EF3058">
          <w:fldChar w:fldCharType="begin"/>
        </w:r>
        <w:r w:rsidRPr="00EF3058">
          <w:instrText xml:space="preserve"> PAGE   \* MERGEFORMAT </w:instrText>
        </w:r>
        <w:r w:rsidRPr="00EF3058">
          <w:fldChar w:fldCharType="separate"/>
        </w:r>
        <w:r w:rsidRPr="00EF3058">
          <w:t>2</w:t>
        </w:r>
        <w:r w:rsidRPr="00EF3058">
          <w:fldChar w:fldCharType="end"/>
        </w:r>
      </w:p>
    </w:sdtContent>
  </w:sdt>
  <w:p w14:paraId="7495ED56" w14:textId="77777777" w:rsidR="00F06FD0" w:rsidRPr="00EF3058" w:rsidRDefault="00F06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3CC7" w14:textId="77777777" w:rsidR="00DB047E" w:rsidRPr="00EF3058" w:rsidRDefault="00DB047E" w:rsidP="00F06FD0">
      <w:pPr>
        <w:spacing w:after="0" w:line="240" w:lineRule="auto"/>
      </w:pPr>
      <w:r w:rsidRPr="00EF3058">
        <w:separator/>
      </w:r>
    </w:p>
  </w:footnote>
  <w:footnote w:type="continuationSeparator" w:id="0">
    <w:p w14:paraId="53F05C8D" w14:textId="77777777" w:rsidR="00DB047E" w:rsidRPr="00EF3058" w:rsidRDefault="00DB047E" w:rsidP="00F06FD0">
      <w:pPr>
        <w:spacing w:after="0" w:line="240" w:lineRule="auto"/>
      </w:pPr>
      <w:r w:rsidRPr="00EF30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6B53"/>
    <w:multiLevelType w:val="hybridMultilevel"/>
    <w:tmpl w:val="7966BF44"/>
    <w:lvl w:ilvl="0" w:tplc="21B47EC2">
      <w:numFmt w:val="bullet"/>
      <w:lvlText w:val="-"/>
      <w:lvlJc w:val="left"/>
      <w:pPr>
        <w:ind w:left="1080" w:hanging="360"/>
      </w:pPr>
      <w:rPr>
        <w:rFonts w:ascii="Arial" w:eastAsiaTheme="minorHAnsi"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15:restartNumberingAfterBreak="0">
    <w:nsid w:val="11035FB2"/>
    <w:multiLevelType w:val="hybridMultilevel"/>
    <w:tmpl w:val="F52407CE"/>
    <w:lvl w:ilvl="0" w:tplc="0409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F0671AF"/>
    <w:multiLevelType w:val="hybridMultilevel"/>
    <w:tmpl w:val="2C32045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904262D"/>
    <w:multiLevelType w:val="hybridMultilevel"/>
    <w:tmpl w:val="56C2D8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64381601"/>
    <w:multiLevelType w:val="hybridMultilevel"/>
    <w:tmpl w:val="4B624F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6A68596E"/>
    <w:multiLevelType w:val="hybridMultilevel"/>
    <w:tmpl w:val="2D4876CE"/>
    <w:lvl w:ilvl="0" w:tplc="0409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6CEB4A95"/>
    <w:multiLevelType w:val="hybridMultilevel"/>
    <w:tmpl w:val="A5D0C3CA"/>
    <w:lvl w:ilvl="0" w:tplc="0409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6E43618A"/>
    <w:multiLevelType w:val="hybridMultilevel"/>
    <w:tmpl w:val="589836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7C215266"/>
    <w:multiLevelType w:val="hybridMultilevel"/>
    <w:tmpl w:val="4A4EEEC2"/>
    <w:lvl w:ilvl="0" w:tplc="0409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51326359">
    <w:abstractNumId w:val="3"/>
  </w:num>
  <w:num w:numId="2" w16cid:durableId="1110736140">
    <w:abstractNumId w:val="0"/>
  </w:num>
  <w:num w:numId="3" w16cid:durableId="281571871">
    <w:abstractNumId w:val="6"/>
  </w:num>
  <w:num w:numId="4" w16cid:durableId="1788625539">
    <w:abstractNumId w:val="5"/>
  </w:num>
  <w:num w:numId="5" w16cid:durableId="93091784">
    <w:abstractNumId w:val="8"/>
  </w:num>
  <w:num w:numId="6" w16cid:durableId="1670863755">
    <w:abstractNumId w:val="2"/>
  </w:num>
  <w:num w:numId="7" w16cid:durableId="2067953661">
    <w:abstractNumId w:val="4"/>
  </w:num>
  <w:num w:numId="8" w16cid:durableId="1075787335">
    <w:abstractNumId w:val="7"/>
  </w:num>
  <w:num w:numId="9" w16cid:durableId="69311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83"/>
    <w:rsid w:val="000045BA"/>
    <w:rsid w:val="00021110"/>
    <w:rsid w:val="0003576A"/>
    <w:rsid w:val="00036A0A"/>
    <w:rsid w:val="0004139F"/>
    <w:rsid w:val="000476B1"/>
    <w:rsid w:val="000529BC"/>
    <w:rsid w:val="00092813"/>
    <w:rsid w:val="000A3153"/>
    <w:rsid w:val="000B6210"/>
    <w:rsid w:val="000F3CA4"/>
    <w:rsid w:val="001049B1"/>
    <w:rsid w:val="001621DB"/>
    <w:rsid w:val="001B3E5D"/>
    <w:rsid w:val="001C1E87"/>
    <w:rsid w:val="001F12EF"/>
    <w:rsid w:val="001F13ED"/>
    <w:rsid w:val="00225C1F"/>
    <w:rsid w:val="00236766"/>
    <w:rsid w:val="002460EC"/>
    <w:rsid w:val="00257157"/>
    <w:rsid w:val="002661B4"/>
    <w:rsid w:val="0028146B"/>
    <w:rsid w:val="00287548"/>
    <w:rsid w:val="00290FC3"/>
    <w:rsid w:val="002B31E3"/>
    <w:rsid w:val="002C09D0"/>
    <w:rsid w:val="002E5DA4"/>
    <w:rsid w:val="00300C13"/>
    <w:rsid w:val="003113C4"/>
    <w:rsid w:val="00311D4A"/>
    <w:rsid w:val="00335ED6"/>
    <w:rsid w:val="00340912"/>
    <w:rsid w:val="00353211"/>
    <w:rsid w:val="00365BE0"/>
    <w:rsid w:val="0036658B"/>
    <w:rsid w:val="003C2095"/>
    <w:rsid w:val="003D174B"/>
    <w:rsid w:val="003D2E90"/>
    <w:rsid w:val="003D5B78"/>
    <w:rsid w:val="003F64E4"/>
    <w:rsid w:val="00411DCC"/>
    <w:rsid w:val="004825A8"/>
    <w:rsid w:val="00492A58"/>
    <w:rsid w:val="00493A3A"/>
    <w:rsid w:val="004B0686"/>
    <w:rsid w:val="004C2EED"/>
    <w:rsid w:val="004D1867"/>
    <w:rsid w:val="004D18A3"/>
    <w:rsid w:val="0052379E"/>
    <w:rsid w:val="005550FA"/>
    <w:rsid w:val="0056599B"/>
    <w:rsid w:val="00580811"/>
    <w:rsid w:val="00594EB7"/>
    <w:rsid w:val="005A6F47"/>
    <w:rsid w:val="005C09D0"/>
    <w:rsid w:val="005D0486"/>
    <w:rsid w:val="005E5C4F"/>
    <w:rsid w:val="006022A5"/>
    <w:rsid w:val="0060454B"/>
    <w:rsid w:val="00637E61"/>
    <w:rsid w:val="00652AB1"/>
    <w:rsid w:val="00674553"/>
    <w:rsid w:val="0068701B"/>
    <w:rsid w:val="006A0BAB"/>
    <w:rsid w:val="006A66DF"/>
    <w:rsid w:val="006D1F87"/>
    <w:rsid w:val="006E3C49"/>
    <w:rsid w:val="007002B9"/>
    <w:rsid w:val="00704B25"/>
    <w:rsid w:val="00715BE9"/>
    <w:rsid w:val="00727A26"/>
    <w:rsid w:val="007302E3"/>
    <w:rsid w:val="007336EC"/>
    <w:rsid w:val="00742661"/>
    <w:rsid w:val="007568DC"/>
    <w:rsid w:val="00766DBC"/>
    <w:rsid w:val="00787B3C"/>
    <w:rsid w:val="00791727"/>
    <w:rsid w:val="007D2155"/>
    <w:rsid w:val="007E0859"/>
    <w:rsid w:val="00801AF0"/>
    <w:rsid w:val="008305A2"/>
    <w:rsid w:val="00854ABC"/>
    <w:rsid w:val="00860525"/>
    <w:rsid w:val="008709A4"/>
    <w:rsid w:val="00885404"/>
    <w:rsid w:val="00886606"/>
    <w:rsid w:val="008E67A8"/>
    <w:rsid w:val="008F0DB1"/>
    <w:rsid w:val="00925A58"/>
    <w:rsid w:val="00937E4E"/>
    <w:rsid w:val="00975132"/>
    <w:rsid w:val="00982E5A"/>
    <w:rsid w:val="0099770C"/>
    <w:rsid w:val="009A7EBE"/>
    <w:rsid w:val="009C5AD7"/>
    <w:rsid w:val="009C6E76"/>
    <w:rsid w:val="009C6EBC"/>
    <w:rsid w:val="009D7B49"/>
    <w:rsid w:val="009F0879"/>
    <w:rsid w:val="00A07810"/>
    <w:rsid w:val="00A1661B"/>
    <w:rsid w:val="00A579AB"/>
    <w:rsid w:val="00A57B63"/>
    <w:rsid w:val="00A62237"/>
    <w:rsid w:val="00A6227A"/>
    <w:rsid w:val="00AC594E"/>
    <w:rsid w:val="00AE4026"/>
    <w:rsid w:val="00AE7041"/>
    <w:rsid w:val="00AF667E"/>
    <w:rsid w:val="00B1219A"/>
    <w:rsid w:val="00B213EC"/>
    <w:rsid w:val="00B24A08"/>
    <w:rsid w:val="00B34094"/>
    <w:rsid w:val="00B51FA4"/>
    <w:rsid w:val="00B5216E"/>
    <w:rsid w:val="00B94E5B"/>
    <w:rsid w:val="00BB031B"/>
    <w:rsid w:val="00BB0771"/>
    <w:rsid w:val="00BB6440"/>
    <w:rsid w:val="00BD3D93"/>
    <w:rsid w:val="00BE46B7"/>
    <w:rsid w:val="00BE7B27"/>
    <w:rsid w:val="00C03DBC"/>
    <w:rsid w:val="00C05691"/>
    <w:rsid w:val="00C06CF5"/>
    <w:rsid w:val="00C237FF"/>
    <w:rsid w:val="00C40223"/>
    <w:rsid w:val="00C4264B"/>
    <w:rsid w:val="00C509B4"/>
    <w:rsid w:val="00C560FB"/>
    <w:rsid w:val="00C75F46"/>
    <w:rsid w:val="00C83DA2"/>
    <w:rsid w:val="00C928B3"/>
    <w:rsid w:val="00C97B93"/>
    <w:rsid w:val="00CC1FD8"/>
    <w:rsid w:val="00CE636C"/>
    <w:rsid w:val="00D005FB"/>
    <w:rsid w:val="00D062C6"/>
    <w:rsid w:val="00D54760"/>
    <w:rsid w:val="00D5672A"/>
    <w:rsid w:val="00D73083"/>
    <w:rsid w:val="00D87E0A"/>
    <w:rsid w:val="00DB047E"/>
    <w:rsid w:val="00DD0E9A"/>
    <w:rsid w:val="00DF71FE"/>
    <w:rsid w:val="00E1203B"/>
    <w:rsid w:val="00E30702"/>
    <w:rsid w:val="00E31E4D"/>
    <w:rsid w:val="00E416FE"/>
    <w:rsid w:val="00E93CB6"/>
    <w:rsid w:val="00ED6CA3"/>
    <w:rsid w:val="00EF3058"/>
    <w:rsid w:val="00F06FD0"/>
    <w:rsid w:val="00F51FC5"/>
    <w:rsid w:val="00FD33E6"/>
    <w:rsid w:val="00FF3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colormru v:ext="edit" colors="#fdfbf5,white"/>
    </o:shapedefaults>
    <o:shapelayout v:ext="edit">
      <o:idmap v:ext="edit" data="1"/>
    </o:shapelayout>
  </w:shapeDefaults>
  <w:decimalSymbol w:val="."/>
  <w:listSeparator w:val=","/>
  <w14:docId w14:val="11C9C1E2"/>
  <w15:chartTrackingRefBased/>
  <w15:docId w15:val="{650F7E1A-8DC7-4215-BF07-D1AF30BC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2B9"/>
    <w:rPr>
      <w:lang w:val="en-GB"/>
    </w:rPr>
  </w:style>
  <w:style w:type="paragraph" w:styleId="Heading1">
    <w:name w:val="heading 1"/>
    <w:basedOn w:val="Normal"/>
    <w:next w:val="Normal"/>
    <w:link w:val="Heading1Char"/>
    <w:uiPriority w:val="9"/>
    <w:qFormat/>
    <w:rsid w:val="00D730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30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0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0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0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08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D7308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D7308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7308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7308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7308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7308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7308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7308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73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08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73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08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73083"/>
    <w:pPr>
      <w:spacing w:before="160"/>
      <w:jc w:val="center"/>
    </w:pPr>
    <w:rPr>
      <w:i/>
      <w:iCs/>
      <w:color w:val="404040" w:themeColor="text1" w:themeTint="BF"/>
    </w:rPr>
  </w:style>
  <w:style w:type="character" w:customStyle="1" w:styleId="QuoteChar">
    <w:name w:val="Quote Char"/>
    <w:basedOn w:val="DefaultParagraphFont"/>
    <w:link w:val="Quote"/>
    <w:uiPriority w:val="29"/>
    <w:rsid w:val="00D73083"/>
    <w:rPr>
      <w:i/>
      <w:iCs/>
      <w:color w:val="404040" w:themeColor="text1" w:themeTint="BF"/>
      <w:lang w:val="en-GB"/>
    </w:rPr>
  </w:style>
  <w:style w:type="paragraph" w:styleId="ListParagraph">
    <w:name w:val="List Paragraph"/>
    <w:basedOn w:val="Normal"/>
    <w:uiPriority w:val="34"/>
    <w:qFormat/>
    <w:rsid w:val="00D73083"/>
    <w:pPr>
      <w:ind w:left="720"/>
      <w:contextualSpacing/>
    </w:pPr>
  </w:style>
  <w:style w:type="character" w:styleId="IntenseEmphasis">
    <w:name w:val="Intense Emphasis"/>
    <w:basedOn w:val="DefaultParagraphFont"/>
    <w:uiPriority w:val="21"/>
    <w:qFormat/>
    <w:rsid w:val="00D73083"/>
    <w:rPr>
      <w:i/>
      <w:iCs/>
      <w:color w:val="0F4761" w:themeColor="accent1" w:themeShade="BF"/>
    </w:rPr>
  </w:style>
  <w:style w:type="paragraph" w:styleId="IntenseQuote">
    <w:name w:val="Intense Quote"/>
    <w:basedOn w:val="Normal"/>
    <w:next w:val="Normal"/>
    <w:link w:val="IntenseQuoteChar"/>
    <w:uiPriority w:val="30"/>
    <w:qFormat/>
    <w:rsid w:val="00D73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083"/>
    <w:rPr>
      <w:i/>
      <w:iCs/>
      <w:color w:val="0F4761" w:themeColor="accent1" w:themeShade="BF"/>
      <w:lang w:val="en-GB"/>
    </w:rPr>
  </w:style>
  <w:style w:type="character" w:styleId="IntenseReference">
    <w:name w:val="Intense Reference"/>
    <w:basedOn w:val="DefaultParagraphFont"/>
    <w:uiPriority w:val="32"/>
    <w:qFormat/>
    <w:rsid w:val="00D73083"/>
    <w:rPr>
      <w:b/>
      <w:bCs/>
      <w:smallCaps/>
      <w:color w:val="0F4761" w:themeColor="accent1" w:themeShade="BF"/>
      <w:spacing w:val="5"/>
    </w:rPr>
  </w:style>
  <w:style w:type="paragraph" w:styleId="TOCHeading">
    <w:name w:val="TOC Heading"/>
    <w:basedOn w:val="Heading1"/>
    <w:next w:val="Normal"/>
    <w:uiPriority w:val="39"/>
    <w:unhideWhenUsed/>
    <w:qFormat/>
    <w:rsid w:val="00580811"/>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F06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FD0"/>
    <w:rPr>
      <w:lang w:val="en-GB"/>
    </w:rPr>
  </w:style>
  <w:style w:type="paragraph" w:styleId="Footer">
    <w:name w:val="footer"/>
    <w:basedOn w:val="Normal"/>
    <w:link w:val="FooterChar"/>
    <w:uiPriority w:val="99"/>
    <w:unhideWhenUsed/>
    <w:rsid w:val="00F06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FD0"/>
    <w:rPr>
      <w:lang w:val="en-GB"/>
    </w:rPr>
  </w:style>
  <w:style w:type="paragraph" w:styleId="TOC1">
    <w:name w:val="toc 1"/>
    <w:basedOn w:val="Normal"/>
    <w:next w:val="Normal"/>
    <w:autoRedefine/>
    <w:uiPriority w:val="39"/>
    <w:unhideWhenUsed/>
    <w:rsid w:val="00F06FD0"/>
    <w:pPr>
      <w:spacing w:after="100"/>
    </w:pPr>
  </w:style>
  <w:style w:type="character" w:styleId="Hyperlink">
    <w:name w:val="Hyperlink"/>
    <w:basedOn w:val="DefaultParagraphFont"/>
    <w:uiPriority w:val="99"/>
    <w:unhideWhenUsed/>
    <w:rsid w:val="00F06FD0"/>
    <w:rPr>
      <w:color w:val="467886" w:themeColor="hyperlink"/>
      <w:u w:val="single"/>
    </w:rPr>
  </w:style>
  <w:style w:type="character" w:styleId="UnresolvedMention">
    <w:name w:val="Unresolved Mention"/>
    <w:basedOn w:val="DefaultParagraphFont"/>
    <w:uiPriority w:val="99"/>
    <w:semiHidden/>
    <w:unhideWhenUsed/>
    <w:rsid w:val="00AE4026"/>
    <w:rPr>
      <w:color w:val="605E5C"/>
      <w:shd w:val="clear" w:color="auto" w:fill="E1DFDD"/>
    </w:rPr>
  </w:style>
  <w:style w:type="paragraph" w:styleId="TOC2">
    <w:name w:val="toc 2"/>
    <w:basedOn w:val="Normal"/>
    <w:next w:val="Normal"/>
    <w:autoRedefine/>
    <w:uiPriority w:val="39"/>
    <w:unhideWhenUsed/>
    <w:rsid w:val="00F51FC5"/>
    <w:pPr>
      <w:spacing w:after="100"/>
      <w:ind w:left="220"/>
    </w:pPr>
  </w:style>
  <w:style w:type="table" w:styleId="PlainTable1">
    <w:name w:val="Plain Table 1"/>
    <w:basedOn w:val="TableNormal"/>
    <w:uiPriority w:val="41"/>
    <w:rsid w:val="005237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5237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411D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real-finance.com/en/annual-report-2024" TargetMode="External"/><Relationship Id="rId18" Type="http://schemas.openxmlformats.org/officeDocument/2006/relationships/diagramColors" Target="diagrams/colors1.xml"/><Relationship Id="rId26"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oreal-finance.com" TargetMode="External"/><Relationship Id="rId17" Type="http://schemas.openxmlformats.org/officeDocument/2006/relationships/diagramQuickStyle" Target="diagrams/quickStyle1.xml"/><Relationship Id="rId25" Type="http://schemas.openxmlformats.org/officeDocument/2006/relationships/diagramColors" Target="diagrams/colors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2.jpg"/><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me.kpmg/" TargetMode="External"/><Relationship Id="rId24" Type="http://schemas.openxmlformats.org/officeDocument/2006/relationships/diagramQuickStyle" Target="diagrams/quickStyle2.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Layout" Target="diagrams/layout2.xml"/><Relationship Id="rId28" Type="http://schemas.openxmlformats.org/officeDocument/2006/relationships/diagramLayout" Target="diagrams/layout3.xml"/><Relationship Id="rId10" Type="http://schemas.openxmlformats.org/officeDocument/2006/relationships/hyperlink" Target="https://www.ey.com/en_in" TargetMode="External"/><Relationship Id="rId19" Type="http://schemas.microsoft.com/office/2007/relationships/diagramDrawing" Target="diagrams/drawing1.xml"/><Relationship Id="rId31"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yperlink" Target="https://unctad.org" TargetMode="Externa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54A7A9-6BC7-4222-A52C-8FB0B267FA3A}" type="doc">
      <dgm:prSet loTypeId="urn:microsoft.com/office/officeart/2005/8/layout/cycle2" loCatId="cycle" qsTypeId="urn:microsoft.com/office/officeart/2005/8/quickstyle/3d1" qsCatId="3D" csTypeId="urn:microsoft.com/office/officeart/2005/8/colors/accent1_2" csCatId="accent1" phldr="1"/>
      <dgm:spPr/>
      <dgm:t>
        <a:bodyPr/>
        <a:lstStyle/>
        <a:p>
          <a:endParaRPr lang="bg-BG"/>
        </a:p>
      </dgm:t>
    </dgm:pt>
    <dgm:pt modelId="{8F792DFF-1D36-48D0-8754-41909CAC0392}">
      <dgm:prSet phldrT="[Text]" custT="1"/>
      <dgm:spPr>
        <a:solidFill>
          <a:srgbClr val="D4AF37"/>
        </a:solidFill>
      </dgm:spPr>
      <dgm:t>
        <a:bodyPr/>
        <a:lstStyle/>
        <a:p>
          <a:pPr algn="ctr"/>
          <a:r>
            <a:rPr lang="en-GB" sz="1100" b="1" i="0" baseline="0">
              <a:solidFill>
                <a:schemeClr val="tx1">
                  <a:lumMod val="85000"/>
                  <a:lumOff val="15000"/>
                </a:schemeClr>
              </a:solidFill>
              <a:latin typeface="Arial" panose="020B0604020202020204" pitchFamily="34" charset="0"/>
            </a:rPr>
            <a:t>Global R&amp;D</a:t>
          </a:r>
          <a:r>
            <a:rPr lang="en-GB" sz="800">
              <a:solidFill>
                <a:schemeClr val="tx1">
                  <a:lumMod val="85000"/>
                  <a:lumOff val="15000"/>
                </a:schemeClr>
              </a:solidFill>
            </a:rPr>
            <a:t> </a:t>
          </a:r>
        </a:p>
        <a:p>
          <a:pPr algn="ctr"/>
          <a:endParaRPr lang="en-GB" sz="800" i="1">
            <a:solidFill>
              <a:schemeClr val="tx1">
                <a:lumMod val="85000"/>
                <a:lumOff val="15000"/>
              </a:schemeClr>
            </a:solidFill>
            <a:latin typeface="Arial" panose="020B0604020202020204" pitchFamily="34" charset="0"/>
            <a:cs typeface="Arial" panose="020B0604020202020204" pitchFamily="34" charset="0"/>
          </a:endParaRPr>
        </a:p>
        <a:p>
          <a:pPr algn="ctr"/>
          <a:r>
            <a:rPr lang="en-GB" sz="800" i="1">
              <a:solidFill>
                <a:schemeClr val="tx1">
                  <a:lumMod val="85000"/>
                  <a:lumOff val="15000"/>
                </a:schemeClr>
              </a:solidFill>
              <a:latin typeface="Arial" panose="020B0604020202020204" pitchFamily="34" charset="0"/>
              <a:cs typeface="Arial" panose="020B0604020202020204" pitchFamily="34" charset="0"/>
            </a:rPr>
            <a:t>FR, US, JP, CN, IN</a:t>
          </a:r>
          <a:endParaRPr lang="bg-BG" sz="800" i="1">
            <a:solidFill>
              <a:schemeClr val="tx1">
                <a:lumMod val="85000"/>
                <a:lumOff val="15000"/>
              </a:schemeClr>
            </a:solidFill>
            <a:latin typeface="Arial" panose="020B0604020202020204" pitchFamily="34" charset="0"/>
            <a:cs typeface="Arial" panose="020B0604020202020204" pitchFamily="34" charset="0"/>
          </a:endParaRPr>
        </a:p>
      </dgm:t>
    </dgm:pt>
    <dgm:pt modelId="{B27CCAAE-1E3B-4EFC-BF58-53045DB12573}" type="parTrans" cxnId="{A83E053E-D4F9-4698-9BD8-65588D247422}">
      <dgm:prSet/>
      <dgm:spPr/>
      <dgm:t>
        <a:bodyPr/>
        <a:lstStyle/>
        <a:p>
          <a:pPr algn="ctr"/>
          <a:endParaRPr lang="bg-BG"/>
        </a:p>
      </dgm:t>
    </dgm:pt>
    <dgm:pt modelId="{9A964C5B-39C9-41CB-8965-8835570F757E}" type="sibTrans" cxnId="{A83E053E-D4F9-4698-9BD8-65588D247422}">
      <dgm:prSet/>
      <dgm:spPr/>
      <dgm:t>
        <a:bodyPr/>
        <a:lstStyle/>
        <a:p>
          <a:pPr algn="ctr"/>
          <a:endParaRPr lang="bg-BG"/>
        </a:p>
      </dgm:t>
    </dgm:pt>
    <dgm:pt modelId="{342C96B1-3368-4281-A944-B680F3FD477E}">
      <dgm:prSet phldrT="[Text]" custT="1"/>
      <dgm:spPr>
        <a:solidFill>
          <a:srgbClr val="D4AF37"/>
        </a:solidFill>
        <a:ln>
          <a:solidFill>
            <a:srgbClr val="F2E6C0"/>
          </a:solidFill>
        </a:ln>
      </dgm:spPr>
      <dgm:t>
        <a:bodyPr/>
        <a:lstStyle/>
        <a:p>
          <a:pPr algn="ctr"/>
          <a:r>
            <a:rPr lang="en-GB" sz="1100" b="1">
              <a:solidFill>
                <a:schemeClr val="tx1">
                  <a:lumMod val="85000"/>
                  <a:lumOff val="15000"/>
                </a:schemeClr>
              </a:solidFill>
              <a:latin typeface="Arial" panose="020B0604020202020204" pitchFamily="34" charset="0"/>
              <a:cs typeface="Arial" panose="020B0604020202020204" pitchFamily="34" charset="0"/>
            </a:rPr>
            <a:t>Global Sourcing </a:t>
          </a:r>
        </a:p>
        <a:p>
          <a:pPr algn="ctr"/>
          <a:r>
            <a:rPr lang="en-GB" sz="800" b="0" i="1">
              <a:solidFill>
                <a:schemeClr val="tx1">
                  <a:lumMod val="85000"/>
                  <a:lumOff val="15000"/>
                </a:schemeClr>
              </a:solidFill>
              <a:latin typeface="Arial" panose="020B0604020202020204" pitchFamily="34" charset="0"/>
              <a:cs typeface="Arial" panose="020B0604020202020204" pitchFamily="34" charset="0"/>
            </a:rPr>
            <a:t>BR, IN, ID</a:t>
          </a:r>
          <a:endParaRPr lang="bg-BG" sz="800" b="0" i="1">
            <a:solidFill>
              <a:schemeClr val="tx1">
                <a:lumMod val="85000"/>
                <a:lumOff val="15000"/>
              </a:schemeClr>
            </a:solidFill>
            <a:latin typeface="Arial" panose="020B0604020202020204" pitchFamily="34" charset="0"/>
            <a:cs typeface="Arial" panose="020B0604020202020204" pitchFamily="34" charset="0"/>
          </a:endParaRPr>
        </a:p>
      </dgm:t>
    </dgm:pt>
    <dgm:pt modelId="{DAD0799A-BB0E-4FEF-821D-801D51A40343}" type="parTrans" cxnId="{B385C06F-664A-4C6D-B67D-BAD428DF7420}">
      <dgm:prSet/>
      <dgm:spPr/>
      <dgm:t>
        <a:bodyPr/>
        <a:lstStyle/>
        <a:p>
          <a:pPr algn="ctr"/>
          <a:endParaRPr lang="bg-BG"/>
        </a:p>
      </dgm:t>
    </dgm:pt>
    <dgm:pt modelId="{80F44C31-2302-4003-9768-4D98A11BC63F}" type="sibTrans" cxnId="{B385C06F-664A-4C6D-B67D-BAD428DF7420}">
      <dgm:prSet/>
      <dgm:spPr/>
      <dgm:t>
        <a:bodyPr/>
        <a:lstStyle/>
        <a:p>
          <a:pPr algn="ctr"/>
          <a:endParaRPr lang="bg-BG"/>
        </a:p>
      </dgm:t>
    </dgm:pt>
    <dgm:pt modelId="{F586786D-293D-4EFD-95B4-E5D641178929}">
      <dgm:prSet phldrT="[Text]" custT="1"/>
      <dgm:spPr>
        <a:solidFill>
          <a:srgbClr val="D4AF37"/>
        </a:solidFill>
      </dgm:spPr>
      <dgm:t>
        <a:bodyPr/>
        <a:lstStyle/>
        <a:p>
          <a:pPr algn="ctr"/>
          <a:r>
            <a:rPr lang="en-GB" sz="1100" b="1">
              <a:solidFill>
                <a:schemeClr val="tx1">
                  <a:lumMod val="85000"/>
                  <a:lumOff val="15000"/>
                </a:schemeClr>
              </a:solidFill>
              <a:latin typeface="Arial" panose="020B0604020202020204" pitchFamily="34" charset="0"/>
              <a:cs typeface="Arial" panose="020B0604020202020204" pitchFamily="34" charset="0"/>
            </a:rPr>
            <a:t>Global Manufacturing </a:t>
          </a:r>
        </a:p>
        <a:p>
          <a:pPr algn="ctr"/>
          <a:endParaRPr lang="en-GB" sz="800" b="0" i="1">
            <a:solidFill>
              <a:schemeClr val="tx1">
                <a:lumMod val="85000"/>
                <a:lumOff val="15000"/>
              </a:schemeClr>
            </a:solidFill>
            <a:latin typeface="Arial" panose="020B0604020202020204" pitchFamily="34" charset="0"/>
            <a:cs typeface="Arial" panose="020B0604020202020204" pitchFamily="34" charset="0"/>
          </a:endParaRPr>
        </a:p>
        <a:p>
          <a:pPr algn="ctr"/>
          <a:r>
            <a:rPr lang="en-GB" sz="800" b="0" i="1">
              <a:solidFill>
                <a:schemeClr val="tx1">
                  <a:lumMod val="85000"/>
                  <a:lumOff val="15000"/>
                </a:schemeClr>
              </a:solidFill>
              <a:latin typeface="Arial" panose="020B0604020202020204" pitchFamily="34" charset="0"/>
              <a:cs typeface="Arial" panose="020B0604020202020204" pitchFamily="34" charset="0"/>
            </a:rPr>
            <a:t>CN, IN, BR</a:t>
          </a:r>
          <a:endParaRPr lang="bg-BG" sz="800" b="0" i="1">
            <a:solidFill>
              <a:schemeClr val="tx1">
                <a:lumMod val="85000"/>
                <a:lumOff val="15000"/>
              </a:schemeClr>
            </a:solidFill>
            <a:latin typeface="Arial" panose="020B0604020202020204" pitchFamily="34" charset="0"/>
            <a:cs typeface="Arial" panose="020B0604020202020204" pitchFamily="34" charset="0"/>
          </a:endParaRPr>
        </a:p>
      </dgm:t>
    </dgm:pt>
    <dgm:pt modelId="{8DB6E67F-82EB-4CEF-945C-83AA815CB508}" type="parTrans" cxnId="{E8BDC8C1-2EAF-4092-A824-8EF611D64E87}">
      <dgm:prSet/>
      <dgm:spPr/>
      <dgm:t>
        <a:bodyPr/>
        <a:lstStyle/>
        <a:p>
          <a:pPr algn="ctr"/>
          <a:endParaRPr lang="bg-BG"/>
        </a:p>
      </dgm:t>
    </dgm:pt>
    <dgm:pt modelId="{4EDD6D15-DB29-4CB3-BF8E-E4DB7297B5C6}" type="sibTrans" cxnId="{E8BDC8C1-2EAF-4092-A824-8EF611D64E87}">
      <dgm:prSet/>
      <dgm:spPr/>
      <dgm:t>
        <a:bodyPr/>
        <a:lstStyle/>
        <a:p>
          <a:pPr algn="ctr"/>
          <a:endParaRPr lang="bg-BG"/>
        </a:p>
      </dgm:t>
    </dgm:pt>
    <dgm:pt modelId="{5FD37F4D-8C2D-43D3-87B8-B0EA3A838003}">
      <dgm:prSet phldrT="[Text]" custT="1"/>
      <dgm:spPr>
        <a:solidFill>
          <a:srgbClr val="D4AF37"/>
        </a:solidFill>
      </dgm:spPr>
      <dgm:t>
        <a:bodyPr/>
        <a:lstStyle/>
        <a:p>
          <a:pPr algn="ctr"/>
          <a:r>
            <a:rPr lang="en-GB" sz="1100" b="1">
              <a:solidFill>
                <a:schemeClr val="tx1">
                  <a:lumMod val="85000"/>
                  <a:lumOff val="15000"/>
                </a:schemeClr>
              </a:solidFill>
              <a:latin typeface="Arial" panose="020B0604020202020204" pitchFamily="34" charset="0"/>
              <a:cs typeface="Arial" panose="020B0604020202020204" pitchFamily="34" charset="0"/>
            </a:rPr>
            <a:t>Global Marketing </a:t>
          </a:r>
        </a:p>
        <a:p>
          <a:pPr algn="ctr"/>
          <a:r>
            <a:rPr lang="en-GB" sz="800" b="0" i="1">
              <a:solidFill>
                <a:schemeClr val="tx1">
                  <a:lumMod val="85000"/>
                  <a:lumOff val="15000"/>
                </a:schemeClr>
              </a:solidFill>
              <a:latin typeface="Arial" panose="020B0604020202020204" pitchFamily="34" charset="0"/>
              <a:cs typeface="Arial" panose="020B0604020202020204" pitchFamily="34" charset="0"/>
            </a:rPr>
            <a:t>Mixed global/local adaptation</a:t>
          </a:r>
          <a:endParaRPr lang="bg-BG" sz="800" b="0" i="1">
            <a:solidFill>
              <a:schemeClr val="tx1">
                <a:lumMod val="85000"/>
                <a:lumOff val="15000"/>
              </a:schemeClr>
            </a:solidFill>
            <a:latin typeface="Arial" panose="020B0604020202020204" pitchFamily="34" charset="0"/>
            <a:cs typeface="Arial" panose="020B0604020202020204" pitchFamily="34" charset="0"/>
          </a:endParaRPr>
        </a:p>
      </dgm:t>
    </dgm:pt>
    <dgm:pt modelId="{44CE1022-2363-43BA-9375-04418C4A2045}" type="parTrans" cxnId="{088C6E0C-1883-4711-A602-7E18CD38F994}">
      <dgm:prSet/>
      <dgm:spPr/>
      <dgm:t>
        <a:bodyPr/>
        <a:lstStyle/>
        <a:p>
          <a:pPr algn="ctr"/>
          <a:endParaRPr lang="bg-BG"/>
        </a:p>
      </dgm:t>
    </dgm:pt>
    <dgm:pt modelId="{1FDE829E-FCFA-4A33-AF4F-761AA682913A}" type="sibTrans" cxnId="{088C6E0C-1883-4711-A602-7E18CD38F994}">
      <dgm:prSet/>
      <dgm:spPr/>
      <dgm:t>
        <a:bodyPr/>
        <a:lstStyle/>
        <a:p>
          <a:pPr algn="ctr"/>
          <a:endParaRPr lang="bg-BG"/>
        </a:p>
      </dgm:t>
    </dgm:pt>
    <dgm:pt modelId="{AC927211-D3EF-4559-9FF4-8BACDD8FC863}">
      <dgm:prSet phldrT="[Text]" custT="1"/>
      <dgm:spPr>
        <a:solidFill>
          <a:srgbClr val="D4AF37"/>
        </a:solidFill>
      </dgm:spPr>
      <dgm:t>
        <a:bodyPr/>
        <a:lstStyle/>
        <a:p>
          <a:pPr algn="ctr"/>
          <a:r>
            <a:rPr lang="en-GB" sz="1100" b="1">
              <a:solidFill>
                <a:schemeClr val="tx1">
                  <a:lumMod val="85000"/>
                  <a:lumOff val="15000"/>
                </a:schemeClr>
              </a:solidFill>
              <a:latin typeface="Arial" panose="020B0604020202020204" pitchFamily="34" charset="0"/>
              <a:cs typeface="Arial" panose="020B0604020202020204" pitchFamily="34" charset="0"/>
            </a:rPr>
            <a:t>Global Distribution </a:t>
          </a:r>
        </a:p>
        <a:p>
          <a:pPr algn="ctr"/>
          <a:endParaRPr lang="en-GB" sz="800" b="0" i="1">
            <a:solidFill>
              <a:schemeClr val="tx1">
                <a:lumMod val="85000"/>
                <a:lumOff val="15000"/>
              </a:schemeClr>
            </a:solidFill>
            <a:latin typeface="Arial" panose="020B0604020202020204" pitchFamily="34" charset="0"/>
            <a:cs typeface="Arial" panose="020B0604020202020204" pitchFamily="34" charset="0"/>
          </a:endParaRPr>
        </a:p>
        <a:p>
          <a:pPr algn="ctr"/>
          <a:r>
            <a:rPr lang="en-GB" sz="800" b="0" i="1">
              <a:solidFill>
                <a:schemeClr val="tx1">
                  <a:lumMod val="85000"/>
                  <a:lumOff val="15000"/>
                </a:schemeClr>
              </a:solidFill>
              <a:latin typeface="Arial" panose="020B0604020202020204" pitchFamily="34" charset="0"/>
              <a:cs typeface="Arial" panose="020B0604020202020204" pitchFamily="34" charset="0"/>
            </a:rPr>
            <a:t>EU logistics + digital Asia channels</a:t>
          </a:r>
          <a:endParaRPr lang="bg-BG" sz="800" b="0" i="1">
            <a:solidFill>
              <a:schemeClr val="tx1">
                <a:lumMod val="85000"/>
                <a:lumOff val="15000"/>
              </a:schemeClr>
            </a:solidFill>
            <a:latin typeface="Arial" panose="020B0604020202020204" pitchFamily="34" charset="0"/>
            <a:cs typeface="Arial" panose="020B0604020202020204" pitchFamily="34" charset="0"/>
          </a:endParaRPr>
        </a:p>
      </dgm:t>
    </dgm:pt>
    <dgm:pt modelId="{63474CB2-4D73-44C5-901A-BAB1CEC35A5E}" type="parTrans" cxnId="{07EC971B-7321-4B57-A48B-62D50476DABA}">
      <dgm:prSet/>
      <dgm:spPr/>
      <dgm:t>
        <a:bodyPr/>
        <a:lstStyle/>
        <a:p>
          <a:pPr algn="ctr"/>
          <a:endParaRPr lang="bg-BG"/>
        </a:p>
      </dgm:t>
    </dgm:pt>
    <dgm:pt modelId="{BD91E5BD-4EE4-40DF-920E-C463FB2CD585}" type="sibTrans" cxnId="{07EC971B-7321-4B57-A48B-62D50476DABA}">
      <dgm:prSet/>
      <dgm:spPr/>
      <dgm:t>
        <a:bodyPr/>
        <a:lstStyle/>
        <a:p>
          <a:pPr algn="ctr"/>
          <a:endParaRPr lang="bg-BG"/>
        </a:p>
      </dgm:t>
    </dgm:pt>
    <dgm:pt modelId="{BEF610C4-DEE1-4765-BF29-F6ABCDB2BAB6}" type="pres">
      <dgm:prSet presAssocID="{5554A7A9-6BC7-4222-A52C-8FB0B267FA3A}" presName="cycle" presStyleCnt="0">
        <dgm:presLayoutVars>
          <dgm:dir/>
          <dgm:resizeHandles val="exact"/>
        </dgm:presLayoutVars>
      </dgm:prSet>
      <dgm:spPr/>
    </dgm:pt>
    <dgm:pt modelId="{B33372FE-14B4-4B38-B60E-2C936E641662}" type="pres">
      <dgm:prSet presAssocID="{8F792DFF-1D36-48D0-8754-41909CAC0392}" presName="node" presStyleLbl="node1" presStyleIdx="0" presStyleCnt="5">
        <dgm:presLayoutVars>
          <dgm:bulletEnabled val="1"/>
        </dgm:presLayoutVars>
      </dgm:prSet>
      <dgm:spPr/>
    </dgm:pt>
    <dgm:pt modelId="{28DFC4D3-139D-4B22-8699-4A65D6884F66}" type="pres">
      <dgm:prSet presAssocID="{9A964C5B-39C9-41CB-8965-8835570F757E}" presName="sibTrans" presStyleLbl="sibTrans2D1" presStyleIdx="0" presStyleCnt="5"/>
      <dgm:spPr/>
    </dgm:pt>
    <dgm:pt modelId="{232AA55A-2A87-4B3F-9824-20044E03EE02}" type="pres">
      <dgm:prSet presAssocID="{9A964C5B-39C9-41CB-8965-8835570F757E}" presName="connectorText" presStyleLbl="sibTrans2D1" presStyleIdx="0" presStyleCnt="5"/>
      <dgm:spPr/>
    </dgm:pt>
    <dgm:pt modelId="{8EECB38E-C494-4A4A-9046-65FB256F2CE9}" type="pres">
      <dgm:prSet presAssocID="{342C96B1-3368-4281-A944-B680F3FD477E}" presName="node" presStyleLbl="node1" presStyleIdx="1" presStyleCnt="5">
        <dgm:presLayoutVars>
          <dgm:bulletEnabled val="1"/>
        </dgm:presLayoutVars>
      </dgm:prSet>
      <dgm:spPr/>
    </dgm:pt>
    <dgm:pt modelId="{5EBFB653-4BCE-4650-9D84-5D3616D2556F}" type="pres">
      <dgm:prSet presAssocID="{80F44C31-2302-4003-9768-4D98A11BC63F}" presName="sibTrans" presStyleLbl="sibTrans2D1" presStyleIdx="1" presStyleCnt="5"/>
      <dgm:spPr/>
    </dgm:pt>
    <dgm:pt modelId="{E0606769-6E9E-4F08-B5AD-57092EED96DA}" type="pres">
      <dgm:prSet presAssocID="{80F44C31-2302-4003-9768-4D98A11BC63F}" presName="connectorText" presStyleLbl="sibTrans2D1" presStyleIdx="1" presStyleCnt="5"/>
      <dgm:spPr/>
    </dgm:pt>
    <dgm:pt modelId="{2864CEDC-4BF9-4DF6-852B-2E4D50E07395}" type="pres">
      <dgm:prSet presAssocID="{F586786D-293D-4EFD-95B4-E5D641178929}" presName="node" presStyleLbl="node1" presStyleIdx="2" presStyleCnt="5">
        <dgm:presLayoutVars>
          <dgm:bulletEnabled val="1"/>
        </dgm:presLayoutVars>
      </dgm:prSet>
      <dgm:spPr/>
    </dgm:pt>
    <dgm:pt modelId="{34E88813-9274-426C-BB45-28EEE7E938A1}" type="pres">
      <dgm:prSet presAssocID="{4EDD6D15-DB29-4CB3-BF8E-E4DB7297B5C6}" presName="sibTrans" presStyleLbl="sibTrans2D1" presStyleIdx="2" presStyleCnt="5"/>
      <dgm:spPr/>
    </dgm:pt>
    <dgm:pt modelId="{7831564D-0D24-4D65-A91B-64562AE38A57}" type="pres">
      <dgm:prSet presAssocID="{4EDD6D15-DB29-4CB3-BF8E-E4DB7297B5C6}" presName="connectorText" presStyleLbl="sibTrans2D1" presStyleIdx="2" presStyleCnt="5"/>
      <dgm:spPr/>
    </dgm:pt>
    <dgm:pt modelId="{41C0A601-0264-4228-9B90-D108BD4DCB21}" type="pres">
      <dgm:prSet presAssocID="{5FD37F4D-8C2D-43D3-87B8-B0EA3A838003}" presName="node" presStyleLbl="node1" presStyleIdx="3" presStyleCnt="5">
        <dgm:presLayoutVars>
          <dgm:bulletEnabled val="1"/>
        </dgm:presLayoutVars>
      </dgm:prSet>
      <dgm:spPr/>
    </dgm:pt>
    <dgm:pt modelId="{07224466-6B01-4B04-8925-0442FB0FAD91}" type="pres">
      <dgm:prSet presAssocID="{1FDE829E-FCFA-4A33-AF4F-761AA682913A}" presName="sibTrans" presStyleLbl="sibTrans2D1" presStyleIdx="3" presStyleCnt="5"/>
      <dgm:spPr/>
    </dgm:pt>
    <dgm:pt modelId="{0C8B8B31-4539-478A-953B-B055A45D9964}" type="pres">
      <dgm:prSet presAssocID="{1FDE829E-FCFA-4A33-AF4F-761AA682913A}" presName="connectorText" presStyleLbl="sibTrans2D1" presStyleIdx="3" presStyleCnt="5"/>
      <dgm:spPr/>
    </dgm:pt>
    <dgm:pt modelId="{D4AEE390-06EC-4572-956F-93BE976ED3EF}" type="pres">
      <dgm:prSet presAssocID="{AC927211-D3EF-4559-9FF4-8BACDD8FC863}" presName="node" presStyleLbl="node1" presStyleIdx="4" presStyleCnt="5">
        <dgm:presLayoutVars>
          <dgm:bulletEnabled val="1"/>
        </dgm:presLayoutVars>
      </dgm:prSet>
      <dgm:spPr/>
    </dgm:pt>
    <dgm:pt modelId="{086F212F-DED0-43A3-A0F8-7AF0B05E8F70}" type="pres">
      <dgm:prSet presAssocID="{BD91E5BD-4EE4-40DF-920E-C463FB2CD585}" presName="sibTrans" presStyleLbl="sibTrans2D1" presStyleIdx="4" presStyleCnt="5"/>
      <dgm:spPr/>
    </dgm:pt>
    <dgm:pt modelId="{64D5CC7C-395F-4ECC-9B31-593D79E14B39}" type="pres">
      <dgm:prSet presAssocID="{BD91E5BD-4EE4-40DF-920E-C463FB2CD585}" presName="connectorText" presStyleLbl="sibTrans2D1" presStyleIdx="4" presStyleCnt="5"/>
      <dgm:spPr/>
    </dgm:pt>
  </dgm:ptLst>
  <dgm:cxnLst>
    <dgm:cxn modelId="{BD11320A-5902-4914-94CC-88DB4B66836E}" type="presOf" srcId="{1FDE829E-FCFA-4A33-AF4F-761AA682913A}" destId="{07224466-6B01-4B04-8925-0442FB0FAD91}" srcOrd="0" destOrd="0" presId="urn:microsoft.com/office/officeart/2005/8/layout/cycle2"/>
    <dgm:cxn modelId="{088C6E0C-1883-4711-A602-7E18CD38F994}" srcId="{5554A7A9-6BC7-4222-A52C-8FB0B267FA3A}" destId="{5FD37F4D-8C2D-43D3-87B8-B0EA3A838003}" srcOrd="3" destOrd="0" parTransId="{44CE1022-2363-43BA-9375-04418C4A2045}" sibTransId="{1FDE829E-FCFA-4A33-AF4F-761AA682913A}"/>
    <dgm:cxn modelId="{AF5ED519-E6A8-4153-990D-87AB44B05BB7}" type="presOf" srcId="{8F792DFF-1D36-48D0-8754-41909CAC0392}" destId="{B33372FE-14B4-4B38-B60E-2C936E641662}" srcOrd="0" destOrd="0" presId="urn:microsoft.com/office/officeart/2005/8/layout/cycle2"/>
    <dgm:cxn modelId="{07EC971B-7321-4B57-A48B-62D50476DABA}" srcId="{5554A7A9-6BC7-4222-A52C-8FB0B267FA3A}" destId="{AC927211-D3EF-4559-9FF4-8BACDD8FC863}" srcOrd="4" destOrd="0" parTransId="{63474CB2-4D73-44C5-901A-BAB1CEC35A5E}" sibTransId="{BD91E5BD-4EE4-40DF-920E-C463FB2CD585}"/>
    <dgm:cxn modelId="{549C3325-7A23-404D-8940-8B39F17D6BCB}" type="presOf" srcId="{9A964C5B-39C9-41CB-8965-8835570F757E}" destId="{232AA55A-2A87-4B3F-9824-20044E03EE02}" srcOrd="1" destOrd="0" presId="urn:microsoft.com/office/officeart/2005/8/layout/cycle2"/>
    <dgm:cxn modelId="{C8E28C27-2247-4DFF-8C77-B0EE2BB2403A}" type="presOf" srcId="{9A964C5B-39C9-41CB-8965-8835570F757E}" destId="{28DFC4D3-139D-4B22-8699-4A65D6884F66}" srcOrd="0" destOrd="0" presId="urn:microsoft.com/office/officeart/2005/8/layout/cycle2"/>
    <dgm:cxn modelId="{54035632-DD51-41F3-85F2-8704E8071E70}" type="presOf" srcId="{5554A7A9-6BC7-4222-A52C-8FB0B267FA3A}" destId="{BEF610C4-DEE1-4765-BF29-F6ABCDB2BAB6}" srcOrd="0" destOrd="0" presId="urn:microsoft.com/office/officeart/2005/8/layout/cycle2"/>
    <dgm:cxn modelId="{A83E053E-D4F9-4698-9BD8-65588D247422}" srcId="{5554A7A9-6BC7-4222-A52C-8FB0B267FA3A}" destId="{8F792DFF-1D36-48D0-8754-41909CAC0392}" srcOrd="0" destOrd="0" parTransId="{B27CCAAE-1E3B-4EFC-BF58-53045DB12573}" sibTransId="{9A964C5B-39C9-41CB-8965-8835570F757E}"/>
    <dgm:cxn modelId="{240B593E-D040-4B81-8A61-46C0EF4079B0}" type="presOf" srcId="{80F44C31-2302-4003-9768-4D98A11BC63F}" destId="{E0606769-6E9E-4F08-B5AD-57092EED96DA}" srcOrd="1" destOrd="0" presId="urn:microsoft.com/office/officeart/2005/8/layout/cycle2"/>
    <dgm:cxn modelId="{B385C06F-664A-4C6D-B67D-BAD428DF7420}" srcId="{5554A7A9-6BC7-4222-A52C-8FB0B267FA3A}" destId="{342C96B1-3368-4281-A944-B680F3FD477E}" srcOrd="1" destOrd="0" parTransId="{DAD0799A-BB0E-4FEF-821D-801D51A40343}" sibTransId="{80F44C31-2302-4003-9768-4D98A11BC63F}"/>
    <dgm:cxn modelId="{3B3DC37F-7D6A-46E7-9035-4E8FFCE900F8}" type="presOf" srcId="{5FD37F4D-8C2D-43D3-87B8-B0EA3A838003}" destId="{41C0A601-0264-4228-9B90-D108BD4DCB21}" srcOrd="0" destOrd="0" presId="urn:microsoft.com/office/officeart/2005/8/layout/cycle2"/>
    <dgm:cxn modelId="{FE18DE8A-A538-4F11-8055-A15310C73FD4}" type="presOf" srcId="{F586786D-293D-4EFD-95B4-E5D641178929}" destId="{2864CEDC-4BF9-4DF6-852B-2E4D50E07395}" srcOrd="0" destOrd="0" presId="urn:microsoft.com/office/officeart/2005/8/layout/cycle2"/>
    <dgm:cxn modelId="{4270648D-13C0-4024-B22C-40A04F9A586B}" type="presOf" srcId="{BD91E5BD-4EE4-40DF-920E-C463FB2CD585}" destId="{086F212F-DED0-43A3-A0F8-7AF0B05E8F70}" srcOrd="0" destOrd="0" presId="urn:microsoft.com/office/officeart/2005/8/layout/cycle2"/>
    <dgm:cxn modelId="{554D5D94-C32F-48C7-9FB1-25C826CE4191}" type="presOf" srcId="{4EDD6D15-DB29-4CB3-BF8E-E4DB7297B5C6}" destId="{7831564D-0D24-4D65-A91B-64562AE38A57}" srcOrd="1" destOrd="0" presId="urn:microsoft.com/office/officeart/2005/8/layout/cycle2"/>
    <dgm:cxn modelId="{E8BDC8C1-2EAF-4092-A824-8EF611D64E87}" srcId="{5554A7A9-6BC7-4222-A52C-8FB0B267FA3A}" destId="{F586786D-293D-4EFD-95B4-E5D641178929}" srcOrd="2" destOrd="0" parTransId="{8DB6E67F-82EB-4CEF-945C-83AA815CB508}" sibTransId="{4EDD6D15-DB29-4CB3-BF8E-E4DB7297B5C6}"/>
    <dgm:cxn modelId="{C1F4D7C7-2C6A-4FD2-B86D-EFA2A594E0A5}" type="presOf" srcId="{AC927211-D3EF-4559-9FF4-8BACDD8FC863}" destId="{D4AEE390-06EC-4572-956F-93BE976ED3EF}" srcOrd="0" destOrd="0" presId="urn:microsoft.com/office/officeart/2005/8/layout/cycle2"/>
    <dgm:cxn modelId="{EBDD00E3-2AD3-47D5-9F2C-D6992D5C03D0}" type="presOf" srcId="{BD91E5BD-4EE4-40DF-920E-C463FB2CD585}" destId="{64D5CC7C-395F-4ECC-9B31-593D79E14B39}" srcOrd="1" destOrd="0" presId="urn:microsoft.com/office/officeart/2005/8/layout/cycle2"/>
    <dgm:cxn modelId="{6571EAEB-B1A4-4250-81BC-B99898EBA723}" type="presOf" srcId="{342C96B1-3368-4281-A944-B680F3FD477E}" destId="{8EECB38E-C494-4A4A-9046-65FB256F2CE9}" srcOrd="0" destOrd="0" presId="urn:microsoft.com/office/officeart/2005/8/layout/cycle2"/>
    <dgm:cxn modelId="{FA2D21EF-0249-40EE-ABFB-83F64F80D9AC}" type="presOf" srcId="{1FDE829E-FCFA-4A33-AF4F-761AA682913A}" destId="{0C8B8B31-4539-478A-953B-B055A45D9964}" srcOrd="1" destOrd="0" presId="urn:microsoft.com/office/officeart/2005/8/layout/cycle2"/>
    <dgm:cxn modelId="{BF5613F9-E04A-4338-9F72-F7E906FEFEEC}" type="presOf" srcId="{4EDD6D15-DB29-4CB3-BF8E-E4DB7297B5C6}" destId="{34E88813-9274-426C-BB45-28EEE7E938A1}" srcOrd="0" destOrd="0" presId="urn:microsoft.com/office/officeart/2005/8/layout/cycle2"/>
    <dgm:cxn modelId="{634CB9F9-DB05-453C-BE83-7136DDD0F037}" type="presOf" srcId="{80F44C31-2302-4003-9768-4D98A11BC63F}" destId="{5EBFB653-4BCE-4650-9D84-5D3616D2556F}" srcOrd="0" destOrd="0" presId="urn:microsoft.com/office/officeart/2005/8/layout/cycle2"/>
    <dgm:cxn modelId="{3BC86E13-9C87-4601-8CFB-EFAF2FE5FD9D}" type="presParOf" srcId="{BEF610C4-DEE1-4765-BF29-F6ABCDB2BAB6}" destId="{B33372FE-14B4-4B38-B60E-2C936E641662}" srcOrd="0" destOrd="0" presId="urn:microsoft.com/office/officeart/2005/8/layout/cycle2"/>
    <dgm:cxn modelId="{3203A584-BE4E-4DDE-ACAB-42E3874B026D}" type="presParOf" srcId="{BEF610C4-DEE1-4765-BF29-F6ABCDB2BAB6}" destId="{28DFC4D3-139D-4B22-8699-4A65D6884F66}" srcOrd="1" destOrd="0" presId="urn:microsoft.com/office/officeart/2005/8/layout/cycle2"/>
    <dgm:cxn modelId="{2D963DA1-5B0C-45D7-A86C-D5F6B4215566}" type="presParOf" srcId="{28DFC4D3-139D-4B22-8699-4A65D6884F66}" destId="{232AA55A-2A87-4B3F-9824-20044E03EE02}" srcOrd="0" destOrd="0" presId="urn:microsoft.com/office/officeart/2005/8/layout/cycle2"/>
    <dgm:cxn modelId="{D1CE22C8-491D-4B0A-9BD4-D8B8FAD7D093}" type="presParOf" srcId="{BEF610C4-DEE1-4765-BF29-F6ABCDB2BAB6}" destId="{8EECB38E-C494-4A4A-9046-65FB256F2CE9}" srcOrd="2" destOrd="0" presId="urn:microsoft.com/office/officeart/2005/8/layout/cycle2"/>
    <dgm:cxn modelId="{C07E5A2E-BA2D-4DFF-8E10-BEDD5D2696C1}" type="presParOf" srcId="{BEF610C4-DEE1-4765-BF29-F6ABCDB2BAB6}" destId="{5EBFB653-4BCE-4650-9D84-5D3616D2556F}" srcOrd="3" destOrd="0" presId="urn:microsoft.com/office/officeart/2005/8/layout/cycle2"/>
    <dgm:cxn modelId="{2D4A5B3A-E057-4EFE-8F67-E106D8BCC2A2}" type="presParOf" srcId="{5EBFB653-4BCE-4650-9D84-5D3616D2556F}" destId="{E0606769-6E9E-4F08-B5AD-57092EED96DA}" srcOrd="0" destOrd="0" presId="urn:microsoft.com/office/officeart/2005/8/layout/cycle2"/>
    <dgm:cxn modelId="{ACCF140E-8AF1-416D-82A7-2FC163638199}" type="presParOf" srcId="{BEF610C4-DEE1-4765-BF29-F6ABCDB2BAB6}" destId="{2864CEDC-4BF9-4DF6-852B-2E4D50E07395}" srcOrd="4" destOrd="0" presId="urn:microsoft.com/office/officeart/2005/8/layout/cycle2"/>
    <dgm:cxn modelId="{44E3D3BC-F50F-449F-9106-CA168912EB43}" type="presParOf" srcId="{BEF610C4-DEE1-4765-BF29-F6ABCDB2BAB6}" destId="{34E88813-9274-426C-BB45-28EEE7E938A1}" srcOrd="5" destOrd="0" presId="urn:microsoft.com/office/officeart/2005/8/layout/cycle2"/>
    <dgm:cxn modelId="{E036D635-7B08-4893-B913-D8274779EF6A}" type="presParOf" srcId="{34E88813-9274-426C-BB45-28EEE7E938A1}" destId="{7831564D-0D24-4D65-A91B-64562AE38A57}" srcOrd="0" destOrd="0" presId="urn:microsoft.com/office/officeart/2005/8/layout/cycle2"/>
    <dgm:cxn modelId="{6CA04B0C-6C59-455A-9B9D-77E052BA2B1D}" type="presParOf" srcId="{BEF610C4-DEE1-4765-BF29-F6ABCDB2BAB6}" destId="{41C0A601-0264-4228-9B90-D108BD4DCB21}" srcOrd="6" destOrd="0" presId="urn:microsoft.com/office/officeart/2005/8/layout/cycle2"/>
    <dgm:cxn modelId="{C0EBDA87-C8BE-414F-9991-EC5C578B2009}" type="presParOf" srcId="{BEF610C4-DEE1-4765-BF29-F6ABCDB2BAB6}" destId="{07224466-6B01-4B04-8925-0442FB0FAD91}" srcOrd="7" destOrd="0" presId="urn:microsoft.com/office/officeart/2005/8/layout/cycle2"/>
    <dgm:cxn modelId="{24BCB7A5-A61F-41EE-B24E-B63C99E44BE6}" type="presParOf" srcId="{07224466-6B01-4B04-8925-0442FB0FAD91}" destId="{0C8B8B31-4539-478A-953B-B055A45D9964}" srcOrd="0" destOrd="0" presId="urn:microsoft.com/office/officeart/2005/8/layout/cycle2"/>
    <dgm:cxn modelId="{296D7C92-7587-401C-AEEB-3E4EC2AC01AB}" type="presParOf" srcId="{BEF610C4-DEE1-4765-BF29-F6ABCDB2BAB6}" destId="{D4AEE390-06EC-4572-956F-93BE976ED3EF}" srcOrd="8" destOrd="0" presId="urn:microsoft.com/office/officeart/2005/8/layout/cycle2"/>
    <dgm:cxn modelId="{EA7FBBD7-543F-4D01-A53F-4033374BE067}" type="presParOf" srcId="{BEF610C4-DEE1-4765-BF29-F6ABCDB2BAB6}" destId="{086F212F-DED0-43A3-A0F8-7AF0B05E8F70}" srcOrd="9" destOrd="0" presId="urn:microsoft.com/office/officeart/2005/8/layout/cycle2"/>
    <dgm:cxn modelId="{45990C4D-C4DD-4EC9-8D4C-C56745A30EC8}" type="presParOf" srcId="{086F212F-DED0-43A3-A0F8-7AF0B05E8F70}" destId="{64D5CC7C-395F-4ECC-9B31-593D79E14B39}" srcOrd="0" destOrd="0" presId="urn:microsoft.com/office/officeart/2005/8/layout/cycle2"/>
  </dgm:cxnLst>
  <dgm:bg>
    <a:solidFill>
      <a:srgbClr val="F2E6C0">
        <a:alpha val="35000"/>
      </a:srgbClr>
    </a:solidFill>
    <a:effectLst>
      <a:softEdge rad="635000"/>
    </a:effect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560529-11FE-464E-8F54-78E53560F4A6}" type="doc">
      <dgm:prSet loTypeId="urn:microsoft.com/office/officeart/2005/8/layout/hChevron3" loCatId="process" qsTypeId="urn:microsoft.com/office/officeart/2005/8/quickstyle/simple1" qsCatId="simple" csTypeId="urn:microsoft.com/office/officeart/2005/8/colors/accent1_2" csCatId="accent1" phldr="1"/>
      <dgm:spPr/>
      <dgm:t>
        <a:bodyPr/>
        <a:lstStyle/>
        <a:p>
          <a:endParaRPr lang="bg-BG"/>
        </a:p>
      </dgm:t>
    </dgm:pt>
    <dgm:pt modelId="{2DAA92FA-5CC0-461C-B2D2-149E04F8C9BF}">
      <dgm:prSet phldrT="[Text]" custT="1"/>
      <dgm:spPr>
        <a:solidFill>
          <a:srgbClr val="F2ECDA"/>
        </a:solidFill>
        <a:ln>
          <a:solidFill>
            <a:srgbClr val="D6C28C"/>
          </a:solidFill>
        </a:ln>
      </dgm:spPr>
      <dgm:t>
        <a:bodyPr/>
        <a:lstStyle/>
        <a:p>
          <a:r>
            <a:rPr lang="en-GB" sz="1700">
              <a:solidFill>
                <a:schemeClr val="tx1">
                  <a:lumMod val="95000"/>
                  <a:lumOff val="5000"/>
                </a:schemeClr>
              </a:solidFill>
              <a:latin typeface="Arial" panose="020B0604020202020204" pitchFamily="34" charset="0"/>
              <a:cs typeface="Arial" panose="020B0604020202020204" pitchFamily="34" charset="0"/>
            </a:rPr>
            <a:t>Scientific</a:t>
          </a:r>
          <a:r>
            <a:rPr lang="en-GB" sz="1700">
              <a:latin typeface="Arial" panose="020B0604020202020204" pitchFamily="34" charset="0"/>
              <a:cs typeface="Arial" panose="020B0604020202020204" pitchFamily="34" charset="0"/>
            </a:rPr>
            <a:t> </a:t>
          </a:r>
          <a:r>
            <a:rPr lang="en-GB" sz="1700">
              <a:solidFill>
                <a:schemeClr val="tx1">
                  <a:lumMod val="85000"/>
                  <a:lumOff val="15000"/>
                </a:schemeClr>
              </a:solidFill>
              <a:latin typeface="Arial" panose="020B0604020202020204" pitchFamily="34" charset="0"/>
              <a:cs typeface="Arial" panose="020B0604020202020204" pitchFamily="34" charset="0"/>
            </a:rPr>
            <a:t>Proof →</a:t>
          </a:r>
          <a:endParaRPr lang="bg-BG" sz="1700">
            <a:solidFill>
              <a:schemeClr val="tx1">
                <a:lumMod val="85000"/>
                <a:lumOff val="15000"/>
              </a:schemeClr>
            </a:solidFill>
            <a:latin typeface="Arial" panose="020B0604020202020204" pitchFamily="34" charset="0"/>
            <a:cs typeface="Arial" panose="020B0604020202020204" pitchFamily="34" charset="0"/>
          </a:endParaRPr>
        </a:p>
      </dgm:t>
    </dgm:pt>
    <dgm:pt modelId="{1F9D95DD-AE39-4C14-9164-7BBD69A590C5}" type="parTrans" cxnId="{7BA1FF3C-8466-48D2-AAC9-B83A6AD90035}">
      <dgm:prSet/>
      <dgm:spPr/>
      <dgm:t>
        <a:bodyPr/>
        <a:lstStyle/>
        <a:p>
          <a:endParaRPr lang="bg-BG"/>
        </a:p>
      </dgm:t>
    </dgm:pt>
    <dgm:pt modelId="{DB45D178-E791-44EA-9B39-A50866A4224C}" type="sibTrans" cxnId="{7BA1FF3C-8466-48D2-AAC9-B83A6AD90035}">
      <dgm:prSet/>
      <dgm:spPr/>
      <dgm:t>
        <a:bodyPr/>
        <a:lstStyle/>
        <a:p>
          <a:endParaRPr lang="bg-BG"/>
        </a:p>
      </dgm:t>
    </dgm:pt>
    <dgm:pt modelId="{C18426FD-B2BD-4CC3-89A0-45F0C475E4A7}">
      <dgm:prSet phldrT="[Text]" custT="1"/>
      <dgm:spPr>
        <a:solidFill>
          <a:srgbClr val="F2ECDA"/>
        </a:solidFill>
        <a:ln>
          <a:solidFill>
            <a:srgbClr val="D6C28C"/>
          </a:solidFill>
        </a:ln>
      </dgm:spPr>
      <dgm:t>
        <a:bodyPr/>
        <a:lstStyle/>
        <a:p>
          <a:r>
            <a:rPr lang="en-GB" sz="1700">
              <a:solidFill>
                <a:schemeClr val="tx1">
                  <a:lumMod val="85000"/>
                  <a:lumOff val="15000"/>
                </a:schemeClr>
              </a:solidFill>
              <a:latin typeface="Arial" panose="020B0604020202020204" pitchFamily="34" charset="0"/>
              <a:cs typeface="Arial" panose="020B0604020202020204" pitchFamily="34" charset="0"/>
            </a:rPr>
            <a:t>Trust</a:t>
          </a:r>
          <a:r>
            <a:rPr lang="en-GB" sz="1700">
              <a:latin typeface="Arial" panose="020B0604020202020204" pitchFamily="34" charset="0"/>
              <a:cs typeface="Arial" panose="020B0604020202020204" pitchFamily="34" charset="0"/>
            </a:rPr>
            <a:t> </a:t>
          </a:r>
          <a:r>
            <a:rPr lang="en-GB" sz="1700">
              <a:solidFill>
                <a:schemeClr val="tx1">
                  <a:lumMod val="85000"/>
                  <a:lumOff val="15000"/>
                </a:schemeClr>
              </a:solidFill>
              <a:latin typeface="Arial" panose="020B0604020202020204" pitchFamily="34" charset="0"/>
              <a:cs typeface="Arial" panose="020B0604020202020204" pitchFamily="34" charset="0"/>
            </a:rPr>
            <a:t>→</a:t>
          </a:r>
          <a:r>
            <a:rPr lang="en-GB" sz="1700">
              <a:latin typeface="Arial" panose="020B0604020202020204" pitchFamily="34" charset="0"/>
              <a:cs typeface="Arial" panose="020B0604020202020204" pitchFamily="34" charset="0"/>
            </a:rPr>
            <a:t> </a:t>
          </a:r>
          <a:endParaRPr lang="bg-BG" sz="1700">
            <a:latin typeface="Arial" panose="020B0604020202020204" pitchFamily="34" charset="0"/>
            <a:cs typeface="Arial" panose="020B0604020202020204" pitchFamily="34" charset="0"/>
          </a:endParaRPr>
        </a:p>
      </dgm:t>
    </dgm:pt>
    <dgm:pt modelId="{EB2CF5A5-A05F-430C-A8AC-7A56434B803B}" type="parTrans" cxnId="{69E46B55-B098-44B3-A5AB-D90B93C4657C}">
      <dgm:prSet/>
      <dgm:spPr/>
      <dgm:t>
        <a:bodyPr/>
        <a:lstStyle/>
        <a:p>
          <a:endParaRPr lang="bg-BG"/>
        </a:p>
      </dgm:t>
    </dgm:pt>
    <dgm:pt modelId="{2EA64A3F-D97B-4447-AE3F-A1FE69659891}" type="sibTrans" cxnId="{69E46B55-B098-44B3-A5AB-D90B93C4657C}">
      <dgm:prSet/>
      <dgm:spPr/>
      <dgm:t>
        <a:bodyPr/>
        <a:lstStyle/>
        <a:p>
          <a:endParaRPr lang="bg-BG"/>
        </a:p>
      </dgm:t>
    </dgm:pt>
    <dgm:pt modelId="{3A522385-A48A-4C0B-AB72-2F1232DCDB96}">
      <dgm:prSet phldrT="[Text]" custT="1"/>
      <dgm:spPr>
        <a:solidFill>
          <a:srgbClr val="F2ECDA"/>
        </a:solidFill>
        <a:ln>
          <a:solidFill>
            <a:srgbClr val="D6C28C"/>
          </a:solidFill>
        </a:ln>
      </dgm:spPr>
      <dgm:t>
        <a:bodyPr/>
        <a:lstStyle/>
        <a:p>
          <a:r>
            <a:rPr lang="en-GB" sz="1700" b="1">
              <a:solidFill>
                <a:schemeClr val="tx1">
                  <a:lumMod val="85000"/>
                  <a:lumOff val="15000"/>
                </a:schemeClr>
              </a:solidFill>
              <a:latin typeface="Arial" panose="020B0604020202020204" pitchFamily="34" charset="0"/>
              <a:cs typeface="Arial" panose="020B0604020202020204" pitchFamily="34" charset="0"/>
            </a:rPr>
            <a:t>Purchase</a:t>
          </a:r>
          <a:endParaRPr lang="bg-BG" sz="1700" b="1">
            <a:solidFill>
              <a:schemeClr val="tx1">
                <a:lumMod val="85000"/>
                <a:lumOff val="15000"/>
              </a:schemeClr>
            </a:solidFill>
            <a:latin typeface="Arial" panose="020B0604020202020204" pitchFamily="34" charset="0"/>
            <a:cs typeface="Arial" panose="020B0604020202020204" pitchFamily="34" charset="0"/>
          </a:endParaRPr>
        </a:p>
      </dgm:t>
    </dgm:pt>
    <dgm:pt modelId="{D9613B10-8124-471D-8440-82C1B4A5F463}" type="parTrans" cxnId="{2C82F628-D02F-45E0-9C47-81E34CA16EAC}">
      <dgm:prSet/>
      <dgm:spPr/>
      <dgm:t>
        <a:bodyPr/>
        <a:lstStyle/>
        <a:p>
          <a:endParaRPr lang="bg-BG"/>
        </a:p>
      </dgm:t>
    </dgm:pt>
    <dgm:pt modelId="{990F9898-8F5F-49BC-B91A-16CF8E9D2FE2}" type="sibTrans" cxnId="{2C82F628-D02F-45E0-9C47-81E34CA16EAC}">
      <dgm:prSet/>
      <dgm:spPr/>
      <dgm:t>
        <a:bodyPr/>
        <a:lstStyle/>
        <a:p>
          <a:endParaRPr lang="bg-BG"/>
        </a:p>
      </dgm:t>
    </dgm:pt>
    <dgm:pt modelId="{6DA76D6B-D3A2-4722-89B0-E3B11DCF0488}" type="pres">
      <dgm:prSet presAssocID="{AE560529-11FE-464E-8F54-78E53560F4A6}" presName="Name0" presStyleCnt="0">
        <dgm:presLayoutVars>
          <dgm:dir/>
          <dgm:resizeHandles val="exact"/>
        </dgm:presLayoutVars>
      </dgm:prSet>
      <dgm:spPr/>
    </dgm:pt>
    <dgm:pt modelId="{02ECD32F-FB9E-4411-AEA8-4CDC0E59D54A}" type="pres">
      <dgm:prSet presAssocID="{2DAA92FA-5CC0-461C-B2D2-149E04F8C9BF}" presName="parTxOnly" presStyleLbl="node1" presStyleIdx="0" presStyleCnt="3">
        <dgm:presLayoutVars>
          <dgm:bulletEnabled val="1"/>
        </dgm:presLayoutVars>
      </dgm:prSet>
      <dgm:spPr/>
    </dgm:pt>
    <dgm:pt modelId="{0600414D-EC40-4CB4-87F9-09E3628BAA36}" type="pres">
      <dgm:prSet presAssocID="{DB45D178-E791-44EA-9B39-A50866A4224C}" presName="parSpace" presStyleCnt="0"/>
      <dgm:spPr/>
    </dgm:pt>
    <dgm:pt modelId="{A65DF1A2-519D-44A5-9DEB-E45E4A12CCF2}" type="pres">
      <dgm:prSet presAssocID="{C18426FD-B2BD-4CC3-89A0-45F0C475E4A7}" presName="parTxOnly" presStyleLbl="node1" presStyleIdx="1" presStyleCnt="3">
        <dgm:presLayoutVars>
          <dgm:bulletEnabled val="1"/>
        </dgm:presLayoutVars>
      </dgm:prSet>
      <dgm:spPr/>
    </dgm:pt>
    <dgm:pt modelId="{ECDAA786-7518-4DA6-959B-89D77E9F69C3}" type="pres">
      <dgm:prSet presAssocID="{2EA64A3F-D97B-4447-AE3F-A1FE69659891}" presName="parSpace" presStyleCnt="0"/>
      <dgm:spPr/>
    </dgm:pt>
    <dgm:pt modelId="{AB6AB551-5D4E-4511-A83E-C91EDE022B3F}" type="pres">
      <dgm:prSet presAssocID="{3A522385-A48A-4C0B-AB72-2F1232DCDB96}" presName="parTxOnly" presStyleLbl="node1" presStyleIdx="2" presStyleCnt="3">
        <dgm:presLayoutVars>
          <dgm:bulletEnabled val="1"/>
        </dgm:presLayoutVars>
      </dgm:prSet>
      <dgm:spPr/>
    </dgm:pt>
  </dgm:ptLst>
  <dgm:cxnLst>
    <dgm:cxn modelId="{2C82F628-D02F-45E0-9C47-81E34CA16EAC}" srcId="{AE560529-11FE-464E-8F54-78E53560F4A6}" destId="{3A522385-A48A-4C0B-AB72-2F1232DCDB96}" srcOrd="2" destOrd="0" parTransId="{D9613B10-8124-471D-8440-82C1B4A5F463}" sibTransId="{990F9898-8F5F-49BC-B91A-16CF8E9D2FE2}"/>
    <dgm:cxn modelId="{7BA1FF3C-8466-48D2-AAC9-B83A6AD90035}" srcId="{AE560529-11FE-464E-8F54-78E53560F4A6}" destId="{2DAA92FA-5CC0-461C-B2D2-149E04F8C9BF}" srcOrd="0" destOrd="0" parTransId="{1F9D95DD-AE39-4C14-9164-7BBD69A590C5}" sibTransId="{DB45D178-E791-44EA-9B39-A50866A4224C}"/>
    <dgm:cxn modelId="{F4770542-FDD5-4BFF-AC0D-A6DC48388765}" type="presOf" srcId="{3A522385-A48A-4C0B-AB72-2F1232DCDB96}" destId="{AB6AB551-5D4E-4511-A83E-C91EDE022B3F}" srcOrd="0" destOrd="0" presId="urn:microsoft.com/office/officeart/2005/8/layout/hChevron3"/>
    <dgm:cxn modelId="{69E46B55-B098-44B3-A5AB-D90B93C4657C}" srcId="{AE560529-11FE-464E-8F54-78E53560F4A6}" destId="{C18426FD-B2BD-4CC3-89A0-45F0C475E4A7}" srcOrd="1" destOrd="0" parTransId="{EB2CF5A5-A05F-430C-A8AC-7A56434B803B}" sibTransId="{2EA64A3F-D97B-4447-AE3F-A1FE69659891}"/>
    <dgm:cxn modelId="{F23A1B9C-636B-4798-B2A8-D3557881D2D4}" type="presOf" srcId="{C18426FD-B2BD-4CC3-89A0-45F0C475E4A7}" destId="{A65DF1A2-519D-44A5-9DEB-E45E4A12CCF2}" srcOrd="0" destOrd="0" presId="urn:microsoft.com/office/officeart/2005/8/layout/hChevron3"/>
    <dgm:cxn modelId="{F317F0AD-C9EA-44C3-91DF-27D3F3DA1401}" type="presOf" srcId="{AE560529-11FE-464E-8F54-78E53560F4A6}" destId="{6DA76D6B-D3A2-4722-89B0-E3B11DCF0488}" srcOrd="0" destOrd="0" presId="urn:microsoft.com/office/officeart/2005/8/layout/hChevron3"/>
    <dgm:cxn modelId="{E3B3F4B6-7D93-4AF8-B4B4-AFE9E9B3BD53}" type="presOf" srcId="{2DAA92FA-5CC0-461C-B2D2-149E04F8C9BF}" destId="{02ECD32F-FB9E-4411-AEA8-4CDC0E59D54A}" srcOrd="0" destOrd="0" presId="urn:microsoft.com/office/officeart/2005/8/layout/hChevron3"/>
    <dgm:cxn modelId="{3CEEB221-17D6-4DC6-A3BA-751BDE589DD9}" type="presParOf" srcId="{6DA76D6B-D3A2-4722-89B0-E3B11DCF0488}" destId="{02ECD32F-FB9E-4411-AEA8-4CDC0E59D54A}" srcOrd="0" destOrd="0" presId="urn:microsoft.com/office/officeart/2005/8/layout/hChevron3"/>
    <dgm:cxn modelId="{EF30DB5C-3312-4D0D-9530-58F13F564A8F}" type="presParOf" srcId="{6DA76D6B-D3A2-4722-89B0-E3B11DCF0488}" destId="{0600414D-EC40-4CB4-87F9-09E3628BAA36}" srcOrd="1" destOrd="0" presId="urn:microsoft.com/office/officeart/2005/8/layout/hChevron3"/>
    <dgm:cxn modelId="{45FD1868-4B88-430D-89F9-E54DF331CB36}" type="presParOf" srcId="{6DA76D6B-D3A2-4722-89B0-E3B11DCF0488}" destId="{A65DF1A2-519D-44A5-9DEB-E45E4A12CCF2}" srcOrd="2" destOrd="0" presId="urn:microsoft.com/office/officeart/2005/8/layout/hChevron3"/>
    <dgm:cxn modelId="{5613DD7C-F828-4B6E-AD6B-3ECEDBE22FF8}" type="presParOf" srcId="{6DA76D6B-D3A2-4722-89B0-E3B11DCF0488}" destId="{ECDAA786-7518-4DA6-959B-89D77E9F69C3}" srcOrd="3" destOrd="0" presId="urn:microsoft.com/office/officeart/2005/8/layout/hChevron3"/>
    <dgm:cxn modelId="{AB31CA40-46C9-400B-AA71-13ACD348FFA6}" type="presParOf" srcId="{6DA76D6B-D3A2-4722-89B0-E3B11DCF0488}" destId="{AB6AB551-5D4E-4511-A83E-C91EDE022B3F}" srcOrd="4" destOrd="0" presId="urn:microsoft.com/office/officeart/2005/8/layout/hChevron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E560529-11FE-464E-8F54-78E53560F4A6}" type="doc">
      <dgm:prSet loTypeId="urn:microsoft.com/office/officeart/2005/8/layout/hChevron3" loCatId="process" qsTypeId="urn:microsoft.com/office/officeart/2005/8/quickstyle/simple1" qsCatId="simple" csTypeId="urn:microsoft.com/office/officeart/2005/8/colors/accent1_2" csCatId="accent1" phldr="1"/>
      <dgm:spPr/>
      <dgm:t>
        <a:bodyPr/>
        <a:lstStyle/>
        <a:p>
          <a:endParaRPr lang="bg-BG"/>
        </a:p>
      </dgm:t>
    </dgm:pt>
    <dgm:pt modelId="{2DAA92FA-5CC0-461C-B2D2-149E04F8C9BF}">
      <dgm:prSet phldrT="[Text]" custT="1"/>
      <dgm:spPr>
        <a:solidFill>
          <a:srgbClr val="F2ECDA"/>
        </a:solidFill>
        <a:ln>
          <a:solidFill>
            <a:srgbClr val="D6C28C"/>
          </a:solidFill>
        </a:ln>
      </dgm:spPr>
      <dgm:t>
        <a:bodyPr/>
        <a:lstStyle/>
        <a:p>
          <a:r>
            <a:rPr lang="en-GB" sz="1700">
              <a:solidFill>
                <a:schemeClr val="tx1">
                  <a:lumMod val="95000"/>
                  <a:lumOff val="5000"/>
                </a:schemeClr>
              </a:solidFill>
              <a:latin typeface="Arial" panose="020B0604020202020204" pitchFamily="34" charset="0"/>
              <a:cs typeface="Arial" panose="020B0604020202020204" pitchFamily="34" charset="0"/>
            </a:rPr>
            <a:t>Authority Signal + Social Proof → </a:t>
          </a:r>
          <a:endParaRPr lang="bg-BG" sz="1700">
            <a:solidFill>
              <a:schemeClr val="tx1">
                <a:lumMod val="85000"/>
                <a:lumOff val="15000"/>
              </a:schemeClr>
            </a:solidFill>
            <a:latin typeface="Arial" panose="020B0604020202020204" pitchFamily="34" charset="0"/>
            <a:cs typeface="Arial" panose="020B0604020202020204" pitchFamily="34" charset="0"/>
          </a:endParaRPr>
        </a:p>
      </dgm:t>
    </dgm:pt>
    <dgm:pt modelId="{1F9D95DD-AE39-4C14-9164-7BBD69A590C5}" type="parTrans" cxnId="{7BA1FF3C-8466-48D2-AAC9-B83A6AD90035}">
      <dgm:prSet/>
      <dgm:spPr/>
      <dgm:t>
        <a:bodyPr/>
        <a:lstStyle/>
        <a:p>
          <a:endParaRPr lang="bg-BG"/>
        </a:p>
      </dgm:t>
    </dgm:pt>
    <dgm:pt modelId="{DB45D178-E791-44EA-9B39-A50866A4224C}" type="sibTrans" cxnId="{7BA1FF3C-8466-48D2-AAC9-B83A6AD90035}">
      <dgm:prSet/>
      <dgm:spPr/>
      <dgm:t>
        <a:bodyPr/>
        <a:lstStyle/>
        <a:p>
          <a:endParaRPr lang="bg-BG"/>
        </a:p>
      </dgm:t>
    </dgm:pt>
    <dgm:pt modelId="{C18426FD-B2BD-4CC3-89A0-45F0C475E4A7}">
      <dgm:prSet phldrT="[Text]" custT="1"/>
      <dgm:spPr>
        <a:solidFill>
          <a:srgbClr val="F2ECDA"/>
        </a:solidFill>
        <a:ln>
          <a:solidFill>
            <a:srgbClr val="D6C28C"/>
          </a:solidFill>
        </a:ln>
      </dgm:spPr>
      <dgm:t>
        <a:bodyPr/>
        <a:lstStyle/>
        <a:p>
          <a:r>
            <a:rPr lang="en-GB" sz="1700">
              <a:solidFill>
                <a:schemeClr val="tx1">
                  <a:lumMod val="85000"/>
                  <a:lumOff val="15000"/>
                </a:schemeClr>
              </a:solidFill>
              <a:latin typeface="Arial" panose="020B0604020202020204" pitchFamily="34" charset="0"/>
              <a:cs typeface="Arial" panose="020B0604020202020204" pitchFamily="34" charset="0"/>
            </a:rPr>
            <a:t>Legitimacy →</a:t>
          </a:r>
          <a:endParaRPr lang="bg-BG" sz="1700">
            <a:latin typeface="Arial" panose="020B0604020202020204" pitchFamily="34" charset="0"/>
            <a:cs typeface="Arial" panose="020B0604020202020204" pitchFamily="34" charset="0"/>
          </a:endParaRPr>
        </a:p>
      </dgm:t>
    </dgm:pt>
    <dgm:pt modelId="{EB2CF5A5-A05F-430C-A8AC-7A56434B803B}" type="parTrans" cxnId="{69E46B55-B098-44B3-A5AB-D90B93C4657C}">
      <dgm:prSet/>
      <dgm:spPr/>
      <dgm:t>
        <a:bodyPr/>
        <a:lstStyle/>
        <a:p>
          <a:endParaRPr lang="bg-BG"/>
        </a:p>
      </dgm:t>
    </dgm:pt>
    <dgm:pt modelId="{2EA64A3F-D97B-4447-AE3F-A1FE69659891}" type="sibTrans" cxnId="{69E46B55-B098-44B3-A5AB-D90B93C4657C}">
      <dgm:prSet/>
      <dgm:spPr/>
      <dgm:t>
        <a:bodyPr/>
        <a:lstStyle/>
        <a:p>
          <a:endParaRPr lang="bg-BG"/>
        </a:p>
      </dgm:t>
    </dgm:pt>
    <dgm:pt modelId="{3A522385-A48A-4C0B-AB72-2F1232DCDB96}">
      <dgm:prSet phldrT="[Text]" custT="1"/>
      <dgm:spPr>
        <a:solidFill>
          <a:srgbClr val="F2ECDA"/>
        </a:solidFill>
        <a:ln>
          <a:solidFill>
            <a:srgbClr val="D6C28C"/>
          </a:solidFill>
        </a:ln>
      </dgm:spPr>
      <dgm:t>
        <a:bodyPr/>
        <a:lstStyle/>
        <a:p>
          <a:r>
            <a:rPr lang="en-GB" sz="1700" b="1">
              <a:solidFill>
                <a:schemeClr val="tx1">
                  <a:lumMod val="85000"/>
                  <a:lumOff val="15000"/>
                </a:schemeClr>
              </a:solidFill>
              <a:latin typeface="Arial" panose="020B0604020202020204" pitchFamily="34" charset="0"/>
              <a:cs typeface="Arial" panose="020B0604020202020204" pitchFamily="34" charset="0"/>
            </a:rPr>
            <a:t>Purchase</a:t>
          </a:r>
          <a:endParaRPr lang="bg-BG" sz="1700" b="1">
            <a:solidFill>
              <a:schemeClr val="tx1">
                <a:lumMod val="85000"/>
                <a:lumOff val="15000"/>
              </a:schemeClr>
            </a:solidFill>
            <a:latin typeface="Arial" panose="020B0604020202020204" pitchFamily="34" charset="0"/>
            <a:cs typeface="Arial" panose="020B0604020202020204" pitchFamily="34" charset="0"/>
          </a:endParaRPr>
        </a:p>
      </dgm:t>
    </dgm:pt>
    <dgm:pt modelId="{D9613B10-8124-471D-8440-82C1B4A5F463}" type="parTrans" cxnId="{2C82F628-D02F-45E0-9C47-81E34CA16EAC}">
      <dgm:prSet/>
      <dgm:spPr/>
      <dgm:t>
        <a:bodyPr/>
        <a:lstStyle/>
        <a:p>
          <a:endParaRPr lang="bg-BG"/>
        </a:p>
      </dgm:t>
    </dgm:pt>
    <dgm:pt modelId="{990F9898-8F5F-49BC-B91A-16CF8E9D2FE2}" type="sibTrans" cxnId="{2C82F628-D02F-45E0-9C47-81E34CA16EAC}">
      <dgm:prSet/>
      <dgm:spPr/>
      <dgm:t>
        <a:bodyPr/>
        <a:lstStyle/>
        <a:p>
          <a:endParaRPr lang="bg-BG"/>
        </a:p>
      </dgm:t>
    </dgm:pt>
    <dgm:pt modelId="{6DA76D6B-D3A2-4722-89B0-E3B11DCF0488}" type="pres">
      <dgm:prSet presAssocID="{AE560529-11FE-464E-8F54-78E53560F4A6}" presName="Name0" presStyleCnt="0">
        <dgm:presLayoutVars>
          <dgm:dir/>
          <dgm:resizeHandles val="exact"/>
        </dgm:presLayoutVars>
      </dgm:prSet>
      <dgm:spPr/>
    </dgm:pt>
    <dgm:pt modelId="{02ECD32F-FB9E-4411-AEA8-4CDC0E59D54A}" type="pres">
      <dgm:prSet presAssocID="{2DAA92FA-5CC0-461C-B2D2-149E04F8C9BF}" presName="parTxOnly" presStyleLbl="node1" presStyleIdx="0" presStyleCnt="3">
        <dgm:presLayoutVars>
          <dgm:bulletEnabled val="1"/>
        </dgm:presLayoutVars>
      </dgm:prSet>
      <dgm:spPr/>
    </dgm:pt>
    <dgm:pt modelId="{0600414D-EC40-4CB4-87F9-09E3628BAA36}" type="pres">
      <dgm:prSet presAssocID="{DB45D178-E791-44EA-9B39-A50866A4224C}" presName="parSpace" presStyleCnt="0"/>
      <dgm:spPr/>
    </dgm:pt>
    <dgm:pt modelId="{A65DF1A2-519D-44A5-9DEB-E45E4A12CCF2}" type="pres">
      <dgm:prSet presAssocID="{C18426FD-B2BD-4CC3-89A0-45F0C475E4A7}" presName="parTxOnly" presStyleLbl="node1" presStyleIdx="1" presStyleCnt="3">
        <dgm:presLayoutVars>
          <dgm:bulletEnabled val="1"/>
        </dgm:presLayoutVars>
      </dgm:prSet>
      <dgm:spPr/>
    </dgm:pt>
    <dgm:pt modelId="{ECDAA786-7518-4DA6-959B-89D77E9F69C3}" type="pres">
      <dgm:prSet presAssocID="{2EA64A3F-D97B-4447-AE3F-A1FE69659891}" presName="parSpace" presStyleCnt="0"/>
      <dgm:spPr/>
    </dgm:pt>
    <dgm:pt modelId="{AB6AB551-5D4E-4511-A83E-C91EDE022B3F}" type="pres">
      <dgm:prSet presAssocID="{3A522385-A48A-4C0B-AB72-2F1232DCDB96}" presName="parTxOnly" presStyleLbl="node1" presStyleIdx="2" presStyleCnt="3">
        <dgm:presLayoutVars>
          <dgm:bulletEnabled val="1"/>
        </dgm:presLayoutVars>
      </dgm:prSet>
      <dgm:spPr/>
    </dgm:pt>
  </dgm:ptLst>
  <dgm:cxnLst>
    <dgm:cxn modelId="{2C82F628-D02F-45E0-9C47-81E34CA16EAC}" srcId="{AE560529-11FE-464E-8F54-78E53560F4A6}" destId="{3A522385-A48A-4C0B-AB72-2F1232DCDB96}" srcOrd="2" destOrd="0" parTransId="{D9613B10-8124-471D-8440-82C1B4A5F463}" sibTransId="{990F9898-8F5F-49BC-B91A-16CF8E9D2FE2}"/>
    <dgm:cxn modelId="{7BA1FF3C-8466-48D2-AAC9-B83A6AD90035}" srcId="{AE560529-11FE-464E-8F54-78E53560F4A6}" destId="{2DAA92FA-5CC0-461C-B2D2-149E04F8C9BF}" srcOrd="0" destOrd="0" parTransId="{1F9D95DD-AE39-4C14-9164-7BBD69A590C5}" sibTransId="{DB45D178-E791-44EA-9B39-A50866A4224C}"/>
    <dgm:cxn modelId="{F4770542-FDD5-4BFF-AC0D-A6DC48388765}" type="presOf" srcId="{3A522385-A48A-4C0B-AB72-2F1232DCDB96}" destId="{AB6AB551-5D4E-4511-A83E-C91EDE022B3F}" srcOrd="0" destOrd="0" presId="urn:microsoft.com/office/officeart/2005/8/layout/hChevron3"/>
    <dgm:cxn modelId="{69E46B55-B098-44B3-A5AB-D90B93C4657C}" srcId="{AE560529-11FE-464E-8F54-78E53560F4A6}" destId="{C18426FD-B2BD-4CC3-89A0-45F0C475E4A7}" srcOrd="1" destOrd="0" parTransId="{EB2CF5A5-A05F-430C-A8AC-7A56434B803B}" sibTransId="{2EA64A3F-D97B-4447-AE3F-A1FE69659891}"/>
    <dgm:cxn modelId="{F23A1B9C-636B-4798-B2A8-D3557881D2D4}" type="presOf" srcId="{C18426FD-B2BD-4CC3-89A0-45F0C475E4A7}" destId="{A65DF1A2-519D-44A5-9DEB-E45E4A12CCF2}" srcOrd="0" destOrd="0" presId="urn:microsoft.com/office/officeart/2005/8/layout/hChevron3"/>
    <dgm:cxn modelId="{F317F0AD-C9EA-44C3-91DF-27D3F3DA1401}" type="presOf" srcId="{AE560529-11FE-464E-8F54-78E53560F4A6}" destId="{6DA76D6B-D3A2-4722-89B0-E3B11DCF0488}" srcOrd="0" destOrd="0" presId="urn:microsoft.com/office/officeart/2005/8/layout/hChevron3"/>
    <dgm:cxn modelId="{E3B3F4B6-7D93-4AF8-B4B4-AFE9E9B3BD53}" type="presOf" srcId="{2DAA92FA-5CC0-461C-B2D2-149E04F8C9BF}" destId="{02ECD32F-FB9E-4411-AEA8-4CDC0E59D54A}" srcOrd="0" destOrd="0" presId="urn:microsoft.com/office/officeart/2005/8/layout/hChevron3"/>
    <dgm:cxn modelId="{3CEEB221-17D6-4DC6-A3BA-751BDE589DD9}" type="presParOf" srcId="{6DA76D6B-D3A2-4722-89B0-E3B11DCF0488}" destId="{02ECD32F-FB9E-4411-AEA8-4CDC0E59D54A}" srcOrd="0" destOrd="0" presId="urn:microsoft.com/office/officeart/2005/8/layout/hChevron3"/>
    <dgm:cxn modelId="{EF30DB5C-3312-4D0D-9530-58F13F564A8F}" type="presParOf" srcId="{6DA76D6B-D3A2-4722-89B0-E3B11DCF0488}" destId="{0600414D-EC40-4CB4-87F9-09E3628BAA36}" srcOrd="1" destOrd="0" presId="urn:microsoft.com/office/officeart/2005/8/layout/hChevron3"/>
    <dgm:cxn modelId="{45FD1868-4B88-430D-89F9-E54DF331CB36}" type="presParOf" srcId="{6DA76D6B-D3A2-4722-89B0-E3B11DCF0488}" destId="{A65DF1A2-519D-44A5-9DEB-E45E4A12CCF2}" srcOrd="2" destOrd="0" presId="urn:microsoft.com/office/officeart/2005/8/layout/hChevron3"/>
    <dgm:cxn modelId="{5613DD7C-F828-4B6E-AD6B-3ECEDBE22FF8}" type="presParOf" srcId="{6DA76D6B-D3A2-4722-89B0-E3B11DCF0488}" destId="{ECDAA786-7518-4DA6-959B-89D77E9F69C3}" srcOrd="3" destOrd="0" presId="urn:microsoft.com/office/officeart/2005/8/layout/hChevron3"/>
    <dgm:cxn modelId="{AB31CA40-46C9-400B-AA71-13ACD348FFA6}" type="presParOf" srcId="{6DA76D6B-D3A2-4722-89B0-E3B11DCF0488}" destId="{AB6AB551-5D4E-4511-A83E-C91EDE022B3F}" srcOrd="4" destOrd="0" presId="urn:microsoft.com/office/officeart/2005/8/layout/hChevron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3372FE-14B4-4B38-B60E-2C936E641662}">
      <dsp:nvSpPr>
        <dsp:cNvPr id="0" name=""/>
        <dsp:cNvSpPr/>
      </dsp:nvSpPr>
      <dsp:spPr>
        <a:xfrm>
          <a:off x="2232190" y="869"/>
          <a:ext cx="1158652" cy="1158652"/>
        </a:xfrm>
        <a:prstGeom prst="ellipse">
          <a:avLst/>
        </a:prstGeom>
        <a:solidFill>
          <a:srgbClr val="D4AF37"/>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baseline="0">
              <a:solidFill>
                <a:schemeClr val="tx1">
                  <a:lumMod val="85000"/>
                  <a:lumOff val="15000"/>
                </a:schemeClr>
              </a:solidFill>
              <a:latin typeface="Arial" panose="020B0604020202020204" pitchFamily="34" charset="0"/>
            </a:rPr>
            <a:t>Global R&amp;D</a:t>
          </a:r>
          <a:r>
            <a:rPr lang="en-GB" sz="800" kern="1200">
              <a:solidFill>
                <a:schemeClr val="tx1">
                  <a:lumMod val="85000"/>
                  <a:lumOff val="15000"/>
                </a:schemeClr>
              </a:solidFill>
            </a:rPr>
            <a:t> </a:t>
          </a:r>
        </a:p>
        <a:p>
          <a:pPr marL="0" lvl="0" indent="0" algn="ctr" defTabSz="488950">
            <a:lnSpc>
              <a:spcPct val="90000"/>
            </a:lnSpc>
            <a:spcBef>
              <a:spcPct val="0"/>
            </a:spcBef>
            <a:spcAft>
              <a:spcPct val="35000"/>
            </a:spcAft>
            <a:buNone/>
          </a:pPr>
          <a:endParaRPr lang="en-GB" sz="800" i="1" kern="1200">
            <a:solidFill>
              <a:schemeClr val="tx1">
                <a:lumMod val="85000"/>
                <a:lumOff val="15000"/>
              </a:schemeClr>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800" i="1" kern="1200">
              <a:solidFill>
                <a:schemeClr val="tx1">
                  <a:lumMod val="85000"/>
                  <a:lumOff val="15000"/>
                </a:schemeClr>
              </a:solidFill>
              <a:latin typeface="Arial" panose="020B0604020202020204" pitchFamily="34" charset="0"/>
              <a:cs typeface="Arial" panose="020B0604020202020204" pitchFamily="34" charset="0"/>
            </a:rPr>
            <a:t>FR, US, JP, CN, IN</a:t>
          </a:r>
          <a:endParaRPr lang="bg-BG" sz="800" i="1" kern="1200">
            <a:solidFill>
              <a:schemeClr val="tx1">
                <a:lumMod val="85000"/>
                <a:lumOff val="15000"/>
              </a:schemeClr>
            </a:solidFill>
            <a:latin typeface="Arial" panose="020B0604020202020204" pitchFamily="34" charset="0"/>
            <a:cs typeface="Arial" panose="020B0604020202020204" pitchFamily="34" charset="0"/>
          </a:endParaRPr>
        </a:p>
      </dsp:txBody>
      <dsp:txXfrm>
        <a:off x="2401871" y="170550"/>
        <a:ext cx="819290" cy="819290"/>
      </dsp:txXfrm>
    </dsp:sp>
    <dsp:sp modelId="{28DFC4D3-139D-4B22-8699-4A65D6884F66}">
      <dsp:nvSpPr>
        <dsp:cNvPr id="0" name=""/>
        <dsp:cNvSpPr/>
      </dsp:nvSpPr>
      <dsp:spPr>
        <a:xfrm rot="2160000">
          <a:off x="3354435" y="891335"/>
          <a:ext cx="308886" cy="39104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bg-BG" sz="1600" kern="1200"/>
        </a:p>
      </dsp:txBody>
      <dsp:txXfrm>
        <a:off x="3363284" y="942310"/>
        <a:ext cx="216220" cy="234627"/>
      </dsp:txXfrm>
    </dsp:sp>
    <dsp:sp modelId="{8EECB38E-C494-4A4A-9046-65FB256F2CE9}">
      <dsp:nvSpPr>
        <dsp:cNvPr id="0" name=""/>
        <dsp:cNvSpPr/>
      </dsp:nvSpPr>
      <dsp:spPr>
        <a:xfrm>
          <a:off x="3641059" y="1024472"/>
          <a:ext cx="1158652" cy="1158652"/>
        </a:xfrm>
        <a:prstGeom prst="ellipse">
          <a:avLst/>
        </a:prstGeom>
        <a:solidFill>
          <a:srgbClr val="D4AF37"/>
        </a:solidFill>
        <a:ln>
          <a:solidFill>
            <a:srgbClr val="F2E6C0"/>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85000"/>
                  <a:lumOff val="15000"/>
                </a:schemeClr>
              </a:solidFill>
              <a:latin typeface="Arial" panose="020B0604020202020204" pitchFamily="34" charset="0"/>
              <a:cs typeface="Arial" panose="020B0604020202020204" pitchFamily="34" charset="0"/>
            </a:rPr>
            <a:t>Global Sourcing </a:t>
          </a:r>
        </a:p>
        <a:p>
          <a:pPr marL="0" lvl="0" indent="0" algn="ctr" defTabSz="488950">
            <a:lnSpc>
              <a:spcPct val="90000"/>
            </a:lnSpc>
            <a:spcBef>
              <a:spcPct val="0"/>
            </a:spcBef>
            <a:spcAft>
              <a:spcPct val="35000"/>
            </a:spcAft>
            <a:buNone/>
          </a:pPr>
          <a:r>
            <a:rPr lang="en-GB" sz="800" b="0" i="1" kern="1200">
              <a:solidFill>
                <a:schemeClr val="tx1">
                  <a:lumMod val="85000"/>
                  <a:lumOff val="15000"/>
                </a:schemeClr>
              </a:solidFill>
              <a:latin typeface="Arial" panose="020B0604020202020204" pitchFamily="34" charset="0"/>
              <a:cs typeface="Arial" panose="020B0604020202020204" pitchFamily="34" charset="0"/>
            </a:rPr>
            <a:t>BR, IN, ID</a:t>
          </a:r>
          <a:endParaRPr lang="bg-BG" sz="800" b="0" i="1" kern="1200">
            <a:solidFill>
              <a:schemeClr val="tx1">
                <a:lumMod val="85000"/>
                <a:lumOff val="15000"/>
              </a:schemeClr>
            </a:solidFill>
            <a:latin typeface="Arial" panose="020B0604020202020204" pitchFamily="34" charset="0"/>
            <a:cs typeface="Arial" panose="020B0604020202020204" pitchFamily="34" charset="0"/>
          </a:endParaRPr>
        </a:p>
      </dsp:txBody>
      <dsp:txXfrm>
        <a:off x="3810740" y="1194153"/>
        <a:ext cx="819290" cy="819290"/>
      </dsp:txXfrm>
    </dsp:sp>
    <dsp:sp modelId="{5EBFB653-4BCE-4650-9D84-5D3616D2556F}">
      <dsp:nvSpPr>
        <dsp:cNvPr id="0" name=""/>
        <dsp:cNvSpPr/>
      </dsp:nvSpPr>
      <dsp:spPr>
        <a:xfrm rot="6480000">
          <a:off x="3799573" y="2228073"/>
          <a:ext cx="308886" cy="39104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bg-BG" sz="1600" kern="1200"/>
        </a:p>
      </dsp:txBody>
      <dsp:txXfrm rot="10800000">
        <a:off x="3860224" y="2262217"/>
        <a:ext cx="216220" cy="234627"/>
      </dsp:txXfrm>
    </dsp:sp>
    <dsp:sp modelId="{2864CEDC-4BF9-4DF6-852B-2E4D50E07395}">
      <dsp:nvSpPr>
        <dsp:cNvPr id="0" name=""/>
        <dsp:cNvSpPr/>
      </dsp:nvSpPr>
      <dsp:spPr>
        <a:xfrm>
          <a:off x="3102919" y="2680696"/>
          <a:ext cx="1158652" cy="1158652"/>
        </a:xfrm>
        <a:prstGeom prst="ellipse">
          <a:avLst/>
        </a:prstGeom>
        <a:solidFill>
          <a:srgbClr val="D4AF37"/>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85000"/>
                  <a:lumOff val="15000"/>
                </a:schemeClr>
              </a:solidFill>
              <a:latin typeface="Arial" panose="020B0604020202020204" pitchFamily="34" charset="0"/>
              <a:cs typeface="Arial" panose="020B0604020202020204" pitchFamily="34" charset="0"/>
            </a:rPr>
            <a:t>Global Manufacturing </a:t>
          </a:r>
        </a:p>
        <a:p>
          <a:pPr marL="0" lvl="0" indent="0" algn="ctr" defTabSz="488950">
            <a:lnSpc>
              <a:spcPct val="90000"/>
            </a:lnSpc>
            <a:spcBef>
              <a:spcPct val="0"/>
            </a:spcBef>
            <a:spcAft>
              <a:spcPct val="35000"/>
            </a:spcAft>
            <a:buNone/>
          </a:pPr>
          <a:endParaRPr lang="en-GB" sz="800" b="0" i="1" kern="1200">
            <a:solidFill>
              <a:schemeClr val="tx1">
                <a:lumMod val="85000"/>
                <a:lumOff val="15000"/>
              </a:schemeClr>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800" b="0" i="1" kern="1200">
              <a:solidFill>
                <a:schemeClr val="tx1">
                  <a:lumMod val="85000"/>
                  <a:lumOff val="15000"/>
                </a:schemeClr>
              </a:solidFill>
              <a:latin typeface="Arial" panose="020B0604020202020204" pitchFamily="34" charset="0"/>
              <a:cs typeface="Arial" panose="020B0604020202020204" pitchFamily="34" charset="0"/>
            </a:rPr>
            <a:t>CN, IN, BR</a:t>
          </a:r>
          <a:endParaRPr lang="bg-BG" sz="800" b="0" i="1" kern="1200">
            <a:solidFill>
              <a:schemeClr val="tx1">
                <a:lumMod val="85000"/>
                <a:lumOff val="15000"/>
              </a:schemeClr>
            </a:solidFill>
            <a:latin typeface="Arial" panose="020B0604020202020204" pitchFamily="34" charset="0"/>
            <a:cs typeface="Arial" panose="020B0604020202020204" pitchFamily="34" charset="0"/>
          </a:endParaRPr>
        </a:p>
      </dsp:txBody>
      <dsp:txXfrm>
        <a:off x="3272600" y="2850377"/>
        <a:ext cx="819290" cy="819290"/>
      </dsp:txXfrm>
    </dsp:sp>
    <dsp:sp modelId="{34E88813-9274-426C-BB45-28EEE7E938A1}">
      <dsp:nvSpPr>
        <dsp:cNvPr id="0" name=""/>
        <dsp:cNvSpPr/>
      </dsp:nvSpPr>
      <dsp:spPr>
        <a:xfrm rot="10800000">
          <a:off x="2665815" y="3064500"/>
          <a:ext cx="308886" cy="39104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bg-BG" sz="1600" kern="1200"/>
        </a:p>
      </dsp:txBody>
      <dsp:txXfrm rot="10800000">
        <a:off x="2758481" y="3142709"/>
        <a:ext cx="216220" cy="234627"/>
      </dsp:txXfrm>
    </dsp:sp>
    <dsp:sp modelId="{41C0A601-0264-4228-9B90-D108BD4DCB21}">
      <dsp:nvSpPr>
        <dsp:cNvPr id="0" name=""/>
        <dsp:cNvSpPr/>
      </dsp:nvSpPr>
      <dsp:spPr>
        <a:xfrm>
          <a:off x="1361462" y="2680696"/>
          <a:ext cx="1158652" cy="1158652"/>
        </a:xfrm>
        <a:prstGeom prst="ellipse">
          <a:avLst/>
        </a:prstGeom>
        <a:solidFill>
          <a:srgbClr val="D4AF37"/>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85000"/>
                  <a:lumOff val="15000"/>
                </a:schemeClr>
              </a:solidFill>
              <a:latin typeface="Arial" panose="020B0604020202020204" pitchFamily="34" charset="0"/>
              <a:cs typeface="Arial" panose="020B0604020202020204" pitchFamily="34" charset="0"/>
            </a:rPr>
            <a:t>Global Marketing </a:t>
          </a:r>
        </a:p>
        <a:p>
          <a:pPr marL="0" lvl="0" indent="0" algn="ctr" defTabSz="488950">
            <a:lnSpc>
              <a:spcPct val="90000"/>
            </a:lnSpc>
            <a:spcBef>
              <a:spcPct val="0"/>
            </a:spcBef>
            <a:spcAft>
              <a:spcPct val="35000"/>
            </a:spcAft>
            <a:buNone/>
          </a:pPr>
          <a:r>
            <a:rPr lang="en-GB" sz="800" b="0" i="1" kern="1200">
              <a:solidFill>
                <a:schemeClr val="tx1">
                  <a:lumMod val="85000"/>
                  <a:lumOff val="15000"/>
                </a:schemeClr>
              </a:solidFill>
              <a:latin typeface="Arial" panose="020B0604020202020204" pitchFamily="34" charset="0"/>
              <a:cs typeface="Arial" panose="020B0604020202020204" pitchFamily="34" charset="0"/>
            </a:rPr>
            <a:t>Mixed global/local adaptation</a:t>
          </a:r>
          <a:endParaRPr lang="bg-BG" sz="800" b="0" i="1" kern="1200">
            <a:solidFill>
              <a:schemeClr val="tx1">
                <a:lumMod val="85000"/>
                <a:lumOff val="15000"/>
              </a:schemeClr>
            </a:solidFill>
            <a:latin typeface="Arial" panose="020B0604020202020204" pitchFamily="34" charset="0"/>
            <a:cs typeface="Arial" panose="020B0604020202020204" pitchFamily="34" charset="0"/>
          </a:endParaRPr>
        </a:p>
      </dsp:txBody>
      <dsp:txXfrm>
        <a:off x="1531143" y="2850377"/>
        <a:ext cx="819290" cy="819290"/>
      </dsp:txXfrm>
    </dsp:sp>
    <dsp:sp modelId="{07224466-6B01-4B04-8925-0442FB0FAD91}">
      <dsp:nvSpPr>
        <dsp:cNvPr id="0" name=""/>
        <dsp:cNvSpPr/>
      </dsp:nvSpPr>
      <dsp:spPr>
        <a:xfrm rot="15120000">
          <a:off x="1519976" y="2244702"/>
          <a:ext cx="308886" cy="39104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bg-BG" sz="1600" kern="1200"/>
        </a:p>
      </dsp:txBody>
      <dsp:txXfrm rot="10800000">
        <a:off x="1580627" y="2366976"/>
        <a:ext cx="216220" cy="234627"/>
      </dsp:txXfrm>
    </dsp:sp>
    <dsp:sp modelId="{D4AEE390-06EC-4572-956F-93BE976ED3EF}">
      <dsp:nvSpPr>
        <dsp:cNvPr id="0" name=""/>
        <dsp:cNvSpPr/>
      </dsp:nvSpPr>
      <dsp:spPr>
        <a:xfrm>
          <a:off x="823322" y="1024472"/>
          <a:ext cx="1158652" cy="1158652"/>
        </a:xfrm>
        <a:prstGeom prst="ellipse">
          <a:avLst/>
        </a:prstGeom>
        <a:solidFill>
          <a:srgbClr val="D4AF37"/>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lumMod val="85000"/>
                  <a:lumOff val="15000"/>
                </a:schemeClr>
              </a:solidFill>
              <a:latin typeface="Arial" panose="020B0604020202020204" pitchFamily="34" charset="0"/>
              <a:cs typeface="Arial" panose="020B0604020202020204" pitchFamily="34" charset="0"/>
            </a:rPr>
            <a:t>Global Distribution </a:t>
          </a:r>
        </a:p>
        <a:p>
          <a:pPr marL="0" lvl="0" indent="0" algn="ctr" defTabSz="488950">
            <a:lnSpc>
              <a:spcPct val="90000"/>
            </a:lnSpc>
            <a:spcBef>
              <a:spcPct val="0"/>
            </a:spcBef>
            <a:spcAft>
              <a:spcPct val="35000"/>
            </a:spcAft>
            <a:buNone/>
          </a:pPr>
          <a:endParaRPr lang="en-GB" sz="800" b="0" i="1" kern="1200">
            <a:solidFill>
              <a:schemeClr val="tx1">
                <a:lumMod val="85000"/>
                <a:lumOff val="15000"/>
              </a:schemeClr>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800" b="0" i="1" kern="1200">
              <a:solidFill>
                <a:schemeClr val="tx1">
                  <a:lumMod val="85000"/>
                  <a:lumOff val="15000"/>
                </a:schemeClr>
              </a:solidFill>
              <a:latin typeface="Arial" panose="020B0604020202020204" pitchFamily="34" charset="0"/>
              <a:cs typeface="Arial" panose="020B0604020202020204" pitchFamily="34" charset="0"/>
            </a:rPr>
            <a:t>EU logistics + digital Asia channels</a:t>
          </a:r>
          <a:endParaRPr lang="bg-BG" sz="800" b="0" i="1" kern="1200">
            <a:solidFill>
              <a:schemeClr val="tx1">
                <a:lumMod val="85000"/>
                <a:lumOff val="15000"/>
              </a:schemeClr>
            </a:solidFill>
            <a:latin typeface="Arial" panose="020B0604020202020204" pitchFamily="34" charset="0"/>
            <a:cs typeface="Arial" panose="020B0604020202020204" pitchFamily="34" charset="0"/>
          </a:endParaRPr>
        </a:p>
      </dsp:txBody>
      <dsp:txXfrm>
        <a:off x="993003" y="1194153"/>
        <a:ext cx="819290" cy="819290"/>
      </dsp:txXfrm>
    </dsp:sp>
    <dsp:sp modelId="{086F212F-DED0-43A3-A0F8-7AF0B05E8F70}">
      <dsp:nvSpPr>
        <dsp:cNvPr id="0" name=""/>
        <dsp:cNvSpPr/>
      </dsp:nvSpPr>
      <dsp:spPr>
        <a:xfrm rot="19440000">
          <a:off x="1945566" y="901612"/>
          <a:ext cx="308886" cy="39104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bg-BG" sz="1600" kern="1200"/>
        </a:p>
      </dsp:txBody>
      <dsp:txXfrm>
        <a:off x="1954415" y="1007055"/>
        <a:ext cx="216220" cy="2346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ECD32F-FB9E-4411-AEA8-4CDC0E59D54A}">
      <dsp:nvSpPr>
        <dsp:cNvPr id="0" name=""/>
        <dsp:cNvSpPr/>
      </dsp:nvSpPr>
      <dsp:spPr>
        <a:xfrm>
          <a:off x="2368" y="70358"/>
          <a:ext cx="2071208" cy="828483"/>
        </a:xfrm>
        <a:prstGeom prst="homePlate">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0678"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tx1">
                  <a:lumMod val="95000"/>
                  <a:lumOff val="5000"/>
                </a:schemeClr>
              </a:solidFill>
              <a:latin typeface="Arial" panose="020B0604020202020204" pitchFamily="34" charset="0"/>
              <a:cs typeface="Arial" panose="020B0604020202020204" pitchFamily="34" charset="0"/>
            </a:rPr>
            <a:t>Scientific</a:t>
          </a:r>
          <a:r>
            <a:rPr lang="en-GB" sz="1700" kern="1200">
              <a:latin typeface="Arial" panose="020B0604020202020204" pitchFamily="34" charset="0"/>
              <a:cs typeface="Arial" panose="020B0604020202020204" pitchFamily="34" charset="0"/>
            </a:rPr>
            <a:t> </a:t>
          </a:r>
          <a:r>
            <a:rPr lang="en-GB" sz="1700" kern="1200">
              <a:solidFill>
                <a:schemeClr val="tx1">
                  <a:lumMod val="85000"/>
                  <a:lumOff val="15000"/>
                </a:schemeClr>
              </a:solidFill>
              <a:latin typeface="Arial" panose="020B0604020202020204" pitchFamily="34" charset="0"/>
              <a:cs typeface="Arial" panose="020B0604020202020204" pitchFamily="34" charset="0"/>
            </a:rPr>
            <a:t>Proof →</a:t>
          </a:r>
          <a:endParaRPr lang="bg-BG" sz="1700" kern="1200">
            <a:solidFill>
              <a:schemeClr val="tx1">
                <a:lumMod val="85000"/>
                <a:lumOff val="15000"/>
              </a:schemeClr>
            </a:solidFill>
            <a:latin typeface="Arial" panose="020B0604020202020204" pitchFamily="34" charset="0"/>
            <a:cs typeface="Arial" panose="020B0604020202020204" pitchFamily="34" charset="0"/>
          </a:endParaRPr>
        </a:p>
      </dsp:txBody>
      <dsp:txXfrm>
        <a:off x="2368" y="70358"/>
        <a:ext cx="1864087" cy="828483"/>
      </dsp:txXfrm>
    </dsp:sp>
    <dsp:sp modelId="{A65DF1A2-519D-44A5-9DEB-E45E4A12CCF2}">
      <dsp:nvSpPr>
        <dsp:cNvPr id="0" name=""/>
        <dsp:cNvSpPr/>
      </dsp:nvSpPr>
      <dsp:spPr>
        <a:xfrm>
          <a:off x="1659335" y="70358"/>
          <a:ext cx="2071208" cy="828483"/>
        </a:xfrm>
        <a:prstGeom prst="chevron">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tx1">
                  <a:lumMod val="85000"/>
                  <a:lumOff val="15000"/>
                </a:schemeClr>
              </a:solidFill>
              <a:latin typeface="Arial" panose="020B0604020202020204" pitchFamily="34" charset="0"/>
              <a:cs typeface="Arial" panose="020B0604020202020204" pitchFamily="34" charset="0"/>
            </a:rPr>
            <a:t>Trust</a:t>
          </a:r>
          <a:r>
            <a:rPr lang="en-GB" sz="1700" kern="1200">
              <a:latin typeface="Arial" panose="020B0604020202020204" pitchFamily="34" charset="0"/>
              <a:cs typeface="Arial" panose="020B0604020202020204" pitchFamily="34" charset="0"/>
            </a:rPr>
            <a:t> </a:t>
          </a:r>
          <a:r>
            <a:rPr lang="en-GB" sz="1700" kern="1200">
              <a:solidFill>
                <a:schemeClr val="tx1">
                  <a:lumMod val="85000"/>
                  <a:lumOff val="15000"/>
                </a:schemeClr>
              </a:solidFill>
              <a:latin typeface="Arial" panose="020B0604020202020204" pitchFamily="34" charset="0"/>
              <a:cs typeface="Arial" panose="020B0604020202020204" pitchFamily="34" charset="0"/>
            </a:rPr>
            <a:t>→</a:t>
          </a:r>
          <a:r>
            <a:rPr lang="en-GB" sz="1700" kern="1200">
              <a:latin typeface="Arial" panose="020B0604020202020204" pitchFamily="34" charset="0"/>
              <a:cs typeface="Arial" panose="020B0604020202020204" pitchFamily="34" charset="0"/>
            </a:rPr>
            <a:t> </a:t>
          </a:r>
          <a:endParaRPr lang="bg-BG" sz="1700" kern="1200">
            <a:latin typeface="Arial" panose="020B0604020202020204" pitchFamily="34" charset="0"/>
            <a:cs typeface="Arial" panose="020B0604020202020204" pitchFamily="34" charset="0"/>
          </a:endParaRPr>
        </a:p>
      </dsp:txBody>
      <dsp:txXfrm>
        <a:off x="2073577" y="70358"/>
        <a:ext cx="1242725" cy="828483"/>
      </dsp:txXfrm>
    </dsp:sp>
    <dsp:sp modelId="{AB6AB551-5D4E-4511-A83E-C91EDE022B3F}">
      <dsp:nvSpPr>
        <dsp:cNvPr id="0" name=""/>
        <dsp:cNvSpPr/>
      </dsp:nvSpPr>
      <dsp:spPr>
        <a:xfrm>
          <a:off x="3316302" y="70358"/>
          <a:ext cx="2071208" cy="828483"/>
        </a:xfrm>
        <a:prstGeom prst="chevron">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b="1" kern="1200">
              <a:solidFill>
                <a:schemeClr val="tx1">
                  <a:lumMod val="85000"/>
                  <a:lumOff val="15000"/>
                </a:schemeClr>
              </a:solidFill>
              <a:latin typeface="Arial" panose="020B0604020202020204" pitchFamily="34" charset="0"/>
              <a:cs typeface="Arial" panose="020B0604020202020204" pitchFamily="34" charset="0"/>
            </a:rPr>
            <a:t>Purchase</a:t>
          </a:r>
          <a:endParaRPr lang="bg-BG" sz="1700" b="1" kern="1200">
            <a:solidFill>
              <a:schemeClr val="tx1">
                <a:lumMod val="85000"/>
                <a:lumOff val="15000"/>
              </a:schemeClr>
            </a:solidFill>
            <a:latin typeface="Arial" panose="020B0604020202020204" pitchFamily="34" charset="0"/>
            <a:cs typeface="Arial" panose="020B0604020202020204" pitchFamily="34" charset="0"/>
          </a:endParaRPr>
        </a:p>
      </dsp:txBody>
      <dsp:txXfrm>
        <a:off x="3730544" y="70358"/>
        <a:ext cx="1242725" cy="8284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ECD32F-FB9E-4411-AEA8-4CDC0E59D54A}">
      <dsp:nvSpPr>
        <dsp:cNvPr id="0" name=""/>
        <dsp:cNvSpPr/>
      </dsp:nvSpPr>
      <dsp:spPr>
        <a:xfrm>
          <a:off x="2368" y="70263"/>
          <a:ext cx="2071208" cy="828483"/>
        </a:xfrm>
        <a:prstGeom prst="homePlate">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0678"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tx1">
                  <a:lumMod val="95000"/>
                  <a:lumOff val="5000"/>
                </a:schemeClr>
              </a:solidFill>
              <a:latin typeface="Arial" panose="020B0604020202020204" pitchFamily="34" charset="0"/>
              <a:cs typeface="Arial" panose="020B0604020202020204" pitchFamily="34" charset="0"/>
            </a:rPr>
            <a:t>Authority Signal + Social Proof → </a:t>
          </a:r>
          <a:endParaRPr lang="bg-BG" sz="1700" kern="1200">
            <a:solidFill>
              <a:schemeClr val="tx1">
                <a:lumMod val="85000"/>
                <a:lumOff val="15000"/>
              </a:schemeClr>
            </a:solidFill>
            <a:latin typeface="Arial" panose="020B0604020202020204" pitchFamily="34" charset="0"/>
            <a:cs typeface="Arial" panose="020B0604020202020204" pitchFamily="34" charset="0"/>
          </a:endParaRPr>
        </a:p>
      </dsp:txBody>
      <dsp:txXfrm>
        <a:off x="2368" y="70263"/>
        <a:ext cx="1864087" cy="828483"/>
      </dsp:txXfrm>
    </dsp:sp>
    <dsp:sp modelId="{A65DF1A2-519D-44A5-9DEB-E45E4A12CCF2}">
      <dsp:nvSpPr>
        <dsp:cNvPr id="0" name=""/>
        <dsp:cNvSpPr/>
      </dsp:nvSpPr>
      <dsp:spPr>
        <a:xfrm>
          <a:off x="1659335" y="70263"/>
          <a:ext cx="2071208" cy="828483"/>
        </a:xfrm>
        <a:prstGeom prst="chevron">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tx1">
                  <a:lumMod val="85000"/>
                  <a:lumOff val="15000"/>
                </a:schemeClr>
              </a:solidFill>
              <a:latin typeface="Arial" panose="020B0604020202020204" pitchFamily="34" charset="0"/>
              <a:cs typeface="Arial" panose="020B0604020202020204" pitchFamily="34" charset="0"/>
            </a:rPr>
            <a:t>Legitimacy →</a:t>
          </a:r>
          <a:endParaRPr lang="bg-BG" sz="1700" kern="1200">
            <a:latin typeface="Arial" panose="020B0604020202020204" pitchFamily="34" charset="0"/>
            <a:cs typeface="Arial" panose="020B0604020202020204" pitchFamily="34" charset="0"/>
          </a:endParaRPr>
        </a:p>
      </dsp:txBody>
      <dsp:txXfrm>
        <a:off x="2073577" y="70263"/>
        <a:ext cx="1242725" cy="828483"/>
      </dsp:txXfrm>
    </dsp:sp>
    <dsp:sp modelId="{AB6AB551-5D4E-4511-A83E-C91EDE022B3F}">
      <dsp:nvSpPr>
        <dsp:cNvPr id="0" name=""/>
        <dsp:cNvSpPr/>
      </dsp:nvSpPr>
      <dsp:spPr>
        <a:xfrm>
          <a:off x="3316302" y="70263"/>
          <a:ext cx="2071208" cy="828483"/>
        </a:xfrm>
        <a:prstGeom prst="chevron">
          <a:avLst/>
        </a:prstGeom>
        <a:solidFill>
          <a:srgbClr val="F2ECDA"/>
        </a:solidFill>
        <a:ln w="12700" cap="flat" cmpd="sng" algn="ctr">
          <a:solidFill>
            <a:srgbClr val="D6C28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45339" rIns="22670" bIns="45339" numCol="1" spcCol="1270" anchor="ctr" anchorCtr="0">
          <a:noAutofit/>
        </a:bodyPr>
        <a:lstStyle/>
        <a:p>
          <a:pPr marL="0" lvl="0" indent="0" algn="ctr" defTabSz="755650">
            <a:lnSpc>
              <a:spcPct val="90000"/>
            </a:lnSpc>
            <a:spcBef>
              <a:spcPct val="0"/>
            </a:spcBef>
            <a:spcAft>
              <a:spcPct val="35000"/>
            </a:spcAft>
            <a:buNone/>
          </a:pPr>
          <a:r>
            <a:rPr lang="en-GB" sz="1700" b="1" kern="1200">
              <a:solidFill>
                <a:schemeClr val="tx1">
                  <a:lumMod val="85000"/>
                  <a:lumOff val="15000"/>
                </a:schemeClr>
              </a:solidFill>
              <a:latin typeface="Arial" panose="020B0604020202020204" pitchFamily="34" charset="0"/>
              <a:cs typeface="Arial" panose="020B0604020202020204" pitchFamily="34" charset="0"/>
            </a:rPr>
            <a:t>Purchase</a:t>
          </a:r>
          <a:endParaRPr lang="bg-BG" sz="1700" b="1" kern="1200">
            <a:solidFill>
              <a:schemeClr val="tx1">
                <a:lumMod val="85000"/>
                <a:lumOff val="15000"/>
              </a:schemeClr>
            </a:solidFill>
            <a:latin typeface="Arial" panose="020B0604020202020204" pitchFamily="34" charset="0"/>
            <a:cs typeface="Arial" panose="020B0604020202020204" pitchFamily="34" charset="0"/>
          </a:endParaRPr>
        </a:p>
      </dsp:txBody>
      <dsp:txXfrm>
        <a:off x="3730544" y="70263"/>
        <a:ext cx="1242725" cy="82848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CE37E-190C-4571-9B12-86081842D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7583</Words>
  <Characters>51615</Characters>
  <Application>Microsoft Office Word</Application>
  <DocSecurity>0</DocSecurity>
  <Lines>1165</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2</cp:revision>
  <dcterms:created xsi:type="dcterms:W3CDTF">2025-11-22T03:13:00Z</dcterms:created>
  <dcterms:modified xsi:type="dcterms:W3CDTF">2025-11-22T03:13:00Z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51e92d78-d363-489f-8489-bfef2288f34c</vt:lpwstr>
  </property>
</Properties>
</file>