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26DDA" w14:textId="7FB442B8" w:rsidR="00494CF6" w:rsidRDefault="00494CF6" w:rsidP="00494CF6">
      <w:pPr>
        <w:jc w:val="center"/>
      </w:pPr>
      <w:r>
        <w:rPr>
          <w:noProof/>
        </w:rPr>
        <w:drawing>
          <wp:inline distT="0" distB="0" distL="0" distR="0" wp14:anchorId="41FAC6F5" wp14:editId="5E0FE563">
            <wp:extent cx="2459979" cy="1158240"/>
            <wp:effectExtent l="0" t="0" r="0" b="3810"/>
            <wp:docPr id="1285549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2516" cy="1159434"/>
                    </a:xfrm>
                    <a:prstGeom prst="rect">
                      <a:avLst/>
                    </a:prstGeom>
                    <a:noFill/>
                    <a:ln>
                      <a:noFill/>
                    </a:ln>
                  </pic:spPr>
                </pic:pic>
              </a:graphicData>
            </a:graphic>
          </wp:inline>
        </w:drawing>
      </w:r>
    </w:p>
    <w:p w14:paraId="51DB85F7" w14:textId="1EE98CC3" w:rsidR="00494CF6" w:rsidRPr="00494CF6" w:rsidRDefault="00494CF6" w:rsidP="00494CF6">
      <w:pPr>
        <w:jc w:val="center"/>
        <w:rPr>
          <w:b/>
          <w:bCs/>
          <w:sz w:val="52"/>
          <w:szCs w:val="52"/>
        </w:rPr>
      </w:pPr>
      <w:r w:rsidRPr="00494CF6">
        <w:rPr>
          <w:b/>
          <w:bCs/>
          <w:sz w:val="52"/>
          <w:szCs w:val="52"/>
        </w:rPr>
        <w:t>Scenario question</w:t>
      </w:r>
    </w:p>
    <w:p w14:paraId="09348328" w14:textId="77777777" w:rsidR="00494CF6" w:rsidRDefault="00494CF6" w:rsidP="00494CF6">
      <w:pPr>
        <w:jc w:val="center"/>
      </w:pPr>
    </w:p>
    <w:p w14:paraId="73F91A9A" w14:textId="77777777" w:rsidR="00494CF6" w:rsidRDefault="00494CF6" w:rsidP="00494CF6">
      <w:pPr>
        <w:jc w:val="center"/>
      </w:pPr>
    </w:p>
    <w:p w14:paraId="2D1B8681" w14:textId="77777777" w:rsidR="00494CF6" w:rsidRDefault="00494CF6" w:rsidP="00494CF6">
      <w:pPr>
        <w:jc w:val="center"/>
      </w:pPr>
    </w:p>
    <w:p w14:paraId="22C9D848" w14:textId="367E7A03" w:rsidR="00494CF6" w:rsidRPr="00494CF6" w:rsidRDefault="00494CF6" w:rsidP="00494CF6">
      <w:pPr>
        <w:jc w:val="center"/>
        <w:rPr>
          <w:b/>
          <w:bCs/>
          <w:sz w:val="40"/>
          <w:szCs w:val="40"/>
        </w:rPr>
      </w:pPr>
      <w:r w:rsidRPr="00494CF6">
        <w:rPr>
          <w:b/>
          <w:bCs/>
          <w:sz w:val="40"/>
          <w:szCs w:val="40"/>
        </w:rPr>
        <w:t>Criminal law</w:t>
      </w:r>
    </w:p>
    <w:p w14:paraId="5BF6507B" w14:textId="41708A46" w:rsidR="00494CF6" w:rsidRPr="00494CF6" w:rsidRDefault="00494CF6" w:rsidP="00494CF6">
      <w:pPr>
        <w:jc w:val="center"/>
        <w:rPr>
          <w:b/>
          <w:bCs/>
          <w:sz w:val="40"/>
          <w:szCs w:val="40"/>
        </w:rPr>
      </w:pPr>
      <w:r w:rsidRPr="00494CF6">
        <w:rPr>
          <w:b/>
          <w:bCs/>
          <w:sz w:val="40"/>
          <w:szCs w:val="40"/>
        </w:rPr>
        <w:t>BMPL4009</w:t>
      </w:r>
    </w:p>
    <w:p w14:paraId="57388E99" w14:textId="77777777" w:rsidR="00494CF6" w:rsidRDefault="00494CF6" w:rsidP="00494CF6">
      <w:pPr>
        <w:jc w:val="center"/>
      </w:pPr>
    </w:p>
    <w:p w14:paraId="793957FC" w14:textId="77777777" w:rsidR="00494CF6" w:rsidRDefault="00494CF6" w:rsidP="00494CF6">
      <w:pPr>
        <w:jc w:val="center"/>
      </w:pPr>
    </w:p>
    <w:p w14:paraId="589A4A6E" w14:textId="77777777" w:rsidR="00A15E3C" w:rsidRDefault="00494CF6" w:rsidP="00494CF6">
      <w:pPr>
        <w:jc w:val="center"/>
        <w:rPr>
          <w:b/>
          <w:bCs/>
        </w:rPr>
      </w:pPr>
      <w:r w:rsidRPr="00494CF6">
        <w:rPr>
          <w:b/>
          <w:bCs/>
        </w:rPr>
        <w:t>Student Name:</w:t>
      </w:r>
      <w:r w:rsidR="00380CD3">
        <w:rPr>
          <w:b/>
          <w:bCs/>
        </w:rPr>
        <w:t xml:space="preserve"> </w:t>
      </w:r>
      <w:r w:rsidR="003A2926" w:rsidRPr="003A2926">
        <w:rPr>
          <w:b/>
          <w:bCs/>
        </w:rPr>
        <w:t>Mădălina Ghiorghi</w:t>
      </w:r>
    </w:p>
    <w:p w14:paraId="45915D97" w14:textId="711CFE03" w:rsidR="00494CF6" w:rsidRPr="00494CF6" w:rsidRDefault="00494CF6" w:rsidP="00494CF6">
      <w:pPr>
        <w:jc w:val="center"/>
        <w:rPr>
          <w:b/>
          <w:bCs/>
        </w:rPr>
      </w:pPr>
      <w:r w:rsidRPr="00494CF6">
        <w:rPr>
          <w:b/>
          <w:bCs/>
        </w:rPr>
        <w:t>Student ID:</w:t>
      </w:r>
      <w:r w:rsidR="00746095">
        <w:rPr>
          <w:b/>
          <w:bCs/>
        </w:rPr>
        <w:t xml:space="preserve"> 2215490</w:t>
      </w:r>
    </w:p>
    <w:p w14:paraId="2A7F69AF" w14:textId="59804327" w:rsidR="00F8553C" w:rsidRPr="00494CF6" w:rsidRDefault="00494CF6" w:rsidP="00494CF6">
      <w:pPr>
        <w:jc w:val="center"/>
        <w:rPr>
          <w:rFonts w:eastAsiaTheme="majorEastAsia" w:cstheme="majorBidi"/>
          <w:b/>
          <w:bCs/>
          <w:sz w:val="36"/>
          <w:szCs w:val="32"/>
        </w:rPr>
      </w:pPr>
      <w:r w:rsidRPr="00494CF6">
        <w:rPr>
          <w:b/>
          <w:bCs/>
        </w:rPr>
        <w:t xml:space="preserve">Module Leader: </w:t>
      </w:r>
      <w:r w:rsidR="001B3141" w:rsidRPr="001B3141">
        <w:rPr>
          <w:b/>
          <w:bCs/>
        </w:rPr>
        <w:t>Laura Humphries</w:t>
      </w:r>
    </w:p>
    <w:sdt>
      <w:sdtPr>
        <w:rPr>
          <w:rFonts w:ascii="Times New Roman" w:eastAsiaTheme="minorHAnsi" w:hAnsi="Times New Roman" w:cstheme="minorBidi"/>
          <w:color w:val="auto"/>
          <w:kern w:val="2"/>
          <w:sz w:val="24"/>
          <w:szCs w:val="22"/>
          <w:lang w:val="en-IN"/>
          <w14:ligatures w14:val="standardContextual"/>
        </w:rPr>
        <w:id w:val="1054195970"/>
        <w:docPartObj>
          <w:docPartGallery w:val="Table of Contents"/>
          <w:docPartUnique/>
        </w:docPartObj>
      </w:sdtPr>
      <w:sdtEndPr>
        <w:rPr>
          <w:b/>
          <w:bCs/>
          <w:noProof/>
        </w:rPr>
      </w:sdtEndPr>
      <w:sdtContent>
        <w:p w14:paraId="0E2B83F5" w14:textId="2C94AC5A" w:rsidR="00494CF6" w:rsidRPr="00494CF6" w:rsidRDefault="00494CF6" w:rsidP="00494CF6">
          <w:pPr>
            <w:pStyle w:val="Titlucuprins"/>
            <w:spacing w:line="360" w:lineRule="auto"/>
            <w:rPr>
              <w:b/>
              <w:bCs/>
              <w:color w:val="auto"/>
            </w:rPr>
          </w:pPr>
          <w:r w:rsidRPr="00494CF6">
            <w:rPr>
              <w:b/>
              <w:bCs/>
              <w:color w:val="auto"/>
            </w:rPr>
            <w:t>Table of Contents</w:t>
          </w:r>
        </w:p>
        <w:p w14:paraId="3C745A45" w14:textId="1A7935D0" w:rsidR="004104C9" w:rsidRDefault="00494CF6">
          <w:pPr>
            <w:pStyle w:val="Cuprins1"/>
            <w:tabs>
              <w:tab w:val="right" w:leader="dot" w:pos="9016"/>
            </w:tabs>
            <w:rPr>
              <w:rFonts w:asciiTheme="minorHAnsi" w:eastAsiaTheme="minorEastAsia" w:hAnsiTheme="minorHAnsi"/>
              <w:noProof/>
              <w:kern w:val="0"/>
              <w:sz w:val="22"/>
              <w:lang w:eastAsia="en-IN"/>
              <w14:ligatures w14:val="none"/>
            </w:rPr>
          </w:pPr>
          <w:r>
            <w:fldChar w:fldCharType="begin"/>
          </w:r>
          <w:r>
            <w:instrText xml:space="preserve"> TOC \o "1-3" \h \z \u </w:instrText>
          </w:r>
          <w:r>
            <w:fldChar w:fldCharType="separate"/>
          </w:r>
          <w:hyperlink w:anchor="_Toc158283407" w:history="1">
            <w:r w:rsidR="004104C9" w:rsidRPr="00EF3618">
              <w:rPr>
                <w:rStyle w:val="Hyperlink"/>
                <w:noProof/>
              </w:rPr>
              <w:t>Introduction</w:t>
            </w:r>
            <w:r w:rsidR="004104C9">
              <w:rPr>
                <w:noProof/>
                <w:webHidden/>
              </w:rPr>
              <w:tab/>
            </w:r>
            <w:r w:rsidR="004104C9">
              <w:rPr>
                <w:noProof/>
                <w:webHidden/>
              </w:rPr>
              <w:fldChar w:fldCharType="begin"/>
            </w:r>
            <w:r w:rsidR="004104C9">
              <w:rPr>
                <w:noProof/>
                <w:webHidden/>
              </w:rPr>
              <w:instrText xml:space="preserve"> PAGEREF _Toc158283407 \h </w:instrText>
            </w:r>
            <w:r w:rsidR="004104C9">
              <w:rPr>
                <w:noProof/>
                <w:webHidden/>
              </w:rPr>
            </w:r>
            <w:r w:rsidR="004104C9">
              <w:rPr>
                <w:noProof/>
                <w:webHidden/>
              </w:rPr>
              <w:fldChar w:fldCharType="separate"/>
            </w:r>
            <w:r w:rsidR="004104C9">
              <w:rPr>
                <w:noProof/>
                <w:webHidden/>
              </w:rPr>
              <w:t>3</w:t>
            </w:r>
            <w:r w:rsidR="004104C9">
              <w:rPr>
                <w:noProof/>
                <w:webHidden/>
              </w:rPr>
              <w:fldChar w:fldCharType="end"/>
            </w:r>
          </w:hyperlink>
        </w:p>
        <w:p w14:paraId="56B7CB3A" w14:textId="54E7A27D" w:rsidR="004104C9" w:rsidRDefault="00000000">
          <w:pPr>
            <w:pStyle w:val="Cuprins1"/>
            <w:tabs>
              <w:tab w:val="right" w:leader="dot" w:pos="9016"/>
            </w:tabs>
            <w:rPr>
              <w:rFonts w:asciiTheme="minorHAnsi" w:eastAsiaTheme="minorEastAsia" w:hAnsiTheme="minorHAnsi"/>
              <w:noProof/>
              <w:kern w:val="0"/>
              <w:sz w:val="22"/>
              <w:lang w:eastAsia="en-IN"/>
              <w14:ligatures w14:val="none"/>
            </w:rPr>
          </w:pPr>
          <w:hyperlink w:anchor="_Toc158283408" w:history="1">
            <w:r w:rsidR="004104C9" w:rsidRPr="00EF3618">
              <w:rPr>
                <w:rStyle w:val="Hyperlink"/>
                <w:noProof/>
              </w:rPr>
              <w:t>Carla's Potential Criminal Liability under UK Law</w:t>
            </w:r>
            <w:r w:rsidR="004104C9">
              <w:rPr>
                <w:noProof/>
                <w:webHidden/>
              </w:rPr>
              <w:tab/>
            </w:r>
            <w:r w:rsidR="004104C9">
              <w:rPr>
                <w:noProof/>
                <w:webHidden/>
              </w:rPr>
              <w:fldChar w:fldCharType="begin"/>
            </w:r>
            <w:r w:rsidR="004104C9">
              <w:rPr>
                <w:noProof/>
                <w:webHidden/>
              </w:rPr>
              <w:instrText xml:space="preserve"> PAGEREF _Toc158283408 \h </w:instrText>
            </w:r>
            <w:r w:rsidR="004104C9">
              <w:rPr>
                <w:noProof/>
                <w:webHidden/>
              </w:rPr>
            </w:r>
            <w:r w:rsidR="004104C9">
              <w:rPr>
                <w:noProof/>
                <w:webHidden/>
              </w:rPr>
              <w:fldChar w:fldCharType="separate"/>
            </w:r>
            <w:r w:rsidR="004104C9">
              <w:rPr>
                <w:noProof/>
                <w:webHidden/>
              </w:rPr>
              <w:t>4</w:t>
            </w:r>
            <w:r w:rsidR="004104C9">
              <w:rPr>
                <w:noProof/>
                <w:webHidden/>
              </w:rPr>
              <w:fldChar w:fldCharType="end"/>
            </w:r>
          </w:hyperlink>
        </w:p>
        <w:p w14:paraId="63FC58D1" w14:textId="4F5E694A" w:rsidR="004104C9" w:rsidRDefault="00000000">
          <w:pPr>
            <w:pStyle w:val="Cuprins2"/>
            <w:tabs>
              <w:tab w:val="right" w:leader="dot" w:pos="9016"/>
            </w:tabs>
            <w:rPr>
              <w:rFonts w:asciiTheme="minorHAnsi" w:eastAsiaTheme="minorEastAsia" w:hAnsiTheme="minorHAnsi"/>
              <w:noProof/>
              <w:kern w:val="0"/>
              <w:sz w:val="22"/>
              <w:lang w:eastAsia="en-IN"/>
              <w14:ligatures w14:val="none"/>
            </w:rPr>
          </w:pPr>
          <w:hyperlink w:anchor="_Toc158283409" w:history="1">
            <w:r w:rsidR="004104C9" w:rsidRPr="00EF3618">
              <w:rPr>
                <w:rStyle w:val="Hyperlink"/>
                <w:noProof/>
              </w:rPr>
              <w:t>Offences Committed</w:t>
            </w:r>
            <w:r w:rsidR="004104C9">
              <w:rPr>
                <w:noProof/>
                <w:webHidden/>
              </w:rPr>
              <w:tab/>
            </w:r>
            <w:r w:rsidR="004104C9">
              <w:rPr>
                <w:noProof/>
                <w:webHidden/>
              </w:rPr>
              <w:fldChar w:fldCharType="begin"/>
            </w:r>
            <w:r w:rsidR="004104C9">
              <w:rPr>
                <w:noProof/>
                <w:webHidden/>
              </w:rPr>
              <w:instrText xml:space="preserve"> PAGEREF _Toc158283409 \h </w:instrText>
            </w:r>
            <w:r w:rsidR="004104C9">
              <w:rPr>
                <w:noProof/>
                <w:webHidden/>
              </w:rPr>
            </w:r>
            <w:r w:rsidR="004104C9">
              <w:rPr>
                <w:noProof/>
                <w:webHidden/>
              </w:rPr>
              <w:fldChar w:fldCharType="separate"/>
            </w:r>
            <w:r w:rsidR="004104C9">
              <w:rPr>
                <w:noProof/>
                <w:webHidden/>
              </w:rPr>
              <w:t>4</w:t>
            </w:r>
            <w:r w:rsidR="004104C9">
              <w:rPr>
                <w:noProof/>
                <w:webHidden/>
              </w:rPr>
              <w:fldChar w:fldCharType="end"/>
            </w:r>
          </w:hyperlink>
        </w:p>
        <w:p w14:paraId="62E84794" w14:textId="21FE1000" w:rsidR="004104C9" w:rsidRDefault="00000000">
          <w:pPr>
            <w:pStyle w:val="Cuprins2"/>
            <w:tabs>
              <w:tab w:val="right" w:leader="dot" w:pos="9016"/>
            </w:tabs>
            <w:rPr>
              <w:rFonts w:asciiTheme="minorHAnsi" w:eastAsiaTheme="minorEastAsia" w:hAnsiTheme="minorHAnsi"/>
              <w:noProof/>
              <w:kern w:val="0"/>
              <w:sz w:val="22"/>
              <w:lang w:eastAsia="en-IN"/>
              <w14:ligatures w14:val="none"/>
            </w:rPr>
          </w:pPr>
          <w:hyperlink w:anchor="_Toc158283410" w:history="1">
            <w:r w:rsidR="004104C9" w:rsidRPr="00EF3618">
              <w:rPr>
                <w:rStyle w:val="Hyperlink"/>
                <w:noProof/>
              </w:rPr>
              <w:t>Defences</w:t>
            </w:r>
            <w:r w:rsidR="004104C9">
              <w:rPr>
                <w:noProof/>
                <w:webHidden/>
              </w:rPr>
              <w:tab/>
            </w:r>
            <w:r w:rsidR="004104C9">
              <w:rPr>
                <w:noProof/>
                <w:webHidden/>
              </w:rPr>
              <w:fldChar w:fldCharType="begin"/>
            </w:r>
            <w:r w:rsidR="004104C9">
              <w:rPr>
                <w:noProof/>
                <w:webHidden/>
              </w:rPr>
              <w:instrText xml:space="preserve"> PAGEREF _Toc158283410 \h </w:instrText>
            </w:r>
            <w:r w:rsidR="004104C9">
              <w:rPr>
                <w:noProof/>
                <w:webHidden/>
              </w:rPr>
            </w:r>
            <w:r w:rsidR="004104C9">
              <w:rPr>
                <w:noProof/>
                <w:webHidden/>
              </w:rPr>
              <w:fldChar w:fldCharType="separate"/>
            </w:r>
            <w:r w:rsidR="004104C9">
              <w:rPr>
                <w:noProof/>
                <w:webHidden/>
              </w:rPr>
              <w:t>4</w:t>
            </w:r>
            <w:r w:rsidR="004104C9">
              <w:rPr>
                <w:noProof/>
                <w:webHidden/>
              </w:rPr>
              <w:fldChar w:fldCharType="end"/>
            </w:r>
          </w:hyperlink>
        </w:p>
        <w:p w14:paraId="040EEA10" w14:textId="684100D7" w:rsidR="004104C9" w:rsidRDefault="00000000">
          <w:pPr>
            <w:pStyle w:val="Cuprins1"/>
            <w:tabs>
              <w:tab w:val="right" w:leader="dot" w:pos="9016"/>
            </w:tabs>
            <w:rPr>
              <w:rFonts w:asciiTheme="minorHAnsi" w:eastAsiaTheme="minorEastAsia" w:hAnsiTheme="minorHAnsi"/>
              <w:noProof/>
              <w:kern w:val="0"/>
              <w:sz w:val="22"/>
              <w:lang w:eastAsia="en-IN"/>
              <w14:ligatures w14:val="none"/>
            </w:rPr>
          </w:pPr>
          <w:hyperlink w:anchor="_Toc158283411" w:history="1">
            <w:r w:rsidR="004104C9" w:rsidRPr="00EF3618">
              <w:rPr>
                <w:rStyle w:val="Hyperlink"/>
                <w:noProof/>
              </w:rPr>
              <w:t>The Impact of Emotional State and Confession on Carla's Potential Defences</w:t>
            </w:r>
            <w:r w:rsidR="004104C9">
              <w:rPr>
                <w:noProof/>
                <w:webHidden/>
              </w:rPr>
              <w:tab/>
            </w:r>
            <w:r w:rsidR="004104C9">
              <w:rPr>
                <w:noProof/>
                <w:webHidden/>
              </w:rPr>
              <w:fldChar w:fldCharType="begin"/>
            </w:r>
            <w:r w:rsidR="004104C9">
              <w:rPr>
                <w:noProof/>
                <w:webHidden/>
              </w:rPr>
              <w:instrText xml:space="preserve"> PAGEREF _Toc158283411 \h </w:instrText>
            </w:r>
            <w:r w:rsidR="004104C9">
              <w:rPr>
                <w:noProof/>
                <w:webHidden/>
              </w:rPr>
            </w:r>
            <w:r w:rsidR="004104C9">
              <w:rPr>
                <w:noProof/>
                <w:webHidden/>
              </w:rPr>
              <w:fldChar w:fldCharType="separate"/>
            </w:r>
            <w:r w:rsidR="004104C9">
              <w:rPr>
                <w:noProof/>
                <w:webHidden/>
              </w:rPr>
              <w:t>6</w:t>
            </w:r>
            <w:r w:rsidR="004104C9">
              <w:rPr>
                <w:noProof/>
                <w:webHidden/>
              </w:rPr>
              <w:fldChar w:fldCharType="end"/>
            </w:r>
          </w:hyperlink>
        </w:p>
        <w:p w14:paraId="4B360D80" w14:textId="11F60EB7" w:rsidR="004104C9" w:rsidRDefault="00000000">
          <w:pPr>
            <w:pStyle w:val="Cuprins1"/>
            <w:tabs>
              <w:tab w:val="right" w:leader="dot" w:pos="9016"/>
            </w:tabs>
            <w:rPr>
              <w:rFonts w:asciiTheme="minorHAnsi" w:eastAsiaTheme="minorEastAsia" w:hAnsiTheme="minorHAnsi"/>
              <w:noProof/>
              <w:kern w:val="0"/>
              <w:sz w:val="22"/>
              <w:lang w:eastAsia="en-IN"/>
              <w14:ligatures w14:val="none"/>
            </w:rPr>
          </w:pPr>
          <w:hyperlink w:anchor="_Toc158283412" w:history="1">
            <w:r w:rsidR="004104C9" w:rsidRPr="00EF3618">
              <w:rPr>
                <w:rStyle w:val="Hyperlink"/>
                <w:noProof/>
              </w:rPr>
              <w:t>Application of Case Law</w:t>
            </w:r>
            <w:r w:rsidR="004104C9">
              <w:rPr>
                <w:noProof/>
                <w:webHidden/>
              </w:rPr>
              <w:tab/>
            </w:r>
            <w:r w:rsidR="004104C9">
              <w:rPr>
                <w:noProof/>
                <w:webHidden/>
              </w:rPr>
              <w:fldChar w:fldCharType="begin"/>
            </w:r>
            <w:r w:rsidR="004104C9">
              <w:rPr>
                <w:noProof/>
                <w:webHidden/>
              </w:rPr>
              <w:instrText xml:space="preserve"> PAGEREF _Toc158283412 \h </w:instrText>
            </w:r>
            <w:r w:rsidR="004104C9">
              <w:rPr>
                <w:noProof/>
                <w:webHidden/>
              </w:rPr>
            </w:r>
            <w:r w:rsidR="004104C9">
              <w:rPr>
                <w:noProof/>
                <w:webHidden/>
              </w:rPr>
              <w:fldChar w:fldCharType="separate"/>
            </w:r>
            <w:r w:rsidR="004104C9">
              <w:rPr>
                <w:noProof/>
                <w:webHidden/>
              </w:rPr>
              <w:t>7</w:t>
            </w:r>
            <w:r w:rsidR="004104C9">
              <w:rPr>
                <w:noProof/>
                <w:webHidden/>
              </w:rPr>
              <w:fldChar w:fldCharType="end"/>
            </w:r>
          </w:hyperlink>
        </w:p>
        <w:p w14:paraId="73B0CF59" w14:textId="0D63CFA0" w:rsidR="004104C9" w:rsidRDefault="00000000">
          <w:pPr>
            <w:pStyle w:val="Cuprins1"/>
            <w:tabs>
              <w:tab w:val="right" w:leader="dot" w:pos="9016"/>
            </w:tabs>
            <w:rPr>
              <w:rFonts w:asciiTheme="minorHAnsi" w:eastAsiaTheme="minorEastAsia" w:hAnsiTheme="minorHAnsi"/>
              <w:noProof/>
              <w:kern w:val="0"/>
              <w:sz w:val="22"/>
              <w:lang w:eastAsia="en-IN"/>
              <w14:ligatures w14:val="none"/>
            </w:rPr>
          </w:pPr>
          <w:hyperlink w:anchor="_Toc158283413" w:history="1">
            <w:r w:rsidR="004104C9" w:rsidRPr="00EF3618">
              <w:rPr>
                <w:rStyle w:val="Hyperlink"/>
                <w:noProof/>
              </w:rPr>
              <w:t>Conclusion</w:t>
            </w:r>
            <w:r w:rsidR="004104C9">
              <w:rPr>
                <w:noProof/>
                <w:webHidden/>
              </w:rPr>
              <w:tab/>
            </w:r>
            <w:r w:rsidR="004104C9">
              <w:rPr>
                <w:noProof/>
                <w:webHidden/>
              </w:rPr>
              <w:fldChar w:fldCharType="begin"/>
            </w:r>
            <w:r w:rsidR="004104C9">
              <w:rPr>
                <w:noProof/>
                <w:webHidden/>
              </w:rPr>
              <w:instrText xml:space="preserve"> PAGEREF _Toc158283413 \h </w:instrText>
            </w:r>
            <w:r w:rsidR="004104C9">
              <w:rPr>
                <w:noProof/>
                <w:webHidden/>
              </w:rPr>
            </w:r>
            <w:r w:rsidR="004104C9">
              <w:rPr>
                <w:noProof/>
                <w:webHidden/>
              </w:rPr>
              <w:fldChar w:fldCharType="separate"/>
            </w:r>
            <w:r w:rsidR="004104C9">
              <w:rPr>
                <w:noProof/>
                <w:webHidden/>
              </w:rPr>
              <w:t>8</w:t>
            </w:r>
            <w:r w:rsidR="004104C9">
              <w:rPr>
                <w:noProof/>
                <w:webHidden/>
              </w:rPr>
              <w:fldChar w:fldCharType="end"/>
            </w:r>
          </w:hyperlink>
        </w:p>
        <w:p w14:paraId="610F8017" w14:textId="7159C666" w:rsidR="004104C9" w:rsidRDefault="00000000">
          <w:pPr>
            <w:pStyle w:val="Cuprins1"/>
            <w:tabs>
              <w:tab w:val="right" w:leader="dot" w:pos="9016"/>
            </w:tabs>
            <w:rPr>
              <w:rFonts w:asciiTheme="minorHAnsi" w:eastAsiaTheme="minorEastAsia" w:hAnsiTheme="minorHAnsi"/>
              <w:noProof/>
              <w:kern w:val="0"/>
              <w:sz w:val="22"/>
              <w:lang w:eastAsia="en-IN"/>
              <w14:ligatures w14:val="none"/>
            </w:rPr>
          </w:pPr>
          <w:hyperlink w:anchor="_Toc158283414" w:history="1">
            <w:r w:rsidR="004104C9" w:rsidRPr="00EF3618">
              <w:rPr>
                <w:rStyle w:val="Hyperlink"/>
                <w:noProof/>
              </w:rPr>
              <w:t>References</w:t>
            </w:r>
            <w:r w:rsidR="004104C9">
              <w:rPr>
                <w:noProof/>
                <w:webHidden/>
              </w:rPr>
              <w:tab/>
            </w:r>
            <w:r w:rsidR="004104C9">
              <w:rPr>
                <w:noProof/>
                <w:webHidden/>
              </w:rPr>
              <w:fldChar w:fldCharType="begin"/>
            </w:r>
            <w:r w:rsidR="004104C9">
              <w:rPr>
                <w:noProof/>
                <w:webHidden/>
              </w:rPr>
              <w:instrText xml:space="preserve"> PAGEREF _Toc158283414 \h </w:instrText>
            </w:r>
            <w:r w:rsidR="004104C9">
              <w:rPr>
                <w:noProof/>
                <w:webHidden/>
              </w:rPr>
            </w:r>
            <w:r w:rsidR="004104C9">
              <w:rPr>
                <w:noProof/>
                <w:webHidden/>
              </w:rPr>
              <w:fldChar w:fldCharType="separate"/>
            </w:r>
            <w:r w:rsidR="004104C9">
              <w:rPr>
                <w:noProof/>
                <w:webHidden/>
              </w:rPr>
              <w:t>9</w:t>
            </w:r>
            <w:r w:rsidR="004104C9">
              <w:rPr>
                <w:noProof/>
                <w:webHidden/>
              </w:rPr>
              <w:fldChar w:fldCharType="end"/>
            </w:r>
          </w:hyperlink>
        </w:p>
        <w:p w14:paraId="36720899" w14:textId="2AB1EED0" w:rsidR="00494CF6" w:rsidRDefault="00494CF6" w:rsidP="00494CF6">
          <w:r>
            <w:rPr>
              <w:b/>
              <w:bCs/>
              <w:noProof/>
            </w:rPr>
            <w:fldChar w:fldCharType="end"/>
          </w:r>
        </w:p>
      </w:sdtContent>
    </w:sdt>
    <w:p w14:paraId="2728E4F5" w14:textId="77777777" w:rsidR="00F8553C" w:rsidRDefault="00F8553C" w:rsidP="00494CF6">
      <w:pPr>
        <w:jc w:val="left"/>
        <w:rPr>
          <w:rFonts w:eastAsiaTheme="majorEastAsia" w:cstheme="majorBidi"/>
          <w:b/>
          <w:sz w:val="36"/>
          <w:szCs w:val="32"/>
        </w:rPr>
      </w:pPr>
      <w:r>
        <w:br w:type="page"/>
      </w:r>
    </w:p>
    <w:p w14:paraId="4B2CE9FE" w14:textId="4EB23F08" w:rsidR="005B5C8A" w:rsidRPr="00F8553C" w:rsidRDefault="005B5C8A" w:rsidP="00494CF6">
      <w:pPr>
        <w:pStyle w:val="Titlu1"/>
        <w:spacing w:line="360" w:lineRule="auto"/>
      </w:pPr>
      <w:bookmarkStart w:id="0" w:name="_Toc158283407"/>
      <w:r w:rsidRPr="00F8553C">
        <w:t>I</w:t>
      </w:r>
      <w:r w:rsidR="00F8553C">
        <w:t>ntroduction</w:t>
      </w:r>
      <w:bookmarkEnd w:id="0"/>
    </w:p>
    <w:p w14:paraId="1464EB25" w14:textId="47B0E137" w:rsidR="005B5C8A" w:rsidRPr="00F8553C" w:rsidRDefault="00A03997" w:rsidP="00494CF6">
      <w:pPr>
        <w:rPr>
          <w:rFonts w:eastAsiaTheme="majorEastAsia" w:cstheme="majorBidi"/>
          <w:b/>
          <w:sz w:val="36"/>
          <w:szCs w:val="32"/>
        </w:rPr>
      </w:pPr>
      <w:r w:rsidRPr="00F8553C">
        <w:t xml:space="preserve">Carla's actions in the given state of affairs raise widespread felony questions concerning her capacity criminal liability under UK law. This analysis will delve into the offences committed by Carla, such as attempted homicide and wounding with rationale, as well as the defences available to her, inclusive of self-defence, lack of manipulation, diminished </w:t>
      </w:r>
      <w:r w:rsidR="00F8553C">
        <w:t>responsibility</w:t>
      </w:r>
      <w:r w:rsidRPr="00F8553C">
        <w:t>, and accident. Moreover, Carla's emotional nation, exacerbated by way of marital issues, and Jamie's confession of infidelity play essential roles in comparing the applicability of those defences. By examining relevant case laws, along with R v. Jogee, R v. Asmelash, and R v. Golds, this dialogue objectives to offer a comprehensive expertise of Carla's capacity criminal liability and the effect of her emotional nation and Jamie's confession on her defences</w:t>
      </w:r>
      <w:r w:rsidR="00AC5F46">
        <w:t>.</w:t>
      </w:r>
      <w:r w:rsidR="005B5C8A" w:rsidRPr="00F8553C">
        <w:br w:type="page"/>
      </w:r>
    </w:p>
    <w:p w14:paraId="4F325544" w14:textId="4A2AE212" w:rsidR="00341FF7" w:rsidRPr="00F8553C" w:rsidRDefault="00341FF7" w:rsidP="00494CF6">
      <w:pPr>
        <w:pStyle w:val="Titlu1"/>
        <w:spacing w:line="360" w:lineRule="auto"/>
      </w:pPr>
      <w:bookmarkStart w:id="1" w:name="_Toc158283408"/>
      <w:r w:rsidRPr="00F8553C">
        <w:t>Carla's Potential Criminal Liability under UK Law</w:t>
      </w:r>
      <w:bookmarkEnd w:id="1"/>
    </w:p>
    <w:p w14:paraId="31739586" w14:textId="643499C1" w:rsidR="001146DF" w:rsidRPr="00F8553C" w:rsidRDefault="001146DF" w:rsidP="00494CF6">
      <w:pPr>
        <w:rPr>
          <w:b/>
        </w:rPr>
      </w:pPr>
      <w:r w:rsidRPr="00F8553C">
        <w:t xml:space="preserve">Carla may be charged with against the law inside the UK due to her behaviour inside the situation furnished. Carla can be charged with whatever from attempted murder to intentional damage, depending on the details of the incident. Nonetheless, given Carla's emotional </w:t>
      </w:r>
      <w:r w:rsidR="000540D8" w:rsidRPr="00F8553C">
        <w:rPr>
          <w:b/>
        </w:rPr>
        <w:t>state</w:t>
      </w:r>
      <w:r w:rsidRPr="00F8553C">
        <w:t xml:space="preserve"> and Jamie's admission, several defences would possibly hold</w:t>
      </w:r>
    </w:p>
    <w:p w14:paraId="21759755" w14:textId="2885D61B" w:rsidR="00341FF7" w:rsidRPr="00F8553C" w:rsidRDefault="00341FF7" w:rsidP="00494CF6">
      <w:pPr>
        <w:pStyle w:val="Titlu2"/>
      </w:pPr>
      <w:bookmarkStart w:id="2" w:name="_Toc158283409"/>
      <w:r w:rsidRPr="00F8553C">
        <w:t>Offences Committed</w:t>
      </w:r>
      <w:bookmarkEnd w:id="2"/>
    </w:p>
    <w:p w14:paraId="373B5E50" w14:textId="45FE7CEC" w:rsidR="00341FF7" w:rsidRPr="00341FF7" w:rsidRDefault="00341FF7" w:rsidP="00494CF6">
      <w:pPr>
        <w:numPr>
          <w:ilvl w:val="0"/>
          <w:numId w:val="3"/>
        </w:numPr>
      </w:pPr>
      <w:r w:rsidRPr="00341FF7">
        <w:t xml:space="preserve">Attempted Murder: </w:t>
      </w:r>
      <w:r w:rsidR="001146DF" w:rsidRPr="00F8553C">
        <w:t xml:space="preserve">Carla's deliberate conduct of stabbing Jamie in the chest indicates that she </w:t>
      </w:r>
      <w:r w:rsidR="000540D8" w:rsidRPr="00F8553C">
        <w:t xml:space="preserve">was </w:t>
      </w:r>
      <w:r w:rsidR="001146DF" w:rsidRPr="00F8553C">
        <w:t xml:space="preserve">supposed to noticeably hurt him. As per the Offences Against the Person Act 1861, Section 1(1), a murder attempt necessitates the presence of both mens rea (motive to kill) and actus reus (movements completed to fulfil the intention to kill). These conditions are met through Carla's action, </w:t>
      </w:r>
      <w:r w:rsidR="000540D8" w:rsidRPr="00F8553C">
        <w:t>which</w:t>
      </w:r>
      <w:r w:rsidR="001146DF" w:rsidRPr="00F8553C">
        <w:t xml:space="preserve"> could bring about an attempted murder conviction.</w:t>
      </w:r>
    </w:p>
    <w:p w14:paraId="211144A7" w14:textId="3767245B" w:rsidR="009E7D9F" w:rsidRPr="00F8553C" w:rsidRDefault="00341FF7" w:rsidP="00494CF6">
      <w:pPr>
        <w:numPr>
          <w:ilvl w:val="0"/>
          <w:numId w:val="3"/>
        </w:numPr>
      </w:pPr>
      <w:r w:rsidRPr="00341FF7">
        <w:t xml:space="preserve">Wounding with Intent: </w:t>
      </w:r>
      <w:r w:rsidR="001146DF" w:rsidRPr="00F8553C">
        <w:t xml:space="preserve">Carla </w:t>
      </w:r>
      <w:r w:rsidR="000540D8" w:rsidRPr="00F8553C">
        <w:t xml:space="preserve">is </w:t>
      </w:r>
      <w:r w:rsidR="001146DF" w:rsidRPr="00F8553C">
        <w:t xml:space="preserve">supposed to </w:t>
      </w:r>
      <w:r w:rsidR="000540D8" w:rsidRPr="00F8553C">
        <w:t>motivate</w:t>
      </w:r>
      <w:r w:rsidR="001146DF" w:rsidRPr="00F8553C">
        <w:t xml:space="preserve"> foremost harm to Jamie, as evidenced </w:t>
      </w:r>
      <w:r w:rsidR="000540D8" w:rsidRPr="00F8553C">
        <w:t>by</w:t>
      </w:r>
      <w:r w:rsidR="001146DF" w:rsidRPr="00F8553C">
        <w:t xml:space="preserve"> the aid of her useful act of stabbing him inside the chest. A homicide attempt requires the existence of each mens rea, or the purpose to kill, and actus reus, or the movements taken to carry out the aim to kill, in line with Section 1(1) of the Offences Against the Person Act 1861. Carla's action satisfies those requirements and can result in a conviction for attempted homicide (Stephen, 2021).</w:t>
      </w:r>
    </w:p>
    <w:p w14:paraId="75808CA8" w14:textId="45B08CAB" w:rsidR="00341FF7" w:rsidRPr="00F8553C" w:rsidRDefault="00341FF7" w:rsidP="00494CF6">
      <w:pPr>
        <w:pStyle w:val="Titlu2"/>
      </w:pPr>
      <w:bookmarkStart w:id="3" w:name="_Toc158283410"/>
      <w:r w:rsidRPr="00F8553C">
        <w:t>Defences</w:t>
      </w:r>
      <w:bookmarkEnd w:id="3"/>
    </w:p>
    <w:p w14:paraId="5FA10FD3" w14:textId="01DCB924" w:rsidR="00341FF7" w:rsidRPr="00341FF7" w:rsidRDefault="00341FF7" w:rsidP="00494CF6">
      <w:pPr>
        <w:numPr>
          <w:ilvl w:val="0"/>
          <w:numId w:val="4"/>
        </w:numPr>
      </w:pPr>
      <w:r w:rsidRPr="00341FF7">
        <w:t xml:space="preserve">Self-Defence: </w:t>
      </w:r>
      <w:r w:rsidR="001146DF" w:rsidRPr="00F8553C">
        <w:t xml:space="preserve">If Carla in reality notion Jamie constituted a right away risk to her existence or safety, she may additionally contend that she acted in self-defence. According to Section 3 of the Criminal Law Act of 1967, self-defence necessitates an affordable response to the found danger and a subjective perception of chance. To </w:t>
      </w:r>
      <w:r w:rsidR="000540D8" w:rsidRPr="00F8553C">
        <w:t>avoid</w:t>
      </w:r>
      <w:r w:rsidR="001146DF" w:rsidRPr="00F8553C">
        <w:t xml:space="preserve"> the use of force, Carla needs to show that her actions have been appropriate given the perceived risk (Horder, 2016).</w:t>
      </w:r>
    </w:p>
    <w:p w14:paraId="40E9092A" w14:textId="11543205" w:rsidR="00341FF7" w:rsidRPr="00341FF7" w:rsidRDefault="00341FF7" w:rsidP="00494CF6">
      <w:pPr>
        <w:numPr>
          <w:ilvl w:val="0"/>
          <w:numId w:val="4"/>
        </w:numPr>
      </w:pPr>
      <w:r w:rsidRPr="00341FF7">
        <w:t xml:space="preserve">Loss of Control: </w:t>
      </w:r>
      <w:r w:rsidR="000540D8" w:rsidRPr="00F8553C">
        <w:t xml:space="preserve">Section </w:t>
      </w:r>
      <w:r w:rsidR="00F8553C" w:rsidRPr="00F8553C">
        <w:t>54</w:t>
      </w:r>
      <w:r w:rsidR="000540D8" w:rsidRPr="00F8553C">
        <w:t xml:space="preserve"> of the Coroners and Justice Act 2009 may additionally offer a defence of loss of control in mild of Jamie's admission of infidelity and the ensuing emotional struggle. Should Carla display that Jamie's conduct amounted to an abrupt and intense provocation that caused her to lose composure, the crime might be reduced from homicide to manslaughter. However, the provocation wishes to be robust sufficient to make someone who would generally be in control lose it in a scenario like this (Reed, Wake, and Simpson, 2021).</w:t>
      </w:r>
    </w:p>
    <w:p w14:paraId="47115F3B" w14:textId="357ED9E3" w:rsidR="00341FF7" w:rsidRPr="00341FF7" w:rsidRDefault="00341FF7" w:rsidP="00494CF6">
      <w:pPr>
        <w:numPr>
          <w:ilvl w:val="0"/>
          <w:numId w:val="4"/>
        </w:numPr>
      </w:pPr>
      <w:r w:rsidRPr="00341FF7">
        <w:t xml:space="preserve">Diminished Responsibility: </w:t>
      </w:r>
      <w:r w:rsidR="000540D8" w:rsidRPr="00F8553C">
        <w:t>Carla's intellectual state as a result of her marital issues may be critical in proving her dwindled culpability defence beneath Section 2 of the 1957 Homicide Act. Carla's obligation is probably lessened if her emotional state considerably hinders her ability to realize the character of her acts or alter her behaviour. To show Carla's decreased obligation at the time of the act, scientific evidence would be essential.</w:t>
      </w:r>
    </w:p>
    <w:p w14:paraId="007F4583" w14:textId="44142877" w:rsidR="00341FF7" w:rsidRPr="00341FF7" w:rsidRDefault="00341FF7" w:rsidP="00494CF6">
      <w:pPr>
        <w:numPr>
          <w:ilvl w:val="0"/>
          <w:numId w:val="4"/>
        </w:numPr>
      </w:pPr>
      <w:r w:rsidRPr="00341FF7">
        <w:t xml:space="preserve">Accident: </w:t>
      </w:r>
      <w:r w:rsidR="000540D8" w:rsidRPr="00F8553C">
        <w:t>Carla would not be held criminally liable if she ought to prove that the stabbing was accidental and that she had no desire to harm Jamie. Carla should show that the injury resulted from a surprising coincidence rather than planned or careless behaviour.</w:t>
      </w:r>
    </w:p>
    <w:p w14:paraId="6855D745" w14:textId="324AEB0A" w:rsidR="003D5BEA" w:rsidRPr="00F8553C" w:rsidRDefault="000540D8" w:rsidP="00494CF6">
      <w:r w:rsidRPr="00F8553C">
        <w:t>In the end, numerous variables, such as Carla's intents, Jamie's behaviour, and her intellectual circumstances, may make her doubtlessly answerable for criminal offences underneath UK regulation. Defences inclusive of self-defence, losing manipulation, lessened obligation, or accident might lessen her guilt, however, their relevance might depend on the incident's particulars and the proof that became provided.</w:t>
      </w:r>
      <w:r w:rsidR="003D5BEA" w:rsidRPr="00F8553C">
        <w:br w:type="page"/>
      </w:r>
    </w:p>
    <w:p w14:paraId="616253E2" w14:textId="74B3B098" w:rsidR="003D5BEA" w:rsidRPr="00F8553C" w:rsidRDefault="003D5BEA" w:rsidP="00494CF6">
      <w:pPr>
        <w:pStyle w:val="Titlu1"/>
        <w:spacing w:line="360" w:lineRule="auto"/>
      </w:pPr>
      <w:bookmarkStart w:id="4" w:name="_Toc158283411"/>
      <w:r w:rsidRPr="00F8553C">
        <w:t>The Impact of Emotional State and Confession on Carla's Potential Defences</w:t>
      </w:r>
      <w:bookmarkEnd w:id="4"/>
    </w:p>
    <w:p w14:paraId="39D20F52" w14:textId="695663D0" w:rsidR="000540D8" w:rsidRPr="00F8553C" w:rsidRDefault="000540D8" w:rsidP="00494CF6">
      <w:r w:rsidRPr="00F8553C">
        <w:t>Jamie's admission and Carla's emotional state, which are made worse with the aid of marital issues, are crucial elements in determining whether or not defences like a twist of fate, self-defence, lack of manipulation, and reduced obligation can be used.</w:t>
      </w:r>
    </w:p>
    <w:p w14:paraId="70CB0C0A" w14:textId="2AB34104" w:rsidR="003D5BEA" w:rsidRPr="00F8553C" w:rsidRDefault="003D5BEA" w:rsidP="00494CF6">
      <w:pPr>
        <w:rPr>
          <w:b/>
          <w:bCs/>
        </w:rPr>
      </w:pPr>
      <w:r w:rsidRPr="00F8553C">
        <w:rPr>
          <w:b/>
          <w:bCs/>
        </w:rPr>
        <w:t>Self-Defence and Loss of Control</w:t>
      </w:r>
    </w:p>
    <w:p w14:paraId="7BFCEA41" w14:textId="01E0B1A3" w:rsidR="000540D8" w:rsidRPr="00F8553C" w:rsidRDefault="000540D8" w:rsidP="00494CF6">
      <w:r w:rsidRPr="00F8553C">
        <w:t>Jamie's admission of adultery has brought Carla to revel in emotional soreness, which can also have a direct impact on how she perceives chance and behaves inside destiny. If Carla felt she was in instantaneous danger and her emotions of wrath and distress had been her initial reactions to Jamie's confession, this may support her declaration of dropping manipulation or appearing in self-defence. But for Carla's defences to remain, she needs to reveal that her emotional response became suitable given the occasions. Determining whether her acts have been justifiable in self-defence or a loss of manipulation will rely greatly on the severity and immediateness of her emotional country at the time of the incident (Edwards, 2016).</w:t>
      </w:r>
    </w:p>
    <w:p w14:paraId="30DA1B86" w14:textId="72DF4F95" w:rsidR="003D5BEA" w:rsidRPr="00F8553C" w:rsidRDefault="003D5BEA" w:rsidP="00494CF6">
      <w:pPr>
        <w:rPr>
          <w:b/>
          <w:bCs/>
        </w:rPr>
      </w:pPr>
      <w:r w:rsidRPr="00F8553C">
        <w:rPr>
          <w:b/>
          <w:bCs/>
        </w:rPr>
        <w:t>Diminished Responsibility</w:t>
      </w:r>
    </w:p>
    <w:p w14:paraId="38039B45" w14:textId="052D6376" w:rsidR="000540D8" w:rsidRPr="00F8553C" w:rsidRDefault="000540D8" w:rsidP="00494CF6">
      <w:r w:rsidRPr="00F8553C">
        <w:t>Carla's emotional situation can also be relevant in proving her dwindled culpability defence. It would possibly lessen her duty if her emotional affliction materially affected her capability to realise the character of her actions or exert management over them. Supporting this defence will require expert scientific testimony about how Carla's emotional state affected her mental state at the time of the incident. The assessment will centre on whether Carla's emotional state drastically hindered her potential to create the desired reason or use reasoned judgment (Botterell, 2023).</w:t>
      </w:r>
    </w:p>
    <w:p w14:paraId="07DC2E3D" w14:textId="2C6EF6ED" w:rsidR="003D5BEA" w:rsidRPr="00F8553C" w:rsidRDefault="003D5BEA" w:rsidP="00494CF6">
      <w:pPr>
        <w:rPr>
          <w:b/>
          <w:bCs/>
        </w:rPr>
      </w:pPr>
      <w:r w:rsidRPr="00F8553C">
        <w:rPr>
          <w:b/>
          <w:bCs/>
        </w:rPr>
        <w:t>Accident</w:t>
      </w:r>
    </w:p>
    <w:p w14:paraId="66F05478" w14:textId="4953F2A9" w:rsidR="000540D8" w:rsidRPr="00F8553C" w:rsidRDefault="000540D8" w:rsidP="00494CF6">
      <w:r w:rsidRPr="00F8553C">
        <w:t>If Carla's emotional state drastically compromised her capability to control her behaviour, that would be evidence in favour of a twist of fate claim. One may want to argue that the stabbing was an unintended coincidence if her intellectual turmoil resulted in a circumstance of confusion or disorientation that caused the incident. However, Carla wishes to show that her emotional situation changed into a direct purpose of the offence's carelessness or loss of purpose.</w:t>
      </w:r>
    </w:p>
    <w:p w14:paraId="6221BF31" w14:textId="0511B5D3" w:rsidR="000540D8" w:rsidRPr="00F8553C" w:rsidRDefault="000540D8" w:rsidP="00494CF6">
      <w:r w:rsidRPr="00F8553C">
        <w:t>The mental impact of Jamie's admission on Carla is huge when evaluating the energy of defences which include coincidence, lack of manipulation, self-defence, and lessened culpability. The intensity, promptness, and significance of Carla's emotional response could be essential factors in evaluating whether her acts had been justified and what kind of liability she has under UK law. Determining whether these defences are applicable will need professional testimony and a careful evaluation of the incident's circumstances.</w:t>
      </w:r>
    </w:p>
    <w:p w14:paraId="7613B99A" w14:textId="7DA65680" w:rsidR="005C02D1" w:rsidRPr="00F8553C" w:rsidRDefault="005C02D1" w:rsidP="00494CF6">
      <w:pPr>
        <w:pStyle w:val="Titlu1"/>
        <w:spacing w:line="360" w:lineRule="auto"/>
      </w:pPr>
      <w:bookmarkStart w:id="5" w:name="_Toc158283412"/>
      <w:r w:rsidRPr="00F8553C">
        <w:t>Application of Case Law</w:t>
      </w:r>
      <w:bookmarkEnd w:id="5"/>
    </w:p>
    <w:p w14:paraId="2CEDB671" w14:textId="77777777" w:rsidR="005C02D1" w:rsidRPr="005C02D1" w:rsidRDefault="005C02D1" w:rsidP="00494CF6">
      <w:r w:rsidRPr="005C02D1">
        <w:rPr>
          <w:b/>
          <w:bCs/>
        </w:rPr>
        <w:t>1. Case Law: R v. Jogee [2016] UKSC 8 - Joint Enterprise and Mental Element</w:t>
      </w:r>
    </w:p>
    <w:p w14:paraId="37A2C0C0" w14:textId="667501A2" w:rsidR="000540D8" w:rsidRPr="00F8553C" w:rsidRDefault="000540D8" w:rsidP="00494CF6">
      <w:r w:rsidRPr="00F8553C">
        <w:t>The UK Supreme Court mentioned joint employer and the intellectual thing vital for secondary culpability within the case of R v. Jogee [2016] UKSC 61. The court tag made it clear that a defendant needs to actively intend to aid or encourage the number one offender to be found responsible; mere awareness of another individual's purpose is inadequate. If Carla is deemed a secondary party to Jamie's accidents, such as if she supported or helped a person else in hurting him, then this regulation applies to her instances (United Kingdom Supreme Court, 2016).</w:t>
      </w:r>
    </w:p>
    <w:p w14:paraId="70426F8B" w14:textId="368F6F04" w:rsidR="005C02D1" w:rsidRPr="005C02D1" w:rsidRDefault="005C02D1" w:rsidP="00494CF6">
      <w:r w:rsidRPr="005C02D1">
        <w:rPr>
          <w:b/>
          <w:bCs/>
        </w:rPr>
        <w:t>2. Case Law: R v. Asmelash [2013] EWCA Crim 1</w:t>
      </w:r>
      <w:r w:rsidR="001564AB" w:rsidRPr="00F8553C">
        <w:rPr>
          <w:b/>
          <w:bCs/>
        </w:rPr>
        <w:t>5</w:t>
      </w:r>
      <w:r w:rsidRPr="005C02D1">
        <w:rPr>
          <w:b/>
          <w:bCs/>
        </w:rPr>
        <w:t>7 - Subjective Nature of Self-Defence</w:t>
      </w:r>
    </w:p>
    <w:p w14:paraId="3850E7D4" w14:textId="63DBDACA" w:rsidR="00DF7CD0" w:rsidRDefault="00B52715" w:rsidP="00494CF6">
      <w:r w:rsidRPr="00B52715">
        <w:t xml:space="preserve">The Court of Appeal considered the </w:t>
      </w:r>
      <w:r>
        <w:t>self-defence</w:t>
      </w:r>
      <w:r w:rsidRPr="00B52715">
        <w:t xml:space="preserve"> defence in R v. Asmelash [2013] EWCA Crim 157, emphasising the subjective element of the defendant's opinion that using pressure is important. The courtroom emphasised that in place of judging reasonableness objectively, the jury </w:t>
      </w:r>
      <w:r>
        <w:t>has</w:t>
      </w:r>
      <w:r w:rsidRPr="00B52715">
        <w:t xml:space="preserve"> to </w:t>
      </w:r>
      <w:r>
        <w:t>not</w:t>
      </w:r>
      <w:r w:rsidRPr="00B52715">
        <w:t xml:space="preserve"> forget the occasions in mild of the defendant's beliefs. This example helps evaluate Carla's subjective opinion that the usage of force to shield oneself or others is vital </w:t>
      </w:r>
      <w:r w:rsidR="000540D8" w:rsidRPr="00F8553C">
        <w:t>(</w:t>
      </w:r>
      <w:r w:rsidR="00DF7CD0" w:rsidRPr="00DF7CD0">
        <w:t>England and Wales Court of Appeal (Criminal Division) Decisions</w:t>
      </w:r>
      <w:r w:rsidR="00DF7CD0">
        <w:t xml:space="preserve">, </w:t>
      </w:r>
      <w:r w:rsidR="00DF7CD0" w:rsidRPr="00DF7CD0">
        <w:t>2013)</w:t>
      </w:r>
      <w:r w:rsidR="00DF7CD0">
        <w:t>.</w:t>
      </w:r>
    </w:p>
    <w:p w14:paraId="784BA64B" w14:textId="5B146419" w:rsidR="005C02D1" w:rsidRPr="00F8553C" w:rsidRDefault="005C02D1" w:rsidP="00494CF6">
      <w:pPr>
        <w:rPr>
          <w:b/>
          <w:bCs/>
        </w:rPr>
      </w:pPr>
      <w:r w:rsidRPr="005C02D1">
        <w:rPr>
          <w:b/>
          <w:bCs/>
        </w:rPr>
        <w:t xml:space="preserve">3. Case Law: R v. Golds [2016] EWCA </w:t>
      </w:r>
      <w:r w:rsidR="001564AB" w:rsidRPr="00F8553C">
        <w:rPr>
          <w:b/>
          <w:bCs/>
        </w:rPr>
        <w:t>UKSC 61</w:t>
      </w:r>
      <w:r w:rsidRPr="005C02D1">
        <w:rPr>
          <w:b/>
          <w:bCs/>
        </w:rPr>
        <w:t xml:space="preserve"> - Defence of Diminished Responsibility</w:t>
      </w:r>
    </w:p>
    <w:p w14:paraId="3CA8E537" w14:textId="04655F3D" w:rsidR="003D5BEA" w:rsidRPr="00F8553C" w:rsidRDefault="000540D8" w:rsidP="00494CF6">
      <w:r w:rsidRPr="00F8553C">
        <w:t>The Court of Appeal tested the defence of decreased responsibility in R v. Golds [2016] EWCA UKSC 61. The court label upheld that proof of an intellectual ailment that notably reduces the defendant's potential to just accept duty for his or her acts is vital for this defence. The decision additionally made it clear that there ought to be a causal connection between the defendant's moves and the personality sickness to prove faded responsibility; proof of a problem on my own won't be sufficient in this regard. If Carla asserts a defence of dwindled culpability due to her emotional kingdom and feasible intellectual health worries, this situation law will apply to her situation (United Kingdom Supreme Court, 2017).</w:t>
      </w:r>
      <w:r w:rsidR="003D5BEA" w:rsidRPr="00F8553C">
        <w:br w:type="page"/>
      </w:r>
    </w:p>
    <w:p w14:paraId="3A8B4C62" w14:textId="40C27556" w:rsidR="00341FF7" w:rsidRPr="00F8553C" w:rsidRDefault="00341FF7" w:rsidP="00494CF6">
      <w:pPr>
        <w:pStyle w:val="Titlu1"/>
        <w:spacing w:line="360" w:lineRule="auto"/>
      </w:pPr>
      <w:bookmarkStart w:id="6" w:name="_Toc158283413"/>
      <w:r w:rsidRPr="00F8553C">
        <w:t>Conclusion</w:t>
      </w:r>
      <w:bookmarkEnd w:id="6"/>
    </w:p>
    <w:p w14:paraId="5F29DA34" w14:textId="0B304BB0" w:rsidR="00FA0583" w:rsidRPr="00F8553C" w:rsidRDefault="000540D8" w:rsidP="00494CF6">
      <w:r w:rsidRPr="00F8553C">
        <w:t xml:space="preserve">Under UK regulation, Carla's criminal guilt depends on the particulars of the incident, together with its records and instances. Thoroughly inspecting the pertinent crimes, and defences, and assisting case law is important to a thorough felony evaluation. It's important to keep in mind that this evaluation is best an extensive summary and does no longer offer legal recommendations. To completely comprehend Carla's legal scenario, </w:t>
      </w:r>
      <w:r w:rsidR="00A03997" w:rsidRPr="00F8553C">
        <w:t xml:space="preserve">one </w:t>
      </w:r>
      <w:r w:rsidRPr="00F8553C">
        <w:t xml:space="preserve">should communicate with a licenced criminal expert. Since each example is distinct, many variables can affect how the regulation is applied. To ensure a just and correct dedication of Carla's </w:t>
      </w:r>
      <w:r w:rsidR="00A03997" w:rsidRPr="00F8553C">
        <w:t>criminal</w:t>
      </w:r>
      <w:r w:rsidRPr="00F8553C">
        <w:t xml:space="preserve"> liability, she must get a legal recommendation from an expert who's certified to assess the particulars of her case in mild of applicable legal guidelines and precedents.</w:t>
      </w:r>
      <w:r w:rsidR="00FA0583" w:rsidRPr="00F8553C">
        <w:br w:type="page"/>
      </w:r>
    </w:p>
    <w:p w14:paraId="285B58EA" w14:textId="260B5C66" w:rsidR="00D605D0" w:rsidRPr="00F8553C" w:rsidRDefault="00FA0583" w:rsidP="00494CF6">
      <w:pPr>
        <w:pStyle w:val="Titlu1"/>
        <w:spacing w:line="360" w:lineRule="auto"/>
      </w:pPr>
      <w:bookmarkStart w:id="7" w:name="_Toc158283414"/>
      <w:r w:rsidRPr="00F8553C">
        <w:t>References</w:t>
      </w:r>
      <w:bookmarkEnd w:id="7"/>
    </w:p>
    <w:p w14:paraId="4216B29A" w14:textId="77777777" w:rsidR="001146DF" w:rsidRPr="00F8553C" w:rsidRDefault="001146DF" w:rsidP="002F6DDB">
      <w:r w:rsidRPr="00F8553C">
        <w:t>Botterell, A., (2023). Revisiting the Defence of Diminished Responsibility. Osgoode Hall LJ, 60, p.337.</w:t>
      </w:r>
    </w:p>
    <w:p w14:paraId="7BCEA8B7" w14:textId="77777777" w:rsidR="001146DF" w:rsidRPr="00F8553C" w:rsidRDefault="001146DF" w:rsidP="002F6DDB">
      <w:r w:rsidRPr="00F8553C">
        <w:t>Edwards, S.S., (2016). Loss of self-control: When his anger is worth more than her fear. In Loss of Control and Diminished Responsibility (pp. 79-96). Routledge.</w:t>
      </w:r>
    </w:p>
    <w:p w14:paraId="422B6E77" w14:textId="77777777" w:rsidR="001146DF" w:rsidRPr="00F8553C" w:rsidRDefault="001146DF" w:rsidP="002F6DDB">
      <w:r w:rsidRPr="00F8553C">
        <w:t>England and Wales Court of Appeal (Criminal Division) Decisions (2013) England and Wales Court of Appeal (Criminal Division) decisions, Asmelash v R [2013] EWCA Crim 157 (22 February 2013). Available at: https://www.bailii.org/cgi-bin/format.cgi?doc=%2Few%2Fcases%2FEWCA%2FCrim%2F2013%2F157.html&amp;query=%28R%29%2BAND%2B%28v.%29%2BAND%2B%28Asmelash%29%2BAND%2B%28.2013.%29 (Accessed: 07 February 2024).</w:t>
      </w:r>
    </w:p>
    <w:p w14:paraId="173999FC" w14:textId="77777777" w:rsidR="001146DF" w:rsidRPr="00F8553C" w:rsidRDefault="001146DF" w:rsidP="002F6DDB">
      <w:r w:rsidRPr="00F8553C">
        <w:t>Horder, J., (2016). Ashworth's principles of criminal law. Oxford University Press.</w:t>
      </w:r>
    </w:p>
    <w:p w14:paraId="17D5085B" w14:textId="77777777" w:rsidR="001146DF" w:rsidRPr="00F8553C" w:rsidRDefault="001146DF" w:rsidP="002F6DDB">
      <w:r w:rsidRPr="00F8553C">
        <w:t>Reed, A., Wake, N. and Simpson, B., (2021). 'Domestic and Comparative Perspectives on Loss of Self-Control and Diminished Responsibility as Partial Defences to Murder: A 10-Year Review of the Coroners and Justice Act 2009 Reform Framework'. N. Ir. Legal Q., 72, p.161.</w:t>
      </w:r>
    </w:p>
    <w:p w14:paraId="62AE3A30" w14:textId="77777777" w:rsidR="001146DF" w:rsidRPr="00F8553C" w:rsidRDefault="001146DF" w:rsidP="002F6DDB">
      <w:r w:rsidRPr="00F8553C">
        <w:t>Stephen, J.F., (2021). A general view of the criminal law of England. The Lawbook Exchange, Ltd.</w:t>
      </w:r>
    </w:p>
    <w:p w14:paraId="50FB26F1" w14:textId="77777777" w:rsidR="001146DF" w:rsidRPr="00F8553C" w:rsidRDefault="001146DF" w:rsidP="002F6DDB">
      <w:r w:rsidRPr="00F8553C">
        <w:t>United Kingdom Supreme Court (2016) Jogee and Ruddock v The Queen (Jamaica) [2016] UKSC 8 (18 February 2016). Available at: https://www.bailii.org/cgi-bin/format.cgi?doc=%2Fuk%2Fcases%2FUKSC%2F2016%2F8.html&amp;query=%28R%29%2BAND%2B%28v.%29%2BAND%2B%28Jogee%29%2BAND%2B%28.2016.%29%2BAND%2B%28UKSC%29%2BAND%2B%288%29 (Accessed: 07 February 2024).</w:t>
      </w:r>
    </w:p>
    <w:p w14:paraId="4E11CDC8" w14:textId="0DCE7438" w:rsidR="001146DF" w:rsidRDefault="001146DF" w:rsidP="002F6DDB">
      <w:r w:rsidRPr="00F8553C">
        <w:t>United Kingdom Supreme Court (2017) Golds, R. v [2016] UKSC 61 (30 November 2016). Available at: https://www.bailii.org/cgi-bin/format.cgi?doc=%2Fuk%2Fcases%2FUKSC%2F2016%2F61.html&amp;query=%28R%29%2BAND%2B%28v.%29%2BAND%2B%28Golds%29%2BAND%2B%28.2016.%29%2BAND%2B%28EWCA%29 (Accessed: 07 February 2024)</w:t>
      </w:r>
      <w:r w:rsidR="006C63E2">
        <w:t>.</w:t>
      </w:r>
    </w:p>
    <w:p w14:paraId="1DF59A26" w14:textId="77777777" w:rsidR="00FA0583" w:rsidRPr="005C02D1" w:rsidRDefault="00FA0583" w:rsidP="00494CF6"/>
    <w:sectPr w:rsidR="00FA0583" w:rsidRPr="005C02D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3BA32" w14:textId="77777777" w:rsidR="00FE5DFC" w:rsidRDefault="00FE5DFC" w:rsidP="004C39E5">
      <w:pPr>
        <w:spacing w:after="0" w:line="240" w:lineRule="auto"/>
      </w:pPr>
      <w:r>
        <w:separator/>
      </w:r>
    </w:p>
  </w:endnote>
  <w:endnote w:type="continuationSeparator" w:id="0">
    <w:p w14:paraId="5FE212CF" w14:textId="77777777" w:rsidR="00FE5DFC" w:rsidRDefault="00FE5DFC" w:rsidP="004C3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358730"/>
      <w:docPartObj>
        <w:docPartGallery w:val="Page Numbers (Bottom of Page)"/>
        <w:docPartUnique/>
      </w:docPartObj>
    </w:sdtPr>
    <w:sdtEndPr>
      <w:rPr>
        <w:noProof/>
      </w:rPr>
    </w:sdtEndPr>
    <w:sdtContent>
      <w:p w14:paraId="2313CD96" w14:textId="4E04AD50" w:rsidR="004C39E5" w:rsidRDefault="004C39E5">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985529B" w14:textId="77777777" w:rsidR="004C39E5" w:rsidRDefault="004C39E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4FC25" w14:textId="77777777" w:rsidR="00FE5DFC" w:rsidRDefault="00FE5DFC" w:rsidP="004C39E5">
      <w:pPr>
        <w:spacing w:after="0" w:line="240" w:lineRule="auto"/>
      </w:pPr>
      <w:r>
        <w:separator/>
      </w:r>
    </w:p>
  </w:footnote>
  <w:footnote w:type="continuationSeparator" w:id="0">
    <w:p w14:paraId="7CDD23A7" w14:textId="77777777" w:rsidR="00FE5DFC" w:rsidRDefault="00FE5DFC" w:rsidP="004C3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52758"/>
    <w:multiLevelType w:val="multilevel"/>
    <w:tmpl w:val="07D0F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F777F0"/>
    <w:multiLevelType w:val="multilevel"/>
    <w:tmpl w:val="2C30A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A06042"/>
    <w:multiLevelType w:val="multilevel"/>
    <w:tmpl w:val="1E063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E30E1D"/>
    <w:multiLevelType w:val="multilevel"/>
    <w:tmpl w:val="4A36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4784858">
    <w:abstractNumId w:val="3"/>
  </w:num>
  <w:num w:numId="2" w16cid:durableId="452333139">
    <w:abstractNumId w:val="2"/>
  </w:num>
  <w:num w:numId="3" w16cid:durableId="1820610594">
    <w:abstractNumId w:val="1"/>
  </w:num>
  <w:num w:numId="4" w16cid:durableId="281766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FF7"/>
    <w:rsid w:val="000540D8"/>
    <w:rsid w:val="00096057"/>
    <w:rsid w:val="001146DF"/>
    <w:rsid w:val="001564AB"/>
    <w:rsid w:val="001B3141"/>
    <w:rsid w:val="001D4ABF"/>
    <w:rsid w:val="002D3574"/>
    <w:rsid w:val="002F6DDB"/>
    <w:rsid w:val="00341FF7"/>
    <w:rsid w:val="00380CD3"/>
    <w:rsid w:val="003A2926"/>
    <w:rsid w:val="003A534B"/>
    <w:rsid w:val="003D5BEA"/>
    <w:rsid w:val="004104C9"/>
    <w:rsid w:val="00494CF6"/>
    <w:rsid w:val="004C39E5"/>
    <w:rsid w:val="00524F48"/>
    <w:rsid w:val="005B5C8A"/>
    <w:rsid w:val="005C02D1"/>
    <w:rsid w:val="00631B79"/>
    <w:rsid w:val="006C63E2"/>
    <w:rsid w:val="006D7DFA"/>
    <w:rsid w:val="00713BE1"/>
    <w:rsid w:val="00746095"/>
    <w:rsid w:val="008F543C"/>
    <w:rsid w:val="009718FA"/>
    <w:rsid w:val="0098674E"/>
    <w:rsid w:val="009E7D9F"/>
    <w:rsid w:val="00A03997"/>
    <w:rsid w:val="00A15E3C"/>
    <w:rsid w:val="00A37304"/>
    <w:rsid w:val="00AC5F46"/>
    <w:rsid w:val="00B52715"/>
    <w:rsid w:val="00B66A75"/>
    <w:rsid w:val="00C662F6"/>
    <w:rsid w:val="00D605D0"/>
    <w:rsid w:val="00DF7CD0"/>
    <w:rsid w:val="00F67BE3"/>
    <w:rsid w:val="00F8553C"/>
    <w:rsid w:val="00FA0583"/>
    <w:rsid w:val="00FE5D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5224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FA"/>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D605D0"/>
    <w:pPr>
      <w:keepNext/>
      <w:keepLines/>
      <w:spacing w:before="240" w:after="0" w:line="480" w:lineRule="auto"/>
      <w:outlineLvl w:val="0"/>
    </w:pPr>
    <w:rPr>
      <w:rFonts w:eastAsiaTheme="majorEastAsia" w:cstheme="majorBidi"/>
      <w:b/>
      <w:sz w:val="36"/>
      <w:szCs w:val="32"/>
    </w:rPr>
  </w:style>
  <w:style w:type="paragraph" w:styleId="Titlu2">
    <w:name w:val="heading 2"/>
    <w:basedOn w:val="Normal"/>
    <w:next w:val="Normal"/>
    <w:link w:val="Titlu2Caracter"/>
    <w:uiPriority w:val="9"/>
    <w:unhideWhenUsed/>
    <w:qFormat/>
    <w:rsid w:val="002D3574"/>
    <w:pPr>
      <w:keepNext/>
      <w:keepLines/>
      <w:spacing w:before="40" w:after="0"/>
      <w:outlineLvl w:val="1"/>
    </w:pPr>
    <w:rPr>
      <w:rFonts w:eastAsiaTheme="majorEastAsia" w:cstheme="majorBidi"/>
      <w:b/>
      <w:sz w:val="32"/>
      <w:szCs w:val="26"/>
    </w:rPr>
  </w:style>
  <w:style w:type="paragraph" w:styleId="Titlu3">
    <w:name w:val="heading 3"/>
    <w:basedOn w:val="Normal"/>
    <w:next w:val="Normal"/>
    <w:link w:val="Titlu3Caracte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605D0"/>
    <w:rPr>
      <w:rFonts w:ascii="Times New Roman" w:eastAsiaTheme="majorEastAsia" w:hAnsi="Times New Roman" w:cstheme="majorBidi"/>
      <w:b/>
      <w:sz w:val="36"/>
      <w:szCs w:val="32"/>
    </w:rPr>
  </w:style>
  <w:style w:type="paragraph" w:styleId="Titlu">
    <w:name w:val="Title"/>
    <w:basedOn w:val="Titlu3"/>
    <w:next w:val="Normal"/>
    <w:link w:val="TitluCaracter"/>
    <w:autoRedefine/>
    <w:uiPriority w:val="10"/>
    <w:qFormat/>
    <w:rsid w:val="00D605D0"/>
    <w:pPr>
      <w:spacing w:line="240" w:lineRule="auto"/>
      <w:contextualSpacing/>
    </w:pPr>
    <w:rPr>
      <w:b w:val="0"/>
      <w:spacing w:val="-10"/>
      <w:kern w:val="28"/>
      <w:szCs w:val="56"/>
    </w:rPr>
  </w:style>
  <w:style w:type="character" w:customStyle="1" w:styleId="TitluCaracter">
    <w:name w:val="Titlu Caracter"/>
    <w:basedOn w:val="Fontdeparagrafimplicit"/>
    <w:link w:val="Titlu"/>
    <w:uiPriority w:val="10"/>
    <w:rsid w:val="00D605D0"/>
    <w:rPr>
      <w:rFonts w:ascii="Times New Roman" w:eastAsiaTheme="majorEastAsia" w:hAnsi="Times New Roman" w:cstheme="majorBidi"/>
      <w:b/>
      <w:spacing w:val="-10"/>
      <w:kern w:val="28"/>
      <w:sz w:val="28"/>
      <w:szCs w:val="56"/>
    </w:rPr>
  </w:style>
  <w:style w:type="character" w:customStyle="1" w:styleId="Titlu3Caracter">
    <w:name w:val="Titlu 3 Caracter"/>
    <w:basedOn w:val="Fontdeparagrafimplicit"/>
    <w:link w:val="Titlu3"/>
    <w:uiPriority w:val="9"/>
    <w:semiHidden/>
    <w:rsid w:val="00096057"/>
    <w:rPr>
      <w:rFonts w:ascii="Times New Roman" w:eastAsiaTheme="majorEastAsia" w:hAnsi="Times New Roman" w:cstheme="majorBidi"/>
      <w:b/>
      <w:sz w:val="28"/>
      <w:szCs w:val="24"/>
    </w:rPr>
  </w:style>
  <w:style w:type="character" w:customStyle="1" w:styleId="Titlu2Caracter">
    <w:name w:val="Titlu 2 Caracter"/>
    <w:basedOn w:val="Fontdeparagrafimplicit"/>
    <w:link w:val="Titlu2"/>
    <w:uiPriority w:val="9"/>
    <w:rsid w:val="002D3574"/>
    <w:rPr>
      <w:rFonts w:ascii="Times New Roman" w:eastAsiaTheme="majorEastAsia" w:hAnsi="Times New Roman" w:cstheme="majorBidi"/>
      <w:b/>
      <w:sz w:val="32"/>
      <w:szCs w:val="26"/>
    </w:rPr>
  </w:style>
  <w:style w:type="paragraph" w:styleId="Titlucuprins">
    <w:name w:val="TOC Heading"/>
    <w:basedOn w:val="Titlu1"/>
    <w:next w:val="Normal"/>
    <w:uiPriority w:val="39"/>
    <w:unhideWhenUsed/>
    <w:qFormat/>
    <w:rsid w:val="00494CF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494CF6"/>
    <w:pPr>
      <w:spacing w:after="100"/>
    </w:pPr>
  </w:style>
  <w:style w:type="paragraph" w:styleId="Cuprins2">
    <w:name w:val="toc 2"/>
    <w:basedOn w:val="Normal"/>
    <w:next w:val="Normal"/>
    <w:autoRedefine/>
    <w:uiPriority w:val="39"/>
    <w:unhideWhenUsed/>
    <w:rsid w:val="00494CF6"/>
    <w:pPr>
      <w:spacing w:after="100"/>
      <w:ind w:left="240"/>
    </w:pPr>
  </w:style>
  <w:style w:type="character" w:styleId="Hyperlink">
    <w:name w:val="Hyperlink"/>
    <w:basedOn w:val="Fontdeparagrafimplicit"/>
    <w:uiPriority w:val="99"/>
    <w:unhideWhenUsed/>
    <w:rsid w:val="00494CF6"/>
    <w:rPr>
      <w:color w:val="0563C1" w:themeColor="hyperlink"/>
      <w:u w:val="single"/>
    </w:rPr>
  </w:style>
  <w:style w:type="paragraph" w:styleId="Antet">
    <w:name w:val="header"/>
    <w:basedOn w:val="Normal"/>
    <w:link w:val="AntetCaracter"/>
    <w:uiPriority w:val="99"/>
    <w:unhideWhenUsed/>
    <w:rsid w:val="004C39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C39E5"/>
    <w:rPr>
      <w:rFonts w:ascii="Times New Roman" w:hAnsi="Times New Roman"/>
      <w:sz w:val="24"/>
    </w:rPr>
  </w:style>
  <w:style w:type="paragraph" w:styleId="Subsol">
    <w:name w:val="footer"/>
    <w:basedOn w:val="Normal"/>
    <w:link w:val="SubsolCaracter"/>
    <w:uiPriority w:val="99"/>
    <w:unhideWhenUsed/>
    <w:rsid w:val="004C39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C39E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06693">
      <w:bodyDiv w:val="1"/>
      <w:marLeft w:val="0"/>
      <w:marRight w:val="0"/>
      <w:marTop w:val="0"/>
      <w:marBottom w:val="0"/>
      <w:divBdr>
        <w:top w:val="none" w:sz="0" w:space="0" w:color="auto"/>
        <w:left w:val="none" w:sz="0" w:space="0" w:color="auto"/>
        <w:bottom w:val="none" w:sz="0" w:space="0" w:color="auto"/>
        <w:right w:val="none" w:sz="0" w:space="0" w:color="auto"/>
      </w:divBdr>
    </w:div>
    <w:div w:id="875774097">
      <w:bodyDiv w:val="1"/>
      <w:marLeft w:val="0"/>
      <w:marRight w:val="0"/>
      <w:marTop w:val="0"/>
      <w:marBottom w:val="0"/>
      <w:divBdr>
        <w:top w:val="none" w:sz="0" w:space="0" w:color="auto"/>
        <w:left w:val="none" w:sz="0" w:space="0" w:color="auto"/>
        <w:bottom w:val="none" w:sz="0" w:space="0" w:color="auto"/>
        <w:right w:val="none" w:sz="0" w:space="0" w:color="auto"/>
      </w:divBdr>
    </w:div>
    <w:div w:id="1248879824">
      <w:bodyDiv w:val="1"/>
      <w:marLeft w:val="0"/>
      <w:marRight w:val="0"/>
      <w:marTop w:val="0"/>
      <w:marBottom w:val="0"/>
      <w:divBdr>
        <w:top w:val="none" w:sz="0" w:space="0" w:color="auto"/>
        <w:left w:val="none" w:sz="0" w:space="0" w:color="auto"/>
        <w:bottom w:val="none" w:sz="0" w:space="0" w:color="auto"/>
        <w:right w:val="none" w:sz="0" w:space="0" w:color="auto"/>
      </w:divBdr>
    </w:div>
    <w:div w:id="201885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18D06-6F91-44BB-B30E-8E519D7C20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1857</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2024-02-07T12:07:00Z</dcterms:created>
  <dcterms:modified xsi:type="dcterms:W3CDTF">2024-02-11T15:21:00Z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50925800b79abfb6d5150394a2a3460757203c7d3bf763c914aaaf02e25a3be7</vt:lpwstr>
  </property>
</Properties>
</file>