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60FA" w:rsidRPr="00B760FA" w:rsidRDefault="00B760FA" w:rsidP="00B760FA">
      <w:pPr>
        <w:spacing w:after="0" w:line="240" w:lineRule="auto"/>
        <w:rPr>
          <w:rFonts w:ascii="Times New Roman" w:eastAsia="Times New Roman" w:hAnsi="Times New Roman" w:cs="Times New Roman"/>
          <w:bCs/>
          <w:sz w:val="24"/>
          <w:szCs w:val="20"/>
        </w:rPr>
      </w:pPr>
      <w:r w:rsidRPr="00B760FA">
        <w:rPr>
          <w:rFonts w:ascii="Times New Roman" w:eastAsia="Times New Roman" w:hAnsi="Times New Roman" w:cs="Times New Roman"/>
          <w:bCs/>
          <w:sz w:val="24"/>
          <w:szCs w:val="20"/>
        </w:rPr>
        <w:t xml:space="preserve">1. John Locke argues that what is crucial to </w:t>
      </w:r>
      <w:proofErr w:type="gramStart"/>
      <w:r w:rsidRPr="00B760FA">
        <w:rPr>
          <w:rFonts w:ascii="Times New Roman" w:eastAsia="Times New Roman" w:hAnsi="Times New Roman" w:cs="Times New Roman"/>
          <w:bCs/>
          <w:sz w:val="24"/>
          <w:szCs w:val="20"/>
        </w:rPr>
        <w:t>being</w:t>
      </w:r>
      <w:proofErr w:type="gramEnd"/>
      <w:r w:rsidRPr="00B760FA">
        <w:rPr>
          <w:rFonts w:ascii="Times New Roman" w:eastAsia="Times New Roman" w:hAnsi="Times New Roman" w:cs="Times New Roman"/>
          <w:bCs/>
          <w:sz w:val="24"/>
          <w:szCs w:val="20"/>
        </w:rPr>
        <w:t xml:space="preserve"> the same person as the one who did a particular thing yesterday is neither having the same ‘immaterial substance’ (‘thinking spirit’) nor ‘being the same man’ (the same continuous bodily life). Outline and assess his arguments against each of these positions.</w:t>
      </w:r>
    </w:p>
    <w:p w:rsidR="00B760FA" w:rsidRPr="00B760FA" w:rsidRDefault="00B760FA" w:rsidP="00B760FA">
      <w:pPr>
        <w:spacing w:after="0" w:line="240" w:lineRule="auto"/>
        <w:rPr>
          <w:rFonts w:ascii="Times New Roman" w:eastAsia="Times New Roman" w:hAnsi="Times New Roman" w:cs="Times New Roman"/>
          <w:sz w:val="24"/>
          <w:szCs w:val="24"/>
        </w:rPr>
      </w:pPr>
      <w:r w:rsidRPr="00B760FA">
        <w:rPr>
          <w:rFonts w:ascii="Times New Roman" w:eastAsia="Times New Roman" w:hAnsi="Times New Roman" w:cs="Times New Roman"/>
          <w:sz w:val="24"/>
          <w:szCs w:val="24"/>
        </w:rPr>
        <w:t xml:space="preserve">ESSAY GUIDANCE: This question asks specifically about the arguments of a particular philosopher; </w:t>
      </w:r>
      <w:proofErr w:type="gramStart"/>
      <w:r w:rsidRPr="00B760FA">
        <w:rPr>
          <w:rFonts w:ascii="Times New Roman" w:eastAsia="Times New Roman" w:hAnsi="Times New Roman" w:cs="Times New Roman"/>
          <w:sz w:val="24"/>
          <w:szCs w:val="24"/>
        </w:rPr>
        <w:t>so</w:t>
      </w:r>
      <w:proofErr w:type="gramEnd"/>
      <w:r w:rsidRPr="00B760FA">
        <w:rPr>
          <w:rFonts w:ascii="Times New Roman" w:eastAsia="Times New Roman" w:hAnsi="Times New Roman" w:cs="Times New Roman"/>
          <w:sz w:val="24"/>
          <w:szCs w:val="24"/>
        </w:rPr>
        <w:t xml:space="preserve"> it calls for a close reading of, and response to, the text: John Locke, ‘Of Identity and Diversity’; Book II chapter 27 of </w:t>
      </w:r>
      <w:r w:rsidRPr="00B760FA">
        <w:rPr>
          <w:rFonts w:ascii="Times New Roman" w:eastAsia="Times New Roman" w:hAnsi="Times New Roman" w:cs="Times New Roman"/>
          <w:i/>
          <w:sz w:val="24"/>
          <w:szCs w:val="24"/>
        </w:rPr>
        <w:t>An Essay Concerning Human Understanding.</w:t>
      </w:r>
      <w:r w:rsidRPr="00B760FA">
        <w:rPr>
          <w:rFonts w:ascii="Times New Roman" w:eastAsia="Times New Roman" w:hAnsi="Times New Roman" w:cs="Times New Roman"/>
          <w:sz w:val="24"/>
          <w:szCs w:val="24"/>
        </w:rPr>
        <w:t xml:space="preserve"> This is not entirely straightforward reading, and your first task will be to go through it carefully. You may decide to work solely with this text: a </w:t>
      </w:r>
      <w:proofErr w:type="gramStart"/>
      <w:r w:rsidRPr="00B760FA">
        <w:rPr>
          <w:rFonts w:ascii="Times New Roman" w:eastAsia="Times New Roman" w:hAnsi="Times New Roman" w:cs="Times New Roman"/>
          <w:sz w:val="24"/>
          <w:szCs w:val="24"/>
        </w:rPr>
        <w:t>really close</w:t>
      </w:r>
      <w:proofErr w:type="gramEnd"/>
      <w:r w:rsidRPr="00B760FA">
        <w:rPr>
          <w:rFonts w:ascii="Times New Roman" w:eastAsia="Times New Roman" w:hAnsi="Times New Roman" w:cs="Times New Roman"/>
          <w:sz w:val="24"/>
          <w:szCs w:val="24"/>
        </w:rPr>
        <w:t xml:space="preserve"> reading of this, combined with serious thought of your own, will be a completely sufficient basis for an essay. </w:t>
      </w:r>
    </w:p>
    <w:p w:rsidR="00B760FA" w:rsidRPr="00B760FA" w:rsidRDefault="00B760FA" w:rsidP="00B760FA">
      <w:pPr>
        <w:spacing w:after="0" w:line="240" w:lineRule="auto"/>
        <w:rPr>
          <w:rFonts w:ascii="Times New Roman" w:eastAsia="Times New Roman" w:hAnsi="Times New Roman" w:cs="Times New Roman"/>
          <w:sz w:val="24"/>
          <w:szCs w:val="24"/>
        </w:rPr>
      </w:pPr>
      <w:r w:rsidRPr="00B760FA">
        <w:rPr>
          <w:rFonts w:ascii="Times New Roman" w:eastAsia="Times New Roman" w:hAnsi="Times New Roman" w:cs="Times New Roman"/>
          <w:sz w:val="24"/>
          <w:szCs w:val="24"/>
        </w:rPr>
        <w:t xml:space="preserve">    You will need to get a firm grasp on what Locke understands by the phrase ‘identity of the same man’: in what conditions he thinks we can say of someone that he is the same </w:t>
      </w:r>
      <w:r w:rsidRPr="00B760FA">
        <w:rPr>
          <w:rFonts w:ascii="Times New Roman" w:eastAsia="Times New Roman" w:hAnsi="Times New Roman" w:cs="Times New Roman"/>
          <w:i/>
          <w:iCs/>
          <w:sz w:val="24"/>
          <w:szCs w:val="24"/>
        </w:rPr>
        <w:t xml:space="preserve">man </w:t>
      </w:r>
      <w:r w:rsidRPr="00B760FA">
        <w:rPr>
          <w:rFonts w:ascii="Times New Roman" w:eastAsia="Times New Roman" w:hAnsi="Times New Roman" w:cs="Times New Roman"/>
          <w:sz w:val="24"/>
          <w:szCs w:val="24"/>
        </w:rPr>
        <w:t xml:space="preserve">(paragraph 6). It is also crucial to grasp his suggestion that in thinking about identity: ‘we must consider what idea the word it is applied to stands for; it being one thing to be the same </w:t>
      </w:r>
      <w:r w:rsidRPr="00B760FA">
        <w:rPr>
          <w:rFonts w:ascii="Times New Roman" w:eastAsia="Times New Roman" w:hAnsi="Times New Roman" w:cs="Times New Roman"/>
          <w:i/>
          <w:iCs/>
          <w:sz w:val="24"/>
          <w:szCs w:val="24"/>
        </w:rPr>
        <w:t>substance</w:t>
      </w:r>
      <w:r w:rsidRPr="00B760FA">
        <w:rPr>
          <w:rFonts w:ascii="Times New Roman" w:eastAsia="Times New Roman" w:hAnsi="Times New Roman" w:cs="Times New Roman"/>
          <w:sz w:val="24"/>
          <w:szCs w:val="24"/>
        </w:rPr>
        <w:t xml:space="preserve">, another the same </w:t>
      </w:r>
      <w:r w:rsidRPr="00B760FA">
        <w:rPr>
          <w:rFonts w:ascii="Times New Roman" w:eastAsia="Times New Roman" w:hAnsi="Times New Roman" w:cs="Times New Roman"/>
          <w:i/>
          <w:iCs/>
          <w:sz w:val="24"/>
          <w:szCs w:val="24"/>
        </w:rPr>
        <w:t>man</w:t>
      </w:r>
      <w:r w:rsidRPr="00B760FA">
        <w:rPr>
          <w:rFonts w:ascii="Times New Roman" w:eastAsia="Times New Roman" w:hAnsi="Times New Roman" w:cs="Times New Roman"/>
          <w:sz w:val="24"/>
          <w:szCs w:val="24"/>
        </w:rPr>
        <w:t xml:space="preserve">, and a third the same </w:t>
      </w:r>
      <w:r w:rsidRPr="00B760FA">
        <w:rPr>
          <w:rFonts w:ascii="Times New Roman" w:eastAsia="Times New Roman" w:hAnsi="Times New Roman" w:cs="Times New Roman"/>
          <w:i/>
          <w:iCs/>
          <w:sz w:val="24"/>
          <w:szCs w:val="24"/>
        </w:rPr>
        <w:t>person</w:t>
      </w:r>
      <w:r w:rsidRPr="00B760FA">
        <w:rPr>
          <w:rFonts w:ascii="Times New Roman" w:eastAsia="Times New Roman" w:hAnsi="Times New Roman" w:cs="Times New Roman"/>
          <w:sz w:val="24"/>
          <w:szCs w:val="24"/>
        </w:rPr>
        <w:t xml:space="preserve">’ (paragraph 7). Locke holds that there are circumstances in which we might, pointing at someone, say that this is the same man as one we met last week but not the same person – and vice versa. You need to be </w:t>
      </w:r>
      <w:proofErr w:type="gramStart"/>
      <w:r w:rsidRPr="00B760FA">
        <w:rPr>
          <w:rFonts w:ascii="Times New Roman" w:eastAsia="Times New Roman" w:hAnsi="Times New Roman" w:cs="Times New Roman"/>
          <w:sz w:val="24"/>
          <w:szCs w:val="24"/>
        </w:rPr>
        <w:t>absolutely clear</w:t>
      </w:r>
      <w:proofErr w:type="gramEnd"/>
      <w:r w:rsidRPr="00B760FA">
        <w:rPr>
          <w:rFonts w:ascii="Times New Roman" w:eastAsia="Times New Roman" w:hAnsi="Times New Roman" w:cs="Times New Roman"/>
          <w:sz w:val="24"/>
          <w:szCs w:val="24"/>
        </w:rPr>
        <w:t xml:space="preserve"> about the sense of that suggestion; and about the conditions Locke holds to be necessary for it to be true that this is the same </w:t>
      </w:r>
      <w:r w:rsidRPr="00B760FA">
        <w:rPr>
          <w:rFonts w:ascii="Times New Roman" w:eastAsia="Times New Roman" w:hAnsi="Times New Roman" w:cs="Times New Roman"/>
          <w:i/>
          <w:iCs/>
          <w:sz w:val="24"/>
          <w:szCs w:val="24"/>
        </w:rPr>
        <w:t>person</w:t>
      </w:r>
      <w:r w:rsidRPr="00B760FA">
        <w:rPr>
          <w:rFonts w:ascii="Times New Roman" w:eastAsia="Times New Roman" w:hAnsi="Times New Roman" w:cs="Times New Roman"/>
          <w:sz w:val="24"/>
          <w:szCs w:val="24"/>
        </w:rPr>
        <w:t xml:space="preserve"> as an earlier one. This is his own positive view, in terms of memory (‘consciousness’); you will need to consider this view, for it is by appeal to this account (</w:t>
      </w:r>
      <w:proofErr w:type="spellStart"/>
      <w:r w:rsidRPr="00B760FA">
        <w:rPr>
          <w:rFonts w:ascii="Times New Roman" w:eastAsia="Times New Roman" w:hAnsi="Times New Roman" w:cs="Times New Roman"/>
          <w:sz w:val="24"/>
          <w:szCs w:val="24"/>
        </w:rPr>
        <w:t>ie</w:t>
      </w:r>
      <w:proofErr w:type="spellEnd"/>
      <w:r w:rsidRPr="00B760FA">
        <w:rPr>
          <w:rFonts w:ascii="Times New Roman" w:eastAsia="Times New Roman" w:hAnsi="Times New Roman" w:cs="Times New Roman"/>
          <w:sz w:val="24"/>
          <w:szCs w:val="24"/>
        </w:rPr>
        <w:t xml:space="preserve"> roughly: ‘She is the person who robbed the bank if she remembers robbing the bank’) that Locke criticizes the two views mentioned in the essay title. Locke gives a strong emphasis to the practical consequences, </w:t>
      </w:r>
      <w:proofErr w:type="gramStart"/>
      <w:r w:rsidRPr="00B760FA">
        <w:rPr>
          <w:rFonts w:ascii="Times New Roman" w:eastAsia="Times New Roman" w:hAnsi="Times New Roman" w:cs="Times New Roman"/>
          <w:sz w:val="24"/>
          <w:szCs w:val="24"/>
        </w:rPr>
        <w:t>in particular for</w:t>
      </w:r>
      <w:proofErr w:type="gramEnd"/>
      <w:r w:rsidRPr="00B760FA">
        <w:rPr>
          <w:rFonts w:ascii="Times New Roman" w:eastAsia="Times New Roman" w:hAnsi="Times New Roman" w:cs="Times New Roman"/>
          <w:sz w:val="24"/>
          <w:szCs w:val="24"/>
        </w:rPr>
        <w:t xml:space="preserve"> reward and punishment, of his account of what is required for being the same person; in assessing his views it might be a good idea to look very closely at this: asking whether his position is really as close to common sense as he assumes.</w:t>
      </w:r>
    </w:p>
    <w:p w:rsidR="00B760FA" w:rsidRPr="00B760FA" w:rsidRDefault="00B760FA" w:rsidP="00B760FA">
      <w:pPr>
        <w:spacing w:after="0" w:line="240" w:lineRule="auto"/>
        <w:rPr>
          <w:rFonts w:ascii="Times New Roman" w:eastAsia="Times New Roman" w:hAnsi="Times New Roman" w:cs="Times New Roman"/>
          <w:sz w:val="24"/>
          <w:szCs w:val="24"/>
        </w:rPr>
      </w:pPr>
      <w:r w:rsidRPr="00B760FA">
        <w:rPr>
          <w:rFonts w:ascii="Times New Roman" w:eastAsia="Times New Roman" w:hAnsi="Times New Roman" w:cs="Times New Roman"/>
          <w:sz w:val="24"/>
          <w:szCs w:val="24"/>
        </w:rPr>
        <w:t xml:space="preserve">    Before you start writing you need carefully to pinpoint the different stages in Locke’s argument: identifying the </w:t>
      </w:r>
      <w:proofErr w:type="gramStart"/>
      <w:r w:rsidRPr="00B760FA">
        <w:rPr>
          <w:rFonts w:ascii="Times New Roman" w:eastAsia="Times New Roman" w:hAnsi="Times New Roman" w:cs="Times New Roman"/>
          <w:sz w:val="24"/>
          <w:szCs w:val="24"/>
        </w:rPr>
        <w:t>particular paragraphs</w:t>
      </w:r>
      <w:proofErr w:type="gramEnd"/>
      <w:r w:rsidRPr="00B760FA">
        <w:rPr>
          <w:rFonts w:ascii="Times New Roman" w:eastAsia="Times New Roman" w:hAnsi="Times New Roman" w:cs="Times New Roman"/>
          <w:sz w:val="24"/>
          <w:szCs w:val="24"/>
        </w:rPr>
        <w:t xml:space="preserve"> in which he is defending specific points. In writing your essay give paragraph references when referring to specific points that he makes. You might want to give brief quotations from Locke when you think he puts a point particularly well, or when his precise wording seems to be crucial; but these should be no more than a sentence or two.</w:t>
      </w:r>
    </w:p>
    <w:p w:rsidR="00B760FA" w:rsidRPr="00B760FA" w:rsidRDefault="00B760FA" w:rsidP="00B760FA">
      <w:pPr>
        <w:spacing w:after="0" w:line="240" w:lineRule="auto"/>
        <w:rPr>
          <w:rFonts w:ascii="Times New Roman" w:eastAsia="Times New Roman" w:hAnsi="Times New Roman" w:cs="Times New Roman"/>
          <w:sz w:val="24"/>
          <w:szCs w:val="24"/>
        </w:rPr>
      </w:pPr>
      <w:r w:rsidRPr="00B760FA">
        <w:rPr>
          <w:rFonts w:ascii="Times New Roman" w:eastAsia="Times New Roman" w:hAnsi="Times New Roman" w:cs="Times New Roman"/>
          <w:sz w:val="24"/>
          <w:szCs w:val="24"/>
        </w:rPr>
        <w:t>READING. Besides Locke’s chapter itself, you will find discussions of this chapter in most of the books on Locke available in the library, and in some of the papers (</w:t>
      </w:r>
      <w:proofErr w:type="gramStart"/>
      <w:r w:rsidRPr="00B760FA">
        <w:rPr>
          <w:rFonts w:ascii="Times New Roman" w:eastAsia="Times New Roman" w:hAnsi="Times New Roman" w:cs="Times New Roman"/>
          <w:sz w:val="24"/>
          <w:szCs w:val="24"/>
        </w:rPr>
        <w:t>in particular, those</w:t>
      </w:r>
      <w:proofErr w:type="gramEnd"/>
      <w:r w:rsidRPr="00B760FA">
        <w:rPr>
          <w:rFonts w:ascii="Times New Roman" w:eastAsia="Times New Roman" w:hAnsi="Times New Roman" w:cs="Times New Roman"/>
          <w:sz w:val="24"/>
          <w:szCs w:val="24"/>
        </w:rPr>
        <w:t xml:space="preserve"> by Butler and Reid) in the collection </w:t>
      </w:r>
      <w:r w:rsidRPr="00B760FA">
        <w:rPr>
          <w:rFonts w:ascii="Times New Roman" w:eastAsia="Times New Roman" w:hAnsi="Times New Roman" w:cs="Times New Roman"/>
          <w:sz w:val="24"/>
          <w:szCs w:val="24"/>
          <w:lang w:val="en-US"/>
        </w:rPr>
        <w:t>John Perry (</w:t>
      </w:r>
      <w:proofErr w:type="spellStart"/>
      <w:r w:rsidRPr="00B760FA">
        <w:rPr>
          <w:rFonts w:ascii="Times New Roman" w:eastAsia="Times New Roman" w:hAnsi="Times New Roman" w:cs="Times New Roman"/>
          <w:sz w:val="24"/>
          <w:szCs w:val="24"/>
          <w:lang w:val="en-US"/>
        </w:rPr>
        <w:t>ed</w:t>
      </w:r>
      <w:proofErr w:type="spellEnd"/>
      <w:r w:rsidRPr="00B760FA">
        <w:rPr>
          <w:rFonts w:ascii="Times New Roman" w:eastAsia="Times New Roman" w:hAnsi="Times New Roman" w:cs="Times New Roman"/>
          <w:sz w:val="24"/>
          <w:szCs w:val="24"/>
          <w:lang w:val="en-US"/>
        </w:rPr>
        <w:t xml:space="preserve">), </w:t>
      </w:r>
      <w:r w:rsidRPr="00B760FA">
        <w:rPr>
          <w:rFonts w:ascii="Times New Roman" w:eastAsia="Times New Roman" w:hAnsi="Times New Roman" w:cs="Times New Roman"/>
          <w:i/>
          <w:sz w:val="24"/>
          <w:szCs w:val="24"/>
          <w:lang w:val="en-US"/>
        </w:rPr>
        <w:t>Personal Identity</w:t>
      </w:r>
      <w:r w:rsidRPr="00B760FA">
        <w:rPr>
          <w:rFonts w:ascii="Times New Roman" w:eastAsia="Times New Roman" w:hAnsi="Times New Roman" w:cs="Times New Roman"/>
          <w:sz w:val="24"/>
          <w:szCs w:val="24"/>
        </w:rPr>
        <w:t xml:space="preserve">. One other particularly detailed discussion is Antony Flew, ‘Locke and the Problem of Personal Identity’. The ‘First Night’ of the Perry </w:t>
      </w:r>
      <w:r w:rsidRPr="00B760FA">
        <w:rPr>
          <w:rFonts w:ascii="Times New Roman" w:eastAsia="Times New Roman" w:hAnsi="Times New Roman" w:cs="Times New Roman"/>
          <w:i/>
          <w:iCs/>
          <w:sz w:val="24"/>
          <w:szCs w:val="24"/>
        </w:rPr>
        <w:t>Dialogue</w:t>
      </w:r>
      <w:r w:rsidRPr="00B760FA">
        <w:rPr>
          <w:rFonts w:ascii="Times New Roman" w:eastAsia="Times New Roman" w:hAnsi="Times New Roman" w:cs="Times New Roman"/>
          <w:sz w:val="24"/>
          <w:szCs w:val="24"/>
        </w:rPr>
        <w:t xml:space="preserve"> (see reading list) is a defence of one part of Locke’s thesis; the ‘Second Night’ is</w:t>
      </w:r>
      <w:proofErr w:type="gramStart"/>
      <w:r w:rsidRPr="00B760FA">
        <w:rPr>
          <w:rFonts w:ascii="Times New Roman" w:eastAsia="Times New Roman" w:hAnsi="Times New Roman" w:cs="Times New Roman"/>
          <w:sz w:val="24"/>
          <w:szCs w:val="24"/>
        </w:rPr>
        <w:t>, in essence, a</w:t>
      </w:r>
      <w:proofErr w:type="gramEnd"/>
      <w:r w:rsidRPr="00B760FA">
        <w:rPr>
          <w:rFonts w:ascii="Times New Roman" w:eastAsia="Times New Roman" w:hAnsi="Times New Roman" w:cs="Times New Roman"/>
          <w:sz w:val="24"/>
          <w:szCs w:val="24"/>
        </w:rPr>
        <w:t xml:space="preserve"> criticism of another strand in his thesis. </w:t>
      </w:r>
    </w:p>
    <w:p w:rsidR="00B760FA" w:rsidRPr="00B760FA" w:rsidRDefault="00B760FA" w:rsidP="00B760FA">
      <w:pPr>
        <w:spacing w:after="0" w:line="240" w:lineRule="auto"/>
        <w:rPr>
          <w:rFonts w:ascii="Times New Roman" w:eastAsia="Times New Roman" w:hAnsi="Times New Roman" w:cs="Times New Roman"/>
          <w:sz w:val="24"/>
          <w:szCs w:val="24"/>
        </w:rPr>
      </w:pPr>
    </w:p>
    <w:p w:rsidR="00B760FA" w:rsidRPr="00B760FA" w:rsidRDefault="00B760FA" w:rsidP="00B760FA">
      <w:pPr>
        <w:spacing w:after="0" w:line="240" w:lineRule="auto"/>
        <w:rPr>
          <w:rFonts w:ascii="Times New Roman" w:eastAsia="Times New Roman" w:hAnsi="Times New Roman" w:cs="Times New Roman"/>
          <w:sz w:val="24"/>
          <w:szCs w:val="24"/>
          <w:lang w:val="en-US"/>
        </w:rPr>
      </w:pPr>
    </w:p>
    <w:p w:rsidR="00B760FA" w:rsidRPr="00B760FA" w:rsidRDefault="00B760FA" w:rsidP="00B760FA">
      <w:pPr>
        <w:spacing w:after="0" w:line="240" w:lineRule="auto"/>
        <w:rPr>
          <w:rFonts w:ascii="Times New Roman" w:eastAsia="Times New Roman" w:hAnsi="Times New Roman" w:cs="Times New Roman"/>
          <w:bCs/>
          <w:sz w:val="24"/>
          <w:szCs w:val="20"/>
        </w:rPr>
      </w:pPr>
    </w:p>
    <w:p w:rsidR="00B760FA" w:rsidRPr="00B760FA" w:rsidRDefault="00B760FA" w:rsidP="00B760FA">
      <w:pPr>
        <w:spacing w:after="0" w:line="240" w:lineRule="auto"/>
        <w:rPr>
          <w:rFonts w:ascii="Times New Roman" w:eastAsia="Times New Roman" w:hAnsi="Times New Roman" w:cs="Times New Roman"/>
          <w:bCs/>
          <w:sz w:val="24"/>
          <w:szCs w:val="20"/>
        </w:rPr>
      </w:pPr>
      <w:r w:rsidRPr="00B760FA">
        <w:rPr>
          <w:rFonts w:ascii="Times New Roman" w:eastAsia="Times New Roman" w:hAnsi="Times New Roman" w:cs="Times New Roman"/>
          <w:bCs/>
          <w:sz w:val="24"/>
          <w:szCs w:val="20"/>
        </w:rPr>
        <w:t>+++++++++++++++++++++++++</w:t>
      </w:r>
    </w:p>
    <w:p w:rsidR="00B760FA" w:rsidRPr="00B760FA" w:rsidRDefault="00B760FA" w:rsidP="00B760FA">
      <w:pPr>
        <w:spacing w:after="0" w:line="240" w:lineRule="auto"/>
        <w:rPr>
          <w:rFonts w:ascii="Times New Roman" w:eastAsia="Times New Roman" w:hAnsi="Times New Roman" w:cs="Times New Roman"/>
          <w:bCs/>
          <w:sz w:val="24"/>
          <w:szCs w:val="20"/>
        </w:rPr>
      </w:pPr>
    </w:p>
    <w:p w:rsidR="00B760FA" w:rsidRPr="00B760FA" w:rsidRDefault="00B760FA" w:rsidP="00B760FA">
      <w:pPr>
        <w:spacing w:after="0" w:line="240" w:lineRule="auto"/>
        <w:rPr>
          <w:rFonts w:ascii="Times New Roman" w:eastAsia="Times New Roman" w:hAnsi="Times New Roman" w:cs="Times New Roman"/>
          <w:sz w:val="24"/>
          <w:szCs w:val="24"/>
        </w:rPr>
      </w:pPr>
      <w:r w:rsidRPr="00B760FA">
        <w:rPr>
          <w:rFonts w:ascii="Times New Roman" w:eastAsia="Times New Roman" w:hAnsi="Times New Roman" w:cs="Times New Roman"/>
          <w:bCs/>
          <w:sz w:val="24"/>
          <w:szCs w:val="24"/>
        </w:rPr>
        <w:t xml:space="preserve">2. </w:t>
      </w:r>
      <w:r w:rsidRPr="00B760FA">
        <w:rPr>
          <w:rFonts w:ascii="Times New Roman" w:eastAsia="Times New Roman" w:hAnsi="Times New Roman" w:cs="Times New Roman"/>
          <w:sz w:val="24"/>
          <w:szCs w:val="24"/>
        </w:rPr>
        <w:t xml:space="preserve">Outline and assess the suggestion that it is </w:t>
      </w:r>
      <w:r w:rsidRPr="00B760FA">
        <w:rPr>
          <w:rFonts w:ascii="Times New Roman" w:eastAsia="Times New Roman" w:hAnsi="Times New Roman" w:cs="Times New Roman"/>
          <w:i/>
          <w:sz w:val="24"/>
          <w:szCs w:val="24"/>
        </w:rPr>
        <w:t>memory</w:t>
      </w:r>
      <w:r w:rsidRPr="00B760FA">
        <w:rPr>
          <w:rFonts w:ascii="Times New Roman" w:eastAsia="Times New Roman" w:hAnsi="Times New Roman" w:cs="Times New Roman"/>
          <w:sz w:val="24"/>
          <w:szCs w:val="24"/>
        </w:rPr>
        <w:t xml:space="preserve"> that is crucial to </w:t>
      </w:r>
      <w:proofErr w:type="gramStart"/>
      <w:r w:rsidRPr="00B760FA">
        <w:rPr>
          <w:rFonts w:ascii="Times New Roman" w:eastAsia="Times New Roman" w:hAnsi="Times New Roman" w:cs="Times New Roman"/>
          <w:sz w:val="24"/>
          <w:szCs w:val="24"/>
        </w:rPr>
        <w:t>being</w:t>
      </w:r>
      <w:proofErr w:type="gramEnd"/>
      <w:r w:rsidRPr="00B760FA">
        <w:rPr>
          <w:rFonts w:ascii="Times New Roman" w:eastAsia="Times New Roman" w:hAnsi="Times New Roman" w:cs="Times New Roman"/>
          <w:sz w:val="24"/>
          <w:szCs w:val="24"/>
        </w:rPr>
        <w:t xml:space="preserve"> the same person over time. </w:t>
      </w:r>
    </w:p>
    <w:p w:rsidR="00B760FA" w:rsidRPr="00B760FA" w:rsidRDefault="00B760FA" w:rsidP="00B760FA">
      <w:pPr>
        <w:spacing w:after="0" w:line="240" w:lineRule="auto"/>
        <w:rPr>
          <w:rFonts w:ascii="Times New Roman" w:eastAsia="Times New Roman" w:hAnsi="Times New Roman" w:cs="Times New Roman"/>
          <w:sz w:val="24"/>
          <w:szCs w:val="24"/>
        </w:rPr>
      </w:pPr>
      <w:r w:rsidRPr="00B760FA">
        <w:rPr>
          <w:rFonts w:ascii="Times New Roman" w:eastAsia="Times New Roman" w:hAnsi="Times New Roman" w:cs="Times New Roman"/>
          <w:sz w:val="24"/>
          <w:szCs w:val="24"/>
        </w:rPr>
        <w:t xml:space="preserve">ESSAY GUIDANCE. This essay title is closely connected with the previous one in that Locke is the original defender of the memory view. It differs, however, in that it does not specifically ask about Locke. The focus is not the </w:t>
      </w:r>
      <w:r w:rsidRPr="00B760FA">
        <w:rPr>
          <w:rFonts w:ascii="Times New Roman" w:eastAsia="Times New Roman" w:hAnsi="Times New Roman" w:cs="Times New Roman"/>
          <w:i/>
          <w:sz w:val="24"/>
          <w:szCs w:val="24"/>
        </w:rPr>
        <w:t>philosopher</w:t>
      </w:r>
      <w:r w:rsidRPr="00B760FA">
        <w:rPr>
          <w:rFonts w:ascii="Times New Roman" w:eastAsia="Times New Roman" w:hAnsi="Times New Roman" w:cs="Times New Roman"/>
          <w:sz w:val="24"/>
          <w:szCs w:val="24"/>
        </w:rPr>
        <w:t xml:space="preserve"> but the </w:t>
      </w:r>
      <w:r w:rsidRPr="00B760FA">
        <w:rPr>
          <w:rFonts w:ascii="Times New Roman" w:eastAsia="Times New Roman" w:hAnsi="Times New Roman" w:cs="Times New Roman"/>
          <w:i/>
          <w:sz w:val="24"/>
          <w:szCs w:val="24"/>
        </w:rPr>
        <w:t>view</w:t>
      </w:r>
      <w:r w:rsidRPr="00B760FA">
        <w:rPr>
          <w:rFonts w:ascii="Times New Roman" w:eastAsia="Times New Roman" w:hAnsi="Times New Roman" w:cs="Times New Roman"/>
          <w:sz w:val="24"/>
          <w:szCs w:val="24"/>
        </w:rPr>
        <w:t xml:space="preserve">. You could, in principle, answer this question without mentioning Locke. It might not be a very good idea as </w:t>
      </w:r>
      <w:r w:rsidRPr="00B760FA">
        <w:rPr>
          <w:rFonts w:ascii="Times New Roman" w:eastAsia="Times New Roman" w:hAnsi="Times New Roman" w:cs="Times New Roman"/>
          <w:sz w:val="24"/>
          <w:szCs w:val="24"/>
        </w:rPr>
        <w:lastRenderedPageBreak/>
        <w:t>many of the crucial arguments are to be found in his work; but the key point is that the question leaves room for you to give central place to arguments that he does not consider at all. It would probably be a good idea to give your essay a structure of the following, very general, form: (</w:t>
      </w:r>
      <w:proofErr w:type="spellStart"/>
      <w:r w:rsidRPr="00B760FA">
        <w:rPr>
          <w:rFonts w:ascii="Times New Roman" w:eastAsia="Times New Roman" w:hAnsi="Times New Roman" w:cs="Times New Roman"/>
          <w:sz w:val="24"/>
          <w:szCs w:val="24"/>
        </w:rPr>
        <w:t>i</w:t>
      </w:r>
      <w:proofErr w:type="spellEnd"/>
      <w:r w:rsidRPr="00B760FA">
        <w:rPr>
          <w:rFonts w:ascii="Times New Roman" w:eastAsia="Times New Roman" w:hAnsi="Times New Roman" w:cs="Times New Roman"/>
          <w:sz w:val="24"/>
          <w:szCs w:val="24"/>
        </w:rPr>
        <w:t xml:space="preserve">) Outline of what the memory view is; (ii) Presentation of what you think are the best arguments for that view; (iii) Assessment of those arguments: which could be either criticising or defending them. If it is the first, you might spend a bit of time considering how a defender of the arguments might reply to your criticisms. (iv) If you think the memory view is wrong, a presentation of your grounds for this judgement. In </w:t>
      </w:r>
      <w:proofErr w:type="gramStart"/>
      <w:r w:rsidRPr="00B760FA">
        <w:rPr>
          <w:rFonts w:ascii="Times New Roman" w:eastAsia="Times New Roman" w:hAnsi="Times New Roman" w:cs="Times New Roman"/>
          <w:sz w:val="24"/>
          <w:szCs w:val="24"/>
        </w:rPr>
        <w:t>all of</w:t>
      </w:r>
      <w:proofErr w:type="gramEnd"/>
      <w:r w:rsidRPr="00B760FA">
        <w:rPr>
          <w:rFonts w:ascii="Times New Roman" w:eastAsia="Times New Roman" w:hAnsi="Times New Roman" w:cs="Times New Roman"/>
          <w:sz w:val="24"/>
          <w:szCs w:val="24"/>
        </w:rPr>
        <w:t xml:space="preserve"> this aim to present your points in ways that would be accessible to someone with no previous knowledge of the view or the arguments. </w:t>
      </w:r>
    </w:p>
    <w:p w:rsidR="00B760FA" w:rsidRPr="00B760FA" w:rsidRDefault="00B760FA" w:rsidP="00B760FA">
      <w:pPr>
        <w:spacing w:after="0" w:line="240" w:lineRule="auto"/>
        <w:rPr>
          <w:rFonts w:ascii="Times New Roman" w:eastAsia="Times New Roman" w:hAnsi="Times New Roman" w:cs="Times New Roman"/>
          <w:sz w:val="24"/>
          <w:szCs w:val="24"/>
        </w:rPr>
      </w:pPr>
      <w:r w:rsidRPr="00B760FA">
        <w:rPr>
          <w:rFonts w:ascii="Times New Roman" w:eastAsia="Times New Roman" w:hAnsi="Times New Roman" w:cs="Times New Roman"/>
          <w:sz w:val="24"/>
          <w:szCs w:val="24"/>
        </w:rPr>
        <w:t>READING:</w:t>
      </w:r>
    </w:p>
    <w:p w:rsidR="00B760FA" w:rsidRPr="00B760FA" w:rsidRDefault="00B760FA" w:rsidP="00B760FA">
      <w:pPr>
        <w:spacing w:after="0" w:line="240" w:lineRule="auto"/>
        <w:rPr>
          <w:rFonts w:ascii="Times New Roman" w:eastAsia="Times New Roman" w:hAnsi="Times New Roman" w:cs="Times New Roman"/>
          <w:bCs/>
          <w:sz w:val="24"/>
          <w:szCs w:val="20"/>
        </w:rPr>
      </w:pPr>
      <w:bookmarkStart w:id="0" w:name="_Hlk493664551"/>
      <w:r w:rsidRPr="00B760FA">
        <w:rPr>
          <w:rFonts w:ascii="Times New Roman" w:eastAsia="Times New Roman" w:hAnsi="Times New Roman" w:cs="Times New Roman"/>
          <w:sz w:val="24"/>
          <w:szCs w:val="20"/>
        </w:rPr>
        <w:t xml:space="preserve">John Locke, ‘Of Identity and Diversity’; Book II chapter 27 of </w:t>
      </w:r>
      <w:r w:rsidRPr="00B760FA">
        <w:rPr>
          <w:rFonts w:ascii="Times New Roman" w:eastAsia="Times New Roman" w:hAnsi="Times New Roman" w:cs="Times New Roman"/>
          <w:i/>
          <w:sz w:val="24"/>
          <w:szCs w:val="20"/>
        </w:rPr>
        <w:t>An Essay Concerning Human Understanding</w:t>
      </w:r>
      <w:r w:rsidRPr="00B760FA">
        <w:rPr>
          <w:rFonts w:ascii="Times New Roman" w:eastAsia="Times New Roman" w:hAnsi="Times New Roman" w:cs="Times New Roman"/>
          <w:sz w:val="24"/>
          <w:szCs w:val="20"/>
        </w:rPr>
        <w:t xml:space="preserve"> </w:t>
      </w:r>
      <w:bookmarkEnd w:id="0"/>
      <w:r w:rsidRPr="00B760FA">
        <w:rPr>
          <w:rFonts w:ascii="Times New Roman" w:eastAsia="Times New Roman" w:hAnsi="Times New Roman" w:cs="Times New Roman"/>
          <w:sz w:val="24"/>
          <w:szCs w:val="20"/>
        </w:rPr>
        <w:t>[</w:t>
      </w:r>
      <w:r w:rsidRPr="00B760FA">
        <w:rPr>
          <w:rFonts w:ascii="Times New Roman" w:eastAsia="Times New Roman" w:hAnsi="Times New Roman" w:cs="Times New Roman"/>
          <w:sz w:val="24"/>
          <w:szCs w:val="20"/>
          <w:lang w:val="en-US"/>
        </w:rPr>
        <w:t xml:space="preserve">Enter ‘John Locke’ in the library catalogue and you will find </w:t>
      </w:r>
      <w:proofErr w:type="gramStart"/>
      <w:r w:rsidRPr="00B760FA">
        <w:rPr>
          <w:rFonts w:ascii="Times New Roman" w:eastAsia="Times New Roman" w:hAnsi="Times New Roman" w:cs="Times New Roman"/>
          <w:sz w:val="24"/>
          <w:szCs w:val="20"/>
          <w:lang w:val="en-US"/>
        </w:rPr>
        <w:t>a number of</w:t>
      </w:r>
      <w:proofErr w:type="gramEnd"/>
      <w:r w:rsidRPr="00B760FA">
        <w:rPr>
          <w:rFonts w:ascii="Times New Roman" w:eastAsia="Times New Roman" w:hAnsi="Times New Roman" w:cs="Times New Roman"/>
          <w:sz w:val="24"/>
          <w:szCs w:val="20"/>
          <w:lang w:val="en-US"/>
        </w:rPr>
        <w:t xml:space="preserve"> general books on him, most of which should contain a discussion of his treatment of personal identity. </w:t>
      </w:r>
      <w:r w:rsidRPr="00B760FA">
        <w:rPr>
          <w:rFonts w:ascii="Times New Roman" w:eastAsia="Times New Roman" w:hAnsi="Times New Roman" w:cs="Times New Roman"/>
          <w:sz w:val="24"/>
          <w:szCs w:val="20"/>
        </w:rPr>
        <w:t>One of the most useful is J L Mackie</w:t>
      </w:r>
      <w:r w:rsidRPr="00B760FA">
        <w:rPr>
          <w:rFonts w:ascii="Times New Roman" w:eastAsia="Times New Roman" w:hAnsi="Times New Roman" w:cs="Times New Roman"/>
          <w:b/>
          <w:i/>
          <w:sz w:val="24"/>
          <w:szCs w:val="20"/>
        </w:rPr>
        <w:t xml:space="preserve">, </w:t>
      </w:r>
      <w:hyperlink r:id="rId4" w:history="1">
        <w:r w:rsidRPr="00B760FA">
          <w:rPr>
            <w:rFonts w:ascii="Times New Roman" w:eastAsia="Times New Roman" w:hAnsi="Times New Roman" w:cs="Times New Roman"/>
            <w:bCs/>
            <w:i/>
            <w:sz w:val="24"/>
            <w:szCs w:val="20"/>
          </w:rPr>
          <w:t>Problems from Locke</w:t>
        </w:r>
      </w:hyperlink>
      <w:r w:rsidRPr="00B760FA">
        <w:rPr>
          <w:rFonts w:ascii="Times New Roman" w:eastAsia="Times New Roman" w:hAnsi="Times New Roman" w:cs="Times New Roman"/>
          <w:i/>
          <w:sz w:val="24"/>
          <w:szCs w:val="20"/>
        </w:rPr>
        <w:t>.</w:t>
      </w:r>
      <w:r w:rsidRPr="00B760FA">
        <w:rPr>
          <w:rFonts w:ascii="Times New Roman" w:eastAsia="Times New Roman" w:hAnsi="Times New Roman" w:cs="Times New Roman"/>
          <w:sz w:val="24"/>
          <w:szCs w:val="20"/>
        </w:rPr>
        <w:t>]</w:t>
      </w:r>
    </w:p>
    <w:p w:rsidR="00B760FA" w:rsidRPr="00B760FA" w:rsidRDefault="00B760FA" w:rsidP="00B760FA">
      <w:pPr>
        <w:tabs>
          <w:tab w:val="left" w:pos="720"/>
        </w:tabs>
        <w:spacing w:after="0" w:line="280" w:lineRule="exact"/>
        <w:jc w:val="both"/>
        <w:outlineLvl w:val="0"/>
        <w:rPr>
          <w:rFonts w:ascii="Times New Roman" w:eastAsia="Times New Roman" w:hAnsi="Times New Roman" w:cs="Times New Roman"/>
          <w:sz w:val="24"/>
          <w:szCs w:val="24"/>
          <w:lang w:val="en"/>
        </w:rPr>
      </w:pPr>
      <w:bookmarkStart w:id="1" w:name="_Hlk493827640"/>
      <w:r w:rsidRPr="00B760FA">
        <w:rPr>
          <w:rFonts w:ascii="Times New Roman" w:eastAsia="Times New Roman" w:hAnsi="Times New Roman" w:cs="Times New Roman"/>
          <w:sz w:val="24"/>
          <w:szCs w:val="24"/>
        </w:rPr>
        <w:t xml:space="preserve">Antony Flew, ‘Locke and the Problem of Personal Identity’ </w:t>
      </w:r>
      <w:bookmarkEnd w:id="1"/>
      <w:r w:rsidRPr="00B760FA">
        <w:rPr>
          <w:rFonts w:ascii="Times New Roman" w:eastAsia="Times New Roman" w:hAnsi="Times New Roman" w:cs="Times New Roman"/>
          <w:sz w:val="24"/>
          <w:szCs w:val="24"/>
        </w:rPr>
        <w:t>(Particularly helpful for this question.)</w:t>
      </w:r>
    </w:p>
    <w:p w:rsidR="00B760FA" w:rsidRPr="00B760FA" w:rsidRDefault="00B760FA" w:rsidP="00B760FA">
      <w:pPr>
        <w:tabs>
          <w:tab w:val="left" w:pos="720"/>
        </w:tabs>
        <w:spacing w:after="0" w:line="280" w:lineRule="exact"/>
        <w:jc w:val="both"/>
        <w:outlineLvl w:val="0"/>
        <w:rPr>
          <w:rFonts w:ascii="Times New Roman" w:eastAsia="Times New Roman" w:hAnsi="Times New Roman" w:cs="Times New Roman"/>
          <w:sz w:val="24"/>
          <w:szCs w:val="24"/>
          <w:lang w:val="en"/>
        </w:rPr>
      </w:pPr>
      <w:r w:rsidRPr="00B760FA">
        <w:rPr>
          <w:rFonts w:ascii="Times New Roman" w:eastAsia="Times New Roman" w:hAnsi="Times New Roman" w:cs="Times New Roman"/>
          <w:sz w:val="24"/>
          <w:szCs w:val="24"/>
          <w:lang w:val="en-US"/>
        </w:rPr>
        <w:t>John Perry, ‘A Dialogue on Personal Identity’, section 2</w:t>
      </w:r>
    </w:p>
    <w:p w:rsidR="00B760FA" w:rsidRPr="00B760FA" w:rsidRDefault="00B760FA" w:rsidP="00B760FA">
      <w:pPr>
        <w:spacing w:after="0" w:line="240" w:lineRule="auto"/>
        <w:rPr>
          <w:rFonts w:ascii="Times New Roman" w:eastAsia="Times New Roman" w:hAnsi="Times New Roman" w:cs="Times New Roman"/>
          <w:sz w:val="24"/>
          <w:szCs w:val="24"/>
          <w:lang w:val="en-US"/>
        </w:rPr>
      </w:pPr>
      <w:r w:rsidRPr="00B760FA">
        <w:rPr>
          <w:rFonts w:ascii="Times New Roman" w:eastAsia="Times New Roman" w:hAnsi="Times New Roman" w:cs="Times New Roman"/>
          <w:sz w:val="24"/>
          <w:szCs w:val="24"/>
          <w:lang w:val="en-US"/>
        </w:rPr>
        <w:t>John Perry (</w:t>
      </w:r>
      <w:proofErr w:type="spellStart"/>
      <w:r w:rsidRPr="00B760FA">
        <w:rPr>
          <w:rFonts w:ascii="Times New Roman" w:eastAsia="Times New Roman" w:hAnsi="Times New Roman" w:cs="Times New Roman"/>
          <w:sz w:val="24"/>
          <w:szCs w:val="24"/>
          <w:lang w:val="en-US"/>
        </w:rPr>
        <w:t>ed</w:t>
      </w:r>
      <w:proofErr w:type="spellEnd"/>
      <w:r w:rsidRPr="00B760FA">
        <w:rPr>
          <w:rFonts w:ascii="Times New Roman" w:eastAsia="Times New Roman" w:hAnsi="Times New Roman" w:cs="Times New Roman"/>
          <w:sz w:val="24"/>
          <w:szCs w:val="24"/>
          <w:lang w:val="en-US"/>
        </w:rPr>
        <w:t xml:space="preserve">), </w:t>
      </w:r>
      <w:r w:rsidRPr="00B760FA">
        <w:rPr>
          <w:rFonts w:ascii="Times New Roman" w:eastAsia="Times New Roman" w:hAnsi="Times New Roman" w:cs="Times New Roman"/>
          <w:i/>
          <w:sz w:val="24"/>
          <w:szCs w:val="24"/>
          <w:lang w:val="en-US"/>
        </w:rPr>
        <w:t>Personal Identity</w:t>
      </w:r>
      <w:r w:rsidRPr="00B760FA">
        <w:rPr>
          <w:rFonts w:ascii="Times New Roman" w:eastAsia="Times New Roman" w:hAnsi="Times New Roman" w:cs="Times New Roman"/>
          <w:sz w:val="24"/>
          <w:szCs w:val="24"/>
          <w:lang w:val="en-US"/>
        </w:rPr>
        <w:t>, Parts II and III [The Locke section is the same as the above chapter. The Quinton is perhaps not so relevant to this essay.]</w:t>
      </w:r>
    </w:p>
    <w:p w:rsidR="00B760FA" w:rsidRPr="00B760FA" w:rsidRDefault="00B760FA" w:rsidP="00B760FA">
      <w:pPr>
        <w:spacing w:after="0" w:line="240" w:lineRule="auto"/>
        <w:rPr>
          <w:rFonts w:ascii="Times New Roman" w:eastAsia="Times New Roman" w:hAnsi="Times New Roman" w:cs="Times New Roman"/>
          <w:sz w:val="24"/>
          <w:szCs w:val="24"/>
          <w:lang w:val="en-US"/>
        </w:rPr>
      </w:pPr>
      <w:r w:rsidRPr="00B760FA">
        <w:rPr>
          <w:rFonts w:ascii="Times New Roman" w:eastAsia="Times New Roman" w:hAnsi="Times New Roman" w:cs="Times New Roman"/>
          <w:sz w:val="24"/>
          <w:szCs w:val="24"/>
          <w:lang w:val="en-US"/>
        </w:rPr>
        <w:t xml:space="preserve">Terence </w:t>
      </w:r>
      <w:proofErr w:type="spellStart"/>
      <w:r w:rsidRPr="00B760FA">
        <w:rPr>
          <w:rFonts w:ascii="Times New Roman" w:eastAsia="Times New Roman" w:hAnsi="Times New Roman" w:cs="Times New Roman"/>
          <w:sz w:val="24"/>
          <w:szCs w:val="24"/>
          <w:lang w:val="en-US"/>
        </w:rPr>
        <w:t>Penelhum</w:t>
      </w:r>
      <w:proofErr w:type="spellEnd"/>
      <w:r w:rsidRPr="00B760FA">
        <w:rPr>
          <w:rFonts w:ascii="Times New Roman" w:eastAsia="Times New Roman" w:hAnsi="Times New Roman" w:cs="Times New Roman"/>
          <w:sz w:val="24"/>
          <w:szCs w:val="24"/>
          <w:lang w:val="en-US"/>
        </w:rPr>
        <w:t xml:space="preserve">, </w:t>
      </w:r>
      <w:r w:rsidRPr="00B760FA">
        <w:rPr>
          <w:rFonts w:ascii="Times New Roman" w:eastAsia="Times New Roman" w:hAnsi="Times New Roman" w:cs="Times New Roman"/>
          <w:i/>
          <w:sz w:val="24"/>
          <w:szCs w:val="24"/>
          <w:lang w:val="en-US"/>
        </w:rPr>
        <w:t>Survival and Disembodied Existence</w:t>
      </w:r>
      <w:r w:rsidRPr="00B760FA">
        <w:rPr>
          <w:rFonts w:ascii="Times New Roman" w:eastAsia="Times New Roman" w:hAnsi="Times New Roman" w:cs="Times New Roman"/>
          <w:sz w:val="24"/>
          <w:szCs w:val="24"/>
          <w:lang w:val="en-US"/>
        </w:rPr>
        <w:t xml:space="preserve">, </w:t>
      </w:r>
      <w:proofErr w:type="spellStart"/>
      <w:r w:rsidRPr="00B760FA">
        <w:rPr>
          <w:rFonts w:ascii="Times New Roman" w:eastAsia="Times New Roman" w:hAnsi="Times New Roman" w:cs="Times New Roman"/>
          <w:sz w:val="24"/>
          <w:szCs w:val="24"/>
          <w:lang w:val="en-US"/>
        </w:rPr>
        <w:t>chs</w:t>
      </w:r>
      <w:proofErr w:type="spellEnd"/>
      <w:r w:rsidRPr="00B760FA">
        <w:rPr>
          <w:rFonts w:ascii="Times New Roman" w:eastAsia="Times New Roman" w:hAnsi="Times New Roman" w:cs="Times New Roman"/>
          <w:sz w:val="24"/>
          <w:szCs w:val="24"/>
          <w:lang w:val="en-US"/>
        </w:rPr>
        <w:t xml:space="preserve"> 5-7</w:t>
      </w:r>
    </w:p>
    <w:p w:rsidR="00B760FA" w:rsidRPr="00B760FA" w:rsidRDefault="00B760FA" w:rsidP="00B760FA">
      <w:pPr>
        <w:spacing w:after="0" w:line="240" w:lineRule="auto"/>
        <w:rPr>
          <w:rFonts w:ascii="Times New Roman" w:eastAsia="Times New Roman" w:hAnsi="Times New Roman" w:cs="Times New Roman"/>
          <w:bCs/>
          <w:sz w:val="24"/>
          <w:szCs w:val="20"/>
        </w:rPr>
      </w:pPr>
    </w:p>
    <w:p w:rsidR="00B760FA" w:rsidRPr="00B760FA" w:rsidRDefault="00B760FA" w:rsidP="00B760FA">
      <w:pPr>
        <w:spacing w:after="0" w:line="240" w:lineRule="auto"/>
        <w:rPr>
          <w:rFonts w:ascii="Times New Roman" w:eastAsia="Times New Roman" w:hAnsi="Times New Roman" w:cs="Times New Roman"/>
          <w:sz w:val="24"/>
          <w:szCs w:val="24"/>
        </w:rPr>
      </w:pPr>
    </w:p>
    <w:p w:rsidR="00B760FA" w:rsidRPr="00B760FA" w:rsidRDefault="00B760FA" w:rsidP="00B760FA">
      <w:pPr>
        <w:spacing w:after="0" w:line="240" w:lineRule="auto"/>
        <w:rPr>
          <w:rFonts w:ascii="Times New Roman" w:eastAsia="Times New Roman" w:hAnsi="Times New Roman" w:cs="Times New Roman"/>
          <w:sz w:val="24"/>
          <w:szCs w:val="24"/>
        </w:rPr>
      </w:pPr>
      <w:r w:rsidRPr="00B760FA">
        <w:rPr>
          <w:rFonts w:ascii="Times New Roman" w:eastAsia="Times New Roman" w:hAnsi="Times New Roman" w:cs="Times New Roman"/>
          <w:sz w:val="24"/>
          <w:szCs w:val="24"/>
        </w:rPr>
        <w:t>++++++++++++++++++</w:t>
      </w:r>
    </w:p>
    <w:p w:rsidR="00B760FA" w:rsidRPr="00B760FA" w:rsidRDefault="00B760FA" w:rsidP="00B760FA">
      <w:pPr>
        <w:tabs>
          <w:tab w:val="left" w:pos="580"/>
        </w:tabs>
        <w:spacing w:after="0" w:line="300" w:lineRule="exact"/>
        <w:jc w:val="both"/>
        <w:rPr>
          <w:rFonts w:ascii="Times New Roman" w:eastAsia="Times New Roman" w:hAnsi="Times New Roman" w:cs="Times New Roman"/>
          <w:sz w:val="24"/>
          <w:szCs w:val="20"/>
        </w:rPr>
      </w:pPr>
      <w:bookmarkStart w:id="2" w:name="_Hlk493660092"/>
      <w:r w:rsidRPr="00B760FA">
        <w:rPr>
          <w:rFonts w:ascii="Times New Roman" w:eastAsia="Times New Roman" w:hAnsi="Times New Roman" w:cs="Times New Roman"/>
          <w:sz w:val="24"/>
          <w:szCs w:val="20"/>
        </w:rPr>
        <w:t xml:space="preserve">3. Does Quinton offer a compelling defence of the claim that it is continuity of psychological characteristics that is crucial to </w:t>
      </w:r>
      <w:proofErr w:type="gramStart"/>
      <w:r w:rsidRPr="00B760FA">
        <w:rPr>
          <w:rFonts w:ascii="Times New Roman" w:eastAsia="Times New Roman" w:hAnsi="Times New Roman" w:cs="Times New Roman"/>
          <w:sz w:val="24"/>
          <w:szCs w:val="20"/>
        </w:rPr>
        <w:t>being</w:t>
      </w:r>
      <w:proofErr w:type="gramEnd"/>
      <w:r w:rsidRPr="00B760FA">
        <w:rPr>
          <w:rFonts w:ascii="Times New Roman" w:eastAsia="Times New Roman" w:hAnsi="Times New Roman" w:cs="Times New Roman"/>
          <w:sz w:val="24"/>
          <w:szCs w:val="20"/>
        </w:rPr>
        <w:t xml:space="preserve"> the same person? Is it true, as he suggests, that this account provides a more satisfactory understanding of personal relationships than does a view that gives central place to continuity of the body?</w:t>
      </w:r>
      <w:bookmarkEnd w:id="2"/>
      <w:r w:rsidRPr="00B760FA">
        <w:rPr>
          <w:rFonts w:ascii="Times New Roman" w:eastAsia="Times New Roman" w:hAnsi="Times New Roman" w:cs="Times New Roman"/>
          <w:sz w:val="24"/>
          <w:szCs w:val="20"/>
        </w:rPr>
        <w:t xml:space="preserve"> </w:t>
      </w:r>
    </w:p>
    <w:p w:rsidR="00B760FA" w:rsidRPr="00B760FA" w:rsidRDefault="00B760FA" w:rsidP="00B760FA">
      <w:pPr>
        <w:spacing w:after="0" w:line="240" w:lineRule="auto"/>
        <w:rPr>
          <w:rFonts w:ascii="Times New Roman" w:eastAsia="Times New Roman" w:hAnsi="Times New Roman" w:cs="Times New Roman"/>
          <w:iCs/>
          <w:sz w:val="24"/>
          <w:szCs w:val="24"/>
        </w:rPr>
      </w:pPr>
      <w:r w:rsidRPr="00B760FA">
        <w:rPr>
          <w:rFonts w:ascii="Times New Roman" w:eastAsia="Times New Roman" w:hAnsi="Times New Roman" w:cs="Times New Roman"/>
          <w:i/>
          <w:sz w:val="24"/>
          <w:szCs w:val="24"/>
        </w:rPr>
        <w:t xml:space="preserve">ESSAY GUIDANCE: </w:t>
      </w:r>
      <w:r w:rsidRPr="00B760FA">
        <w:rPr>
          <w:rFonts w:ascii="Times New Roman" w:eastAsia="Times New Roman" w:hAnsi="Times New Roman" w:cs="Times New Roman"/>
          <w:sz w:val="24"/>
          <w:szCs w:val="24"/>
        </w:rPr>
        <w:t xml:space="preserve">Keep the different stages of Quinton’s argument as distinct as possible. In the first section of his paper he argues that what he calls ‘spiritual substance’ cannot be the criterion of personal identity. In the second, he offers another view of ‘the soul’: ‘The soul, then, can be defined empirically as a series of mental states connected by continuity of character and memory’. This is the ‘psychological criterion of personal identity’. Be sure that you are clear in your mind how this view differs from that which he has rejected; and, with that, how Quinton’s understanding of what ‘the soul’ is differs from more traditional understandings. In section 3 he argues against the suggestion that bodily identity is </w:t>
      </w:r>
      <w:r w:rsidRPr="00B760FA">
        <w:rPr>
          <w:rFonts w:ascii="Times New Roman" w:eastAsia="Times New Roman" w:hAnsi="Times New Roman" w:cs="Times New Roman"/>
          <w:i/>
          <w:sz w:val="24"/>
          <w:szCs w:val="24"/>
        </w:rPr>
        <w:t>the</w:t>
      </w:r>
      <w:r w:rsidRPr="00B760FA">
        <w:rPr>
          <w:rFonts w:ascii="Times New Roman" w:eastAsia="Times New Roman" w:hAnsi="Times New Roman" w:cs="Times New Roman"/>
          <w:sz w:val="24"/>
          <w:szCs w:val="24"/>
        </w:rPr>
        <w:t xml:space="preserve"> decisive test of whether this is the same person. His argument involves appeals to what we would say, or what we should say, in certain imaginary situations; and, closely linked with this, it involves various claims about what is important to us in a personal relationship with another. Since this section contains his main positive argument for the psychological criterion (and is also the most accessible section of the paper) it should be the </w:t>
      </w:r>
      <w:proofErr w:type="gramStart"/>
      <w:r w:rsidRPr="00B760FA">
        <w:rPr>
          <w:rFonts w:ascii="Times New Roman" w:eastAsia="Times New Roman" w:hAnsi="Times New Roman" w:cs="Times New Roman"/>
          <w:sz w:val="24"/>
          <w:szCs w:val="24"/>
        </w:rPr>
        <w:t>main focus</w:t>
      </w:r>
      <w:proofErr w:type="gramEnd"/>
      <w:r w:rsidRPr="00B760FA">
        <w:rPr>
          <w:rFonts w:ascii="Times New Roman" w:eastAsia="Times New Roman" w:hAnsi="Times New Roman" w:cs="Times New Roman"/>
          <w:sz w:val="24"/>
          <w:szCs w:val="24"/>
        </w:rPr>
        <w:t xml:space="preserve"> of your work on Quinton. You may decide that sections 4 and 5 are less relevant to the essay (but you should read them before deciding.)</w:t>
      </w:r>
    </w:p>
    <w:p w:rsidR="00B760FA" w:rsidRPr="00B760FA" w:rsidRDefault="00B760FA" w:rsidP="00B760FA">
      <w:pPr>
        <w:spacing w:after="0" w:line="240" w:lineRule="auto"/>
        <w:rPr>
          <w:rFonts w:ascii="Times New Roman" w:eastAsia="Times New Roman" w:hAnsi="Times New Roman" w:cs="Times New Roman"/>
          <w:iCs/>
          <w:sz w:val="24"/>
          <w:szCs w:val="24"/>
        </w:rPr>
      </w:pPr>
      <w:r w:rsidRPr="00B760FA">
        <w:rPr>
          <w:rFonts w:ascii="Times New Roman" w:eastAsia="Times New Roman" w:hAnsi="Times New Roman" w:cs="Times New Roman"/>
          <w:iCs/>
          <w:sz w:val="24"/>
          <w:szCs w:val="24"/>
        </w:rPr>
        <w:t xml:space="preserve">    The chapter from my book, which develops in more detail material that I will cover in lectures, argues against the psychological criterion </w:t>
      </w:r>
      <w:proofErr w:type="gramStart"/>
      <w:r w:rsidRPr="00B760FA">
        <w:rPr>
          <w:rFonts w:ascii="Times New Roman" w:eastAsia="Times New Roman" w:hAnsi="Times New Roman" w:cs="Times New Roman"/>
          <w:iCs/>
          <w:sz w:val="24"/>
          <w:szCs w:val="24"/>
        </w:rPr>
        <w:t>on the basis of</w:t>
      </w:r>
      <w:proofErr w:type="gramEnd"/>
      <w:r w:rsidRPr="00B760FA">
        <w:rPr>
          <w:rFonts w:ascii="Times New Roman" w:eastAsia="Times New Roman" w:hAnsi="Times New Roman" w:cs="Times New Roman"/>
          <w:iCs/>
          <w:sz w:val="24"/>
          <w:szCs w:val="24"/>
        </w:rPr>
        <w:t xml:space="preserve"> the claim that it does </w:t>
      </w:r>
      <w:r w:rsidRPr="00B760FA">
        <w:rPr>
          <w:rFonts w:ascii="Times New Roman" w:eastAsia="Times New Roman" w:hAnsi="Times New Roman" w:cs="Times New Roman"/>
          <w:i/>
          <w:sz w:val="24"/>
          <w:szCs w:val="24"/>
        </w:rPr>
        <w:t>not</w:t>
      </w:r>
      <w:r w:rsidRPr="00B760FA">
        <w:rPr>
          <w:rFonts w:ascii="Times New Roman" w:eastAsia="Times New Roman" w:hAnsi="Times New Roman" w:cs="Times New Roman"/>
          <w:iCs/>
          <w:sz w:val="24"/>
          <w:szCs w:val="24"/>
        </w:rPr>
        <w:t xml:space="preserve"> leave room for a satisfactory understanding of personal relationships. There will be no additional marks for agreeing with me! What is needed is an articulation, in your own words, of the objection to Quinton’s approach, followed by your own assessment of the force of the objection. (It might be helpful here to consider how Quinton might reply to the points I make.) As in all essays, if you find yourself strongly inclined towards a </w:t>
      </w:r>
      <w:proofErr w:type="gramStart"/>
      <w:r w:rsidRPr="00B760FA">
        <w:rPr>
          <w:rFonts w:ascii="Times New Roman" w:eastAsia="Times New Roman" w:hAnsi="Times New Roman" w:cs="Times New Roman"/>
          <w:iCs/>
          <w:sz w:val="24"/>
          <w:szCs w:val="24"/>
        </w:rPr>
        <w:t>particular point</w:t>
      </w:r>
      <w:proofErr w:type="gramEnd"/>
      <w:r w:rsidRPr="00B760FA">
        <w:rPr>
          <w:rFonts w:ascii="Times New Roman" w:eastAsia="Times New Roman" w:hAnsi="Times New Roman" w:cs="Times New Roman"/>
          <w:iCs/>
          <w:sz w:val="24"/>
          <w:szCs w:val="24"/>
        </w:rPr>
        <w:t xml:space="preserve"> of </w:t>
      </w:r>
      <w:r w:rsidRPr="00B760FA">
        <w:rPr>
          <w:rFonts w:ascii="Times New Roman" w:eastAsia="Times New Roman" w:hAnsi="Times New Roman" w:cs="Times New Roman"/>
          <w:iCs/>
          <w:sz w:val="24"/>
          <w:szCs w:val="24"/>
        </w:rPr>
        <w:lastRenderedPageBreak/>
        <w:t>view, it is very important to articulate as clearly and persuasively as possible the objections to that point of view – and then to try to answer those objections.</w:t>
      </w:r>
    </w:p>
    <w:p w:rsidR="00B760FA" w:rsidRPr="00B760FA" w:rsidRDefault="00B760FA" w:rsidP="00B760FA">
      <w:pPr>
        <w:spacing w:after="0" w:line="240" w:lineRule="auto"/>
        <w:rPr>
          <w:rFonts w:ascii="Times New Roman" w:eastAsia="Times New Roman" w:hAnsi="Times New Roman" w:cs="Times New Roman"/>
          <w:color w:val="000000"/>
          <w:sz w:val="24"/>
          <w:lang w:eastAsia="en-GB"/>
        </w:rPr>
      </w:pPr>
      <w:r w:rsidRPr="00B760FA">
        <w:rPr>
          <w:rFonts w:ascii="Times New Roman" w:eastAsia="Times New Roman" w:hAnsi="Times New Roman" w:cs="Times New Roman"/>
          <w:iCs/>
          <w:sz w:val="24"/>
          <w:szCs w:val="24"/>
        </w:rPr>
        <w:t>READING.</w:t>
      </w:r>
      <w:r w:rsidRPr="00B760FA">
        <w:rPr>
          <w:rFonts w:ascii="Times New Roman" w:eastAsia="Times New Roman" w:hAnsi="Times New Roman" w:cs="Times New Roman"/>
          <w:color w:val="000000"/>
          <w:sz w:val="24"/>
          <w:lang w:eastAsia="en-GB"/>
        </w:rPr>
        <w:t xml:space="preserve"> </w:t>
      </w:r>
    </w:p>
    <w:p w:rsidR="00B760FA" w:rsidRPr="00B760FA" w:rsidRDefault="00B760FA" w:rsidP="00B760FA">
      <w:pPr>
        <w:spacing w:after="0" w:line="240" w:lineRule="auto"/>
        <w:rPr>
          <w:rFonts w:ascii="Times New Roman" w:eastAsia="Times New Roman" w:hAnsi="Times New Roman" w:cs="Times New Roman"/>
          <w:color w:val="000000"/>
          <w:sz w:val="24"/>
          <w:lang w:eastAsia="en-GB"/>
        </w:rPr>
      </w:pPr>
      <w:r w:rsidRPr="00B760FA">
        <w:rPr>
          <w:rFonts w:ascii="Times New Roman" w:eastAsia="Times New Roman" w:hAnsi="Times New Roman" w:cs="Times New Roman"/>
          <w:color w:val="000000"/>
          <w:sz w:val="24"/>
          <w:lang w:eastAsia="en-GB"/>
        </w:rPr>
        <w:t xml:space="preserve">A. Quinton, 'The Soul', </w:t>
      </w:r>
      <w:r w:rsidRPr="00B760FA">
        <w:rPr>
          <w:rFonts w:ascii="Times New Roman" w:eastAsia="Times New Roman" w:hAnsi="Times New Roman" w:cs="Times New Roman"/>
          <w:i/>
          <w:iCs/>
          <w:color w:val="000000"/>
          <w:sz w:val="24"/>
          <w:lang w:eastAsia="en-GB"/>
        </w:rPr>
        <w:t>Journal of Philosophy</w:t>
      </w:r>
      <w:r w:rsidRPr="00B760FA">
        <w:rPr>
          <w:rFonts w:ascii="Times New Roman" w:eastAsia="Times New Roman" w:hAnsi="Times New Roman" w:cs="Times New Roman"/>
          <w:color w:val="000000"/>
          <w:sz w:val="24"/>
          <w:lang w:eastAsia="en-GB"/>
        </w:rPr>
        <w:t xml:space="preserve"> 1962.</w:t>
      </w:r>
    </w:p>
    <w:p w:rsidR="00B760FA" w:rsidRPr="00B760FA" w:rsidRDefault="00B760FA" w:rsidP="00B760FA">
      <w:pPr>
        <w:spacing w:after="3" w:line="249" w:lineRule="auto"/>
        <w:ind w:left="10" w:hanging="10"/>
        <w:rPr>
          <w:rFonts w:ascii="Times New Roman" w:eastAsia="Times New Roman" w:hAnsi="Times New Roman" w:cs="Times New Roman"/>
          <w:color w:val="000000"/>
          <w:sz w:val="24"/>
          <w:lang w:eastAsia="en-GB"/>
        </w:rPr>
      </w:pPr>
      <w:r w:rsidRPr="00B760FA">
        <w:rPr>
          <w:rFonts w:ascii="Times New Roman" w:eastAsia="Times New Roman" w:hAnsi="Times New Roman" w:cs="Times New Roman"/>
          <w:color w:val="000000"/>
          <w:sz w:val="24"/>
          <w:lang w:eastAsia="en-GB"/>
        </w:rPr>
        <w:t xml:space="preserve">S. </w:t>
      </w:r>
      <w:proofErr w:type="spellStart"/>
      <w:r w:rsidRPr="00B760FA">
        <w:rPr>
          <w:rFonts w:ascii="Times New Roman" w:eastAsia="Times New Roman" w:hAnsi="Times New Roman" w:cs="Times New Roman"/>
          <w:color w:val="000000"/>
          <w:sz w:val="24"/>
          <w:lang w:eastAsia="en-GB"/>
        </w:rPr>
        <w:t>Mendus</w:t>
      </w:r>
      <w:proofErr w:type="spellEnd"/>
      <w:r w:rsidRPr="00B760FA">
        <w:rPr>
          <w:rFonts w:ascii="Times New Roman" w:eastAsia="Times New Roman" w:hAnsi="Times New Roman" w:cs="Times New Roman"/>
          <w:color w:val="000000"/>
          <w:sz w:val="24"/>
          <w:lang w:eastAsia="en-GB"/>
        </w:rPr>
        <w:t xml:space="preserve">, 'Marital Faithfulness', </w:t>
      </w:r>
      <w:r w:rsidRPr="00B760FA">
        <w:rPr>
          <w:rFonts w:ascii="Times New Roman" w:eastAsia="Times New Roman" w:hAnsi="Times New Roman" w:cs="Times New Roman"/>
          <w:i/>
          <w:iCs/>
          <w:color w:val="000000"/>
          <w:sz w:val="24"/>
          <w:lang w:eastAsia="en-GB"/>
        </w:rPr>
        <w:t>Philosophy</w:t>
      </w:r>
      <w:r w:rsidRPr="00B760FA">
        <w:rPr>
          <w:rFonts w:ascii="Times New Roman" w:eastAsia="Times New Roman" w:hAnsi="Times New Roman" w:cs="Times New Roman"/>
          <w:color w:val="000000"/>
          <w:sz w:val="24"/>
          <w:lang w:eastAsia="en-GB"/>
        </w:rPr>
        <w:t xml:space="preserve"> 1984</w:t>
      </w:r>
    </w:p>
    <w:p w:rsidR="00B760FA" w:rsidRPr="00B760FA" w:rsidRDefault="00B760FA" w:rsidP="00B760FA">
      <w:pPr>
        <w:spacing w:after="0" w:line="240" w:lineRule="auto"/>
        <w:rPr>
          <w:rFonts w:ascii="Times New Roman" w:eastAsia="Times New Roman" w:hAnsi="Times New Roman" w:cs="Times New Roman"/>
          <w:iCs/>
          <w:sz w:val="24"/>
          <w:szCs w:val="20"/>
        </w:rPr>
      </w:pPr>
      <w:r w:rsidRPr="00B760FA">
        <w:rPr>
          <w:rFonts w:ascii="Times New Roman" w:eastAsia="Times New Roman" w:hAnsi="Times New Roman" w:cs="Times New Roman"/>
          <w:sz w:val="24"/>
          <w:szCs w:val="20"/>
        </w:rPr>
        <w:t xml:space="preserve">David </w:t>
      </w:r>
      <w:r w:rsidRPr="00B760FA">
        <w:rPr>
          <w:rFonts w:ascii="Times New Roman" w:eastAsia="Times New Roman" w:hAnsi="Times New Roman" w:cs="Times New Roman"/>
          <w:iCs/>
          <w:sz w:val="24"/>
          <w:szCs w:val="20"/>
        </w:rPr>
        <w:t xml:space="preserve">Cockburn, </w:t>
      </w:r>
      <w:r w:rsidRPr="00B760FA">
        <w:rPr>
          <w:rFonts w:ascii="Times New Roman" w:eastAsia="Times New Roman" w:hAnsi="Times New Roman" w:cs="Times New Roman"/>
          <w:i/>
          <w:sz w:val="24"/>
          <w:szCs w:val="20"/>
        </w:rPr>
        <w:t xml:space="preserve">Other Human Beings </w:t>
      </w:r>
      <w:proofErr w:type="spellStart"/>
      <w:r w:rsidRPr="00B760FA">
        <w:rPr>
          <w:rFonts w:ascii="Times New Roman" w:eastAsia="Times New Roman" w:hAnsi="Times New Roman" w:cs="Times New Roman"/>
          <w:i/>
          <w:sz w:val="24"/>
          <w:szCs w:val="20"/>
        </w:rPr>
        <w:t>ch</w:t>
      </w:r>
      <w:proofErr w:type="spellEnd"/>
      <w:r w:rsidRPr="00B760FA">
        <w:rPr>
          <w:rFonts w:ascii="Times New Roman" w:eastAsia="Times New Roman" w:hAnsi="Times New Roman" w:cs="Times New Roman"/>
          <w:i/>
          <w:sz w:val="24"/>
          <w:szCs w:val="20"/>
        </w:rPr>
        <w:t xml:space="preserve"> 9 </w:t>
      </w:r>
      <w:r w:rsidRPr="00B760FA">
        <w:rPr>
          <w:rFonts w:ascii="Times New Roman" w:eastAsia="Times New Roman" w:hAnsi="Times New Roman" w:cs="Times New Roman"/>
          <w:iCs/>
          <w:sz w:val="24"/>
          <w:szCs w:val="20"/>
        </w:rPr>
        <w:t xml:space="preserve">‘The Identity of Human Beings’ [Available online at: </w:t>
      </w:r>
      <w:r w:rsidRPr="00B760FA">
        <w:rPr>
          <w:rFonts w:ascii="Times New Roman" w:eastAsia="Calibri" w:hAnsi="Times New Roman" w:cs="Times New Roman"/>
          <w:sz w:val="24"/>
          <w:szCs w:val="24"/>
        </w:rPr>
        <w:t>https://drive.google.com/drive/folders/0B9YV3Qpqr0EdbERGbl8xMjBxZDg]</w:t>
      </w:r>
    </w:p>
    <w:p w:rsidR="00B760FA" w:rsidRPr="00B760FA" w:rsidRDefault="00B760FA" w:rsidP="00B760FA">
      <w:pPr>
        <w:spacing w:after="0" w:line="240" w:lineRule="auto"/>
        <w:rPr>
          <w:rFonts w:ascii="Times New Roman" w:eastAsia="Times New Roman" w:hAnsi="Times New Roman" w:cs="Times New Roman"/>
          <w:sz w:val="24"/>
          <w:szCs w:val="24"/>
          <w:lang w:val="en"/>
        </w:rPr>
      </w:pPr>
      <w:r w:rsidRPr="00B760FA">
        <w:rPr>
          <w:rFonts w:ascii="Times New Roman" w:eastAsia="Times New Roman" w:hAnsi="Times New Roman" w:cs="Times New Roman"/>
          <w:iCs/>
          <w:sz w:val="24"/>
          <w:szCs w:val="20"/>
        </w:rPr>
        <w:t xml:space="preserve">Susan </w:t>
      </w:r>
      <w:r w:rsidRPr="00B760FA">
        <w:rPr>
          <w:rFonts w:ascii="Times New Roman" w:eastAsia="Times New Roman" w:hAnsi="Times New Roman" w:cs="Times New Roman"/>
          <w:sz w:val="24"/>
          <w:szCs w:val="24"/>
          <w:lang w:val="en"/>
        </w:rPr>
        <w:t xml:space="preserve">Wolf, ‘Self-Interest and Interest in Selves’, </w:t>
      </w:r>
      <w:r w:rsidRPr="00B760FA">
        <w:rPr>
          <w:rFonts w:ascii="Times New Roman" w:eastAsia="Times New Roman" w:hAnsi="Times New Roman" w:cs="Times New Roman"/>
          <w:i/>
          <w:iCs/>
          <w:sz w:val="24"/>
          <w:szCs w:val="24"/>
          <w:lang w:val="en"/>
        </w:rPr>
        <w:t>Ethics</w:t>
      </w:r>
      <w:r w:rsidRPr="00B760FA">
        <w:rPr>
          <w:rFonts w:ascii="Times New Roman" w:eastAsia="Times New Roman" w:hAnsi="Times New Roman" w:cs="Times New Roman"/>
          <w:sz w:val="24"/>
          <w:szCs w:val="24"/>
          <w:lang w:val="en"/>
        </w:rPr>
        <w:t>, 96 (1986). Section III</w:t>
      </w:r>
    </w:p>
    <w:p w:rsidR="00B760FA" w:rsidRPr="00B760FA" w:rsidRDefault="00B760FA" w:rsidP="00B760FA">
      <w:pPr>
        <w:spacing w:after="3" w:line="249" w:lineRule="auto"/>
        <w:ind w:left="10" w:hanging="10"/>
        <w:rPr>
          <w:rFonts w:ascii="Times New Roman" w:eastAsia="Times New Roman" w:hAnsi="Times New Roman" w:cs="Times New Roman"/>
          <w:i/>
          <w:iCs/>
          <w:color w:val="000000"/>
          <w:sz w:val="24"/>
          <w:lang w:eastAsia="en-GB"/>
        </w:rPr>
      </w:pPr>
      <w:r w:rsidRPr="00B760FA">
        <w:rPr>
          <w:rFonts w:ascii="Times New Roman" w:eastAsia="Times New Roman" w:hAnsi="Times New Roman" w:cs="Times New Roman"/>
          <w:color w:val="000000"/>
          <w:sz w:val="24"/>
          <w:lang w:eastAsia="en-GB"/>
        </w:rPr>
        <w:t xml:space="preserve">J.M. Shorter, 'Personal Identity, Personal Relationships and Criteria', </w:t>
      </w:r>
      <w:r w:rsidRPr="00B760FA">
        <w:rPr>
          <w:rFonts w:ascii="Times New Roman" w:eastAsia="Times New Roman" w:hAnsi="Times New Roman" w:cs="Times New Roman"/>
          <w:i/>
          <w:iCs/>
          <w:color w:val="000000"/>
          <w:sz w:val="24"/>
          <w:lang w:eastAsia="en-GB"/>
        </w:rPr>
        <w:t xml:space="preserve">Proceedings of the </w:t>
      </w:r>
    </w:p>
    <w:p w:rsidR="00B760FA" w:rsidRPr="00B760FA" w:rsidRDefault="00B760FA" w:rsidP="00B760FA">
      <w:pPr>
        <w:spacing w:after="3" w:line="249" w:lineRule="auto"/>
        <w:ind w:left="10" w:hanging="10"/>
        <w:rPr>
          <w:rFonts w:ascii="Times New Roman" w:eastAsia="Times New Roman" w:hAnsi="Times New Roman" w:cs="Times New Roman"/>
          <w:color w:val="000000"/>
          <w:sz w:val="24"/>
          <w:lang w:eastAsia="en-GB"/>
        </w:rPr>
      </w:pPr>
      <w:r w:rsidRPr="00B760FA">
        <w:rPr>
          <w:rFonts w:ascii="Times New Roman" w:eastAsia="Times New Roman" w:hAnsi="Times New Roman" w:cs="Times New Roman"/>
          <w:i/>
          <w:iCs/>
          <w:color w:val="000000"/>
          <w:sz w:val="24"/>
          <w:lang w:eastAsia="en-GB"/>
        </w:rPr>
        <w:t xml:space="preserve">    Aristotelian Society</w:t>
      </w:r>
      <w:r w:rsidRPr="00B760FA">
        <w:rPr>
          <w:rFonts w:ascii="Times New Roman" w:eastAsia="Times New Roman" w:hAnsi="Times New Roman" w:cs="Times New Roman"/>
          <w:color w:val="000000"/>
          <w:sz w:val="24"/>
          <w:lang w:eastAsia="en-GB"/>
        </w:rPr>
        <w:t>, 1970</w:t>
      </w:r>
      <w:r w:rsidRPr="00B760FA">
        <w:rPr>
          <w:rFonts w:ascii="Times New Roman" w:eastAsia="Times New Roman" w:hAnsi="Times New Roman" w:cs="Times New Roman"/>
          <w:color w:val="000000"/>
          <w:sz w:val="24"/>
          <w:lang w:eastAsia="en-GB"/>
        </w:rPr>
        <w:noBreakHyphen/>
        <w:t>71</w:t>
      </w:r>
    </w:p>
    <w:p w:rsidR="00B760FA" w:rsidRPr="00B760FA" w:rsidRDefault="00B760FA" w:rsidP="00B760FA">
      <w:pPr>
        <w:spacing w:after="0" w:line="240" w:lineRule="auto"/>
        <w:rPr>
          <w:rFonts w:ascii="Times New Roman" w:eastAsia="Times New Roman" w:hAnsi="Times New Roman" w:cs="Times New Roman"/>
          <w:iCs/>
          <w:sz w:val="24"/>
          <w:szCs w:val="24"/>
        </w:rPr>
      </w:pPr>
    </w:p>
    <w:p w:rsidR="00B760FA" w:rsidRPr="00B760FA" w:rsidRDefault="00B760FA" w:rsidP="00B760FA">
      <w:pPr>
        <w:spacing w:after="0" w:line="240" w:lineRule="auto"/>
        <w:rPr>
          <w:rFonts w:ascii="Times New Roman" w:eastAsia="Times New Roman" w:hAnsi="Times New Roman" w:cs="Times New Roman"/>
          <w:iCs/>
          <w:sz w:val="24"/>
          <w:szCs w:val="24"/>
        </w:rPr>
      </w:pPr>
    </w:p>
    <w:p w:rsidR="00B760FA" w:rsidRPr="00B760FA" w:rsidRDefault="00B760FA" w:rsidP="00B760FA">
      <w:pPr>
        <w:spacing w:after="0" w:line="240" w:lineRule="auto"/>
        <w:rPr>
          <w:rFonts w:ascii="Times New Roman" w:eastAsia="Times New Roman" w:hAnsi="Times New Roman" w:cs="Times New Roman"/>
          <w:sz w:val="24"/>
          <w:szCs w:val="24"/>
          <w:lang w:val="en-US"/>
        </w:rPr>
      </w:pPr>
      <w:r w:rsidRPr="00B760FA">
        <w:rPr>
          <w:rFonts w:ascii="Times New Roman" w:eastAsia="Times New Roman" w:hAnsi="Times New Roman" w:cs="Times New Roman"/>
          <w:sz w:val="24"/>
          <w:szCs w:val="24"/>
          <w:lang w:val="en"/>
        </w:rPr>
        <w:t>+++++++++++++++++++++++++</w:t>
      </w:r>
    </w:p>
    <w:p w:rsidR="00B760FA" w:rsidRPr="00B760FA" w:rsidRDefault="00B760FA" w:rsidP="00B760FA">
      <w:pPr>
        <w:spacing w:after="0" w:line="240" w:lineRule="auto"/>
        <w:rPr>
          <w:rFonts w:ascii="Times New Roman" w:eastAsia="Times New Roman" w:hAnsi="Times New Roman" w:cs="Times New Roman"/>
          <w:iCs/>
          <w:sz w:val="24"/>
          <w:szCs w:val="24"/>
        </w:rPr>
      </w:pPr>
    </w:p>
    <w:p w:rsidR="00B760FA" w:rsidRPr="00B760FA" w:rsidRDefault="00B760FA" w:rsidP="00B760FA">
      <w:pPr>
        <w:spacing w:after="0" w:line="240" w:lineRule="auto"/>
        <w:rPr>
          <w:rFonts w:ascii="Times New Roman" w:eastAsia="Times New Roman" w:hAnsi="Times New Roman" w:cs="Times New Roman"/>
          <w:sz w:val="24"/>
          <w:szCs w:val="20"/>
        </w:rPr>
      </w:pPr>
      <w:r>
        <w:rPr>
          <w:rFonts w:ascii="Times New Roman" w:eastAsia="Times New Roman" w:hAnsi="Times New Roman" w:cs="Times New Roman"/>
          <w:sz w:val="24"/>
          <w:szCs w:val="20"/>
        </w:rPr>
        <w:t>4</w:t>
      </w:r>
      <w:bookmarkStart w:id="3" w:name="_GoBack"/>
      <w:bookmarkEnd w:id="3"/>
      <w:r w:rsidRPr="00B760FA">
        <w:rPr>
          <w:rFonts w:ascii="Times New Roman" w:eastAsia="Times New Roman" w:hAnsi="Times New Roman" w:cs="Times New Roman"/>
          <w:sz w:val="24"/>
          <w:szCs w:val="20"/>
        </w:rPr>
        <w:t xml:space="preserve">. Many take it to be quite clear that we can envisage circumstances in which a person survives independently of his current body, and so that the conditions for being the same person are different in kind from those of being, for example, the same tree. </w:t>
      </w:r>
      <w:r w:rsidRPr="00B760FA">
        <w:rPr>
          <w:rFonts w:ascii="Times New Roman" w:eastAsia="Times New Roman" w:hAnsi="Times New Roman" w:cs="Times New Roman"/>
          <w:i/>
          <w:sz w:val="24"/>
          <w:szCs w:val="20"/>
        </w:rPr>
        <w:t>Is</w:t>
      </w:r>
      <w:r w:rsidRPr="00B760FA">
        <w:rPr>
          <w:rFonts w:ascii="Times New Roman" w:eastAsia="Times New Roman" w:hAnsi="Times New Roman" w:cs="Times New Roman"/>
          <w:sz w:val="24"/>
          <w:szCs w:val="20"/>
        </w:rPr>
        <w:t xml:space="preserve"> it clear?</w:t>
      </w:r>
    </w:p>
    <w:p w:rsidR="00B760FA" w:rsidRPr="00B760FA" w:rsidRDefault="00B760FA" w:rsidP="00B760FA">
      <w:pPr>
        <w:spacing w:after="0" w:line="240" w:lineRule="auto"/>
        <w:rPr>
          <w:rFonts w:ascii="Times New Roman" w:eastAsia="Times New Roman" w:hAnsi="Times New Roman" w:cs="Times New Roman"/>
          <w:sz w:val="24"/>
          <w:szCs w:val="20"/>
        </w:rPr>
      </w:pPr>
      <w:r w:rsidRPr="00B760FA">
        <w:rPr>
          <w:rFonts w:ascii="Times New Roman" w:eastAsia="Times New Roman" w:hAnsi="Times New Roman" w:cs="Times New Roman"/>
          <w:sz w:val="24"/>
          <w:szCs w:val="20"/>
        </w:rPr>
        <w:t xml:space="preserve">ESSAY GUIDANCE. The literature is packed with examples of cases in which it is suggested that we can imagine a person surviving in a different body from that which she now has, or without any body at all. Most of these cases are purely imaginary, though some are suggested to have </w:t>
      </w:r>
      <w:proofErr w:type="gramStart"/>
      <w:r w:rsidRPr="00B760FA">
        <w:rPr>
          <w:rFonts w:ascii="Times New Roman" w:eastAsia="Times New Roman" w:hAnsi="Times New Roman" w:cs="Times New Roman"/>
          <w:sz w:val="24"/>
          <w:szCs w:val="20"/>
        </w:rPr>
        <w:t>actually occurred</w:t>
      </w:r>
      <w:proofErr w:type="gramEnd"/>
      <w:r w:rsidRPr="00B760FA">
        <w:rPr>
          <w:rFonts w:ascii="Times New Roman" w:eastAsia="Times New Roman" w:hAnsi="Times New Roman" w:cs="Times New Roman"/>
          <w:sz w:val="24"/>
          <w:szCs w:val="20"/>
        </w:rPr>
        <w:t>. The examples, even where imaginary, are crucial to the discussion of personal identity: for if the stories so much as make sense ‘being the same person’ seems to involve very different conditions from being the same chair or tree. Most people find it intuitively clear that the stories do make sense. Your task in this essay is to consider the most compelling of such stories carefully and ask whether we should go along with them as readily as is suggested. If your immediate response to these stories is that they are clearly simply nonsense, this is not a good essay for you to work on. It is crucial that you at least feel the pull of them if you are to engage seriously in discussion of them.</w:t>
      </w:r>
    </w:p>
    <w:p w:rsidR="00B760FA" w:rsidRPr="00B760FA" w:rsidRDefault="00B760FA" w:rsidP="00B760FA">
      <w:pPr>
        <w:spacing w:after="0" w:line="240" w:lineRule="auto"/>
        <w:rPr>
          <w:rFonts w:ascii="Times New Roman" w:eastAsia="Times New Roman" w:hAnsi="Times New Roman" w:cs="Times New Roman"/>
          <w:sz w:val="24"/>
          <w:szCs w:val="20"/>
        </w:rPr>
      </w:pPr>
      <w:r w:rsidRPr="00B760FA">
        <w:rPr>
          <w:rFonts w:ascii="Times New Roman" w:eastAsia="Times New Roman" w:hAnsi="Times New Roman" w:cs="Times New Roman"/>
          <w:sz w:val="24"/>
          <w:szCs w:val="20"/>
        </w:rPr>
        <w:t>READING. You will have come across relevant examples in classes and in any general reading that you have done on personal identity. For some specific discussions see:</w:t>
      </w:r>
    </w:p>
    <w:p w:rsidR="00B760FA" w:rsidRPr="00B760FA" w:rsidRDefault="00B760FA" w:rsidP="00B760FA">
      <w:pPr>
        <w:spacing w:after="0" w:line="240" w:lineRule="auto"/>
        <w:rPr>
          <w:rFonts w:ascii="Times New Roman" w:eastAsia="Times New Roman" w:hAnsi="Times New Roman" w:cs="Times New Roman"/>
          <w:sz w:val="24"/>
          <w:szCs w:val="24"/>
          <w:lang w:val="en-US"/>
        </w:rPr>
      </w:pPr>
      <w:r w:rsidRPr="00B760FA">
        <w:rPr>
          <w:rFonts w:ascii="Times New Roman" w:eastAsia="Times New Roman" w:hAnsi="Times New Roman" w:cs="Times New Roman"/>
          <w:sz w:val="24"/>
          <w:szCs w:val="24"/>
          <w:lang w:val="en-US"/>
        </w:rPr>
        <w:t>John Perry, ‘A Dialogue on Personal Identity’, section 3</w:t>
      </w:r>
    </w:p>
    <w:p w:rsidR="00B760FA" w:rsidRPr="00B760FA" w:rsidRDefault="00B760FA" w:rsidP="00B760FA">
      <w:pPr>
        <w:spacing w:after="0" w:line="240" w:lineRule="auto"/>
        <w:rPr>
          <w:rFonts w:ascii="Times New Roman" w:eastAsia="Times New Roman" w:hAnsi="Times New Roman" w:cs="Times New Roman"/>
          <w:sz w:val="24"/>
          <w:szCs w:val="24"/>
          <w:lang w:val="en-US"/>
        </w:rPr>
      </w:pPr>
      <w:r w:rsidRPr="00B760FA">
        <w:rPr>
          <w:rFonts w:ascii="Times New Roman" w:eastAsia="Times New Roman" w:hAnsi="Times New Roman" w:cs="Times New Roman"/>
          <w:sz w:val="24"/>
          <w:szCs w:val="24"/>
          <w:lang w:val="en-US"/>
        </w:rPr>
        <w:t xml:space="preserve">Antony Quinton, ‘The Soul’, part </w:t>
      </w:r>
      <w:smartTag w:uri="urn:schemas-microsoft-com:office:smarttags" w:element="stockticker">
        <w:r w:rsidRPr="00B760FA">
          <w:rPr>
            <w:rFonts w:ascii="Times New Roman" w:eastAsia="Times New Roman" w:hAnsi="Times New Roman" w:cs="Times New Roman"/>
            <w:sz w:val="24"/>
            <w:szCs w:val="24"/>
            <w:lang w:val="en-US"/>
          </w:rPr>
          <w:t>III</w:t>
        </w:r>
      </w:smartTag>
    </w:p>
    <w:p w:rsidR="00B760FA" w:rsidRPr="00B760FA" w:rsidRDefault="00B760FA" w:rsidP="00B760FA">
      <w:pPr>
        <w:spacing w:after="0" w:line="240" w:lineRule="auto"/>
        <w:jc w:val="both"/>
        <w:rPr>
          <w:rFonts w:ascii="Times New Roman" w:eastAsia="Times New Roman" w:hAnsi="Times New Roman" w:cs="Times New Roman"/>
          <w:sz w:val="24"/>
          <w:szCs w:val="24"/>
          <w:lang w:val="en-US"/>
        </w:rPr>
      </w:pPr>
      <w:r w:rsidRPr="00B760FA">
        <w:rPr>
          <w:rFonts w:ascii="Times New Roman" w:eastAsia="Times New Roman" w:hAnsi="Times New Roman" w:cs="Times New Roman"/>
          <w:sz w:val="24"/>
          <w:szCs w:val="24"/>
          <w:lang w:val="en-US"/>
        </w:rPr>
        <w:t>Bernard Williams, ‘The self and the future’</w:t>
      </w:r>
      <w:r w:rsidRPr="00B760FA">
        <w:rPr>
          <w:rFonts w:ascii="Times New Roman" w:eastAsia="Times New Roman" w:hAnsi="Times New Roman" w:cs="Times New Roman"/>
          <w:color w:val="32322F"/>
          <w:sz w:val="24"/>
          <w:szCs w:val="24"/>
        </w:rPr>
        <w:t xml:space="preserve"> The Philosophical Review (1970), Vol.79(2),</w:t>
      </w:r>
    </w:p>
    <w:p w:rsidR="00B760FA" w:rsidRPr="00B760FA" w:rsidRDefault="00B760FA" w:rsidP="00B760FA">
      <w:pPr>
        <w:spacing w:after="0" w:line="240" w:lineRule="auto"/>
        <w:jc w:val="both"/>
        <w:rPr>
          <w:rFonts w:ascii="Times New Roman" w:eastAsia="Times New Roman" w:hAnsi="Times New Roman" w:cs="Times New Roman"/>
          <w:sz w:val="24"/>
          <w:szCs w:val="24"/>
          <w:lang w:val="en"/>
        </w:rPr>
      </w:pPr>
      <w:r w:rsidRPr="00B760FA">
        <w:rPr>
          <w:rFonts w:ascii="Times New Roman" w:eastAsia="Times New Roman" w:hAnsi="Times New Roman" w:cs="Times New Roman"/>
          <w:sz w:val="24"/>
          <w:szCs w:val="24"/>
          <w:lang w:val="en-US"/>
        </w:rPr>
        <w:t>Bernard Williams, ‘Personal identity and individuation’</w:t>
      </w:r>
      <w:r w:rsidRPr="00B760FA">
        <w:rPr>
          <w:rFonts w:ascii="Times New Roman" w:eastAsia="Times New Roman" w:hAnsi="Times New Roman" w:cs="Times New Roman"/>
          <w:color w:val="32322F"/>
          <w:sz w:val="24"/>
          <w:szCs w:val="24"/>
        </w:rPr>
        <w:t xml:space="preserve"> Proceedings of the Aristotelian Society (1956), Vol.57</w:t>
      </w:r>
    </w:p>
    <w:p w:rsidR="00BD346A" w:rsidRDefault="00B760FA"/>
    <w:sectPr w:rsidR="00BD34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60FA"/>
    <w:rsid w:val="008E214F"/>
    <w:rsid w:val="008F799C"/>
    <w:rsid w:val="00B76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2AF94227"/>
  <w15:chartTrackingRefBased/>
  <w15:docId w15:val="{8F4B5DE9-88DB-4A79-8A2D-CDF8E623A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tsd-l.worldcat.org/title/problems-from-locke/oclc/2370211&amp;referer=brief_resul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1527</Words>
  <Characters>8709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Cockburn</dc:creator>
  <cp:keywords/>
  <dc:description/>
  <cp:lastModifiedBy>David Cockburn</cp:lastModifiedBy>
  <cp:revision>1</cp:revision>
  <dcterms:created xsi:type="dcterms:W3CDTF">2017-09-23T09:52:00Z</dcterms:created>
  <dcterms:modified xsi:type="dcterms:W3CDTF">2017-09-23T09:53:00Z</dcterms:modified>
</cp:coreProperties>
</file>