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8123993"/>
        <w:docPartObj>
          <w:docPartGallery w:val="Cover Pages"/>
          <w:docPartUnique/>
        </w:docPartObj>
      </w:sdtPr>
      <w:sdtContent>
        <w:p w14:paraId="236D2913" w14:textId="6AB5310C" w:rsidR="00956117" w:rsidRDefault="00956117">
          <w:r>
            <w:rPr>
              <w:noProof/>
            </w:rPr>
            <mc:AlternateContent>
              <mc:Choice Requires="wpg">
                <w:drawing>
                  <wp:anchor distT="0" distB="0" distL="114300" distR="114300" simplePos="0" relativeHeight="251659264" behindDoc="0" locked="0" layoutInCell="1" allowOverlap="1" wp14:anchorId="2DCD74E7" wp14:editId="0C242633">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58AD218" w14:textId="780FB48F" w:rsidR="00956117" w:rsidRDefault="00E46680">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INTERNATIONAL FINANCIAL MANAGEMENT</w:t>
                                      </w:r>
                                      <w:r w:rsidR="007F238B">
                                        <w:rPr>
                                          <w:rFonts w:asciiTheme="majorHAnsi" w:hAnsiTheme="majorHAnsi"/>
                                          <w:color w:val="E7E6E6" w:themeColor="background2"/>
                                          <w:sz w:val="78"/>
                                          <w:szCs w:val="78"/>
                                        </w:rPr>
                                        <w:t xml:space="preserve"> A1</w:t>
                                      </w:r>
                                      <w:r>
                                        <w:rPr>
                                          <w:rFonts w:asciiTheme="majorHAnsi" w:hAnsiTheme="majorHAnsi"/>
                                          <w:color w:val="E7E6E6" w:themeColor="background2"/>
                                          <w:sz w:val="78"/>
                                          <w:szCs w:val="78"/>
                                        </w:rPr>
                                        <w:t xml:space="preserve"> LCBB6002</w:t>
                                      </w:r>
                                    </w:p>
                                  </w:sdtContent>
                                </w:sdt>
                                <w:p w14:paraId="49AAC5A0" w14:textId="08F0D237" w:rsidR="00956117" w:rsidRPr="00E46680" w:rsidRDefault="00000000">
                                  <w:pPr>
                                    <w:pStyle w:val="NoSpacing"/>
                                    <w:spacing w:line="264" w:lineRule="auto"/>
                                    <w:rPr>
                                      <w:color w:val="E7E6E6" w:themeColor="background2"/>
                                      <w:spacing w:val="20"/>
                                      <w:sz w:val="36"/>
                                      <w:szCs w:val="36"/>
                                    </w:rPr>
                                  </w:pPr>
                                  <w:sdt>
                                    <w:sdtPr>
                                      <w:rPr>
                                        <w:color w:val="E7E6E6" w:themeColor="background2"/>
                                        <w:spacing w:val="20"/>
                                        <w:sz w:val="36"/>
                                        <w:szCs w:val="36"/>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7F238B" w:rsidRPr="00E46680">
                                        <w:rPr>
                                          <w:color w:val="E7E6E6" w:themeColor="background2"/>
                                          <w:spacing w:val="20"/>
                                          <w:sz w:val="36"/>
                                          <w:szCs w:val="36"/>
                                        </w:rPr>
                                        <w:t>Module Le</w:t>
                                      </w:r>
                                      <w:r w:rsidR="00E46680" w:rsidRPr="00E46680">
                                        <w:rPr>
                                          <w:color w:val="E7E6E6" w:themeColor="background2"/>
                                          <w:spacing w:val="20"/>
                                          <w:sz w:val="36"/>
                                          <w:szCs w:val="36"/>
                                        </w:rPr>
                                        <w:t>cturer</w:t>
                                      </w:r>
                                      <w:r w:rsidR="007F238B" w:rsidRPr="00E46680">
                                        <w:rPr>
                                          <w:color w:val="E7E6E6" w:themeColor="background2"/>
                                          <w:spacing w:val="20"/>
                                          <w:sz w:val="36"/>
                                          <w:szCs w:val="36"/>
                                        </w:rPr>
                                        <w:t>:</w:t>
                                      </w:r>
                                    </w:sdtContent>
                                  </w:sdt>
                                  <w:r w:rsidR="00E46680" w:rsidRPr="00E46680">
                                    <w:rPr>
                                      <w:color w:val="E7E6E6" w:themeColor="background2"/>
                                      <w:spacing w:val="20"/>
                                      <w:sz w:val="36"/>
                                      <w:szCs w:val="36"/>
                                    </w:rPr>
                                    <w:t xml:space="preserve"> Konstantina Mari</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31138EC" w14:textId="4BFCA456" w:rsidR="00956117" w:rsidRDefault="007F238B">
                                      <w:pPr>
                                        <w:pStyle w:val="NoSpacing"/>
                                        <w:spacing w:after="180"/>
                                        <w:rPr>
                                          <w:color w:val="E7E6E6" w:themeColor="background2"/>
                                          <w:spacing w:val="20"/>
                                          <w:sz w:val="36"/>
                                          <w:szCs w:val="36"/>
                                        </w:rPr>
                                      </w:pPr>
                                      <w:r>
                                        <w:rPr>
                                          <w:color w:val="E7E6E6" w:themeColor="background2"/>
                                          <w:spacing w:val="20"/>
                                          <w:sz w:val="36"/>
                                          <w:szCs w:val="36"/>
                                        </w:rPr>
                                        <w:t>Student ID:</w:t>
                                      </w:r>
                                      <w:r w:rsidR="00E46680">
                                        <w:rPr>
                                          <w:color w:val="E7E6E6" w:themeColor="background2"/>
                                          <w:spacing w:val="20"/>
                                          <w:sz w:val="36"/>
                                          <w:szCs w:val="36"/>
                                        </w:rPr>
                                        <w:t>1918702</w:t>
                                      </w:r>
                                    </w:p>
                                  </w:sdtContent>
                                </w:sdt>
                                <w:p w14:paraId="56C18AED" w14:textId="6C58898D" w:rsidR="0095611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7F238B">
                                        <w:rPr>
                                          <w:color w:val="E7E6E6" w:themeColor="background2"/>
                                          <w:spacing w:val="20"/>
                                          <w:sz w:val="36"/>
                                          <w:szCs w:val="36"/>
                                        </w:rPr>
                                        <w:t>Student Name:</w:t>
                                      </w:r>
                                      <w:r w:rsidR="00E46680">
                                        <w:rPr>
                                          <w:color w:val="E7E6E6" w:themeColor="background2"/>
                                          <w:spacing w:val="20"/>
                                          <w:sz w:val="36"/>
                                          <w:szCs w:val="36"/>
                                        </w:rPr>
                                        <w:t xml:space="preserve"> </w:t>
                                      </w:r>
                                    </w:sdtContent>
                                  </w:sdt>
                                  <w:r w:rsidR="00E46680">
                                    <w:rPr>
                                      <w:color w:val="E7E6E6" w:themeColor="background2"/>
                                      <w:spacing w:val="20"/>
                                      <w:sz w:val="36"/>
                                      <w:szCs w:val="36"/>
                                    </w:rPr>
                                    <w:t>Irina Nacheva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DCD74E7"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58AD218" w14:textId="780FB48F" w:rsidR="00956117" w:rsidRDefault="00E46680">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INTERNATIONAL FINANCIAL MANAGEMENT</w:t>
                                </w:r>
                                <w:r w:rsidR="007F238B">
                                  <w:rPr>
                                    <w:rFonts w:asciiTheme="majorHAnsi" w:hAnsiTheme="majorHAnsi"/>
                                    <w:color w:val="E7E6E6" w:themeColor="background2"/>
                                    <w:sz w:val="78"/>
                                    <w:szCs w:val="78"/>
                                  </w:rPr>
                                  <w:t xml:space="preserve"> A1</w:t>
                                </w:r>
                                <w:r>
                                  <w:rPr>
                                    <w:rFonts w:asciiTheme="majorHAnsi" w:hAnsiTheme="majorHAnsi"/>
                                    <w:color w:val="E7E6E6" w:themeColor="background2"/>
                                    <w:sz w:val="78"/>
                                    <w:szCs w:val="78"/>
                                  </w:rPr>
                                  <w:t xml:space="preserve"> LCBB6002</w:t>
                                </w:r>
                              </w:p>
                            </w:sdtContent>
                          </w:sdt>
                          <w:p w14:paraId="49AAC5A0" w14:textId="08F0D237" w:rsidR="00956117" w:rsidRPr="00E46680" w:rsidRDefault="00000000">
                            <w:pPr>
                              <w:pStyle w:val="NoSpacing"/>
                              <w:spacing w:line="264" w:lineRule="auto"/>
                              <w:rPr>
                                <w:color w:val="E7E6E6" w:themeColor="background2"/>
                                <w:spacing w:val="20"/>
                                <w:sz w:val="36"/>
                                <w:szCs w:val="36"/>
                              </w:rPr>
                            </w:pPr>
                            <w:sdt>
                              <w:sdtPr>
                                <w:rPr>
                                  <w:color w:val="E7E6E6" w:themeColor="background2"/>
                                  <w:spacing w:val="20"/>
                                  <w:sz w:val="36"/>
                                  <w:szCs w:val="36"/>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7F238B" w:rsidRPr="00E46680">
                                  <w:rPr>
                                    <w:color w:val="E7E6E6" w:themeColor="background2"/>
                                    <w:spacing w:val="20"/>
                                    <w:sz w:val="36"/>
                                    <w:szCs w:val="36"/>
                                  </w:rPr>
                                  <w:t>Module Le</w:t>
                                </w:r>
                                <w:r w:rsidR="00E46680" w:rsidRPr="00E46680">
                                  <w:rPr>
                                    <w:color w:val="E7E6E6" w:themeColor="background2"/>
                                    <w:spacing w:val="20"/>
                                    <w:sz w:val="36"/>
                                    <w:szCs w:val="36"/>
                                  </w:rPr>
                                  <w:t>cturer</w:t>
                                </w:r>
                                <w:r w:rsidR="007F238B" w:rsidRPr="00E46680">
                                  <w:rPr>
                                    <w:color w:val="E7E6E6" w:themeColor="background2"/>
                                    <w:spacing w:val="20"/>
                                    <w:sz w:val="36"/>
                                    <w:szCs w:val="36"/>
                                  </w:rPr>
                                  <w:t>:</w:t>
                                </w:r>
                              </w:sdtContent>
                            </w:sdt>
                            <w:r w:rsidR="00E46680" w:rsidRPr="00E46680">
                              <w:rPr>
                                <w:color w:val="E7E6E6" w:themeColor="background2"/>
                                <w:spacing w:val="20"/>
                                <w:sz w:val="36"/>
                                <w:szCs w:val="36"/>
                              </w:rPr>
                              <w:t xml:space="preserve"> Konstantina Mari</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31138EC" w14:textId="4BFCA456" w:rsidR="00956117" w:rsidRDefault="007F238B">
                                <w:pPr>
                                  <w:pStyle w:val="NoSpacing"/>
                                  <w:spacing w:after="180"/>
                                  <w:rPr>
                                    <w:color w:val="E7E6E6" w:themeColor="background2"/>
                                    <w:spacing w:val="20"/>
                                    <w:sz w:val="36"/>
                                    <w:szCs w:val="36"/>
                                  </w:rPr>
                                </w:pPr>
                                <w:r>
                                  <w:rPr>
                                    <w:color w:val="E7E6E6" w:themeColor="background2"/>
                                    <w:spacing w:val="20"/>
                                    <w:sz w:val="36"/>
                                    <w:szCs w:val="36"/>
                                  </w:rPr>
                                  <w:t>Student ID:</w:t>
                                </w:r>
                                <w:r w:rsidR="00E46680">
                                  <w:rPr>
                                    <w:color w:val="E7E6E6" w:themeColor="background2"/>
                                    <w:spacing w:val="20"/>
                                    <w:sz w:val="36"/>
                                    <w:szCs w:val="36"/>
                                  </w:rPr>
                                  <w:t>1918702</w:t>
                                </w:r>
                              </w:p>
                            </w:sdtContent>
                          </w:sdt>
                          <w:p w14:paraId="56C18AED" w14:textId="6C58898D" w:rsidR="0095611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7F238B">
                                  <w:rPr>
                                    <w:color w:val="E7E6E6" w:themeColor="background2"/>
                                    <w:spacing w:val="20"/>
                                    <w:sz w:val="36"/>
                                    <w:szCs w:val="36"/>
                                  </w:rPr>
                                  <w:t>Student Name:</w:t>
                                </w:r>
                                <w:r w:rsidR="00E46680">
                                  <w:rPr>
                                    <w:color w:val="E7E6E6" w:themeColor="background2"/>
                                    <w:spacing w:val="20"/>
                                    <w:sz w:val="36"/>
                                    <w:szCs w:val="36"/>
                                  </w:rPr>
                                  <w:t xml:space="preserve"> </w:t>
                                </w:r>
                              </w:sdtContent>
                            </w:sdt>
                            <w:r w:rsidR="00E46680">
                              <w:rPr>
                                <w:color w:val="E7E6E6" w:themeColor="background2"/>
                                <w:spacing w:val="20"/>
                                <w:sz w:val="36"/>
                                <w:szCs w:val="36"/>
                              </w:rPr>
                              <w:t>Irina Nacheva</w:t>
                            </w:r>
                          </w:p>
                        </w:txbxContent>
                      </v:textbox>
                    </v:shape>
                    <w10:wrap anchorx="page" anchory="page"/>
                  </v:group>
                </w:pict>
              </mc:Fallback>
            </mc:AlternateContent>
          </w:r>
        </w:p>
        <w:p w14:paraId="488F452A" w14:textId="77777777" w:rsidR="00E46680" w:rsidRDefault="00956117" w:rsidP="00E46680">
          <w:r>
            <w:br w:type="page"/>
          </w:r>
        </w:p>
      </w:sdtContent>
    </w:sdt>
    <w:p w14:paraId="58909102" w14:textId="7507D550" w:rsidR="00E46680" w:rsidRPr="005445A7" w:rsidRDefault="00E46680" w:rsidP="00E46680">
      <w:pPr>
        <w:rPr>
          <w:rFonts w:cs="Arial"/>
          <w:color w:val="000000" w:themeColor="text1"/>
          <w:szCs w:val="24"/>
        </w:rPr>
      </w:pPr>
      <w:r w:rsidRPr="00E46680">
        <w:rPr>
          <w:rFonts w:cs="Arial"/>
          <w:szCs w:val="24"/>
        </w:rPr>
        <w:lastRenderedPageBreak/>
        <w:t xml:space="preserve"> </w:t>
      </w:r>
      <w:r w:rsidRPr="005445A7">
        <w:rPr>
          <w:rFonts w:cs="Arial"/>
          <w:szCs w:val="24"/>
        </w:rPr>
        <w:t xml:space="preserve">The International Financial Management of an enterprise is referred to as the idea that the monetary transactions in which the company is involved in. In this manner, the company will be able to be planning, organizing, directing and the controlling </w:t>
      </w:r>
      <w:proofErr w:type="gramStart"/>
      <w:r w:rsidRPr="005445A7">
        <w:rPr>
          <w:rFonts w:cs="Arial"/>
          <w:szCs w:val="24"/>
        </w:rPr>
        <w:t>all of</w:t>
      </w:r>
      <w:proofErr w:type="gramEnd"/>
      <w:r w:rsidRPr="005445A7">
        <w:rPr>
          <w:rFonts w:cs="Arial"/>
          <w:szCs w:val="24"/>
        </w:rPr>
        <w:t xml:space="preserve"> the necessary financial and managerial operations (Bai, 2019). Furthermore, in the following essay an organization should be able comprehend and analyse the dividend distribution policy along with the efficient market hypothesis theory in context of the chosen organization that is </w:t>
      </w:r>
      <w:r w:rsidRPr="009D748D">
        <w:rPr>
          <w:rFonts w:cs="Arial"/>
          <w:color w:val="000000" w:themeColor="text1"/>
          <w:szCs w:val="24"/>
        </w:rPr>
        <w:t xml:space="preserve">KPMG, </w:t>
      </w:r>
      <w:r w:rsidRPr="005445A7">
        <w:rPr>
          <w:rFonts w:cs="Arial"/>
          <w:szCs w:val="24"/>
        </w:rPr>
        <w:t xml:space="preserve">which is a </w:t>
      </w:r>
      <w:r w:rsidRPr="005445A7">
        <w:rPr>
          <w:rFonts w:cs="Arial"/>
          <w:color w:val="000000" w:themeColor="text1"/>
          <w:szCs w:val="24"/>
        </w:rPr>
        <w:t xml:space="preserve">British conglomerate holding company which has it headquarter in London, England, United Kingdom. The company majorly has been involved in insurance, from which they invest the float or the retained premium, along with the portfolio of the subsidiaries, equity positions and different securities. Also, the critical analysis and evaluation of KPMG, a multinational corporation’s methods of appraising projects. </w:t>
      </w:r>
    </w:p>
    <w:p w14:paraId="3D17D0A5" w14:textId="77777777" w:rsidR="00E46680" w:rsidRPr="005445A7" w:rsidRDefault="00E46680" w:rsidP="00E46680">
      <w:pPr>
        <w:pStyle w:val="Heading2"/>
        <w:rPr>
          <w:rFonts w:ascii="Arial" w:hAnsi="Arial" w:cs="Arial"/>
          <w:szCs w:val="24"/>
        </w:rPr>
      </w:pPr>
      <w:bookmarkStart w:id="0" w:name="_Toc122619604"/>
      <w:r w:rsidRPr="005445A7">
        <w:rPr>
          <w:rFonts w:ascii="Arial" w:hAnsi="Arial" w:cs="Arial"/>
          <w:szCs w:val="24"/>
        </w:rPr>
        <w:t>Company Overview</w:t>
      </w:r>
      <w:bookmarkEnd w:id="0"/>
    </w:p>
    <w:p w14:paraId="55AC1864" w14:textId="77777777" w:rsidR="00E46680" w:rsidRPr="005445A7" w:rsidRDefault="00E46680" w:rsidP="00E46680">
      <w:pPr>
        <w:rPr>
          <w:rFonts w:cs="Arial"/>
          <w:color w:val="000000" w:themeColor="text1"/>
          <w:szCs w:val="24"/>
        </w:rPr>
      </w:pPr>
      <w:r w:rsidRPr="005445A7">
        <w:rPr>
          <w:rFonts w:cs="Arial"/>
          <w:color w:val="000000" w:themeColor="text1"/>
          <w:szCs w:val="24"/>
        </w:rPr>
        <w:t xml:space="preserve">The company has been established in the year 1987 by William Barclay and few others, for dealing in financial advisory, audit, tax services and many similar activities. KPMG is identified as one of the seventh largest component of the S&amp;P 500 index and henceforth the top ranked company. For the fiscal year 2019, KPMG reported earnings of £34.64 billion, with an annual revenue of £254.6 billion, an increase of 2.7% over the previous fiscal cycle. KPMG's market capitalization was valued at over £496 billion in September 2018. As of 2018, KPMG is ranked third on the Fortune 500 rankings of the largest United Kingdom corporations by total revenue. </w:t>
      </w:r>
      <w:r w:rsidRPr="009D748D">
        <w:rPr>
          <w:rFonts w:cs="Arial"/>
          <w:color w:val="000000" w:themeColor="text1"/>
          <w:szCs w:val="24"/>
        </w:rPr>
        <w:t>(KPMG, 2019)</w:t>
      </w:r>
    </w:p>
    <w:p w14:paraId="463094FC" w14:textId="77777777" w:rsidR="00E46680" w:rsidRPr="005445A7" w:rsidRDefault="00E46680" w:rsidP="00E46680">
      <w:pPr>
        <w:pStyle w:val="Heading2"/>
        <w:rPr>
          <w:rFonts w:ascii="Arial" w:hAnsi="Arial" w:cs="Arial"/>
          <w:color w:val="000000" w:themeColor="text1"/>
          <w:szCs w:val="24"/>
        </w:rPr>
      </w:pPr>
      <w:bookmarkStart w:id="1" w:name="_Toc122619605"/>
      <w:r w:rsidRPr="005445A7">
        <w:rPr>
          <w:rFonts w:ascii="Arial" w:hAnsi="Arial" w:cs="Arial"/>
          <w:color w:val="000000" w:themeColor="text1"/>
          <w:szCs w:val="24"/>
        </w:rPr>
        <w:t>Analysis of the Dividend Distribution policy</w:t>
      </w:r>
      <w:bookmarkEnd w:id="1"/>
      <w:r w:rsidRPr="005445A7">
        <w:rPr>
          <w:rFonts w:ascii="Arial" w:hAnsi="Arial" w:cs="Arial"/>
          <w:color w:val="000000" w:themeColor="text1"/>
          <w:szCs w:val="24"/>
        </w:rPr>
        <w:t xml:space="preserve"> </w:t>
      </w:r>
    </w:p>
    <w:p w14:paraId="50D06D86" w14:textId="77777777" w:rsidR="00E46680" w:rsidRPr="005445A7" w:rsidRDefault="00E46680" w:rsidP="00E46680">
      <w:pPr>
        <w:rPr>
          <w:rFonts w:cs="Arial"/>
          <w:color w:val="000000" w:themeColor="text1"/>
          <w:szCs w:val="24"/>
        </w:rPr>
      </w:pPr>
      <w:r w:rsidRPr="005445A7">
        <w:rPr>
          <w:rFonts w:cs="Arial"/>
          <w:color w:val="000000" w:themeColor="text1"/>
          <w:szCs w:val="24"/>
        </w:rPr>
        <w:t xml:space="preserve">KPMG has the policy set by William Barclay about the fact that the dividends will not be paid to the shareholders, no matter what the policy is followed by the industry or norms currently being boosted </w:t>
      </w:r>
      <w:r w:rsidRPr="00816BBA">
        <w:rPr>
          <w:rFonts w:cs="Arial"/>
          <w:color w:val="000000" w:themeColor="text1"/>
          <w:szCs w:val="24"/>
        </w:rPr>
        <w:t xml:space="preserve">(Corporate Finance Institute, </w:t>
      </w:r>
      <w:proofErr w:type="gramStart"/>
      <w:r w:rsidRPr="00816BBA">
        <w:rPr>
          <w:rFonts w:cs="Arial"/>
          <w:color w:val="000000" w:themeColor="text1"/>
          <w:szCs w:val="24"/>
        </w:rPr>
        <w:t>n.d.)</w:t>
      </w:r>
      <w:r w:rsidRPr="005445A7">
        <w:rPr>
          <w:rFonts w:cs="Arial"/>
          <w:color w:val="000000" w:themeColor="text1"/>
          <w:szCs w:val="24"/>
        </w:rPr>
        <w:t>For</w:t>
      </w:r>
      <w:proofErr w:type="gramEnd"/>
      <w:r w:rsidRPr="005445A7">
        <w:rPr>
          <w:rFonts w:cs="Arial"/>
          <w:color w:val="000000" w:themeColor="text1"/>
          <w:szCs w:val="24"/>
        </w:rPr>
        <w:t xml:space="preserve"> the year 2021, the annual report presented by the company has reported overall earnings of £89.8 billion and £144 billion as cash in hand and at bank. Henceforth the management of the company believes that the amount of monetary earnings can be spend in better ways. In particular, the company follows the policy which has been set by William Barclay, that is to preference towards the reinvestment of profits in the organizations which it controls, to help in the improvement of efficiency, expand their reach in the industry, creation of innovative and modern products or services </w:t>
      </w:r>
      <w:r w:rsidRPr="009D748D">
        <w:rPr>
          <w:rFonts w:cs="Arial"/>
          <w:color w:val="000000" w:themeColor="text1"/>
          <w:szCs w:val="24"/>
        </w:rPr>
        <w:t>(Sec.gov, 2017)</w:t>
      </w:r>
      <w:r w:rsidRPr="005445A7">
        <w:rPr>
          <w:rFonts w:cs="Arial"/>
          <w:color w:val="000000" w:themeColor="text1"/>
          <w:szCs w:val="24"/>
        </w:rPr>
        <w:t xml:space="preserve">The company has been trading in the market with a capitalization above £650 billion along with a revenue of £275 billion annually, which signifies that the company has been incurring a lot of excess, inevitable cash over the years. The excess cash is not capable of being implemented in the organization without incurring loss to the business, leading to enormous sums of money being invested towards the publicly traded portfolio. According to Berkshire, for the period between the year 1965 till the year 2021, the company has witnessed a growth rate of 20.1% in the market share of the company together with the fact that the same growth rate of S&amp;P 500 </w:t>
      </w:r>
      <w:r w:rsidRPr="005445A7">
        <w:rPr>
          <w:rFonts w:cs="Arial"/>
          <w:color w:val="000000" w:themeColor="text1"/>
          <w:szCs w:val="24"/>
        </w:rPr>
        <w:lastRenderedPageBreak/>
        <w:t xml:space="preserve">companies related to the annual compound returns, is only 10.5%, whilst the fact that the dividends are included. </w:t>
      </w:r>
    </w:p>
    <w:p w14:paraId="67068FAF" w14:textId="77777777" w:rsidR="00E46680" w:rsidRPr="005445A7" w:rsidRDefault="00E46680" w:rsidP="00E46680">
      <w:pPr>
        <w:pStyle w:val="Heading2"/>
        <w:rPr>
          <w:rFonts w:ascii="Arial" w:hAnsi="Arial" w:cs="Arial"/>
          <w:color w:val="000000" w:themeColor="text1"/>
        </w:rPr>
      </w:pPr>
      <w:bookmarkStart w:id="2" w:name="_Toc122619606"/>
      <w:r w:rsidRPr="005445A7">
        <w:rPr>
          <w:rFonts w:ascii="Arial" w:hAnsi="Arial" w:cs="Arial"/>
          <w:color w:val="000000" w:themeColor="text1"/>
        </w:rPr>
        <w:t>Examination of the Market hypothesis theory</w:t>
      </w:r>
      <w:bookmarkEnd w:id="2"/>
      <w:r w:rsidRPr="005445A7">
        <w:rPr>
          <w:rFonts w:ascii="Arial" w:hAnsi="Arial" w:cs="Arial"/>
          <w:color w:val="000000" w:themeColor="text1"/>
        </w:rPr>
        <w:t xml:space="preserve"> </w:t>
      </w:r>
    </w:p>
    <w:p w14:paraId="01C31CE5" w14:textId="77777777" w:rsidR="00E46680" w:rsidRPr="008B3D26" w:rsidRDefault="00E46680" w:rsidP="00E46680">
      <w:pPr>
        <w:rPr>
          <w:rFonts w:cs="Arial"/>
          <w:color w:val="000000" w:themeColor="text1"/>
        </w:rPr>
      </w:pPr>
      <w:r w:rsidRPr="008B3D26">
        <w:rPr>
          <w:rFonts w:cs="Arial"/>
          <w:color w:val="000000" w:themeColor="text1"/>
        </w:rPr>
        <w:t xml:space="preserve">The market hypothesis theory signifies that the proponents of the efficient market hypothesis, defines that the stock price reflects </w:t>
      </w:r>
      <w:proofErr w:type="gramStart"/>
      <w:r w:rsidRPr="008B3D26">
        <w:rPr>
          <w:rFonts w:cs="Arial"/>
          <w:color w:val="000000" w:themeColor="text1"/>
        </w:rPr>
        <w:t>all of</w:t>
      </w:r>
      <w:proofErr w:type="gramEnd"/>
      <w:r w:rsidRPr="008B3D26">
        <w:rPr>
          <w:rFonts w:cs="Arial"/>
          <w:color w:val="000000" w:themeColor="text1"/>
        </w:rPr>
        <w:t xml:space="preserve"> the necessary available information about the companies and investors generally do not hold the power to beat such market indexes through stock picking.  (</w:t>
      </w:r>
      <w:r w:rsidRPr="008B3D26">
        <w:rPr>
          <w:rFonts w:cs="Arial"/>
          <w:color w:val="000000" w:themeColor="text1"/>
          <w:shd w:val="clear" w:color="auto" w:fill="FFFFFF"/>
        </w:rPr>
        <w:t>Bara, 2021)</w:t>
      </w:r>
      <w:r w:rsidRPr="008B3D26">
        <w:rPr>
          <w:rFonts w:cs="Arial"/>
          <w:color w:val="000000" w:themeColor="text1"/>
        </w:rPr>
        <w:t xml:space="preserve">. </w:t>
      </w:r>
    </w:p>
    <w:p w14:paraId="35383B62" w14:textId="77777777" w:rsidR="00E46680" w:rsidRPr="008B3D26" w:rsidRDefault="00E46680" w:rsidP="00E46680">
      <w:pPr>
        <w:rPr>
          <w:rFonts w:cs="Arial"/>
          <w:color w:val="000000" w:themeColor="text1"/>
        </w:rPr>
      </w:pPr>
      <w:r w:rsidRPr="008B3D26">
        <w:rPr>
          <w:rFonts w:cs="Arial"/>
          <w:color w:val="000000" w:themeColor="text1"/>
        </w:rPr>
        <w:t xml:space="preserve">When William Barclay invests in the company, he is not concerned about the money which can be made by the business, rather follows a seven step investment selection approach where the performance of the company, debts which it has, profit margin which it earns in a specific period, nature of the company (whether public or private) and reliance on the commodity; are all of the relevant factors which are all included in the process which management follows. According to William Barclay, the stocks should be chosen </w:t>
      </w:r>
      <w:proofErr w:type="gramStart"/>
      <w:r w:rsidRPr="008B3D26">
        <w:rPr>
          <w:rFonts w:cs="Arial"/>
          <w:color w:val="000000" w:themeColor="text1"/>
        </w:rPr>
        <w:t>on the basis of</w:t>
      </w:r>
      <w:proofErr w:type="gramEnd"/>
      <w:r w:rsidRPr="008B3D26">
        <w:rPr>
          <w:rFonts w:cs="Arial"/>
          <w:color w:val="000000" w:themeColor="text1"/>
        </w:rPr>
        <w:t xml:space="preserve"> the potential which such company has in the long run along with the fact that the company does not seek the advantages of the capital gain rather the ownership in these companies, who are capable of earning significant amount of earnings for a specific period of time. </w:t>
      </w:r>
    </w:p>
    <w:p w14:paraId="494AEF4D" w14:textId="77777777" w:rsidR="00E46680" w:rsidRDefault="00E46680" w:rsidP="00E46680">
      <w:pPr>
        <w:pStyle w:val="Heading2"/>
        <w:rPr>
          <w:rFonts w:ascii="Arial" w:hAnsi="Arial" w:cs="Arial"/>
          <w:color w:val="000000" w:themeColor="text1"/>
        </w:rPr>
      </w:pPr>
      <w:bookmarkStart w:id="3" w:name="_Toc122619607"/>
      <w:r w:rsidRPr="005445A7">
        <w:rPr>
          <w:rFonts w:ascii="Arial" w:hAnsi="Arial" w:cs="Arial"/>
          <w:color w:val="000000" w:themeColor="text1"/>
        </w:rPr>
        <w:t>Challenges faced by KPMG and Importance of IFM</w:t>
      </w:r>
      <w:bookmarkEnd w:id="3"/>
    </w:p>
    <w:p w14:paraId="5ACB3F81" w14:textId="77777777" w:rsidR="00E46680" w:rsidRDefault="00E46680" w:rsidP="00E46680">
      <w:pPr>
        <w:rPr>
          <w:rFonts w:cs="Arial"/>
          <w:szCs w:val="24"/>
        </w:rPr>
      </w:pPr>
      <w:r w:rsidRPr="00AE6495">
        <w:rPr>
          <w:rFonts w:cs="Arial"/>
          <w:szCs w:val="24"/>
        </w:rPr>
        <w:t xml:space="preserve">No entity can utilize </w:t>
      </w:r>
      <w:proofErr w:type="gramStart"/>
      <w:r w:rsidRPr="00AE6495">
        <w:rPr>
          <w:rFonts w:cs="Arial"/>
          <w:szCs w:val="24"/>
        </w:rPr>
        <w:t>all of</w:t>
      </w:r>
      <w:proofErr w:type="gramEnd"/>
      <w:r w:rsidRPr="00AE6495">
        <w:rPr>
          <w:rFonts w:cs="Arial"/>
          <w:szCs w:val="24"/>
        </w:rPr>
        <w:t xml:space="preserve"> its potential for success and expansion in the absence of finance on the local or global market. International financial management is the only way to reduce these risks and expose corporations to the entire world to operate in. Globalization opens the door for major corporations to do business in international markets, but it also exposes corporations to a variety of risks that they can face while operating in the international era.</w:t>
      </w:r>
      <w:r>
        <w:rPr>
          <w:rFonts w:cs="Arial"/>
          <w:szCs w:val="24"/>
        </w:rPr>
        <w:t xml:space="preserve"> </w:t>
      </w:r>
      <w:r w:rsidRPr="00576187">
        <w:rPr>
          <w:rFonts w:cs="Arial"/>
          <w:szCs w:val="24"/>
        </w:rPr>
        <w:t>The risks that multinational corporations confront are described below, along with the role that international financial management plays in reducing those risks</w:t>
      </w:r>
      <w:r>
        <w:rPr>
          <w:rFonts w:cs="Arial"/>
          <w:szCs w:val="24"/>
        </w:rPr>
        <w:t>.</w:t>
      </w:r>
      <w:r w:rsidRPr="00347962">
        <w:t xml:space="preserve"> </w:t>
      </w:r>
      <w:r w:rsidRPr="00347962">
        <w:rPr>
          <w:rFonts w:cs="Arial"/>
          <w:szCs w:val="24"/>
        </w:rPr>
        <w:t>(School, n.d.)</w:t>
      </w:r>
    </w:p>
    <w:p w14:paraId="42500C3C" w14:textId="77777777" w:rsidR="00E46680" w:rsidRPr="005445A7" w:rsidRDefault="00E46680" w:rsidP="00E46680">
      <w:pPr>
        <w:rPr>
          <w:rFonts w:cs="Arial"/>
          <w:color w:val="000000" w:themeColor="text1"/>
        </w:rPr>
      </w:pPr>
      <w:r w:rsidRPr="00576187">
        <w:rPr>
          <w:rFonts w:cs="Arial"/>
          <w:szCs w:val="24"/>
        </w:rPr>
        <w:t xml:space="preserve"> </w:t>
      </w:r>
      <w:r w:rsidRPr="005445A7">
        <w:rPr>
          <w:rFonts w:cs="Arial"/>
          <w:b/>
          <w:bCs/>
          <w:color w:val="000000" w:themeColor="text1"/>
        </w:rPr>
        <w:t>Audit Quality</w:t>
      </w:r>
      <w:r w:rsidRPr="005445A7">
        <w:rPr>
          <w:rFonts w:cs="Arial"/>
          <w:color w:val="000000" w:themeColor="text1"/>
        </w:rPr>
        <w:t xml:space="preserve"> – The company has been facing problems and </w:t>
      </w:r>
      <w:proofErr w:type="gramStart"/>
      <w:r w:rsidRPr="005445A7">
        <w:rPr>
          <w:rFonts w:cs="Arial"/>
          <w:color w:val="000000" w:themeColor="text1"/>
        </w:rPr>
        <w:t>loop-holes</w:t>
      </w:r>
      <w:proofErr w:type="gramEnd"/>
      <w:r w:rsidRPr="005445A7">
        <w:rPr>
          <w:rFonts w:cs="Arial"/>
          <w:color w:val="000000" w:themeColor="text1"/>
        </w:rPr>
        <w:t xml:space="preserve"> in the Audit performed by them for various entities, due to the fact that the company’s lead audit partners are getting fired recently in result of a scandal with the Public Company Accounting Oversight Board. For understanding how this type of situation can be mitigated, the company must apply international financial management, which will help them in comparison of inflation rates to identify how they must invest in international securities, calculation of the relevant exchange rates of different types of currencies related to specific nations and helps in ascertaining the economic status of a country. </w:t>
      </w:r>
      <w:r w:rsidRPr="009D748D">
        <w:rPr>
          <w:rFonts w:cs="Arial"/>
          <w:color w:val="000000" w:themeColor="text1"/>
        </w:rPr>
        <w:t>(KC, 2022)</w:t>
      </w:r>
    </w:p>
    <w:p w14:paraId="13F22182" w14:textId="77777777" w:rsidR="00E46680" w:rsidRPr="005445A7" w:rsidRDefault="00E46680" w:rsidP="00E46680">
      <w:pPr>
        <w:rPr>
          <w:rFonts w:cs="Arial"/>
          <w:color w:val="000000" w:themeColor="text1"/>
        </w:rPr>
      </w:pPr>
      <w:r w:rsidRPr="005445A7">
        <w:rPr>
          <w:rFonts w:cs="Arial"/>
          <w:b/>
          <w:bCs/>
          <w:color w:val="000000" w:themeColor="text1"/>
        </w:rPr>
        <w:t>Increased Regulation</w:t>
      </w:r>
      <w:r w:rsidRPr="005445A7">
        <w:rPr>
          <w:rFonts w:cs="Arial"/>
          <w:color w:val="000000" w:themeColor="text1"/>
        </w:rPr>
        <w:t xml:space="preserve"> – Since it has been perceived that KPMG lacks the relevant quality expected out of an audit, the regulatory and authorities will increase their inspection and regulation requirements of the audit service, including the FRC in United Kingdom. This leads to clash of two or more regulators. To reduce the impact of this, the IFM provides clear and concise rules, regulations to help draft the </w:t>
      </w:r>
      <w:r w:rsidRPr="005445A7">
        <w:rPr>
          <w:rFonts w:cs="Arial"/>
          <w:color w:val="000000" w:themeColor="text1"/>
        </w:rPr>
        <w:lastRenderedPageBreak/>
        <w:t>financial statements effectively, together with the understanding of the basics of international organizations.</w:t>
      </w:r>
      <w:r w:rsidRPr="009D748D">
        <w:t xml:space="preserve"> </w:t>
      </w:r>
      <w:r w:rsidRPr="009D748D">
        <w:rPr>
          <w:rFonts w:cs="Arial"/>
          <w:color w:val="000000" w:themeColor="text1"/>
        </w:rPr>
        <w:t>(www.hklaw.com, n.d.)</w:t>
      </w:r>
    </w:p>
    <w:p w14:paraId="4AFC252F" w14:textId="77777777" w:rsidR="00E46680" w:rsidRDefault="00E46680" w:rsidP="00E46680">
      <w:pPr>
        <w:rPr>
          <w:rFonts w:cs="Arial"/>
          <w:color w:val="000000" w:themeColor="text1"/>
        </w:rPr>
      </w:pPr>
      <w:r w:rsidRPr="005445A7">
        <w:rPr>
          <w:rFonts w:cs="Arial"/>
          <w:b/>
          <w:bCs/>
          <w:color w:val="000000" w:themeColor="text1"/>
        </w:rPr>
        <w:t>Loss of Potential Clients</w:t>
      </w:r>
      <w:r w:rsidRPr="005445A7">
        <w:rPr>
          <w:rFonts w:cs="Arial"/>
          <w:color w:val="000000" w:themeColor="text1"/>
        </w:rPr>
        <w:t xml:space="preserve"> – The problems which are discussed above, leads to the loss of clients for the company and henceforth the adoption of the various IFM methods will not only get KPMG back on track but also helps in resolving the financial disputes among member nations. Together with the organizations where the IMF, World Bank are involved in resolving genuine and necessary problems. </w:t>
      </w:r>
    </w:p>
    <w:p w14:paraId="462B5550" w14:textId="77777777" w:rsidR="00E46680" w:rsidRPr="00576187" w:rsidRDefault="00E46680" w:rsidP="00E46680">
      <w:pPr>
        <w:rPr>
          <w:rFonts w:cs="Arial"/>
          <w:b/>
          <w:bCs/>
          <w:color w:val="000000" w:themeColor="text1"/>
        </w:rPr>
      </w:pPr>
      <w:r w:rsidRPr="00576187">
        <w:rPr>
          <w:rFonts w:cs="Arial"/>
          <w:b/>
          <w:bCs/>
          <w:color w:val="000000" w:themeColor="text1"/>
        </w:rPr>
        <w:t>Currency exchange</w:t>
      </w:r>
      <w:r>
        <w:rPr>
          <w:rFonts w:cs="Arial"/>
          <w:b/>
          <w:bCs/>
          <w:color w:val="000000" w:themeColor="text1"/>
        </w:rPr>
        <w:t>-</w:t>
      </w:r>
      <w:r w:rsidRPr="00576187">
        <w:t xml:space="preserve"> </w:t>
      </w:r>
      <w:r w:rsidRPr="00576187">
        <w:rPr>
          <w:rFonts w:cs="Arial"/>
          <w:color w:val="000000" w:themeColor="text1"/>
        </w:rPr>
        <w:t>When an organization has a significant share of its receivables or payables in foreign currencies, currency exchange risk results (FC). The fluctuation of the foreign exchange rate is a continuing risk.</w:t>
      </w:r>
      <w:r>
        <w:rPr>
          <w:rFonts w:cs="Arial"/>
          <w:color w:val="000000" w:themeColor="text1"/>
        </w:rPr>
        <w:t xml:space="preserve"> The business could face losses of forging exchange. </w:t>
      </w:r>
      <w:r w:rsidRPr="00347962">
        <w:rPr>
          <w:rFonts w:cs="Arial"/>
          <w:color w:val="000000" w:themeColor="text1"/>
        </w:rPr>
        <w:t xml:space="preserve">IFM techniques have risen to popularity in recent years as a means of mitigating foreign exchange risk. To reduce the risks associated with foreign currency transactions, IFM offers </w:t>
      </w:r>
      <w:proofErr w:type="gramStart"/>
      <w:r w:rsidRPr="00347962">
        <w:rPr>
          <w:rFonts w:cs="Arial"/>
          <w:color w:val="000000" w:themeColor="text1"/>
        </w:rPr>
        <w:t>a number of</w:t>
      </w:r>
      <w:proofErr w:type="gramEnd"/>
      <w:r w:rsidRPr="00347962">
        <w:rPr>
          <w:rFonts w:cs="Arial"/>
          <w:color w:val="000000" w:themeColor="text1"/>
        </w:rPr>
        <w:t xml:space="preserve"> hedging strategies.</w:t>
      </w:r>
    </w:p>
    <w:p w14:paraId="0774C4B8" w14:textId="77777777" w:rsidR="00E46680" w:rsidRPr="005445A7" w:rsidRDefault="00E46680" w:rsidP="00E46680">
      <w:pPr>
        <w:pStyle w:val="Heading2"/>
        <w:rPr>
          <w:rFonts w:ascii="Arial" w:hAnsi="Arial" w:cs="Arial"/>
          <w:color w:val="000000" w:themeColor="text1"/>
        </w:rPr>
      </w:pPr>
      <w:bookmarkStart w:id="4" w:name="_Toc122619608"/>
      <w:r w:rsidRPr="005445A7">
        <w:rPr>
          <w:rFonts w:ascii="Arial" w:hAnsi="Arial" w:cs="Arial"/>
          <w:color w:val="000000" w:themeColor="text1"/>
        </w:rPr>
        <w:t>Analysis and Evaluation of methods of Appraising Projects</w:t>
      </w:r>
      <w:bookmarkEnd w:id="4"/>
    </w:p>
    <w:p w14:paraId="25AB747A" w14:textId="77777777" w:rsidR="00E46680" w:rsidRPr="005445A7" w:rsidRDefault="00E46680" w:rsidP="00E46680">
      <w:pPr>
        <w:rPr>
          <w:rFonts w:cs="Arial"/>
          <w:color w:val="000000" w:themeColor="text1"/>
        </w:rPr>
      </w:pPr>
      <w:r w:rsidRPr="005445A7">
        <w:rPr>
          <w:rFonts w:cs="Arial"/>
          <w:color w:val="000000" w:themeColor="text1"/>
        </w:rPr>
        <w:t xml:space="preserve">The company applies different types of Appraisal techniques to understand the projects which they propose to adopt, are effective or not. In this manner, the company </w:t>
      </w:r>
      <w:proofErr w:type="gramStart"/>
      <w:r w:rsidRPr="005445A7">
        <w:rPr>
          <w:rFonts w:cs="Arial"/>
          <w:color w:val="000000" w:themeColor="text1"/>
        </w:rPr>
        <w:t>is capable of revealing</w:t>
      </w:r>
      <w:proofErr w:type="gramEnd"/>
      <w:r w:rsidRPr="005445A7">
        <w:rPr>
          <w:rFonts w:cs="Arial"/>
          <w:color w:val="000000" w:themeColor="text1"/>
        </w:rPr>
        <w:t xml:space="preserve"> the time period which the project will take to redeem the value of such project, along with the fact that the process will also help in decision making for future. Following are the methods which are adopted by KPMG, for project appraisal:</w:t>
      </w:r>
    </w:p>
    <w:p w14:paraId="3DA0378C" w14:textId="77777777" w:rsidR="00E46680" w:rsidRPr="005445A7" w:rsidRDefault="00E46680" w:rsidP="00E46680">
      <w:pPr>
        <w:rPr>
          <w:rFonts w:cs="Arial"/>
        </w:rPr>
      </w:pPr>
      <w:r w:rsidRPr="005445A7">
        <w:rPr>
          <w:rFonts w:cs="Arial"/>
          <w:b/>
        </w:rPr>
        <w:t>Net Present Value</w:t>
      </w:r>
      <w:r w:rsidRPr="005445A7">
        <w:rPr>
          <w:rFonts w:cs="Arial"/>
        </w:rPr>
        <w:t xml:space="preserve"> – The net present value of the company is the method which is applicable when the company decides to estimate the value of the project so as to help the organization in maintenance of the resources according to the yield which the project will be providing in the future </w:t>
      </w:r>
      <w:r w:rsidRPr="00816BBA">
        <w:rPr>
          <w:rFonts w:cs="Arial"/>
        </w:rPr>
        <w:t>(School, n.d.)</w:t>
      </w:r>
      <w:r w:rsidRPr="005445A7">
        <w:rPr>
          <w:rFonts w:cs="Arial"/>
        </w:rPr>
        <w:t xml:space="preserve">The method follows the calculation of the necessary cash flows, through the deduction of all of the variable and fixed costs together with the deduction of the scrap value of the project (if any). Furthermore, the discounted factor is also included in this process </w:t>
      </w:r>
      <w:proofErr w:type="gramStart"/>
      <w:r w:rsidRPr="005445A7">
        <w:rPr>
          <w:rFonts w:cs="Arial"/>
        </w:rPr>
        <w:t>so as to</w:t>
      </w:r>
      <w:proofErr w:type="gramEnd"/>
      <w:r w:rsidRPr="005445A7">
        <w:rPr>
          <w:rFonts w:cs="Arial"/>
        </w:rPr>
        <w:t xml:space="preserve"> get a more precise and clear value about the value of the project in the future for decision making purposes.</w:t>
      </w:r>
    </w:p>
    <w:p w14:paraId="467FDDC9" w14:textId="77777777" w:rsidR="00E46680" w:rsidRPr="005445A7" w:rsidRDefault="00E46680" w:rsidP="00E46680">
      <w:pPr>
        <w:rPr>
          <w:rFonts w:cs="Arial"/>
        </w:rPr>
      </w:pPr>
      <w:r w:rsidRPr="005445A7">
        <w:rPr>
          <w:rFonts w:cs="Arial"/>
          <w:b/>
        </w:rPr>
        <w:t>Payback Period</w:t>
      </w:r>
      <w:r w:rsidRPr="005445A7">
        <w:rPr>
          <w:rFonts w:cs="Arial"/>
        </w:rPr>
        <w:t xml:space="preserve"> – The payback period is referred to as the idea that the </w:t>
      </w:r>
      <w:proofErr w:type="gramStart"/>
      <w:r w:rsidRPr="005445A7">
        <w:rPr>
          <w:rFonts w:cs="Arial"/>
        </w:rPr>
        <w:t>time period</w:t>
      </w:r>
      <w:proofErr w:type="gramEnd"/>
      <w:r w:rsidRPr="005445A7">
        <w:rPr>
          <w:rFonts w:cs="Arial"/>
        </w:rPr>
        <w:t xml:space="preserve"> of redemption which the project will take, or the time of recovering the project value. To calculate the payback period of the company, the analysts first </w:t>
      </w:r>
      <w:proofErr w:type="gramStart"/>
      <w:r w:rsidRPr="005445A7">
        <w:rPr>
          <w:rFonts w:cs="Arial"/>
        </w:rPr>
        <w:t>needs</w:t>
      </w:r>
      <w:proofErr w:type="gramEnd"/>
      <w:r w:rsidRPr="005445A7">
        <w:rPr>
          <w:rFonts w:cs="Arial"/>
        </w:rPr>
        <w:t xml:space="preserve"> to prepare a statement containing the cash flow of the company along with the cumulative cash flow, discounting factor and henceforth the formula that is;</w:t>
      </w:r>
    </w:p>
    <w:p w14:paraId="326C3F63" w14:textId="77777777" w:rsidR="00E46680" w:rsidRDefault="00E46680" w:rsidP="00E46680">
      <w:pPr>
        <w:pStyle w:val="ListParagraph"/>
        <w:spacing w:line="360" w:lineRule="auto"/>
        <w:ind w:left="720"/>
        <w:jc w:val="both"/>
      </w:pPr>
      <w:r>
        <w:rPr>
          <w:noProof/>
        </w:rPr>
        <w:lastRenderedPageBreak/>
        <w:drawing>
          <wp:inline distT="0" distB="0" distL="0" distR="0" wp14:anchorId="6372D79C" wp14:editId="47C66E50">
            <wp:extent cx="5228216" cy="2677795"/>
            <wp:effectExtent l="0" t="0" r="0" b="825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31938" cy="2679701"/>
                    </a:xfrm>
                    <a:prstGeom prst="rect">
                      <a:avLst/>
                    </a:prstGeom>
                  </pic:spPr>
                </pic:pic>
              </a:graphicData>
            </a:graphic>
          </wp:inline>
        </w:drawing>
      </w:r>
    </w:p>
    <w:p w14:paraId="7DC88ADC" w14:textId="77777777" w:rsidR="00E46680" w:rsidRDefault="00E46680" w:rsidP="00E46680">
      <w:pPr>
        <w:pStyle w:val="ListParagraph"/>
        <w:spacing w:line="360" w:lineRule="auto"/>
        <w:ind w:left="720"/>
        <w:jc w:val="both"/>
        <w:rPr>
          <w:rFonts w:ascii="Arial" w:hAnsi="Arial" w:cs="Arial"/>
          <w:color w:val="000000" w:themeColor="text1"/>
        </w:rPr>
      </w:pPr>
      <w:r w:rsidRPr="005445A7">
        <w:rPr>
          <w:rFonts w:ascii="Arial" w:hAnsi="Arial" w:cs="Arial"/>
          <w:color w:val="000000" w:themeColor="text1"/>
        </w:rPr>
        <w:t xml:space="preserve">This should be followed by the analysts appointed for calculation of the payback period of KPMG. </w:t>
      </w:r>
    </w:p>
    <w:p w14:paraId="11840838" w14:textId="77777777" w:rsidR="00E46680" w:rsidRPr="005445A7" w:rsidRDefault="00E46680" w:rsidP="00E46680">
      <w:pPr>
        <w:pStyle w:val="ListParagraph"/>
        <w:spacing w:line="360" w:lineRule="auto"/>
        <w:ind w:left="720"/>
        <w:jc w:val="both"/>
        <w:rPr>
          <w:rFonts w:ascii="Arial" w:hAnsi="Arial" w:cs="Arial"/>
          <w:color w:val="000000" w:themeColor="text1"/>
        </w:rPr>
      </w:pPr>
      <w:r w:rsidRPr="005445A7">
        <w:rPr>
          <w:rFonts w:ascii="Arial" w:hAnsi="Arial" w:cs="Arial"/>
          <w:b/>
        </w:rPr>
        <w:t xml:space="preserve">Internal Rate of Return </w:t>
      </w:r>
      <w:r w:rsidRPr="005445A7">
        <w:rPr>
          <w:rFonts w:ascii="Arial" w:hAnsi="Arial" w:cs="Arial"/>
        </w:rPr>
        <w:t xml:space="preserve">– The internal rate of return formula is identified as the method which is used by the organizations in performing the financial analysis </w:t>
      </w:r>
      <w:proofErr w:type="gramStart"/>
      <w:r w:rsidRPr="005445A7">
        <w:rPr>
          <w:rFonts w:ascii="Arial" w:hAnsi="Arial" w:cs="Arial"/>
        </w:rPr>
        <w:t>so as to</w:t>
      </w:r>
      <w:proofErr w:type="gramEnd"/>
      <w:r w:rsidRPr="005445A7">
        <w:rPr>
          <w:rFonts w:ascii="Arial" w:hAnsi="Arial" w:cs="Arial"/>
        </w:rPr>
        <w:t xml:space="preserve"> estimate the profitability of potential investments. The internal rate of return is the discount rate which helps in making the cash flows after estimating the net present value of the same, equal to</w:t>
      </w:r>
      <w:r w:rsidRPr="005445A7">
        <w:rPr>
          <w:rFonts w:ascii="Arial" w:hAnsi="Arial" w:cs="Arial"/>
          <w:color w:val="111111"/>
          <w:spacing w:val="1"/>
          <w:sz w:val="33"/>
          <w:szCs w:val="33"/>
          <w:shd w:val="clear" w:color="auto" w:fill="FFFFFF"/>
        </w:rPr>
        <w:t xml:space="preserve"> </w:t>
      </w:r>
      <w:r w:rsidRPr="005445A7">
        <w:rPr>
          <w:rFonts w:ascii="Arial" w:hAnsi="Arial" w:cs="Arial"/>
        </w:rPr>
        <w:t>zero in a discounted cash flow analysis</w:t>
      </w:r>
      <w:r>
        <w:rPr>
          <w:rFonts w:ascii="Arial" w:hAnsi="Arial" w:cs="Arial"/>
        </w:rPr>
        <w:t xml:space="preserve"> </w:t>
      </w:r>
      <w:r w:rsidRPr="009D748D">
        <w:rPr>
          <w:rFonts w:ascii="Arial" w:hAnsi="Arial" w:cs="Arial"/>
        </w:rPr>
        <w:t>(Corporate Finance Institute, n.d.)</w:t>
      </w:r>
      <w:r>
        <w:rPr>
          <w:rFonts w:ascii="Arial" w:hAnsi="Arial" w:cs="Arial"/>
        </w:rPr>
        <w:t>.</w:t>
      </w:r>
      <w:r w:rsidRPr="005445A7">
        <w:rPr>
          <w:rFonts w:ascii="Arial" w:hAnsi="Arial" w:cs="Arial"/>
        </w:rPr>
        <w:t xml:space="preserve"> The formula is as follows: </w:t>
      </w:r>
    </w:p>
    <w:p w14:paraId="113C0E35" w14:textId="77777777" w:rsidR="00E46680" w:rsidRPr="00E14F03" w:rsidRDefault="00E46680" w:rsidP="00E46680">
      <w:pPr>
        <w:pStyle w:val="ListParagraph"/>
        <w:spacing w:line="360" w:lineRule="auto"/>
        <w:ind w:left="720"/>
        <w:rPr>
          <w:rStyle w:val="mord"/>
        </w:rPr>
      </w:pPr>
      <w:r>
        <w:rPr>
          <w:noProof/>
        </w:rPr>
        <w:drawing>
          <wp:inline distT="0" distB="0" distL="0" distR="0" wp14:anchorId="2282C975" wp14:editId="0E77518B">
            <wp:extent cx="5325035" cy="215265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7209" cy="2153529"/>
                    </a:xfrm>
                    <a:prstGeom prst="rect">
                      <a:avLst/>
                    </a:prstGeom>
                  </pic:spPr>
                </pic:pic>
              </a:graphicData>
            </a:graphic>
          </wp:inline>
        </w:drawing>
      </w:r>
    </w:p>
    <w:p w14:paraId="47F9D421" w14:textId="77777777" w:rsidR="00E46680" w:rsidRDefault="00E46680" w:rsidP="00E46680">
      <w:pPr>
        <w:pStyle w:val="Heading1"/>
        <w:rPr>
          <w:rFonts w:ascii="Arial" w:hAnsi="Arial" w:cs="Arial"/>
          <w:color w:val="000000" w:themeColor="text1"/>
          <w:sz w:val="24"/>
          <w:szCs w:val="24"/>
        </w:rPr>
      </w:pPr>
    </w:p>
    <w:p w14:paraId="564BDDC3" w14:textId="77777777" w:rsidR="00E46680" w:rsidRPr="00AE6495" w:rsidRDefault="00E46680" w:rsidP="00E46680">
      <w:pPr>
        <w:rPr>
          <w:rFonts w:cs="Arial"/>
        </w:rPr>
      </w:pPr>
      <w:r w:rsidRPr="00AE6495">
        <w:rPr>
          <w:rFonts w:cs="Arial"/>
        </w:rPr>
        <w:t xml:space="preserve">Today's management difficulties include how to work effectively and efficiently in a way that is focused on international relations. The main challenges that a firm encounter in global markets include currency exchange rate fluctuations, investment and finance decisions, coordination of many business units across various </w:t>
      </w:r>
      <w:r w:rsidRPr="00AE6495">
        <w:rPr>
          <w:rFonts w:cs="Arial"/>
        </w:rPr>
        <w:lastRenderedPageBreak/>
        <w:t>geographies, etc. These issues can be resolved by appropriately implementing international financial management practices.</w:t>
      </w:r>
      <w:r w:rsidRPr="00347962">
        <w:t xml:space="preserve"> </w:t>
      </w:r>
      <w:r w:rsidRPr="00347962">
        <w:rPr>
          <w:rFonts w:cs="Arial"/>
        </w:rPr>
        <w:t>(University of Wolverhampton, 2021)</w:t>
      </w:r>
    </w:p>
    <w:p w14:paraId="378771A2" w14:textId="77777777" w:rsidR="00E46680" w:rsidRPr="00816BBA" w:rsidRDefault="00E46680" w:rsidP="00E46680">
      <w:pPr>
        <w:rPr>
          <w:rFonts w:cs="Arial"/>
          <w:color w:val="000000" w:themeColor="text1"/>
          <w:szCs w:val="24"/>
        </w:rPr>
      </w:pPr>
      <w:r w:rsidRPr="00816BBA">
        <w:rPr>
          <w:rFonts w:cs="Arial"/>
          <w:color w:val="000000" w:themeColor="text1"/>
          <w:szCs w:val="24"/>
        </w:rPr>
        <w:t xml:space="preserve">The financial management no matter the nature, size, profit orientation of the company, is extremely important and necessary, as the position of the company can be understood properly. In the report which has been presented above, examines the position of KPMG, through the analysis of the dividend policy, market hypothesis and project appraisal techniques. </w:t>
      </w:r>
    </w:p>
    <w:p w14:paraId="621F2DFD" w14:textId="77777777" w:rsidR="00E46680" w:rsidRPr="00816BBA" w:rsidRDefault="00E46680" w:rsidP="00E46680">
      <w:pPr>
        <w:spacing w:line="240" w:lineRule="auto"/>
        <w:rPr>
          <w:rFonts w:eastAsia="Times New Roman" w:cs="Arial"/>
          <w:b/>
          <w:bCs/>
          <w:szCs w:val="24"/>
        </w:rPr>
      </w:pPr>
      <w:r w:rsidRPr="00816BBA">
        <w:rPr>
          <w:rFonts w:cs="Arial"/>
          <w:szCs w:val="24"/>
        </w:rPr>
        <w:br w:type="page"/>
      </w:r>
    </w:p>
    <w:p w14:paraId="61343074" w14:textId="77777777" w:rsidR="00E46680" w:rsidRDefault="00E46680" w:rsidP="00E46680">
      <w:pPr>
        <w:pStyle w:val="Heading1"/>
      </w:pPr>
      <w:bookmarkStart w:id="5" w:name="_Toc122619610"/>
      <w:r>
        <w:lastRenderedPageBreak/>
        <w:t>REFERENCES</w:t>
      </w:r>
      <w:bookmarkEnd w:id="5"/>
    </w:p>
    <w:p w14:paraId="2A33C169" w14:textId="77777777" w:rsidR="00E46680" w:rsidRPr="00816BBA" w:rsidRDefault="00E46680" w:rsidP="00E46680"/>
    <w:p w14:paraId="1E8FA8DF" w14:textId="77777777" w:rsidR="00E46680" w:rsidRPr="008B3D26" w:rsidRDefault="00E46680" w:rsidP="00E46680">
      <w:pPr>
        <w:rPr>
          <w:rFonts w:cs="Arial"/>
          <w:color w:val="000000" w:themeColor="text1"/>
          <w:szCs w:val="24"/>
          <w:shd w:val="clear" w:color="auto" w:fill="FFFFFF"/>
        </w:rPr>
      </w:pPr>
      <w:r w:rsidRPr="008B3D26">
        <w:rPr>
          <w:rFonts w:cs="Arial"/>
          <w:color w:val="000000" w:themeColor="text1"/>
          <w:szCs w:val="24"/>
          <w:shd w:val="clear" w:color="auto" w:fill="FFFFFF"/>
        </w:rPr>
        <w:t xml:space="preserve">Bara, A. and </w:t>
      </w:r>
      <w:proofErr w:type="spellStart"/>
      <w:r w:rsidRPr="008B3D26">
        <w:rPr>
          <w:rFonts w:cs="Arial"/>
          <w:color w:val="000000" w:themeColor="text1"/>
          <w:szCs w:val="24"/>
          <w:shd w:val="clear" w:color="auto" w:fill="FFFFFF"/>
        </w:rPr>
        <w:t>Pradesyah</w:t>
      </w:r>
      <w:proofErr w:type="spellEnd"/>
      <w:r w:rsidRPr="008B3D26">
        <w:rPr>
          <w:rFonts w:cs="Arial"/>
          <w:color w:val="000000" w:themeColor="text1"/>
          <w:szCs w:val="24"/>
          <w:shd w:val="clear" w:color="auto" w:fill="FFFFFF"/>
        </w:rPr>
        <w:t xml:space="preserve">, R., 2021, January. Mosque Financial Management </w:t>
      </w:r>
      <w:proofErr w:type="gramStart"/>
      <w:r w:rsidRPr="008B3D26">
        <w:rPr>
          <w:rFonts w:cs="Arial"/>
          <w:color w:val="000000" w:themeColor="text1"/>
          <w:szCs w:val="24"/>
          <w:shd w:val="clear" w:color="auto" w:fill="FFFFFF"/>
        </w:rPr>
        <w:t>In</w:t>
      </w:r>
      <w:proofErr w:type="gramEnd"/>
      <w:r w:rsidRPr="008B3D26">
        <w:rPr>
          <w:rFonts w:cs="Arial"/>
          <w:color w:val="000000" w:themeColor="text1"/>
          <w:szCs w:val="24"/>
          <w:shd w:val="clear" w:color="auto" w:fill="FFFFFF"/>
        </w:rPr>
        <w:t xml:space="preserve"> The Pandemic</w:t>
      </w:r>
      <w:r w:rsidRPr="008B3D26">
        <w:rPr>
          <w:rFonts w:cs="Arial"/>
          <w:color w:val="000000" w:themeColor="text1"/>
          <w:szCs w:val="24"/>
          <w:shd w:val="clear" w:color="auto" w:fill="FFFFFF"/>
        </w:rPr>
        <w:tab/>
        <w:t>Covid 19. In </w:t>
      </w:r>
      <w:r w:rsidRPr="008B3D26">
        <w:rPr>
          <w:rFonts w:cs="Arial"/>
          <w:iCs/>
          <w:color w:val="000000" w:themeColor="text1"/>
          <w:szCs w:val="24"/>
          <w:shd w:val="clear" w:color="auto" w:fill="FFFFFF"/>
        </w:rPr>
        <w:t xml:space="preserve">Proceeding International Seminar </w:t>
      </w:r>
      <w:proofErr w:type="gramStart"/>
      <w:r w:rsidRPr="008B3D26">
        <w:rPr>
          <w:rFonts w:cs="Arial"/>
          <w:iCs/>
          <w:color w:val="000000" w:themeColor="text1"/>
          <w:szCs w:val="24"/>
          <w:shd w:val="clear" w:color="auto" w:fill="FFFFFF"/>
        </w:rPr>
        <w:t>Of</w:t>
      </w:r>
      <w:proofErr w:type="gramEnd"/>
      <w:r w:rsidRPr="008B3D26">
        <w:rPr>
          <w:rFonts w:cs="Arial"/>
          <w:iCs/>
          <w:color w:val="000000" w:themeColor="text1"/>
          <w:szCs w:val="24"/>
          <w:shd w:val="clear" w:color="auto" w:fill="FFFFFF"/>
        </w:rPr>
        <w:t xml:space="preserve"> Islamic Studies</w:t>
      </w:r>
      <w:r w:rsidRPr="008B3D26">
        <w:rPr>
          <w:rFonts w:cs="Arial"/>
          <w:color w:val="000000" w:themeColor="text1"/>
          <w:szCs w:val="24"/>
          <w:shd w:val="clear" w:color="auto" w:fill="FFFFFF"/>
        </w:rPr>
        <w:t> (Vol. 2, No. 1, pp. 21</w:t>
      </w:r>
      <w:r w:rsidRPr="008B3D26">
        <w:rPr>
          <w:rFonts w:cs="Arial"/>
          <w:color w:val="000000" w:themeColor="text1"/>
          <w:szCs w:val="24"/>
          <w:shd w:val="clear" w:color="auto" w:fill="FFFFFF"/>
        </w:rPr>
        <w:tab/>
        <w:t>27).</w:t>
      </w:r>
    </w:p>
    <w:p w14:paraId="084E30AE" w14:textId="77777777" w:rsidR="00E46680" w:rsidRPr="008B3D26" w:rsidRDefault="00E46680" w:rsidP="00E46680">
      <w:pPr>
        <w:rPr>
          <w:rFonts w:cs="Arial"/>
          <w:color w:val="000000" w:themeColor="text1"/>
          <w:szCs w:val="24"/>
          <w:shd w:val="clear" w:color="auto" w:fill="FFFFFF"/>
        </w:rPr>
      </w:pPr>
      <w:r w:rsidRPr="008B3D26">
        <w:rPr>
          <w:rFonts w:cs="Arial"/>
          <w:color w:val="000000" w:themeColor="text1"/>
          <w:szCs w:val="24"/>
          <w:shd w:val="clear" w:color="auto" w:fill="FFFFFF"/>
        </w:rPr>
        <w:t>Bai, J. and Collin</w:t>
      </w:r>
      <w:r w:rsidRPr="008B3D26">
        <w:rPr>
          <w:rFonts w:ascii="Cambria Math" w:hAnsi="Cambria Math" w:cs="Cambria Math"/>
          <w:color w:val="000000" w:themeColor="text1"/>
          <w:szCs w:val="24"/>
          <w:shd w:val="clear" w:color="auto" w:fill="FFFFFF"/>
        </w:rPr>
        <w:t>‐</w:t>
      </w:r>
      <w:r w:rsidRPr="008B3D26">
        <w:rPr>
          <w:rFonts w:cs="Arial"/>
          <w:color w:val="000000" w:themeColor="text1"/>
          <w:szCs w:val="24"/>
          <w:shd w:val="clear" w:color="auto" w:fill="FFFFFF"/>
        </w:rPr>
        <w:t>Dufresne, P., 2019. The CDS</w:t>
      </w:r>
      <w:r w:rsidRPr="008B3D26">
        <w:rPr>
          <w:rFonts w:ascii="Cambria Math" w:hAnsi="Cambria Math" w:cs="Cambria Math"/>
          <w:color w:val="000000" w:themeColor="text1"/>
          <w:szCs w:val="24"/>
          <w:shd w:val="clear" w:color="auto" w:fill="FFFFFF"/>
        </w:rPr>
        <w:t>‐</w:t>
      </w:r>
      <w:r w:rsidRPr="008B3D26">
        <w:rPr>
          <w:rFonts w:cs="Arial"/>
          <w:color w:val="000000" w:themeColor="text1"/>
          <w:szCs w:val="24"/>
          <w:shd w:val="clear" w:color="auto" w:fill="FFFFFF"/>
        </w:rPr>
        <w:t>bond basis. </w:t>
      </w:r>
      <w:r w:rsidRPr="008B3D26">
        <w:rPr>
          <w:rFonts w:cs="Arial"/>
          <w:iCs/>
          <w:color w:val="000000" w:themeColor="text1"/>
          <w:szCs w:val="24"/>
          <w:shd w:val="clear" w:color="auto" w:fill="FFFFFF"/>
        </w:rPr>
        <w:t>Financial Management</w:t>
      </w:r>
      <w:r w:rsidRPr="008B3D26">
        <w:rPr>
          <w:rFonts w:cs="Arial"/>
          <w:color w:val="000000" w:themeColor="text1"/>
          <w:szCs w:val="24"/>
          <w:shd w:val="clear" w:color="auto" w:fill="FFFFFF"/>
        </w:rPr>
        <w:t>, </w:t>
      </w:r>
      <w:r w:rsidRPr="008B3D26">
        <w:rPr>
          <w:rFonts w:cs="Arial"/>
          <w:iCs/>
          <w:color w:val="000000" w:themeColor="text1"/>
          <w:szCs w:val="24"/>
          <w:shd w:val="clear" w:color="auto" w:fill="FFFFFF"/>
        </w:rPr>
        <w:t>48</w:t>
      </w:r>
      <w:r w:rsidRPr="008B3D26">
        <w:rPr>
          <w:rFonts w:cs="Arial"/>
          <w:color w:val="000000" w:themeColor="text1"/>
          <w:szCs w:val="24"/>
          <w:shd w:val="clear" w:color="auto" w:fill="FFFFFF"/>
        </w:rPr>
        <w:t>(2), pp.417</w:t>
      </w:r>
      <w:r w:rsidRPr="008B3D26">
        <w:rPr>
          <w:rFonts w:cs="Arial"/>
          <w:color w:val="000000" w:themeColor="text1"/>
          <w:szCs w:val="24"/>
          <w:shd w:val="clear" w:color="auto" w:fill="FFFFFF"/>
        </w:rPr>
        <w:tab/>
        <w:t>439.</w:t>
      </w:r>
    </w:p>
    <w:p w14:paraId="3AAE497F" w14:textId="77777777" w:rsidR="00E46680" w:rsidRDefault="00E46680" w:rsidP="00E46680">
      <w:pPr>
        <w:pStyle w:val="NormalWeb"/>
        <w:spacing w:before="0" w:beforeAutospacing="0" w:after="0" w:afterAutospacing="0" w:line="360" w:lineRule="atLeast"/>
        <w:rPr>
          <w:rFonts w:ascii="Arial" w:hAnsi="Arial" w:cs="Arial"/>
          <w:color w:val="000000"/>
        </w:rPr>
      </w:pPr>
      <w:r w:rsidRPr="00347962">
        <w:rPr>
          <w:rFonts w:ascii="Arial" w:hAnsi="Arial" w:cs="Arial"/>
          <w:color w:val="000000"/>
        </w:rPr>
        <w:t>Corporate Finance Institute. (n.d.). </w:t>
      </w:r>
      <w:r w:rsidRPr="00347962">
        <w:rPr>
          <w:rFonts w:ascii="Arial" w:hAnsi="Arial" w:cs="Arial"/>
          <w:i/>
          <w:iCs/>
          <w:color w:val="000000"/>
        </w:rPr>
        <w:t>Internal Rate of Return (IRR)</w:t>
      </w:r>
      <w:r w:rsidRPr="00347962">
        <w:rPr>
          <w:rFonts w:ascii="Arial" w:hAnsi="Arial" w:cs="Arial"/>
          <w:color w:val="000000"/>
        </w:rPr>
        <w:t>. [online] Available at: https://corporatefinanceinstitute.com/resources/valuation/internal-rate-return-irr/.</w:t>
      </w:r>
    </w:p>
    <w:p w14:paraId="4B464F26"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p>
    <w:p w14:paraId="63573F9E" w14:textId="77777777" w:rsidR="00E46680" w:rsidRPr="00347962" w:rsidRDefault="00E46680" w:rsidP="00E46680">
      <w:pPr>
        <w:pStyle w:val="NormalWeb"/>
        <w:spacing w:before="0" w:beforeAutospacing="0" w:after="0" w:afterAutospacing="0" w:line="360" w:lineRule="atLeast"/>
        <w:rPr>
          <w:rFonts w:ascii="Arial" w:hAnsi="Arial" w:cs="Arial"/>
          <w:color w:val="000000"/>
        </w:rPr>
      </w:pPr>
      <w:r w:rsidRPr="00347962">
        <w:rPr>
          <w:rFonts w:ascii="Arial" w:hAnsi="Arial" w:cs="Arial"/>
          <w:color w:val="000000"/>
        </w:rPr>
        <w:t>Corporate Finance Institute. (n.d.). </w:t>
      </w:r>
      <w:r w:rsidRPr="00347962">
        <w:rPr>
          <w:rFonts w:ascii="Arial" w:hAnsi="Arial" w:cs="Arial"/>
          <w:i/>
          <w:iCs/>
          <w:color w:val="000000"/>
        </w:rPr>
        <w:t>Dividend Policy</w:t>
      </w:r>
      <w:r w:rsidRPr="00347962">
        <w:rPr>
          <w:rFonts w:ascii="Arial" w:hAnsi="Arial" w:cs="Arial"/>
          <w:color w:val="000000"/>
        </w:rPr>
        <w:t>. [online] Available at: https://corporatefinanceinstitute.com/resources/equities/dividend-policy/.</w:t>
      </w:r>
    </w:p>
    <w:p w14:paraId="25306FEF"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p>
    <w:p w14:paraId="4E42EE01" w14:textId="77777777" w:rsidR="00E46680" w:rsidRPr="00347962" w:rsidRDefault="00E46680" w:rsidP="00E46680">
      <w:pPr>
        <w:pStyle w:val="NormalWeb"/>
        <w:spacing w:before="0" w:beforeAutospacing="0" w:after="0" w:afterAutospacing="0" w:line="360" w:lineRule="atLeast"/>
        <w:rPr>
          <w:rFonts w:ascii="Arial" w:hAnsi="Arial" w:cs="Arial"/>
          <w:color w:val="000000"/>
        </w:rPr>
      </w:pPr>
      <w:r w:rsidRPr="00347962">
        <w:rPr>
          <w:rFonts w:ascii="Arial" w:hAnsi="Arial" w:cs="Arial"/>
          <w:color w:val="000000"/>
        </w:rPr>
        <w:t>KPMG. (2019). </w:t>
      </w:r>
      <w:r w:rsidRPr="00347962">
        <w:rPr>
          <w:rFonts w:ascii="Arial" w:hAnsi="Arial" w:cs="Arial"/>
          <w:i/>
          <w:iCs/>
          <w:color w:val="000000"/>
        </w:rPr>
        <w:t>KPMG in the UK - KPMG United Kingdom</w:t>
      </w:r>
      <w:r w:rsidRPr="00347962">
        <w:rPr>
          <w:rFonts w:ascii="Arial" w:hAnsi="Arial" w:cs="Arial"/>
          <w:color w:val="000000"/>
        </w:rPr>
        <w:t>. [online] Available at: https://home.kpmg/uk/en/home.html.</w:t>
      </w:r>
    </w:p>
    <w:p w14:paraId="78B16F75"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p>
    <w:p w14:paraId="4A0DC634" w14:textId="77777777" w:rsidR="00E46680" w:rsidRDefault="00E46680" w:rsidP="00E46680">
      <w:pPr>
        <w:pStyle w:val="NormalWeb"/>
        <w:spacing w:before="0" w:beforeAutospacing="0" w:after="0" w:afterAutospacing="0" w:line="360" w:lineRule="atLeast"/>
        <w:rPr>
          <w:rFonts w:ascii="Arial" w:hAnsi="Arial" w:cs="Arial"/>
          <w:color w:val="000000"/>
          <w:lang w:eastAsia="en-GB"/>
        </w:rPr>
      </w:pPr>
      <w:r w:rsidRPr="00347962">
        <w:rPr>
          <w:rFonts w:ascii="Arial" w:hAnsi="Arial" w:cs="Arial"/>
          <w:color w:val="000000"/>
        </w:rPr>
        <w:t>KC, D. (2022). </w:t>
      </w:r>
      <w:r w:rsidRPr="00347962">
        <w:rPr>
          <w:rFonts w:ascii="Arial" w:hAnsi="Arial" w:cs="Arial"/>
          <w:i/>
          <w:iCs/>
          <w:color w:val="000000"/>
        </w:rPr>
        <w:t>Importance of International Financial Management (IFM)</w:t>
      </w:r>
      <w:r w:rsidRPr="00347962">
        <w:rPr>
          <w:rFonts w:ascii="Arial" w:hAnsi="Arial" w:cs="Arial"/>
          <w:color w:val="000000"/>
        </w:rPr>
        <w:t>. [online] Bench Partner. Available at: https://www.benchpartner.com/importance-of-international-financial-management-ifm [Accessed 22 Dec. 2022].</w:t>
      </w:r>
    </w:p>
    <w:p w14:paraId="0D79858C"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p>
    <w:p w14:paraId="0A04F85F"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r w:rsidRPr="00347962">
        <w:rPr>
          <w:rFonts w:ascii="Arial" w:hAnsi="Arial" w:cs="Arial"/>
          <w:color w:val="000000"/>
        </w:rPr>
        <w:t>Sec.gov. (2017). [online] Available at: https://www.sec.gov/Archives/edgar/data/1067491/000106749117000021/exv15w10.htm [Accessed 22 Dec. 2022].</w:t>
      </w:r>
    </w:p>
    <w:p w14:paraId="7BB903F0"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p>
    <w:p w14:paraId="03D90D92" w14:textId="77777777" w:rsidR="00E46680" w:rsidRDefault="00E46680" w:rsidP="00E46680">
      <w:pPr>
        <w:pStyle w:val="NormalWeb"/>
        <w:spacing w:before="0" w:beforeAutospacing="0" w:after="0" w:afterAutospacing="0" w:line="360" w:lineRule="atLeast"/>
        <w:rPr>
          <w:rFonts w:ascii="Arial" w:hAnsi="Arial" w:cs="Arial"/>
          <w:color w:val="000000"/>
        </w:rPr>
      </w:pPr>
      <w:r w:rsidRPr="00347962">
        <w:rPr>
          <w:rFonts w:ascii="Arial" w:hAnsi="Arial" w:cs="Arial"/>
          <w:color w:val="000000"/>
        </w:rPr>
        <w:t>School, B.B. (n.d.). </w:t>
      </w:r>
      <w:r w:rsidRPr="00347962">
        <w:rPr>
          <w:rFonts w:ascii="Arial" w:hAnsi="Arial" w:cs="Arial"/>
          <w:i/>
          <w:iCs/>
          <w:color w:val="000000"/>
        </w:rPr>
        <w:t>What is international finance and why is it important?</w:t>
      </w:r>
      <w:r w:rsidRPr="00347962">
        <w:rPr>
          <w:rFonts w:ascii="Arial" w:hAnsi="Arial" w:cs="Arial"/>
          <w:color w:val="000000"/>
        </w:rPr>
        <w:t> [online] blog.online.bayes.city.ac.uk. Available at: https://blog.online.bayes.city.ac.uk/what-is-international-finance-and-why-is-it-important#:~:text=International%20finance%20helps%20maintain%20economic [Accessed 22 Dec. 2022].</w:t>
      </w:r>
    </w:p>
    <w:p w14:paraId="38EA456C" w14:textId="77777777" w:rsidR="00E46680" w:rsidRPr="00347962" w:rsidRDefault="00E46680" w:rsidP="00E46680">
      <w:pPr>
        <w:pStyle w:val="NormalWeb"/>
        <w:spacing w:before="0" w:beforeAutospacing="0" w:after="0" w:afterAutospacing="0" w:line="360" w:lineRule="atLeast"/>
        <w:rPr>
          <w:rFonts w:ascii="Arial" w:hAnsi="Arial" w:cs="Arial"/>
          <w:color w:val="000000"/>
        </w:rPr>
      </w:pPr>
    </w:p>
    <w:p w14:paraId="0E762098" w14:textId="77777777" w:rsidR="00E46680" w:rsidRDefault="00E46680" w:rsidP="00E46680">
      <w:pPr>
        <w:pStyle w:val="NormalWeb"/>
        <w:spacing w:before="0" w:beforeAutospacing="0" w:after="0" w:afterAutospacing="0" w:line="360" w:lineRule="atLeast"/>
        <w:rPr>
          <w:rFonts w:ascii="Arial" w:hAnsi="Arial" w:cs="Arial"/>
          <w:color w:val="000000"/>
          <w:lang w:eastAsia="en-GB"/>
        </w:rPr>
      </w:pPr>
      <w:r w:rsidRPr="00347962">
        <w:rPr>
          <w:rFonts w:ascii="Arial" w:hAnsi="Arial" w:cs="Arial"/>
          <w:color w:val="000000"/>
        </w:rPr>
        <w:t>University of Wolverhampton. (2021). </w:t>
      </w:r>
      <w:r w:rsidRPr="00347962">
        <w:rPr>
          <w:rFonts w:ascii="Arial" w:hAnsi="Arial" w:cs="Arial"/>
          <w:i/>
          <w:iCs/>
          <w:color w:val="000000"/>
        </w:rPr>
        <w:t>What is international finance? - University of Wolverhampton</w:t>
      </w:r>
      <w:r w:rsidRPr="00347962">
        <w:rPr>
          <w:rFonts w:ascii="Arial" w:hAnsi="Arial" w:cs="Arial"/>
          <w:color w:val="000000"/>
        </w:rPr>
        <w:t>. [online] Available at: https://online.wlv.ac.uk/what-is-international-finance/.</w:t>
      </w:r>
    </w:p>
    <w:p w14:paraId="64CD3152" w14:textId="77777777" w:rsidR="00E46680" w:rsidRPr="00347962" w:rsidRDefault="00E46680" w:rsidP="00E46680">
      <w:pPr>
        <w:pStyle w:val="NormalWeb"/>
        <w:spacing w:before="0" w:beforeAutospacing="0" w:after="0" w:afterAutospacing="0" w:line="360" w:lineRule="atLeast"/>
        <w:rPr>
          <w:rFonts w:ascii="Arial" w:hAnsi="Arial" w:cs="Arial"/>
          <w:color w:val="000000"/>
          <w:lang w:eastAsia="en-GB"/>
        </w:rPr>
      </w:pPr>
      <w:r w:rsidRPr="00347962">
        <w:rPr>
          <w:rFonts w:ascii="Arial" w:hAnsi="Arial" w:cs="Arial"/>
          <w:color w:val="000000"/>
        </w:rPr>
        <w:t>www.hklaw.com. (n.d.). </w:t>
      </w:r>
      <w:r w:rsidRPr="00347962">
        <w:rPr>
          <w:rFonts w:ascii="Arial" w:hAnsi="Arial" w:cs="Arial"/>
          <w:i/>
          <w:iCs/>
          <w:color w:val="000000"/>
        </w:rPr>
        <w:t>International Financial Regulations | Practices | Holland &amp; Knight</w:t>
      </w:r>
      <w:r w:rsidRPr="00347962">
        <w:rPr>
          <w:rFonts w:ascii="Arial" w:hAnsi="Arial" w:cs="Arial"/>
          <w:color w:val="000000"/>
        </w:rPr>
        <w:t>. [online] Available at: https://www.hklaw.com/en/services/practices/international-business-and-trade/international-financial-regulations [Accessed 22 Dec. 2022].</w:t>
      </w:r>
    </w:p>
    <w:p w14:paraId="5CC3D270" w14:textId="2EEA0948" w:rsidR="00956117" w:rsidRDefault="00956117">
      <w:pPr>
        <w:spacing w:after="0" w:line="240" w:lineRule="auto"/>
      </w:pPr>
    </w:p>
    <w:sectPr w:rsidR="00956117" w:rsidSect="00956117">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62BC5" w14:textId="77777777" w:rsidR="00452685" w:rsidRDefault="00452685" w:rsidP="004863B8">
      <w:pPr>
        <w:spacing w:after="0" w:line="240" w:lineRule="auto"/>
      </w:pPr>
      <w:r>
        <w:separator/>
      </w:r>
    </w:p>
  </w:endnote>
  <w:endnote w:type="continuationSeparator" w:id="0">
    <w:p w14:paraId="5299588F" w14:textId="77777777" w:rsidR="00452685" w:rsidRDefault="00452685" w:rsidP="00486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2939263"/>
      <w:docPartObj>
        <w:docPartGallery w:val="Page Numbers (Bottom of Page)"/>
        <w:docPartUnique/>
      </w:docPartObj>
    </w:sdtPr>
    <w:sdtContent>
      <w:p w14:paraId="7C286CCD" w14:textId="603182B7" w:rsidR="004863B8" w:rsidRDefault="004863B8" w:rsidP="00BD5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14A34" w14:textId="77777777" w:rsidR="004863B8" w:rsidRDefault="004863B8" w:rsidP="004863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308944"/>
      <w:docPartObj>
        <w:docPartGallery w:val="Page Numbers (Bottom of Page)"/>
        <w:docPartUnique/>
      </w:docPartObj>
    </w:sdtPr>
    <w:sdtContent>
      <w:p w14:paraId="5C7D43E0" w14:textId="6934DB7F" w:rsidR="004863B8" w:rsidRDefault="004863B8" w:rsidP="00BD5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F0E490" w14:textId="77777777" w:rsidR="004863B8" w:rsidRDefault="004863B8" w:rsidP="004863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6EAB4" w14:textId="77777777" w:rsidR="00452685" w:rsidRDefault="00452685" w:rsidP="004863B8">
      <w:pPr>
        <w:spacing w:after="0" w:line="240" w:lineRule="auto"/>
      </w:pPr>
      <w:r>
        <w:separator/>
      </w:r>
    </w:p>
  </w:footnote>
  <w:footnote w:type="continuationSeparator" w:id="0">
    <w:p w14:paraId="4B54DEBA" w14:textId="77777777" w:rsidR="00452685" w:rsidRDefault="00452685" w:rsidP="004863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3B8"/>
    <w:rsid w:val="002613FF"/>
    <w:rsid w:val="00442428"/>
    <w:rsid w:val="00452685"/>
    <w:rsid w:val="004863B8"/>
    <w:rsid w:val="005433BA"/>
    <w:rsid w:val="005C0BE6"/>
    <w:rsid w:val="00651C3A"/>
    <w:rsid w:val="006F67EE"/>
    <w:rsid w:val="007A3D60"/>
    <w:rsid w:val="007F238B"/>
    <w:rsid w:val="00956117"/>
    <w:rsid w:val="00C8243C"/>
    <w:rsid w:val="00C9786F"/>
    <w:rsid w:val="00DC1F45"/>
    <w:rsid w:val="00E46680"/>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4314"/>
  <w15:chartTrackingRefBased/>
  <w15:docId w15:val="{B67F733B-63EF-9A4D-9C04-4660036AC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863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66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86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3B8"/>
    <w:rPr>
      <w:rFonts w:ascii="Arial" w:hAnsi="Arial"/>
      <w:szCs w:val="22"/>
    </w:rPr>
  </w:style>
  <w:style w:type="character" w:styleId="PageNumber">
    <w:name w:val="page number"/>
    <w:basedOn w:val="DefaultParagraphFont"/>
    <w:uiPriority w:val="99"/>
    <w:semiHidden/>
    <w:unhideWhenUsed/>
    <w:rsid w:val="004863B8"/>
  </w:style>
  <w:style w:type="character" w:customStyle="1" w:styleId="Heading1Char">
    <w:name w:val="Heading 1 Char"/>
    <w:basedOn w:val="DefaultParagraphFont"/>
    <w:link w:val="Heading1"/>
    <w:uiPriority w:val="9"/>
    <w:rsid w:val="004863B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56117"/>
    <w:rPr>
      <w:color w:val="0563C1" w:themeColor="hyperlink"/>
      <w:u w:val="single"/>
    </w:rPr>
  </w:style>
  <w:style w:type="character" w:styleId="UnresolvedMention">
    <w:name w:val="Unresolved Mention"/>
    <w:basedOn w:val="DefaultParagraphFont"/>
    <w:uiPriority w:val="99"/>
    <w:semiHidden/>
    <w:unhideWhenUsed/>
    <w:rsid w:val="00956117"/>
    <w:rPr>
      <w:color w:val="605E5C"/>
      <w:shd w:val="clear" w:color="auto" w:fill="E1DFDD"/>
    </w:rPr>
  </w:style>
  <w:style w:type="paragraph" w:styleId="NoSpacing">
    <w:name w:val="No Spacing"/>
    <w:link w:val="NoSpacingChar"/>
    <w:uiPriority w:val="1"/>
    <w:qFormat/>
    <w:rsid w:val="00956117"/>
    <w:rPr>
      <w:rFonts w:eastAsiaTheme="minorEastAsia"/>
      <w:sz w:val="22"/>
      <w:szCs w:val="22"/>
      <w:lang w:val="en-US" w:eastAsia="zh-CN"/>
    </w:rPr>
  </w:style>
  <w:style w:type="character" w:customStyle="1" w:styleId="NoSpacingChar">
    <w:name w:val="No Spacing Char"/>
    <w:basedOn w:val="DefaultParagraphFont"/>
    <w:link w:val="NoSpacing"/>
    <w:uiPriority w:val="1"/>
    <w:rsid w:val="00956117"/>
    <w:rPr>
      <w:rFonts w:eastAsiaTheme="minorEastAsia"/>
      <w:sz w:val="22"/>
      <w:szCs w:val="22"/>
      <w:lang w:val="en-US" w:eastAsia="zh-CN"/>
    </w:rPr>
  </w:style>
  <w:style w:type="paragraph" w:styleId="TOCHeading">
    <w:name w:val="TOC Heading"/>
    <w:basedOn w:val="Heading1"/>
    <w:next w:val="Normal"/>
    <w:uiPriority w:val="39"/>
    <w:unhideWhenUsed/>
    <w:qFormat/>
    <w:rsid w:val="007F238B"/>
    <w:pPr>
      <w:spacing w:before="480"/>
      <w:outlineLvl w:val="9"/>
    </w:pPr>
    <w:rPr>
      <w:b/>
      <w:bCs/>
      <w:sz w:val="28"/>
      <w:szCs w:val="28"/>
      <w:lang w:val="en-US"/>
    </w:rPr>
  </w:style>
  <w:style w:type="paragraph" w:styleId="TOC1">
    <w:name w:val="toc 1"/>
    <w:basedOn w:val="Normal"/>
    <w:next w:val="Normal"/>
    <w:autoRedefine/>
    <w:uiPriority w:val="39"/>
    <w:unhideWhenUsed/>
    <w:rsid w:val="007F238B"/>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7F238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F238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238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238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238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238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238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238B"/>
    <w:pPr>
      <w:spacing w:after="0"/>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semiHidden/>
    <w:rsid w:val="00E4668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46680"/>
    <w:pPr>
      <w:spacing w:before="100" w:beforeAutospacing="1" w:after="100" w:afterAutospacing="1" w:line="240" w:lineRule="auto"/>
    </w:pPr>
    <w:rPr>
      <w:rFonts w:ascii="Times New Roman" w:eastAsia="Times New Roman" w:hAnsi="Times New Roman" w:cs="Times New Roman"/>
      <w:szCs w:val="24"/>
      <w:lang w:val="en-US"/>
    </w:rPr>
  </w:style>
  <w:style w:type="paragraph" w:styleId="NormalWeb">
    <w:name w:val="Normal (Web)"/>
    <w:basedOn w:val="Normal"/>
    <w:uiPriority w:val="99"/>
    <w:unhideWhenUsed/>
    <w:rsid w:val="00E46680"/>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mord">
    <w:name w:val="mord"/>
    <w:basedOn w:val="DefaultParagraphFont"/>
    <w:rsid w:val="00E46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46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2B4064-27A1-2644-9DF2-0D32056D5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1808</Words>
  <Characters>10311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Managing People A1</vt:lpstr>
    </vt:vector>
  </TitlesOfParts>
  <Company>Student Name:</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 A1 LCBB6002</dc:title>
  <dc:subject>Module Lecturer:</dc:subject>
  <dc:creator>Student ID:1918702</dc:creator>
  <cp:keywords/>
  <dc:description/>
  <cp:lastModifiedBy>Irina Nacheva</cp:lastModifiedBy>
  <cp:revision>3</cp:revision>
  <dcterms:created xsi:type="dcterms:W3CDTF">2022-12-30T12:52:00Z</dcterms:created>
  <dcterms:modified xsi:type="dcterms:W3CDTF">2022-12-30T13:28:00Z</dcterms:modified>
</cp:coreProperties>
</file>