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AE30D" w14:textId="77777777" w:rsidR="008E000C" w:rsidRDefault="008E000C" w:rsidP="008E000C">
      <w:pPr>
        <w:pStyle w:val="Titlu2"/>
        <w:jc w:val="center"/>
        <w:rPr>
          <w:rFonts w:ascii="Arial" w:hAnsi="Arial" w:cs="Arial"/>
          <w:lang w:val="en-GB"/>
        </w:rPr>
      </w:pPr>
      <w:r>
        <w:rPr>
          <w:noProof/>
        </w:rPr>
        <w:drawing>
          <wp:inline distT="0" distB="0" distL="0" distR="0" wp14:anchorId="5C5F8FD4" wp14:editId="591D934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73FCB5B" w14:textId="77777777" w:rsidR="008E000C" w:rsidRDefault="008E000C" w:rsidP="008E000C">
      <w:pPr>
        <w:pStyle w:val="Titlu2"/>
        <w:jc w:val="center"/>
        <w:rPr>
          <w:rFonts w:ascii="Arial" w:hAnsi="Arial" w:cs="Arial"/>
          <w:lang w:val="en-GB"/>
        </w:rPr>
      </w:pPr>
    </w:p>
    <w:p w14:paraId="7A6B7744" w14:textId="7C551627" w:rsidR="008E000C" w:rsidRPr="008E000C" w:rsidRDefault="008E000C" w:rsidP="008E000C">
      <w:pPr>
        <w:pStyle w:val="Titlu1"/>
        <w:jc w:val="center"/>
        <w:rPr>
          <w:lang w:val="en-GB"/>
        </w:rPr>
      </w:pPr>
      <w:r w:rsidRPr="008E000C">
        <w:rPr>
          <w:lang w:val="en-GB"/>
        </w:rPr>
        <w:t>BA Leadership and Management</w:t>
      </w:r>
    </w:p>
    <w:p w14:paraId="07CB5608" w14:textId="77777777" w:rsidR="008E000C" w:rsidRPr="008E000C" w:rsidRDefault="008E000C" w:rsidP="008E000C">
      <w:pPr>
        <w:pStyle w:val="Titlu1"/>
        <w:jc w:val="center"/>
        <w:rPr>
          <w:lang w:val="en-GB"/>
        </w:rPr>
      </w:pPr>
      <w:r w:rsidRPr="008E000C">
        <w:rPr>
          <w:lang w:val="en-GB"/>
        </w:rPr>
        <w:t>Coaching and Mentoring Skills for the Workplace</w:t>
      </w:r>
    </w:p>
    <w:p w14:paraId="342B5CAB" w14:textId="1EB01ACB" w:rsidR="00383102" w:rsidRPr="00F93C99" w:rsidRDefault="008E000C" w:rsidP="008E000C">
      <w:pPr>
        <w:pStyle w:val="Titlu1"/>
        <w:jc w:val="center"/>
        <w:rPr>
          <w:lang w:val="en-GB"/>
        </w:rPr>
      </w:pPr>
      <w:r w:rsidRPr="00F93C99">
        <w:rPr>
          <w:lang w:val="en-GB"/>
        </w:rPr>
        <w:t>BMSW6105</w:t>
      </w:r>
    </w:p>
    <w:p w14:paraId="40A8091E" w14:textId="77777777" w:rsidR="008E000C" w:rsidRPr="00F93C99" w:rsidRDefault="008E000C" w:rsidP="008E000C">
      <w:pPr>
        <w:rPr>
          <w:lang w:val="en-GB"/>
        </w:rPr>
      </w:pPr>
    </w:p>
    <w:p w14:paraId="24E52F8B" w14:textId="326F3011" w:rsidR="008E000C" w:rsidRPr="008E000C" w:rsidRDefault="008E000C" w:rsidP="008E000C">
      <w:pPr>
        <w:pStyle w:val="Titlu2"/>
        <w:rPr>
          <w:lang w:val="en-GB"/>
        </w:rPr>
      </w:pPr>
      <w:r w:rsidRPr="008E000C">
        <w:rPr>
          <w:lang w:val="en-GB"/>
        </w:rPr>
        <w:t xml:space="preserve">                                                                                                              Student - Iulia Dunareanu</w:t>
      </w:r>
    </w:p>
    <w:p w14:paraId="2DB2ECC2" w14:textId="03273585" w:rsidR="008E000C" w:rsidRDefault="008E000C" w:rsidP="008E000C">
      <w:pPr>
        <w:pStyle w:val="Titlu2"/>
        <w:rPr>
          <w:lang w:val="en-GB"/>
        </w:rPr>
      </w:pPr>
      <w:r w:rsidRPr="008E000C">
        <w:rPr>
          <w:lang w:val="en-GB"/>
        </w:rPr>
        <w:t xml:space="preserve">                                                                                                             Task 3 – Written Reflection</w:t>
      </w:r>
    </w:p>
    <w:p w14:paraId="3655A258" w14:textId="77777777" w:rsidR="008E000C" w:rsidRDefault="008E000C" w:rsidP="008E000C">
      <w:pPr>
        <w:rPr>
          <w:lang w:val="en-GB"/>
        </w:rPr>
      </w:pPr>
    </w:p>
    <w:p w14:paraId="10715203" w14:textId="77777777" w:rsidR="008E000C" w:rsidRDefault="008E000C" w:rsidP="008E000C">
      <w:pPr>
        <w:rPr>
          <w:lang w:val="en-GB"/>
        </w:rPr>
      </w:pPr>
    </w:p>
    <w:p w14:paraId="25836028" w14:textId="77777777" w:rsidR="008E000C" w:rsidRPr="001E2F96" w:rsidRDefault="008E000C" w:rsidP="008E000C">
      <w:pPr>
        <w:rPr>
          <w:rFonts w:ascii="Arial" w:hAnsi="Arial" w:cs="Arial"/>
          <w:lang w:val="en-GB"/>
        </w:rPr>
      </w:pPr>
    </w:p>
    <w:p w14:paraId="4C9182A3" w14:textId="18E8031E" w:rsidR="008E000C" w:rsidRPr="001E2F96" w:rsidRDefault="008E000C" w:rsidP="008E000C">
      <w:pPr>
        <w:rPr>
          <w:rFonts w:ascii="Arial" w:hAnsi="Arial" w:cs="Arial"/>
          <w:lang w:val="en-GB"/>
        </w:rPr>
      </w:pPr>
      <w:r w:rsidRPr="001E2F96">
        <w:rPr>
          <w:rFonts w:ascii="Arial" w:hAnsi="Arial" w:cs="Arial"/>
          <w:lang w:val="en-GB"/>
        </w:rPr>
        <w:t>Introduction</w:t>
      </w:r>
    </w:p>
    <w:p w14:paraId="173E0A7A" w14:textId="23551740" w:rsidR="008E000C" w:rsidRPr="001E2F96" w:rsidRDefault="008E000C" w:rsidP="008E000C">
      <w:pPr>
        <w:rPr>
          <w:rFonts w:ascii="Arial" w:hAnsi="Arial" w:cs="Arial"/>
          <w:lang w:val="en-GB"/>
        </w:rPr>
      </w:pPr>
      <w:r w:rsidRPr="001E2F96">
        <w:rPr>
          <w:rFonts w:ascii="Arial" w:hAnsi="Arial" w:cs="Arial"/>
          <w:lang w:val="en-GB"/>
        </w:rPr>
        <w:t>This reflective report investigates my practical experiences in coaching and mentoring by employing Kolb's experiential learning cycle (Kolb, 2015) as the reflective framework. The purpose of this study is to provide an account of my experiences.   (Cox and colleagues, 2018)  As a kind of development, coaching is characterised as a process that tries to improve individual performance via the use of structured conversations that promote self-awareness and the accomplishment of goals.  The performance of employees is intended to be improved via the use of coaching.   On the other hand, mentoring is a relational process that lays an emphasis on long-term personal and professional growth via the exchange of experience and knowledge from a mentor to a mentee (Megginson et al., 2016). Mentoring is a process that centres on the relationship between the mentor and the mentee.   According to Garvey et al. (2017), mentoring provides a more complete range of developmental help, with an emphasis on both professional and personal improvement. However, mentoring is not suitable for everyone.  One of the primary concerns of coaching, on the other hand, is the achievement of specified performance goals in the short term.   According to Passmore (2021), excellent coaching abilities include activities such as active listening, effective questioning, feedback delivery, and the development of goal orientation. Activities like these are vital components of good coaching abilities.   The mentoring relationship, on the other hand, places a greater emphasis on the development of interpersonal skills, the establishment of trust, and the exchange of experiences (Garvey et al., 2017).   The objective of this study is to present a critical analysis of coaching via the SMART goal-setting model (Doran, 1981) and mentoring through the Johari Window model (Luft and Ingham, 1955), as well as to provide a perspective on my engagement in both processes. Both of these models were developed by Doran.</w:t>
      </w:r>
    </w:p>
    <w:p w14:paraId="3C0C8A6B" w14:textId="77777777" w:rsidR="00374388" w:rsidRPr="001E2F96" w:rsidRDefault="00374388" w:rsidP="008E000C">
      <w:pPr>
        <w:rPr>
          <w:rFonts w:ascii="Arial" w:hAnsi="Arial" w:cs="Arial"/>
          <w:lang w:val="en-GB"/>
        </w:rPr>
      </w:pPr>
    </w:p>
    <w:p w14:paraId="1D343D0C" w14:textId="7E77D3EF" w:rsidR="00374388" w:rsidRPr="001E2F96" w:rsidRDefault="00374388" w:rsidP="008E000C">
      <w:pPr>
        <w:rPr>
          <w:rFonts w:ascii="Arial" w:hAnsi="Arial" w:cs="Arial"/>
          <w:lang w:val="en-GB"/>
        </w:rPr>
      </w:pPr>
      <w:r w:rsidRPr="001E2F96">
        <w:rPr>
          <w:rFonts w:ascii="Arial" w:hAnsi="Arial" w:cs="Arial"/>
          <w:lang w:val="en-GB"/>
        </w:rPr>
        <w:t>Critical Evaluation of Coaching and Mentoring within the Workplace</w:t>
      </w:r>
    </w:p>
    <w:p w14:paraId="7B38A553" w14:textId="77777777" w:rsidR="00374388" w:rsidRPr="001E2F96" w:rsidRDefault="00374388" w:rsidP="00374388">
      <w:pPr>
        <w:rPr>
          <w:rFonts w:ascii="Arial" w:hAnsi="Arial" w:cs="Arial"/>
          <w:lang w:val="en-GB"/>
        </w:rPr>
      </w:pPr>
      <w:r w:rsidRPr="001E2F96">
        <w:rPr>
          <w:rFonts w:ascii="Arial" w:hAnsi="Arial" w:cs="Arial"/>
          <w:lang w:val="en-GB"/>
        </w:rPr>
        <w:t>Cox et al. (2018) state that coaching and mentoring are crucial to the success of a company because they make it possible to boost employee engagement, performance, and retention. Mentoring and coaching are critical to the success of a firm.  Because of this, they are of utmost significance.   When it comes to the growth of a firm, mentorship and coaching are very essential components.     As far as obtaining changes in performance that are of a short-term nature is concerned, coaching is a very successful method (Passmore, 2021).   This is accomplished by the formation of goals, the enhancement of self-awareness, and the empowering of decision-making. These are the techniques by which this is accomplished.     The act of mentoring, on the other hand, is advantageous for the purpose of long-term professional development, the provision of career guidance, and the dissemination of information regarding an organisation (Megginson et al., 2016).   In addition, there is the potential that mentoring is advantageous for the dissemination of organisational knowledge.</w:t>
      </w:r>
    </w:p>
    <w:p w14:paraId="65E3D625" w14:textId="0BDE7042" w:rsidR="00374388" w:rsidRPr="001E2F96" w:rsidRDefault="00374388" w:rsidP="00374388">
      <w:pPr>
        <w:rPr>
          <w:rFonts w:ascii="Arial" w:hAnsi="Arial" w:cs="Arial"/>
          <w:lang w:val="en-GB"/>
        </w:rPr>
      </w:pPr>
      <w:r w:rsidRPr="001E2F96">
        <w:rPr>
          <w:rFonts w:ascii="Arial" w:hAnsi="Arial" w:cs="Arial"/>
          <w:lang w:val="en-GB"/>
        </w:rPr>
        <w:t>The authors of the study by Cox et al. (2018) state that coaches are a very useful tool for a variety of reasons, including the improvement of accountability and the elimination of performance disparities.   The reason for this is that coaching leads to an immediate increase in performance in addition to the development of skills. This is only one of the many benefits of coaching.     According to Garvey et al. (2017), mentoring is beneficial to workers because it assists them in navigating career transitions, which in turn serves to promote leadership attributes and contributes to succession planning. Mentoring is helpful to workers because it helps them negotiate career changes.  It is beneficial for workers to have mentors since it assists them in navigating changes in their careers.     According to Megginson et al. (2016), mentoring often entails informal encounters. This is because the primary focus is on the acquisition of experience and the development of professional skills through the cultivation of relationships.  The reason for this is that the relationship-building aspect of mentoring is the major emphasis of the coaching process.    On the other hand, SMART is an example of a structured framework that is utilised in coaching in order to achieve measurable outcomes (Doran, 1981).  The acronym SMART is an abbreviation that implies "specific, measurable, attainable, relevant, and timely."</w:t>
      </w:r>
    </w:p>
    <w:p w14:paraId="17D6A4BE" w14:textId="1AEFA4A0" w:rsidR="00374388" w:rsidRPr="001E2F96" w:rsidRDefault="00374388" w:rsidP="00374388">
      <w:pPr>
        <w:rPr>
          <w:rFonts w:ascii="Arial" w:hAnsi="Arial" w:cs="Arial"/>
          <w:lang w:val="en-GB"/>
        </w:rPr>
      </w:pPr>
      <w:r w:rsidRPr="001E2F96">
        <w:rPr>
          <w:rFonts w:ascii="Arial" w:hAnsi="Arial" w:cs="Arial"/>
          <w:lang w:val="en-GB"/>
        </w:rPr>
        <w:t>Despite the fact that these two activities are independent from one another, it is essential to highlight that they have a significant impact on the level of contentment experienced by employees, the culture of the organisation, and the rate at which staff are retained (Passmore, 2021).     Garvey et al. (2017) came to the conclusion that the combination of mentoring and coaching has the ability to harness the complementary characteristics of both approaches in order to build successful strategies for talent management. This was one of the findings that they came to.  This conclusion was arrived at from the findings that were obtained by the researchers that were discussed before.    In addition to delivering an immediate improvement in performance, the implementation of these strategies has the potential to assist professional advancement in both the short-term and the long-term.</w:t>
      </w:r>
    </w:p>
    <w:p w14:paraId="207AC4EC" w14:textId="67BC7051" w:rsidR="00374388" w:rsidRPr="001E2F96" w:rsidRDefault="00374388" w:rsidP="00374388">
      <w:pPr>
        <w:rPr>
          <w:rFonts w:ascii="Arial" w:hAnsi="Arial" w:cs="Arial"/>
          <w:lang w:val="en-GB"/>
        </w:rPr>
      </w:pPr>
      <w:r w:rsidRPr="001E2F96">
        <w:rPr>
          <w:rFonts w:ascii="Arial" w:hAnsi="Arial" w:cs="Arial"/>
          <w:noProof/>
          <w:lang w:val="en-GB"/>
        </w:rPr>
        <w:drawing>
          <wp:inline distT="0" distB="0" distL="0" distR="0" wp14:anchorId="44E2A5D8" wp14:editId="214849AD">
            <wp:extent cx="6089073" cy="3427459"/>
            <wp:effectExtent l="0" t="0" r="6985" b="1905"/>
            <wp:docPr id="1423127051" name="Video 1" descr="When to Use Training, Mentoring and Coaching At Work">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127051" name="Video 1" descr="When to Use Training, Mentoring and Coaching At Work">
                      <a:hlinkClick r:id="rId7"/>
                    </pic:cNvPr>
                    <pic:cNvPicPr/>
                  </pic:nvPicPr>
                  <pic:blipFill>
                    <a:blip r:embed="rId8">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9LaqK4_gMVg?feature=oembed&quot; frameborder=&quot;0&quot; allow=&quot;accelerometer; autoplay; clipboard-write; encrypted-media; gyroscope; picture-in-picture; web-share&quot; referrerpolicy=&quot;strict-origin-when-cross-origin&quot; allowfullscreen=&quot;&quot; title=&quot;When to Use Training, Mentoring and Coaching At Work&quot; sandbox=&quot;allow-scripts allow-same-origin allow-popups&quot;&gt;&lt;/iframe&gt;" h="113" w="200"/>
                        </a:ext>
                      </a:extLst>
                    </a:blip>
                    <a:stretch>
                      <a:fillRect/>
                    </a:stretch>
                  </pic:blipFill>
                  <pic:spPr>
                    <a:xfrm>
                      <a:off x="0" y="0"/>
                      <a:ext cx="6157282" cy="3465853"/>
                    </a:xfrm>
                    <a:prstGeom prst="rect">
                      <a:avLst/>
                    </a:prstGeom>
                  </pic:spPr>
                </pic:pic>
              </a:graphicData>
            </a:graphic>
          </wp:inline>
        </w:drawing>
      </w:r>
      <w:r w:rsidRPr="001E2F96">
        <w:rPr>
          <w:rFonts w:ascii="Arial" w:hAnsi="Arial" w:cs="Arial"/>
          <w:noProof/>
          <w:lang w:val="en-GB"/>
        </w:rPr>
        <w:drawing>
          <wp:inline distT="0" distB="0" distL="0" distR="0" wp14:anchorId="432DD2E1" wp14:editId="445C559C">
            <wp:extent cx="6462799" cy="3428784"/>
            <wp:effectExtent l="0" t="0" r="0" b="635"/>
            <wp:docPr id="1009641856" name="Video 2" descr="Workplace Mentoring: Long-Term Benefits Of Developing and Mentoring Employe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641856" name="Video 2" descr="Workplace Mentoring: Long-Term Benefits Of Developing and Mentoring Employees">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5fx8QGSQhEo?feature=oembed&quot; frameborder=&quot;0&quot; allow=&quot;accelerometer; autoplay; clipboard-write; encrypted-media; gyroscope; picture-in-picture; web-share&quot; referrerpolicy=&quot;strict-origin-when-cross-origin&quot; allowfullscreen=&quot;&quot; title=&quot;Workplace Mentoring: Long-Term Benefits Of Developing and Mentoring Employees&quot; sandbox=&quot;allow-scripts allow-same-origin allow-popups&quot;&gt;&lt;/iframe&gt;" h="113" w="200"/>
                        </a:ext>
                      </a:extLst>
                    </a:blip>
                    <a:stretch>
                      <a:fillRect/>
                    </a:stretch>
                  </pic:blipFill>
                  <pic:spPr>
                    <a:xfrm>
                      <a:off x="0" y="0"/>
                      <a:ext cx="6499783" cy="3448405"/>
                    </a:xfrm>
                    <a:prstGeom prst="rect">
                      <a:avLst/>
                    </a:prstGeom>
                  </pic:spPr>
                </pic:pic>
              </a:graphicData>
            </a:graphic>
          </wp:inline>
        </w:drawing>
      </w:r>
    </w:p>
    <w:p w14:paraId="4D4760AF" w14:textId="77777777" w:rsidR="00374388" w:rsidRPr="001E2F96" w:rsidRDefault="00374388" w:rsidP="00374388">
      <w:pPr>
        <w:rPr>
          <w:rFonts w:ascii="Arial" w:hAnsi="Arial" w:cs="Arial"/>
          <w:lang w:val="en-GB"/>
        </w:rPr>
      </w:pPr>
    </w:p>
    <w:p w14:paraId="443EB8DA" w14:textId="1ACDF130" w:rsidR="00374388" w:rsidRPr="001E2F96" w:rsidRDefault="00374388" w:rsidP="00374388">
      <w:pPr>
        <w:rPr>
          <w:rFonts w:ascii="Arial" w:hAnsi="Arial" w:cs="Arial"/>
          <w:lang w:val="en-GB"/>
        </w:rPr>
      </w:pPr>
      <w:r w:rsidRPr="001E2F96">
        <w:rPr>
          <w:rFonts w:ascii="Arial" w:hAnsi="Arial" w:cs="Arial"/>
          <w:lang w:val="en-GB"/>
        </w:rPr>
        <w:t>Critical Analysis of the SMART Model</w:t>
      </w:r>
    </w:p>
    <w:p w14:paraId="1199AC62" w14:textId="77777777" w:rsidR="001E2F96" w:rsidRPr="001E2F96" w:rsidRDefault="001E2F96" w:rsidP="001E2F96">
      <w:pPr>
        <w:rPr>
          <w:rFonts w:ascii="Arial" w:hAnsi="Arial" w:cs="Arial"/>
          <w:lang w:val="en-GB"/>
        </w:rPr>
      </w:pPr>
      <w:r w:rsidRPr="001E2F96">
        <w:rPr>
          <w:rFonts w:ascii="Arial" w:hAnsi="Arial" w:cs="Arial"/>
          <w:lang w:val="en-GB"/>
        </w:rPr>
        <w:t xml:space="preserve">The SMART goal-setting paradigm, which was established by Doran in 1981, provides clarity and direction for coaching that is tied to performance.  The definition of objectives as things that are Specific, Measurable, Achievable, Relevant, and Time-bound is the means by which this is done.   The fact that objectives are defined as these characteristics is what makes it possible to accomplish this outcome.     </w:t>
      </w:r>
    </w:p>
    <w:p w14:paraId="5BB345A3" w14:textId="77777777" w:rsidR="001E2F96" w:rsidRDefault="001E2F96" w:rsidP="001E2F96">
      <w:pPr>
        <w:rPr>
          <w:rFonts w:ascii="Arial" w:hAnsi="Arial" w:cs="Arial"/>
          <w:lang w:val="en-GB"/>
        </w:rPr>
      </w:pPr>
      <w:r w:rsidRPr="001E2F96">
        <w:rPr>
          <w:rFonts w:ascii="Arial" w:hAnsi="Arial" w:cs="Arial"/>
          <w:lang w:val="en-GB"/>
        </w:rPr>
        <w:t>At the outset, Doran was the one who thought of the paradigm that is being debated at this very moment.    Not only was Doran the one who initially suggested taking a systematic approach to the issue, but he was also the one who initiated the implementation of this strategy.       In light of the findings that were presented by Cox et al. (2018), it would appear that this paradigm makes it simpler to carry out coaching sessions that are especially directed towards targeting particular individuals.   In addition, it provides established criteria for performance evaluation in relation to performance, which is a significant benefit. This is an additional advantage.</w:t>
      </w:r>
    </w:p>
    <w:p w14:paraId="4433C00A" w14:textId="07835B81" w:rsidR="001E2F96" w:rsidRPr="001E2F96" w:rsidRDefault="001E2F96" w:rsidP="001E2F96">
      <w:pPr>
        <w:rPr>
          <w:rFonts w:ascii="Arial" w:hAnsi="Arial" w:cs="Arial"/>
          <w:lang w:val="en-GB"/>
        </w:rPr>
      </w:pPr>
      <w:r w:rsidRPr="001E2F96">
        <w:rPr>
          <w:rFonts w:ascii="Arial" w:hAnsi="Arial" w:cs="Arial"/>
          <w:lang w:val="en-GB"/>
        </w:rPr>
        <w:t xml:space="preserve">In situations when individuals have objectives that are articulated in a manner that is both obvious and unambiguous, they are provided with the opportunity to achieve the goals that they have set for themselves.    According to Passmore (2021), the SMART model provides the possibility to make use of this specific benefit, which is one of the advantages made available by the model.      more personal motivation, higher responsibility, and improved communication are other benefits that come along with more communication. There are a lot of other advantages that come along with increased communication.       On the other hand, there are a significant number of individuals who are of the opinion that the SMART framework may be overly rigid, which might lead to a reduction in the amount of flexibility that is available in scenarios that have happened in the workplace (Grant, 2020).   This viewpoint is held by a significant percentage of individuals who express their agreement with it.       </w:t>
      </w:r>
    </w:p>
    <w:p w14:paraId="0CD0B990" w14:textId="3E0FD1BD" w:rsidR="001E2F96" w:rsidRPr="001E2F96" w:rsidRDefault="001E2F96" w:rsidP="001E2F96">
      <w:pPr>
        <w:rPr>
          <w:rFonts w:ascii="Arial" w:hAnsi="Arial" w:cs="Arial"/>
          <w:lang w:val="en-GB"/>
        </w:rPr>
      </w:pPr>
      <w:r w:rsidRPr="001E2F96">
        <w:rPr>
          <w:rFonts w:ascii="Arial" w:hAnsi="Arial" w:cs="Arial"/>
          <w:lang w:val="en-GB"/>
        </w:rPr>
        <w:t>According to the findings of a study that was conducted out by Cox et al. (2018), individuals who concentrate an excessive amount of attention on short-term, measurable goals may be more likely to neglect more fundamental developmental requirements. This is one example of people who may be more likely to disregard these criteria.   As a consequence of this, this occurs as a consequence of the fact that they are more likely to be focused on the accomplishment of those goals.</w:t>
      </w:r>
    </w:p>
    <w:p w14:paraId="1EF12D16" w14:textId="255B63C9" w:rsidR="001E2F96" w:rsidRPr="001E2F96" w:rsidRDefault="001E2F96" w:rsidP="001E2F96">
      <w:pPr>
        <w:rPr>
          <w:rFonts w:ascii="Arial" w:hAnsi="Arial" w:cs="Arial"/>
          <w:lang w:val="en-GB"/>
        </w:rPr>
      </w:pPr>
      <w:r w:rsidRPr="001E2F96">
        <w:rPr>
          <w:rFonts w:ascii="Arial" w:hAnsi="Arial" w:cs="Arial"/>
          <w:lang w:val="en-GB"/>
        </w:rPr>
        <w:t xml:space="preserve">It is also feasible that the SMART model might be useful in structured organisational contexts, such as performance management or activities based on projects, where it is vital to specify specified criteria (Passmore, 2021). This is something that is achievable.  On the other hand, this is something that may happen.   To be honest, this is something that is within the realm of possibility.    There is a rationale for this, and that rationale is that the SMART model takes into account how essential it is to have standards that are entirely open and accessible to everyone.     </w:t>
      </w:r>
    </w:p>
    <w:p w14:paraId="66DF6000" w14:textId="6FF7FC26" w:rsidR="001E2F96" w:rsidRPr="001E2F96" w:rsidRDefault="001E2F96" w:rsidP="001E2F96">
      <w:pPr>
        <w:rPr>
          <w:rFonts w:ascii="Arial" w:hAnsi="Arial" w:cs="Arial"/>
          <w:lang w:val="en-GB"/>
        </w:rPr>
      </w:pPr>
      <w:r w:rsidRPr="001E2F96">
        <w:rPr>
          <w:rFonts w:ascii="Arial" w:hAnsi="Arial" w:cs="Arial"/>
          <w:lang w:val="en-GB"/>
        </w:rPr>
        <w:t>Bear in mind, however, that the paradigm is particularly unsuited for more complicated scenarios that need flexibility and the evaluation of more major changes in behaviour (Grant, 2020). This is something that absolutely must be kept in mind.   Keeping in mind that this is a highly significant subject is essential.     The reason for this is because the paradigm was not established with the intention of accommodating situations such as the one that we are currently experiencing.  This is the reason why situations are the way they are.</w:t>
      </w:r>
    </w:p>
    <w:p w14:paraId="2272DFFB" w14:textId="591D5CC3" w:rsidR="001E2F96" w:rsidRDefault="001E2F96" w:rsidP="001E2F96">
      <w:pPr>
        <w:rPr>
          <w:lang w:val="en-GB"/>
        </w:rPr>
      </w:pPr>
      <w:r>
        <w:rPr>
          <w:noProof/>
          <w:lang w:val="en-GB"/>
        </w:rPr>
        <w:drawing>
          <wp:inline distT="0" distB="0" distL="0" distR="0" wp14:anchorId="384B209B" wp14:editId="2A634436">
            <wp:extent cx="6338455" cy="3429000"/>
            <wp:effectExtent l="0" t="0" r="5715" b="0"/>
            <wp:docPr id="557442973" name="Video 3" descr="Giving Critical Feedback | Simon Sinek">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42973" name="Video 3" descr="Giving Critical Feedback | Simon Sinek">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fGWYyvPhsf8?feature=oembed&quot; frameborder=&quot;0&quot; allow=&quot;accelerometer; autoplay; clipboard-write; encrypted-media; gyroscope; picture-in-picture; web-share&quot; referrerpolicy=&quot;strict-origin-when-cross-origin&quot; allowfullscreen=&quot;&quot; title=&quot;Giving Critical Feedback | Simon Sinek&quot; sandbox=&quot;allow-scripts allow-same-origin allow-popups&quot;&gt;&lt;/iframe&gt;" h="113" w="200"/>
                        </a:ext>
                      </a:extLst>
                    </a:blip>
                    <a:stretch>
                      <a:fillRect/>
                    </a:stretch>
                  </pic:blipFill>
                  <pic:spPr>
                    <a:xfrm>
                      <a:off x="0" y="0"/>
                      <a:ext cx="6345682" cy="3432909"/>
                    </a:xfrm>
                    <a:prstGeom prst="rect">
                      <a:avLst/>
                    </a:prstGeom>
                  </pic:spPr>
                </pic:pic>
              </a:graphicData>
            </a:graphic>
          </wp:inline>
        </w:drawing>
      </w:r>
      <w:r>
        <w:rPr>
          <w:noProof/>
          <w:lang w:val="en-GB"/>
        </w:rPr>
        <w:drawing>
          <wp:inline distT="0" distB="0" distL="0" distR="0" wp14:anchorId="567C959B" wp14:editId="695D060F">
            <wp:extent cx="6179127" cy="3429000"/>
            <wp:effectExtent l="0" t="0" r="0" b="0"/>
            <wp:docPr id="407666744" name="Video 4" descr="The Seven Steps for Highly Effective Employee Training &amp; Coachi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66744" name="Video 4" descr="The Seven Steps for Highly Effective Employee Training &amp; Coaching">
                      <a:hlinkClick r:id="rId13"/>
                    </pic:cNvPr>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rI9oMAVa-Es?feature=oembed&quot; frameborder=&quot;0&quot; allow=&quot;accelerometer; autoplay; clipboard-write; encrypted-media; gyroscope; picture-in-picture; web-share&quot; referrerpolicy=&quot;strict-origin-when-cross-origin&quot; allowfullscreen=&quot;&quot; title=&quot;The Seven Steps for Highly Effective Employee Training &amp;amp; Coaching&quot; sandbox=&quot;allow-scripts allow-same-origin allow-popups&quot;&gt;&lt;/iframe&gt;" h="113" w="200"/>
                        </a:ext>
                      </a:extLst>
                    </a:blip>
                    <a:stretch>
                      <a:fillRect/>
                    </a:stretch>
                  </pic:blipFill>
                  <pic:spPr>
                    <a:xfrm>
                      <a:off x="0" y="0"/>
                      <a:ext cx="6205851" cy="3443830"/>
                    </a:xfrm>
                    <a:prstGeom prst="rect">
                      <a:avLst/>
                    </a:prstGeom>
                  </pic:spPr>
                </pic:pic>
              </a:graphicData>
            </a:graphic>
          </wp:inline>
        </w:drawing>
      </w:r>
    </w:p>
    <w:p w14:paraId="24A38741" w14:textId="77777777" w:rsidR="001E2F96" w:rsidRDefault="001E2F96" w:rsidP="001E2F96">
      <w:pPr>
        <w:rPr>
          <w:lang w:val="en-GB"/>
        </w:rPr>
      </w:pPr>
    </w:p>
    <w:p w14:paraId="00C23C60" w14:textId="008FD181" w:rsidR="001E2F96" w:rsidRPr="00BF5C08" w:rsidRDefault="001E2F96" w:rsidP="001E2F96">
      <w:pPr>
        <w:rPr>
          <w:rFonts w:ascii="Arial" w:hAnsi="Arial" w:cs="Arial"/>
          <w:lang w:val="en-GB"/>
        </w:rPr>
      </w:pPr>
      <w:r w:rsidRPr="00BF5C08">
        <w:rPr>
          <w:rFonts w:ascii="Arial" w:hAnsi="Arial" w:cs="Arial"/>
          <w:lang w:val="en-GB"/>
        </w:rPr>
        <w:t>Reflection on Practical 1</w:t>
      </w:r>
    </w:p>
    <w:p w14:paraId="61573AB0" w14:textId="4B408421" w:rsidR="003501AA" w:rsidRDefault="003501AA" w:rsidP="003501AA">
      <w:pPr>
        <w:rPr>
          <w:rFonts w:ascii="Arial" w:hAnsi="Arial" w:cs="Arial"/>
          <w:lang w:val="en-GB"/>
        </w:rPr>
      </w:pPr>
      <w:r w:rsidRPr="003501AA">
        <w:rPr>
          <w:rFonts w:ascii="Arial" w:hAnsi="Arial" w:cs="Arial"/>
          <w:lang w:val="en-GB"/>
        </w:rPr>
        <w:t xml:space="preserve">I participated in a session of peer coaching with the intention of enhancing Simona's capability to effectively traverse the responsibilities that are associated with her time management.  Through the use of the experiential learning cycle that was created by Kolb in addition to the SMART model that was developed by Doran in 1981, I was able to successfully accomplish this objective.  The purpose of this session was to offer support to Simona in order to help her become more effective in the way that she manages her time. This assistance was intended to be for the duration of this session. Simona's response to the initial query about her aim was that she wished to improve her capacity to manage her time in a manner that was acceptable to others.  Her answer to the inquiry was given in this manner.    It was in this manner that she answered to the question that was posed to her.        </w:t>
      </w:r>
    </w:p>
    <w:p w14:paraId="03F8C7D9" w14:textId="56E349AA" w:rsidR="003501AA" w:rsidRPr="003501AA" w:rsidRDefault="003501AA" w:rsidP="003501AA">
      <w:pPr>
        <w:rPr>
          <w:rFonts w:ascii="Arial" w:hAnsi="Arial" w:cs="Arial"/>
          <w:lang w:val="en-GB"/>
        </w:rPr>
      </w:pPr>
      <w:r w:rsidRPr="003501AA">
        <w:rPr>
          <w:rFonts w:ascii="Arial" w:hAnsi="Arial" w:cs="Arial"/>
          <w:lang w:val="en-GB"/>
        </w:rPr>
        <w:t>We were successful in redefining her objective as "Implementing a daily task-prioritizing routine in order to meet all deadlines within three months." she was able to do this.  This was done via the combined efforts of many people</w:t>
      </w:r>
      <w:r>
        <w:rPr>
          <w:rFonts w:ascii="Arial" w:hAnsi="Arial" w:cs="Arial"/>
          <w:lang w:val="en-GB"/>
        </w:rPr>
        <w:t xml:space="preserve">. </w:t>
      </w:r>
      <w:r w:rsidRPr="003501AA">
        <w:rPr>
          <w:rFonts w:ascii="Arial" w:hAnsi="Arial" w:cs="Arial"/>
          <w:lang w:val="en-GB"/>
        </w:rPr>
        <w:t xml:space="preserve"> The new objective that we worked towards moving ahead was the one that we began working towards in the first place. Our ability to successfully accomplish this objective was a direct outcome of the united efforts that we put forth as a group with the intention of achieving it. As the strategies that were employed in order to accomplish this objective, the individuals who took part in the process utilised the methods of active listening and coordinated questioning as the strategies that were utilised in order to achieve this aim.</w:t>
      </w:r>
    </w:p>
    <w:p w14:paraId="2A8624E3" w14:textId="77777777" w:rsidR="00F93C99" w:rsidRDefault="003501AA" w:rsidP="003501AA">
      <w:pPr>
        <w:rPr>
          <w:rFonts w:ascii="Arial" w:hAnsi="Arial" w:cs="Arial"/>
          <w:lang w:val="en-GB"/>
        </w:rPr>
      </w:pPr>
      <w:r w:rsidRPr="003501AA">
        <w:rPr>
          <w:rFonts w:ascii="Arial" w:hAnsi="Arial" w:cs="Arial"/>
          <w:lang w:val="en-GB"/>
        </w:rPr>
        <w:t xml:space="preserve"> Through the process of critical reflection, it has been found that the implementation of the structured SMART approach led to a considerable increase in both clarity and engagement. This was the conclusion reached after the decision was made.   This is the case, as demonstrated by the evidence that has been presented.     </w:t>
      </w:r>
    </w:p>
    <w:p w14:paraId="18B68E63" w14:textId="739F21BE" w:rsidR="00F93C99" w:rsidRDefault="003501AA" w:rsidP="003501AA">
      <w:pPr>
        <w:rPr>
          <w:rFonts w:ascii="Arial" w:hAnsi="Arial" w:cs="Arial"/>
          <w:lang w:val="en-GB"/>
        </w:rPr>
      </w:pPr>
      <w:r w:rsidRPr="003501AA">
        <w:rPr>
          <w:rFonts w:ascii="Arial" w:hAnsi="Arial" w:cs="Arial"/>
          <w:lang w:val="en-GB"/>
        </w:rPr>
        <w:t xml:space="preserve">Through the demonstration of the utilisation of the approach to demonstrate this, it was proved that the procedure was employed. On the other hand, I noted that there was a propensity to dominate the conversation, which leads me to conclude that Simona's independence in the process of goal formulation may be limited as a result of this predisposition (which I noticed).   I saw that there was a tendency to seize control of the conversation as a whole, which is the reason why this is the case.        </w:t>
      </w:r>
    </w:p>
    <w:p w14:paraId="718B7116" w14:textId="3BC1E68D" w:rsidR="003501AA" w:rsidRDefault="003501AA" w:rsidP="003501AA">
      <w:pPr>
        <w:rPr>
          <w:rFonts w:ascii="Arial" w:hAnsi="Arial" w:cs="Arial"/>
          <w:lang w:val="en-GB"/>
        </w:rPr>
      </w:pPr>
      <w:r w:rsidRPr="003501AA">
        <w:rPr>
          <w:rFonts w:ascii="Arial" w:hAnsi="Arial" w:cs="Arial"/>
          <w:lang w:val="en-GB"/>
        </w:rPr>
        <w:t>In order to provide the coachee with a greater degree of autonomy, I came to the understanding that it is of the highest significance to strike a balance between teaching the coachee in the appropriate manner and giving them with the capacity to make their own decisions with the intention of offering them a higher degree of autonomy.  Following considerable self-reflection, I came to the realisation that this was the conclusion that I had arrived at.     As a result of going through this experience, I came to the conclusion that this is something that I had not been familiar with in the past. I had no prior knowledge of this topic.  It is going to be important to make particular efforts to design goal-setting procedures that are led by the coachee in order to permit the utilisation of this strategy in the future.  In order to successfully implement this plan, this is going to be a prerequisite.</w:t>
      </w:r>
    </w:p>
    <w:p w14:paraId="45F84FAC" w14:textId="77777777" w:rsidR="00BF5C08" w:rsidRDefault="00BF5C08" w:rsidP="003501AA">
      <w:pPr>
        <w:rPr>
          <w:rFonts w:ascii="Arial" w:hAnsi="Arial" w:cs="Arial"/>
          <w:lang w:val="en-GB"/>
        </w:rPr>
      </w:pPr>
    </w:p>
    <w:p w14:paraId="06DFE6CF" w14:textId="77777777" w:rsidR="00B25C1A" w:rsidRDefault="00B25C1A" w:rsidP="003501AA">
      <w:pPr>
        <w:rPr>
          <w:rFonts w:ascii="Arial" w:hAnsi="Arial" w:cs="Arial"/>
          <w:lang w:val="en-GB"/>
        </w:rPr>
      </w:pPr>
    </w:p>
    <w:p w14:paraId="42BE9A5C" w14:textId="2E697A7D" w:rsidR="00B25C1A" w:rsidRDefault="00B25C1A" w:rsidP="003501AA">
      <w:pPr>
        <w:rPr>
          <w:rFonts w:ascii="Arial" w:hAnsi="Arial" w:cs="Arial"/>
          <w:lang w:val="en-GB"/>
        </w:rPr>
      </w:pPr>
      <w:r w:rsidRPr="00B25C1A">
        <w:rPr>
          <w:rFonts w:ascii="Arial" w:hAnsi="Arial" w:cs="Arial"/>
          <w:lang w:val="en-GB"/>
        </w:rPr>
        <w:t>Reflection on Practical 2</w:t>
      </w:r>
    </w:p>
    <w:p w14:paraId="331266FE" w14:textId="77777777" w:rsidR="00EA34B0" w:rsidRDefault="00A66598" w:rsidP="00A66598">
      <w:pPr>
        <w:rPr>
          <w:rFonts w:ascii="Arial" w:hAnsi="Arial" w:cs="Arial"/>
          <w:lang w:val="en-GB"/>
        </w:rPr>
      </w:pPr>
      <w:r w:rsidRPr="00A66598">
        <w:rPr>
          <w:rFonts w:ascii="Arial" w:hAnsi="Arial" w:cs="Arial"/>
          <w:lang w:val="en-GB"/>
        </w:rPr>
        <w:t xml:space="preserve">The use of the Johari Window paradigm, which was initially created by Luft and Ingham in 1955, was a component of the peer mentoring session that I had with Simona. This session will be discussed further below. Throughout the entirety of my interactions with Simona, I utilised this paradigm as a guiding principle. The question of whether or not Simona took part in the group chats that were taking place during this session was brought up at some point throughout the course of the conversation. At every point in time during this session, these conversations were going place. Despite the fact that Simona was perfectly aware of the fact that she was stopping herself from engaging in the activity to the maximum degree possible, she was doing so because she was afraid that her ideas would not have any influence on the result of the activity. </w:t>
      </w:r>
    </w:p>
    <w:p w14:paraId="07E79A50" w14:textId="77777777" w:rsidR="00EA34B0" w:rsidRDefault="00A66598" w:rsidP="00A66598">
      <w:pPr>
        <w:rPr>
          <w:rFonts w:ascii="Arial" w:hAnsi="Arial" w:cs="Arial"/>
          <w:lang w:val="en-GB"/>
        </w:rPr>
      </w:pPr>
      <w:r w:rsidRPr="00A66598">
        <w:rPr>
          <w:rFonts w:ascii="Arial" w:hAnsi="Arial" w:cs="Arial"/>
          <w:lang w:val="en-GB"/>
        </w:rPr>
        <w:t xml:space="preserve">Using the Johari Window, I was able to successfully bring to light Simona's blind spot, which comprised of her amazing contributions that were not being utilised to their full potential. This blind spot was brought to light by the deployment of the Johari Window. The blind spot that emerged as a consequence of this particular circumstance was the fact that she was not being used to the fullest extent of their capabilities. As a consequence of this, I was able to successfully bring Simona's blind spot to her notice during the course of the talk. </w:t>
      </w:r>
      <w:r w:rsidRPr="00A66598">
        <w:rPr>
          <w:rFonts w:ascii="Arial" w:hAnsi="Arial" w:cs="Arial"/>
          <w:lang w:val="en-GB"/>
        </w:rPr>
        <w:br/>
      </w:r>
      <w:r w:rsidRPr="00A66598">
        <w:rPr>
          <w:rFonts w:ascii="Arial" w:hAnsi="Arial" w:cs="Arial"/>
          <w:lang w:val="en-GB"/>
        </w:rPr>
        <w:br/>
        <w:t xml:space="preserve">During this mentoring session, her resistance was effectively reframed as a chance for development, and strategies for gradually engaging with the task at hand and actively asking feedback were presented. In addition, her resistance was effectively reframed as an opportunity for progress. Furthermore, her resistance was effectively reframed as an opportunity for growth, which was a successful strategy. Furthermore, her resistance was reframed as a chance for growth, which was a form of advancement that was regarded as being advantageous. In light of the fact that it has the potential to cultivate both self-awareness and specific methods, it was one of the things that struck out as the most significant strength of the session. This was due to the fact that it possessed the capability of constructing both. Throughout the course of the conversation, this distinction stood out as one of the differentiating characteristics. It was brought to my attention that I had room for development in the area of successfully delivering constructive criticism in the appropriate manner. </w:t>
      </w:r>
    </w:p>
    <w:p w14:paraId="0AAC5D60" w14:textId="17538FF7" w:rsidR="003501AA" w:rsidRDefault="00A66598" w:rsidP="003501AA">
      <w:pPr>
        <w:rPr>
          <w:rFonts w:ascii="Arial" w:hAnsi="Arial" w:cs="Arial"/>
          <w:lang w:val="en-GB"/>
        </w:rPr>
      </w:pPr>
      <w:r w:rsidRPr="00A66598">
        <w:rPr>
          <w:rFonts w:ascii="Arial" w:hAnsi="Arial" w:cs="Arial"/>
          <w:lang w:val="en-GB"/>
        </w:rPr>
        <w:t>This was brought to my attention as a consequence of the fact that the delivery of straight feedback required me to have courage. This knowledge was brought to my attention as a source of information when it was brought to my attention that I needed to be bold. This experience of reflecting, which took place within the context of mentoring, brought to light the necessity of preserving a communication style that is balanced. This was brought to light as a result of reflection. It was brought to the attention of the persons who were participating in the activity that this information occurred.</w:t>
      </w:r>
      <w:r w:rsidRPr="00A66598">
        <w:rPr>
          <w:rFonts w:ascii="Arial" w:hAnsi="Arial" w:cs="Arial"/>
          <w:lang w:val="en-GB"/>
        </w:rPr>
        <w:br/>
      </w:r>
      <w:r w:rsidRPr="00A66598">
        <w:rPr>
          <w:rFonts w:ascii="Arial" w:hAnsi="Arial" w:cs="Arial"/>
          <w:lang w:val="en-GB"/>
        </w:rPr>
        <w:br/>
      </w:r>
      <w:r w:rsidR="001B367E">
        <w:rPr>
          <w:rFonts w:ascii="Arial" w:hAnsi="Arial" w:cs="Arial"/>
          <w:noProof/>
          <w:lang w:val="en-GB"/>
        </w:rPr>
        <w:drawing>
          <wp:inline distT="0" distB="0" distL="0" distR="0" wp14:anchorId="7BC6BF08" wp14:editId="7FD1894B">
            <wp:extent cx="5512146" cy="3427677"/>
            <wp:effectExtent l="0" t="0" r="0" b="1905"/>
            <wp:docPr id="1331690996" name="Video 1" descr="360 Feedback #4: The Johari Window">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90996" name="Video 1" descr="360 Feedback #4: The Johari Window">
                      <a:hlinkClick r:id="rId15"/>
                    </pic:cNvPr>
                    <pic:cNvPicPr/>
                  </pic:nvPicPr>
                  <pic:blipFill>
                    <a:blip r:embed="rId1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_aF-olRMuoQ?feature=oembed&quot; frameborder=&quot;0&quot; allow=&quot;accelerometer; autoplay; clipboard-write; encrypted-media; gyroscope; picture-in-picture; web-share&quot; referrerpolicy=&quot;strict-origin-when-cross-origin&quot; allowfullscreen=&quot;&quot; title=&quot;360 Feedback #4: The Johari Window&quot; sandbox=&quot;allow-scripts allow-same-origin allow-popups&quot;&gt;&lt;/iframe&gt;" h="113" w="200"/>
                        </a:ext>
                      </a:extLst>
                    </a:blip>
                    <a:stretch>
                      <a:fillRect/>
                    </a:stretch>
                  </pic:blipFill>
                  <pic:spPr>
                    <a:xfrm>
                      <a:off x="0" y="0"/>
                      <a:ext cx="5550352" cy="3451435"/>
                    </a:xfrm>
                    <a:prstGeom prst="rect">
                      <a:avLst/>
                    </a:prstGeom>
                  </pic:spPr>
                </pic:pic>
              </a:graphicData>
            </a:graphic>
          </wp:inline>
        </w:drawing>
      </w:r>
      <w:r w:rsidRPr="00A66598">
        <w:rPr>
          <w:rFonts w:ascii="Arial" w:hAnsi="Arial" w:cs="Arial"/>
          <w:lang w:val="en-GB"/>
        </w:rPr>
        <w:br/>
      </w:r>
      <w:r w:rsidRPr="00A66598">
        <w:rPr>
          <w:rFonts w:ascii="Arial" w:hAnsi="Arial" w:cs="Arial"/>
          <w:lang w:val="en-GB"/>
        </w:rPr>
        <w:br/>
      </w:r>
      <w:r w:rsidR="001A3AC3">
        <w:rPr>
          <w:rFonts w:ascii="Arial" w:hAnsi="Arial" w:cs="Arial"/>
          <w:lang w:val="en-GB"/>
        </w:rPr>
        <w:t>Conclusion</w:t>
      </w:r>
    </w:p>
    <w:p w14:paraId="7DB2E7CE" w14:textId="1BB617D5" w:rsidR="001A3AC3" w:rsidRDefault="001A3AC3" w:rsidP="001A3AC3">
      <w:pPr>
        <w:rPr>
          <w:rFonts w:ascii="Arial" w:hAnsi="Arial" w:cs="Arial"/>
          <w:lang w:val="en-GB"/>
        </w:rPr>
      </w:pPr>
      <w:r w:rsidRPr="001A3AC3">
        <w:rPr>
          <w:rFonts w:ascii="Arial" w:hAnsi="Arial" w:cs="Arial"/>
          <w:lang w:val="en-GB"/>
        </w:rPr>
        <w:t xml:space="preserve">This reflective report offers a critical analysis of my coaching and mentoring strategies by way of organised reflection and the application of Kolb's experiential learning cycle. The assessment is presented in the form of a report. As complementary methods that improve the performance of both individuals and organisations, coaching and mentoring have emerged as practices that have emerged in recent years. The SMART paradigm offered a methodical clarity for the attainment of goals; nonetheless, it required careful flexibility in order to prevent the production of applications that were excessively restricted. The fact that mentoring was able to successfully promote both self-awareness and relationship depth through the utilisation of the Johari Window demonstrates the value of delivering feedback that is balanced. </w:t>
      </w:r>
      <w:r w:rsidRPr="001A3AC3">
        <w:rPr>
          <w:rFonts w:ascii="Arial" w:hAnsi="Arial" w:cs="Arial"/>
          <w:lang w:val="en-GB"/>
        </w:rPr>
        <w:br/>
        <w:t>My knowledge of how to find a balance between individual autonomy and structured teaching was dramatically strengthened as a consequence of these experiences, which had a considerable impact on the work that I do professionally. As a result of participating in this process of reflection, I have acquired a deeper comprehension of how to effectively assist both personal and professional growth. This knowledge will be valuable to my future leadership and managerial responsibilities.</w:t>
      </w:r>
      <w:r w:rsidRPr="001A3AC3">
        <w:rPr>
          <w:rFonts w:ascii="Arial" w:hAnsi="Arial" w:cs="Arial"/>
          <w:lang w:val="en-GB"/>
        </w:rPr>
        <w:br/>
      </w:r>
      <w:r w:rsidRPr="001A3AC3">
        <w:rPr>
          <w:rFonts w:ascii="Arial" w:hAnsi="Arial" w:cs="Arial"/>
          <w:lang w:val="en-GB"/>
        </w:rPr>
        <w:br/>
      </w:r>
      <w:r w:rsidRPr="001A3AC3">
        <w:rPr>
          <w:rFonts w:ascii="Arial" w:hAnsi="Arial" w:cs="Arial"/>
          <w:lang w:val="en-GB"/>
        </w:rPr>
        <w:br/>
      </w:r>
    </w:p>
    <w:p w14:paraId="10BDC5D8" w14:textId="77777777" w:rsidR="002500D4" w:rsidRDefault="002500D4" w:rsidP="001A3AC3">
      <w:pPr>
        <w:rPr>
          <w:rFonts w:ascii="Arial" w:hAnsi="Arial" w:cs="Arial"/>
          <w:lang w:val="en-GB"/>
        </w:rPr>
      </w:pPr>
    </w:p>
    <w:p w14:paraId="692A45AF" w14:textId="3349FF48" w:rsidR="002500D4" w:rsidRDefault="002500D4" w:rsidP="001A3AC3">
      <w:pPr>
        <w:rPr>
          <w:rFonts w:ascii="Arial" w:hAnsi="Arial" w:cs="Arial"/>
          <w:b/>
          <w:bCs/>
          <w:i/>
          <w:iCs/>
          <w:lang w:val="en-GB"/>
        </w:rPr>
      </w:pPr>
      <w:r>
        <w:rPr>
          <w:rFonts w:ascii="Arial" w:hAnsi="Arial" w:cs="Arial"/>
          <w:b/>
          <w:bCs/>
          <w:i/>
          <w:iCs/>
          <w:lang w:val="en-GB"/>
        </w:rPr>
        <w:t xml:space="preserve">References </w:t>
      </w:r>
    </w:p>
    <w:p w14:paraId="17C3A49B" w14:textId="05D5BFFE" w:rsidR="00244DA7" w:rsidRPr="00244DA7" w:rsidRDefault="00244DA7" w:rsidP="00244DA7">
      <w:pPr>
        <w:pStyle w:val="NormalWeb"/>
        <w:rPr>
          <w:b/>
          <w:bCs/>
          <w:i/>
          <w:iCs/>
          <w:lang w:val="en-GB"/>
        </w:rPr>
      </w:pPr>
      <w:r w:rsidRPr="00244DA7">
        <w:rPr>
          <w:b/>
          <w:bCs/>
          <w:i/>
          <w:iCs/>
          <w:lang w:val="en-GB"/>
        </w:rPr>
        <w:t xml:space="preserve">Cox, E., Bachkirova, T. and Clutterbuck, D. (2018). </w:t>
      </w:r>
      <w:r w:rsidRPr="00244DA7">
        <w:rPr>
          <w:rStyle w:val="Accentuat"/>
          <w:rFonts w:eastAsiaTheme="majorEastAsia"/>
          <w:b/>
          <w:bCs/>
          <w:i w:val="0"/>
          <w:iCs w:val="0"/>
          <w:lang w:val="en-GB"/>
        </w:rPr>
        <w:t>The Complete Handbook of Coaching</w:t>
      </w:r>
      <w:r w:rsidRPr="00244DA7">
        <w:rPr>
          <w:b/>
          <w:bCs/>
          <w:i/>
          <w:iCs/>
          <w:lang w:val="en-GB"/>
        </w:rPr>
        <w:t>. 3rd edn. Sage Publications.</w:t>
      </w:r>
    </w:p>
    <w:p w14:paraId="478E883A" w14:textId="5F345588" w:rsidR="00244DA7" w:rsidRPr="00244DA7" w:rsidRDefault="00244DA7" w:rsidP="00244DA7">
      <w:pPr>
        <w:pStyle w:val="NormalWeb"/>
        <w:rPr>
          <w:b/>
          <w:bCs/>
          <w:i/>
          <w:iCs/>
          <w:lang w:val="en-GB"/>
        </w:rPr>
      </w:pPr>
      <w:r w:rsidRPr="00244DA7">
        <w:rPr>
          <w:b/>
          <w:bCs/>
          <w:i/>
          <w:iCs/>
          <w:lang w:val="en-GB"/>
        </w:rPr>
        <w:t xml:space="preserve">Doran, G. T. (1981). ‘There’s a S.M.A.R.T. way to write management’s goals and objectives’, </w:t>
      </w:r>
      <w:r w:rsidRPr="00244DA7">
        <w:rPr>
          <w:rStyle w:val="Accentuat"/>
          <w:rFonts w:eastAsiaTheme="majorEastAsia"/>
          <w:b/>
          <w:bCs/>
          <w:i w:val="0"/>
          <w:iCs w:val="0"/>
          <w:lang w:val="en-GB"/>
        </w:rPr>
        <w:t>Management Review</w:t>
      </w:r>
      <w:r w:rsidRPr="00244DA7">
        <w:rPr>
          <w:b/>
          <w:bCs/>
          <w:i/>
          <w:iCs/>
          <w:lang w:val="en-GB"/>
        </w:rPr>
        <w:t>, 70(11), pp. 35–36.</w:t>
      </w:r>
    </w:p>
    <w:p w14:paraId="420D0292" w14:textId="053B2BE9" w:rsidR="00244DA7" w:rsidRPr="00244DA7" w:rsidRDefault="00244DA7" w:rsidP="00244DA7">
      <w:pPr>
        <w:pStyle w:val="NormalWeb"/>
        <w:rPr>
          <w:b/>
          <w:bCs/>
          <w:i/>
          <w:iCs/>
          <w:lang w:val="en-GB"/>
        </w:rPr>
      </w:pPr>
      <w:r w:rsidRPr="00244DA7">
        <w:rPr>
          <w:b/>
          <w:bCs/>
          <w:i/>
          <w:iCs/>
          <w:lang w:val="en-GB"/>
        </w:rPr>
        <w:t xml:space="preserve">Garvey, B., Stokes, P. and Megginson, D. (2017). </w:t>
      </w:r>
      <w:r w:rsidRPr="00244DA7">
        <w:rPr>
          <w:rStyle w:val="Accentuat"/>
          <w:rFonts w:eastAsiaTheme="majorEastAsia"/>
          <w:b/>
          <w:bCs/>
          <w:i w:val="0"/>
          <w:iCs w:val="0"/>
          <w:lang w:val="en-GB"/>
        </w:rPr>
        <w:t>Coaching and Mentoring: Theory and Practice</w:t>
      </w:r>
      <w:r w:rsidRPr="00244DA7">
        <w:rPr>
          <w:b/>
          <w:bCs/>
          <w:i/>
          <w:iCs/>
          <w:lang w:val="en-GB"/>
        </w:rPr>
        <w:t>. 3rd edn. Sage Publications.</w:t>
      </w:r>
    </w:p>
    <w:p w14:paraId="08286B4A" w14:textId="72AA2CC3" w:rsidR="00244DA7" w:rsidRPr="00244DA7" w:rsidRDefault="00244DA7" w:rsidP="00244DA7">
      <w:pPr>
        <w:pStyle w:val="NormalWeb"/>
        <w:rPr>
          <w:b/>
          <w:bCs/>
          <w:i/>
          <w:iCs/>
          <w:lang w:val="en-GB"/>
        </w:rPr>
      </w:pPr>
      <w:r w:rsidRPr="00244DA7">
        <w:rPr>
          <w:b/>
          <w:bCs/>
          <w:i/>
          <w:iCs/>
          <w:lang w:val="en-GB"/>
        </w:rPr>
        <w:t xml:space="preserve">Grant, A. M. (2020). </w:t>
      </w:r>
      <w:r w:rsidRPr="00244DA7">
        <w:rPr>
          <w:rStyle w:val="Accentuat"/>
          <w:rFonts w:eastAsiaTheme="majorEastAsia"/>
          <w:b/>
          <w:bCs/>
          <w:i w:val="0"/>
          <w:iCs w:val="0"/>
          <w:lang w:val="en-GB"/>
        </w:rPr>
        <w:t>Coaching Researched: Using Coaching Psychology to Inform Your Practice</w:t>
      </w:r>
      <w:r w:rsidRPr="00244DA7">
        <w:rPr>
          <w:b/>
          <w:bCs/>
          <w:i/>
          <w:iCs/>
          <w:lang w:val="en-GB"/>
        </w:rPr>
        <w:t xml:space="preserve">. Wiley. </w:t>
      </w:r>
      <w:r w:rsidRPr="00244DA7">
        <w:rPr>
          <w:rStyle w:val="Accentuat"/>
          <w:rFonts w:eastAsiaTheme="majorEastAsia"/>
          <w:b/>
          <w:bCs/>
          <w:i w:val="0"/>
          <w:iCs w:val="0"/>
          <w:lang w:val="en-GB"/>
        </w:rPr>
        <w:t>(Referenza da verificare ulteriormente)</w:t>
      </w:r>
    </w:p>
    <w:p w14:paraId="11A8BDF8" w14:textId="4D89127A" w:rsidR="00244DA7" w:rsidRPr="00244DA7" w:rsidRDefault="00244DA7" w:rsidP="00244DA7">
      <w:pPr>
        <w:pStyle w:val="NormalWeb"/>
        <w:rPr>
          <w:b/>
          <w:bCs/>
          <w:i/>
          <w:iCs/>
          <w:lang w:val="en-GB"/>
        </w:rPr>
      </w:pPr>
      <w:r w:rsidRPr="00244DA7">
        <w:rPr>
          <w:b/>
          <w:bCs/>
          <w:i/>
          <w:iCs/>
          <w:lang w:val="en-GB"/>
        </w:rPr>
        <w:t xml:space="preserve">Kolb, D. A. (2015). </w:t>
      </w:r>
      <w:r w:rsidRPr="00244DA7">
        <w:rPr>
          <w:rStyle w:val="Accentuat"/>
          <w:rFonts w:eastAsiaTheme="majorEastAsia"/>
          <w:b/>
          <w:bCs/>
          <w:i w:val="0"/>
          <w:iCs w:val="0"/>
          <w:lang w:val="en-GB"/>
        </w:rPr>
        <w:t>Experiential Learning: Experience as the Source of Learning and Development</w:t>
      </w:r>
      <w:r w:rsidRPr="00244DA7">
        <w:rPr>
          <w:b/>
          <w:bCs/>
          <w:i/>
          <w:iCs/>
          <w:lang w:val="en-GB"/>
        </w:rPr>
        <w:t>. 2nd edn. Pearson Education.</w:t>
      </w:r>
    </w:p>
    <w:p w14:paraId="118C7C88" w14:textId="09F9BF3A" w:rsidR="00244DA7" w:rsidRPr="00244DA7" w:rsidRDefault="00244DA7" w:rsidP="00244DA7">
      <w:pPr>
        <w:pStyle w:val="NormalWeb"/>
        <w:rPr>
          <w:b/>
          <w:bCs/>
          <w:i/>
          <w:iCs/>
          <w:lang w:val="en-GB"/>
        </w:rPr>
      </w:pPr>
      <w:r w:rsidRPr="00244DA7">
        <w:rPr>
          <w:b/>
          <w:bCs/>
          <w:i/>
          <w:iCs/>
          <w:lang w:val="en-GB"/>
        </w:rPr>
        <w:t xml:space="preserve">Luft, J. and Ingham, H. (1955). ‘The Johari Window: A Graphic Model of Interpersonal Awareness’, </w:t>
      </w:r>
      <w:r w:rsidRPr="00244DA7">
        <w:rPr>
          <w:rStyle w:val="Accentuat"/>
          <w:rFonts w:eastAsiaTheme="majorEastAsia"/>
          <w:b/>
          <w:bCs/>
          <w:i w:val="0"/>
          <w:iCs w:val="0"/>
          <w:lang w:val="en-GB"/>
        </w:rPr>
        <w:t>Proceedings of the Western Training Laboratory in Group Development</w:t>
      </w:r>
      <w:r w:rsidRPr="00244DA7">
        <w:rPr>
          <w:b/>
          <w:bCs/>
          <w:i/>
          <w:iCs/>
          <w:lang w:val="en-GB"/>
        </w:rPr>
        <w:t>. UCLA.</w:t>
      </w:r>
    </w:p>
    <w:p w14:paraId="5592320A" w14:textId="1C883E88" w:rsidR="00244DA7" w:rsidRPr="00244DA7" w:rsidRDefault="00244DA7" w:rsidP="00244DA7">
      <w:pPr>
        <w:pStyle w:val="NormalWeb"/>
        <w:rPr>
          <w:b/>
          <w:bCs/>
          <w:i/>
          <w:iCs/>
          <w:lang w:val="en-GB"/>
        </w:rPr>
      </w:pPr>
      <w:r w:rsidRPr="00244DA7">
        <w:rPr>
          <w:b/>
          <w:bCs/>
          <w:i/>
          <w:iCs/>
          <w:lang w:val="en-GB"/>
        </w:rPr>
        <w:t xml:space="preserve">Megginson, D., Clutterbuck, D., Garvey, B. and Stokes, P. (2016). </w:t>
      </w:r>
      <w:r w:rsidRPr="00244DA7">
        <w:rPr>
          <w:rStyle w:val="Accentuat"/>
          <w:rFonts w:eastAsiaTheme="majorEastAsia"/>
          <w:b/>
          <w:bCs/>
          <w:i w:val="0"/>
          <w:iCs w:val="0"/>
          <w:lang w:val="en-GB"/>
        </w:rPr>
        <w:t>Techniques for Coaching and Mentoring</w:t>
      </w:r>
      <w:r w:rsidRPr="00244DA7">
        <w:rPr>
          <w:b/>
          <w:bCs/>
          <w:i/>
          <w:iCs/>
          <w:lang w:val="en-GB"/>
        </w:rPr>
        <w:t>. 2nd edn. Routledge.</w:t>
      </w:r>
    </w:p>
    <w:p w14:paraId="64969228" w14:textId="16BFF8F5" w:rsidR="00244DA7" w:rsidRPr="00244DA7" w:rsidRDefault="00244DA7" w:rsidP="00244DA7">
      <w:pPr>
        <w:pStyle w:val="NormalWeb"/>
        <w:rPr>
          <w:b/>
          <w:bCs/>
          <w:i/>
          <w:iCs/>
        </w:rPr>
      </w:pPr>
      <w:r w:rsidRPr="00244DA7">
        <w:rPr>
          <w:b/>
          <w:bCs/>
          <w:i/>
          <w:iCs/>
          <w:lang w:val="en-GB"/>
        </w:rPr>
        <w:t xml:space="preserve">Passmore, J. (ed.) (2021). </w:t>
      </w:r>
      <w:r w:rsidRPr="00244DA7">
        <w:rPr>
          <w:rStyle w:val="Accentuat"/>
          <w:rFonts w:eastAsiaTheme="majorEastAsia"/>
          <w:b/>
          <w:bCs/>
          <w:i w:val="0"/>
          <w:iCs w:val="0"/>
          <w:lang w:val="en-GB"/>
        </w:rPr>
        <w:t>Excellence in Coaching: The Industry Guide</w:t>
      </w:r>
      <w:r w:rsidRPr="00244DA7">
        <w:rPr>
          <w:b/>
          <w:bCs/>
          <w:i/>
          <w:iCs/>
          <w:lang w:val="en-GB"/>
        </w:rPr>
        <w:t xml:space="preserve">. </w:t>
      </w:r>
      <w:r w:rsidRPr="00244DA7">
        <w:rPr>
          <w:b/>
          <w:bCs/>
          <w:i/>
          <w:iCs/>
        </w:rPr>
        <w:t>4th edn. Kogan Page Publishers.</w:t>
      </w:r>
    </w:p>
    <w:p w14:paraId="181EA6F0" w14:textId="77777777" w:rsidR="002500D4" w:rsidRPr="001A3AC3" w:rsidRDefault="002500D4" w:rsidP="001A3AC3">
      <w:pPr>
        <w:rPr>
          <w:rFonts w:ascii="Arial" w:hAnsi="Arial" w:cs="Arial"/>
          <w:b/>
          <w:bCs/>
          <w:i/>
          <w:iCs/>
          <w:lang w:val="en-GB"/>
        </w:rPr>
      </w:pPr>
    </w:p>
    <w:p w14:paraId="1E007BE9" w14:textId="77777777" w:rsidR="001A3AC3" w:rsidRPr="00244DA7" w:rsidRDefault="001A3AC3" w:rsidP="003501AA">
      <w:pPr>
        <w:rPr>
          <w:rFonts w:ascii="Arial" w:hAnsi="Arial" w:cs="Arial"/>
          <w:b/>
          <w:bCs/>
          <w:i/>
          <w:iCs/>
          <w:lang w:val="en-GB"/>
        </w:rPr>
      </w:pPr>
    </w:p>
    <w:p w14:paraId="1186E3B3" w14:textId="77777777" w:rsidR="003501AA" w:rsidRPr="003501AA" w:rsidRDefault="003501AA" w:rsidP="003501AA">
      <w:pPr>
        <w:rPr>
          <w:rFonts w:ascii="Arial" w:hAnsi="Arial" w:cs="Arial"/>
          <w:lang w:val="en-GB"/>
        </w:rPr>
      </w:pPr>
    </w:p>
    <w:p w14:paraId="7EDA09DD" w14:textId="77777777" w:rsidR="003501AA" w:rsidRPr="003501AA" w:rsidRDefault="003501AA" w:rsidP="003501AA">
      <w:pPr>
        <w:rPr>
          <w:rFonts w:ascii="Arial" w:hAnsi="Arial" w:cs="Arial"/>
          <w:lang w:val="en-GB"/>
        </w:rPr>
      </w:pPr>
    </w:p>
    <w:p w14:paraId="0DB95A33" w14:textId="77777777" w:rsidR="003501AA" w:rsidRPr="003501AA" w:rsidRDefault="003501AA" w:rsidP="003501AA">
      <w:pPr>
        <w:rPr>
          <w:rFonts w:ascii="Arial" w:hAnsi="Arial" w:cs="Arial"/>
          <w:lang w:val="en-GB"/>
        </w:rPr>
      </w:pPr>
    </w:p>
    <w:p w14:paraId="1AC61432" w14:textId="77777777" w:rsidR="003501AA" w:rsidRPr="003501AA" w:rsidRDefault="003501AA" w:rsidP="003501AA">
      <w:pPr>
        <w:rPr>
          <w:rFonts w:ascii="Arial" w:hAnsi="Arial" w:cs="Arial"/>
          <w:lang w:val="en-GB"/>
        </w:rPr>
      </w:pPr>
    </w:p>
    <w:p w14:paraId="3C018873" w14:textId="77777777" w:rsidR="003501AA" w:rsidRPr="003501AA" w:rsidRDefault="003501AA" w:rsidP="003501AA">
      <w:pPr>
        <w:rPr>
          <w:rFonts w:ascii="Arial" w:hAnsi="Arial" w:cs="Arial"/>
          <w:lang w:val="en-GB"/>
        </w:rPr>
      </w:pPr>
    </w:p>
    <w:p w14:paraId="21DC65CB" w14:textId="77777777" w:rsidR="003501AA" w:rsidRPr="003501AA" w:rsidRDefault="003501AA" w:rsidP="003501AA">
      <w:pPr>
        <w:rPr>
          <w:rFonts w:ascii="Arial" w:hAnsi="Arial" w:cs="Arial"/>
          <w:lang w:val="en-GB"/>
        </w:rPr>
      </w:pPr>
    </w:p>
    <w:p w14:paraId="3185BC08" w14:textId="77777777" w:rsidR="001E2F96" w:rsidRPr="003501AA" w:rsidRDefault="001E2F96" w:rsidP="001E2F96">
      <w:pPr>
        <w:rPr>
          <w:rFonts w:ascii="Arial" w:hAnsi="Arial" w:cs="Arial"/>
          <w:lang w:val="en-GB"/>
        </w:rPr>
      </w:pPr>
    </w:p>
    <w:p w14:paraId="728B4C01" w14:textId="77777777" w:rsidR="001E2F96" w:rsidRPr="001E2F96" w:rsidRDefault="001E2F96" w:rsidP="001E2F96">
      <w:pPr>
        <w:rPr>
          <w:lang w:val="en-GB"/>
        </w:rPr>
      </w:pPr>
    </w:p>
    <w:p w14:paraId="7E317D26" w14:textId="77777777" w:rsidR="00374388" w:rsidRPr="00374388" w:rsidRDefault="00374388" w:rsidP="00374388">
      <w:pPr>
        <w:rPr>
          <w:lang w:val="en-GB"/>
        </w:rPr>
      </w:pPr>
    </w:p>
    <w:p w14:paraId="20E1588B" w14:textId="77777777" w:rsidR="00374388" w:rsidRPr="00374388" w:rsidRDefault="00374388" w:rsidP="00374388">
      <w:pPr>
        <w:rPr>
          <w:lang w:val="en-GB"/>
        </w:rPr>
      </w:pPr>
    </w:p>
    <w:p w14:paraId="6B664DCE" w14:textId="77777777" w:rsidR="00374388" w:rsidRPr="008E000C" w:rsidRDefault="00374388" w:rsidP="008E000C">
      <w:pPr>
        <w:rPr>
          <w:lang w:val="en-GB"/>
        </w:rPr>
      </w:pPr>
    </w:p>
    <w:p w14:paraId="6B599CBE" w14:textId="77777777" w:rsidR="008E000C" w:rsidRPr="008E000C" w:rsidRDefault="008E000C" w:rsidP="008E000C">
      <w:pPr>
        <w:jc w:val="center"/>
        <w:rPr>
          <w:rFonts w:ascii="Arial" w:hAnsi="Arial" w:cs="Arial"/>
          <w:lang w:val="en-GB"/>
        </w:rPr>
      </w:pPr>
    </w:p>
    <w:p w14:paraId="75F77B93" w14:textId="77777777" w:rsidR="008E000C" w:rsidRPr="008E000C" w:rsidRDefault="008E000C">
      <w:pPr>
        <w:rPr>
          <w:rFonts w:ascii="Arial" w:hAnsi="Arial" w:cs="Arial"/>
          <w:lang w:val="en-GB"/>
        </w:rPr>
      </w:pPr>
    </w:p>
    <w:sectPr w:rsidR="008E000C" w:rsidRPr="008E000C">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00C"/>
    <w:rsid w:val="001A3AC3"/>
    <w:rsid w:val="001B367E"/>
    <w:rsid w:val="001E2F96"/>
    <w:rsid w:val="00244DA7"/>
    <w:rsid w:val="002500D4"/>
    <w:rsid w:val="00265987"/>
    <w:rsid w:val="003501AA"/>
    <w:rsid w:val="00374388"/>
    <w:rsid w:val="00383102"/>
    <w:rsid w:val="0051761C"/>
    <w:rsid w:val="008E000C"/>
    <w:rsid w:val="00A66598"/>
    <w:rsid w:val="00B25C1A"/>
    <w:rsid w:val="00B3063D"/>
    <w:rsid w:val="00BF5C08"/>
    <w:rsid w:val="00E9634E"/>
    <w:rsid w:val="00EA34B0"/>
    <w:rsid w:val="00F93C9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66855"/>
  <w15:chartTrackingRefBased/>
  <w15:docId w15:val="{54D56265-EE9F-4BAD-9755-637BFDCBF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E000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nhideWhenUsed/>
    <w:qFormat/>
    <w:rsid w:val="008E000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8E000C"/>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8E000C"/>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8E000C"/>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8E000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E000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E000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E000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E000C"/>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rsid w:val="008E000C"/>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8E000C"/>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8E000C"/>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8E000C"/>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8E000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E000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E000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E000C"/>
    <w:rPr>
      <w:rFonts w:eastAsiaTheme="majorEastAsia" w:cstheme="majorBidi"/>
      <w:color w:val="272727" w:themeColor="text1" w:themeTint="D8"/>
    </w:rPr>
  </w:style>
  <w:style w:type="paragraph" w:styleId="Titlu">
    <w:name w:val="Title"/>
    <w:basedOn w:val="Normal"/>
    <w:next w:val="Normal"/>
    <w:link w:val="TitluCaracter"/>
    <w:uiPriority w:val="10"/>
    <w:qFormat/>
    <w:rsid w:val="008E00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E000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E000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E000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E000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E000C"/>
    <w:rPr>
      <w:i/>
      <w:iCs/>
      <w:color w:val="404040" w:themeColor="text1" w:themeTint="BF"/>
    </w:rPr>
  </w:style>
  <w:style w:type="paragraph" w:styleId="Listparagraf">
    <w:name w:val="List Paragraph"/>
    <w:basedOn w:val="Normal"/>
    <w:uiPriority w:val="34"/>
    <w:qFormat/>
    <w:rsid w:val="008E000C"/>
    <w:pPr>
      <w:ind w:left="720"/>
      <w:contextualSpacing/>
    </w:pPr>
  </w:style>
  <w:style w:type="character" w:styleId="Accentuareintens">
    <w:name w:val="Intense Emphasis"/>
    <w:basedOn w:val="Fontdeparagrafimplicit"/>
    <w:uiPriority w:val="21"/>
    <w:qFormat/>
    <w:rsid w:val="008E000C"/>
    <w:rPr>
      <w:i/>
      <w:iCs/>
      <w:color w:val="2F5496" w:themeColor="accent1" w:themeShade="BF"/>
    </w:rPr>
  </w:style>
  <w:style w:type="paragraph" w:styleId="Citatintens">
    <w:name w:val="Intense Quote"/>
    <w:basedOn w:val="Normal"/>
    <w:next w:val="Normal"/>
    <w:link w:val="CitatintensCaracter"/>
    <w:uiPriority w:val="30"/>
    <w:qFormat/>
    <w:rsid w:val="008E00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8E000C"/>
    <w:rPr>
      <w:i/>
      <w:iCs/>
      <w:color w:val="2F5496" w:themeColor="accent1" w:themeShade="BF"/>
    </w:rPr>
  </w:style>
  <w:style w:type="character" w:styleId="Referireintens">
    <w:name w:val="Intense Reference"/>
    <w:basedOn w:val="Fontdeparagrafimplicit"/>
    <w:uiPriority w:val="32"/>
    <w:qFormat/>
    <w:rsid w:val="008E000C"/>
    <w:rPr>
      <w:b/>
      <w:bCs/>
      <w:smallCaps/>
      <w:color w:val="2F5496" w:themeColor="accent1" w:themeShade="BF"/>
      <w:spacing w:val="5"/>
    </w:rPr>
  </w:style>
  <w:style w:type="paragraph" w:styleId="NormalWeb">
    <w:name w:val="Normal (Web)"/>
    <w:basedOn w:val="Normal"/>
    <w:uiPriority w:val="99"/>
    <w:semiHidden/>
    <w:unhideWhenUsed/>
    <w:rsid w:val="00244DA7"/>
    <w:pPr>
      <w:spacing w:before="100" w:beforeAutospacing="1" w:after="100" w:afterAutospacing="1" w:line="240" w:lineRule="auto"/>
    </w:pPr>
    <w:rPr>
      <w:rFonts w:ascii="Times New Roman" w:eastAsia="Times New Roman" w:hAnsi="Times New Roman" w:cs="Times New Roman"/>
      <w:kern w:val="0"/>
      <w:sz w:val="24"/>
      <w:szCs w:val="24"/>
      <w:lang w:eastAsia="it-IT"/>
      <w14:ligatures w14:val="none"/>
    </w:rPr>
  </w:style>
  <w:style w:type="character" w:styleId="Accentuat">
    <w:name w:val="Emphasis"/>
    <w:basedOn w:val="Fontdeparagrafimplicit"/>
    <w:uiPriority w:val="20"/>
    <w:qFormat/>
    <w:rsid w:val="00244D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822814">
      <w:bodyDiv w:val="1"/>
      <w:marLeft w:val="0"/>
      <w:marRight w:val="0"/>
      <w:marTop w:val="0"/>
      <w:marBottom w:val="0"/>
      <w:divBdr>
        <w:top w:val="none" w:sz="0" w:space="0" w:color="auto"/>
        <w:left w:val="none" w:sz="0" w:space="0" w:color="auto"/>
        <w:bottom w:val="none" w:sz="0" w:space="0" w:color="auto"/>
        <w:right w:val="none" w:sz="0" w:space="0" w:color="auto"/>
      </w:divBdr>
    </w:div>
    <w:div w:id="166942992">
      <w:bodyDiv w:val="1"/>
      <w:marLeft w:val="0"/>
      <w:marRight w:val="0"/>
      <w:marTop w:val="0"/>
      <w:marBottom w:val="0"/>
      <w:divBdr>
        <w:top w:val="none" w:sz="0" w:space="0" w:color="auto"/>
        <w:left w:val="none" w:sz="0" w:space="0" w:color="auto"/>
        <w:bottom w:val="none" w:sz="0" w:space="0" w:color="auto"/>
        <w:right w:val="none" w:sz="0" w:space="0" w:color="auto"/>
      </w:divBdr>
    </w:div>
    <w:div w:id="479200984">
      <w:bodyDiv w:val="1"/>
      <w:marLeft w:val="0"/>
      <w:marRight w:val="0"/>
      <w:marTop w:val="0"/>
      <w:marBottom w:val="0"/>
      <w:divBdr>
        <w:top w:val="none" w:sz="0" w:space="0" w:color="auto"/>
        <w:left w:val="none" w:sz="0" w:space="0" w:color="auto"/>
        <w:bottom w:val="none" w:sz="0" w:space="0" w:color="auto"/>
        <w:right w:val="none" w:sz="0" w:space="0" w:color="auto"/>
      </w:divBdr>
    </w:div>
    <w:div w:id="1788233840">
      <w:bodyDiv w:val="1"/>
      <w:marLeft w:val="0"/>
      <w:marRight w:val="0"/>
      <w:marTop w:val="0"/>
      <w:marBottom w:val="0"/>
      <w:divBdr>
        <w:top w:val="none" w:sz="0" w:space="0" w:color="auto"/>
        <w:left w:val="none" w:sz="0" w:space="0" w:color="auto"/>
        <w:bottom w:val="none" w:sz="0" w:space="0" w:color="auto"/>
        <w:right w:val="none" w:sz="0" w:space="0" w:color="auto"/>
      </w:divBdr>
    </w:div>
    <w:div w:id="207742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hyperlink" Target="https://www.youtube.com/embed/rI9oMAVa-Es?feature=oembed"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youtube.com/embed/9LaqK4_gMVg?feature=oembed" TargetMode="External" /><Relationship Id="rId12" Type="http://schemas.openxmlformats.org/officeDocument/2006/relationships/image" Target="media/image4.jp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6.jpg" /><Relationship Id="rId1" Type="http://schemas.openxmlformats.org/officeDocument/2006/relationships/customXml" Target="../customXml/item1.xml" /><Relationship Id="rId6" Type="http://schemas.openxmlformats.org/officeDocument/2006/relationships/image" Target="cid:image001.png@01D0EA4A.2BD679A0" TargetMode="External" /><Relationship Id="rId11" Type="http://schemas.openxmlformats.org/officeDocument/2006/relationships/hyperlink" Target="https://www.youtube.com/embed/fGWYyvPhsf8?feature=oembed" TargetMode="External" /><Relationship Id="rId5" Type="http://schemas.openxmlformats.org/officeDocument/2006/relationships/image" Target="media/image1.png" /><Relationship Id="rId15" Type="http://schemas.openxmlformats.org/officeDocument/2006/relationships/hyperlink" Target="https://www.youtube.com/embed/_aF-olRMuoQ?feature=oembed" TargetMode="External" /><Relationship Id="rId10" Type="http://schemas.openxmlformats.org/officeDocument/2006/relationships/image" Target="media/image3.jpg" /><Relationship Id="rId4" Type="http://schemas.openxmlformats.org/officeDocument/2006/relationships/webSettings" Target="webSettings.xml" /><Relationship Id="rId9" Type="http://schemas.openxmlformats.org/officeDocument/2006/relationships/hyperlink" Target="https://www.youtube.com/embed/5fx8QGSQhEo?feature=oembed" TargetMode="External" /><Relationship Id="rId14" Type="http://schemas.openxmlformats.org/officeDocument/2006/relationships/image" Target="media/image5.jpg" /></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F7ED3-4F5D-46BD-9305-1FB169FF64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2722</Words>
  <Characters>15791</Characters>
  <Application>Microsoft Office Word</Application>
  <DocSecurity>0</DocSecurity>
  <Lines>131</Lines>
  <Paragraphs>36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Iulia Dunareanu</cp:lastModifiedBy>
  <cp:revision>2</cp:revision>
  <dcterms:created xsi:type="dcterms:W3CDTF">2025-03-24T17:07:00Z</dcterms:created>
  <dcterms:modified xsi:type="dcterms:W3CDTF">2025-03-24T17:07:00Z</dcterms:modified>
</cp:coreProperties>
</file>