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Default="00E74102" w:rsidP="00E74102">
      <w:pPr>
        <w:jc w:val="center"/>
        <w:rPr>
          <w:rFonts w:ascii="Times New Roman" w:hAnsi="Times New Roman" w:cs="Times New Roman"/>
          <w:b/>
          <w:sz w:val="24"/>
          <w:szCs w:val="24"/>
          <w:lang w:val="en-AU"/>
        </w:rPr>
      </w:pPr>
    </w:p>
    <w:p w:rsidR="00E74102" w:rsidRPr="00E74102" w:rsidRDefault="00E74102" w:rsidP="00E74102">
      <w:pPr>
        <w:jc w:val="center"/>
        <w:rPr>
          <w:rFonts w:ascii="Times New Roman" w:hAnsi="Times New Roman" w:cs="Times New Roman"/>
          <w:b/>
          <w:sz w:val="24"/>
          <w:szCs w:val="24"/>
          <w:lang w:val="en-AU"/>
        </w:rPr>
      </w:pPr>
      <w:r w:rsidRPr="00E74102">
        <w:rPr>
          <w:rFonts w:ascii="Times New Roman" w:hAnsi="Times New Roman" w:cs="Times New Roman"/>
          <w:b/>
          <w:sz w:val="24"/>
          <w:szCs w:val="24"/>
          <w:lang w:val="en-AU"/>
        </w:rPr>
        <w:t xml:space="preserve">Module Name: </w:t>
      </w:r>
      <w:r w:rsidRPr="00E74102">
        <w:rPr>
          <w:rFonts w:ascii="Times New Roman" w:hAnsi="Times New Roman" w:cs="Times New Roman"/>
          <w:b/>
          <w:bCs/>
          <w:sz w:val="24"/>
          <w:szCs w:val="24"/>
        </w:rPr>
        <w:t>Marketing Management</w:t>
      </w:r>
    </w:p>
    <w:p w:rsidR="00E74102" w:rsidRPr="00E74102" w:rsidRDefault="00E74102" w:rsidP="00E74102">
      <w:pPr>
        <w:jc w:val="center"/>
        <w:rPr>
          <w:rFonts w:ascii="Times New Roman" w:hAnsi="Times New Roman" w:cs="Times New Roman"/>
          <w:b/>
          <w:sz w:val="24"/>
          <w:szCs w:val="24"/>
          <w:lang w:val="en-AU"/>
        </w:rPr>
      </w:pPr>
      <w:r w:rsidRPr="00E74102">
        <w:rPr>
          <w:rFonts w:ascii="Times New Roman" w:hAnsi="Times New Roman" w:cs="Times New Roman"/>
          <w:b/>
          <w:sz w:val="24"/>
          <w:szCs w:val="24"/>
          <w:lang w:val="en-AU"/>
        </w:rPr>
        <w:t xml:space="preserve">Module Code: </w:t>
      </w:r>
      <w:r w:rsidRPr="00E74102">
        <w:rPr>
          <w:rFonts w:ascii="Times New Roman" w:hAnsi="Times New Roman" w:cs="Times New Roman"/>
          <w:b/>
          <w:bCs/>
          <w:sz w:val="24"/>
          <w:szCs w:val="24"/>
        </w:rPr>
        <w:t>LCMB7024</w:t>
      </w:r>
    </w:p>
    <w:p w:rsidR="001A0082" w:rsidRPr="001A0082" w:rsidRDefault="00E74102" w:rsidP="001A0082">
      <w:pPr>
        <w:jc w:val="center"/>
        <w:rPr>
          <w:rFonts w:ascii="Times New Roman" w:hAnsi="Times New Roman" w:cs="Times New Roman"/>
          <w:b/>
          <w:sz w:val="24"/>
          <w:szCs w:val="24"/>
        </w:rPr>
      </w:pPr>
      <w:r w:rsidRPr="00E74102">
        <w:rPr>
          <w:rFonts w:ascii="Times New Roman" w:hAnsi="Times New Roman" w:cs="Times New Roman"/>
          <w:b/>
          <w:sz w:val="24"/>
          <w:szCs w:val="24"/>
          <w:lang w:val="en-AU"/>
        </w:rPr>
        <w:t xml:space="preserve">Module Leader Name: </w:t>
      </w:r>
      <w:r w:rsidR="001A0082" w:rsidRPr="001A0082">
        <w:rPr>
          <w:rFonts w:ascii="Times New Roman" w:hAnsi="Times New Roman" w:cs="Times New Roman"/>
          <w:b/>
          <w:sz w:val="24"/>
          <w:szCs w:val="24"/>
        </w:rPr>
        <w:t>Laila Maazouz</w:t>
      </w:r>
    </w:p>
    <w:p w:rsidR="00E74102" w:rsidRPr="00E74102" w:rsidRDefault="001A0082" w:rsidP="001A0082">
      <w:pPr>
        <w:jc w:val="center"/>
        <w:rPr>
          <w:rFonts w:ascii="Times New Roman" w:hAnsi="Times New Roman" w:cs="Times New Roman"/>
          <w:b/>
          <w:sz w:val="24"/>
          <w:szCs w:val="24"/>
          <w:lang w:val="en-AU"/>
        </w:rPr>
      </w:pPr>
      <w:r w:rsidRPr="001A0082">
        <w:rPr>
          <w:rFonts w:ascii="Times New Roman" w:hAnsi="Times New Roman" w:cs="Times New Roman"/>
          <w:b/>
          <w:sz w:val="24"/>
          <w:szCs w:val="24"/>
        </w:rPr>
        <w:t>Dian Mayasari</w:t>
      </w:r>
    </w:p>
    <w:p w:rsidR="00E74102" w:rsidRPr="00E74102" w:rsidRDefault="00E74102" w:rsidP="00E74102">
      <w:pPr>
        <w:jc w:val="center"/>
        <w:rPr>
          <w:rFonts w:ascii="Times New Roman" w:hAnsi="Times New Roman" w:cs="Times New Roman"/>
          <w:b/>
          <w:sz w:val="24"/>
          <w:szCs w:val="24"/>
          <w:lang w:val="en-AU"/>
        </w:rPr>
      </w:pPr>
      <w:r w:rsidRPr="00E74102">
        <w:rPr>
          <w:rFonts w:ascii="Times New Roman" w:hAnsi="Times New Roman" w:cs="Times New Roman"/>
          <w:b/>
          <w:sz w:val="24"/>
          <w:szCs w:val="24"/>
          <w:lang w:val="en-AU"/>
        </w:rPr>
        <w:t xml:space="preserve">Title: </w:t>
      </w:r>
      <w:r w:rsidR="001A0082" w:rsidRPr="001A0082">
        <w:rPr>
          <w:rFonts w:ascii="Times New Roman" w:hAnsi="Times New Roman" w:cs="Times New Roman"/>
          <w:b/>
          <w:sz w:val="24"/>
          <w:szCs w:val="24"/>
          <w:lang w:val="en-AU"/>
        </w:rPr>
        <w:t>Marketing Strategies Portfolio: Brand Development for HP Vitality</w:t>
      </w:r>
    </w:p>
    <w:p w:rsidR="00BB0994" w:rsidRDefault="001A0082" w:rsidP="00E74102">
      <w:pPr>
        <w:jc w:val="center"/>
        <w:rPr>
          <w:rFonts w:ascii="Times New Roman" w:hAnsi="Times New Roman" w:cs="Times New Roman"/>
          <w:b/>
          <w:sz w:val="24"/>
          <w:szCs w:val="24"/>
          <w:lang w:val="en-AU"/>
        </w:rPr>
      </w:pPr>
      <w:r>
        <w:rPr>
          <w:rFonts w:ascii="Times New Roman" w:hAnsi="Times New Roman" w:cs="Times New Roman"/>
          <w:b/>
          <w:sz w:val="24"/>
          <w:szCs w:val="24"/>
          <w:lang w:val="en-AU"/>
        </w:rPr>
        <w:t>Words : 2760</w:t>
      </w:r>
      <w:r w:rsidR="00BB0994">
        <w:rPr>
          <w:rFonts w:ascii="Times New Roman" w:hAnsi="Times New Roman" w:cs="Times New Roman"/>
          <w:b/>
          <w:sz w:val="24"/>
          <w:szCs w:val="24"/>
          <w:lang w:val="en-AU"/>
        </w:rPr>
        <w:br w:type="page"/>
      </w:r>
    </w:p>
    <w:sdt>
      <w:sdtPr>
        <w:id w:val="-15438170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A0082" w:rsidRPr="001A0082" w:rsidRDefault="001A0082">
          <w:pPr>
            <w:pStyle w:val="TOCHeading"/>
            <w:rPr>
              <w:rFonts w:ascii="Times New Roman" w:hAnsi="Times New Roman" w:cs="Times New Roman"/>
              <w:b/>
            </w:rPr>
          </w:pPr>
          <w:r w:rsidRPr="001A0082">
            <w:rPr>
              <w:rFonts w:ascii="Times New Roman" w:hAnsi="Times New Roman" w:cs="Times New Roman"/>
              <w:b/>
            </w:rPr>
            <w:t>Table of Contents</w:t>
          </w:r>
        </w:p>
        <w:p w:rsidR="001A0082" w:rsidRPr="001A0082" w:rsidRDefault="001A0082">
          <w:pPr>
            <w:pStyle w:val="TOC1"/>
            <w:tabs>
              <w:tab w:val="right" w:leader="dot" w:pos="9016"/>
            </w:tabs>
            <w:rPr>
              <w:rFonts w:ascii="Times New Roman" w:hAnsi="Times New Roman" w:cs="Times New Roman"/>
              <w:noProof/>
              <w:sz w:val="24"/>
              <w:szCs w:val="24"/>
            </w:rPr>
          </w:pPr>
          <w:r w:rsidRPr="001A0082">
            <w:rPr>
              <w:rFonts w:ascii="Times New Roman" w:hAnsi="Times New Roman" w:cs="Times New Roman"/>
              <w:sz w:val="24"/>
              <w:szCs w:val="24"/>
            </w:rPr>
            <w:fldChar w:fldCharType="begin"/>
          </w:r>
          <w:r w:rsidRPr="001A0082">
            <w:rPr>
              <w:rFonts w:ascii="Times New Roman" w:hAnsi="Times New Roman" w:cs="Times New Roman"/>
              <w:sz w:val="24"/>
              <w:szCs w:val="24"/>
            </w:rPr>
            <w:instrText xml:space="preserve"> TOC \o "1-3" \h \z \u </w:instrText>
          </w:r>
          <w:r w:rsidRPr="001A0082">
            <w:rPr>
              <w:rFonts w:ascii="Times New Roman" w:hAnsi="Times New Roman" w:cs="Times New Roman"/>
              <w:sz w:val="24"/>
              <w:szCs w:val="24"/>
            </w:rPr>
            <w:fldChar w:fldCharType="separate"/>
          </w:r>
          <w:hyperlink w:anchor="_Toc222405282" w:history="1">
            <w:r w:rsidRPr="001A0082">
              <w:rPr>
                <w:rStyle w:val="Hyperlink"/>
                <w:rFonts w:ascii="Times New Roman" w:hAnsi="Times New Roman" w:cs="Times New Roman"/>
                <w:noProof/>
                <w:sz w:val="24"/>
                <w:szCs w:val="24"/>
                <w:lang w:val="en-AU"/>
              </w:rPr>
              <w:t>Introduction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_Toc222405282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3</w:t>
            </w:r>
            <w:r w:rsidRPr="001A0082">
              <w:rPr>
                <w:rFonts w:ascii="Times New Roman" w:hAnsi="Times New Roman" w:cs="Times New Roman"/>
                <w:noProof/>
                <w:webHidden/>
                <w:sz w:val="24"/>
                <w:szCs w:val="24"/>
              </w:rPr>
              <w:fldChar w:fldCharType="end"/>
            </w:r>
          </w:hyperlink>
        </w:p>
        <w:p w:rsidR="001A0082" w:rsidRPr="001A0082" w:rsidRDefault="001A0082">
          <w:pPr>
            <w:pStyle w:val="TOC1"/>
            <w:tabs>
              <w:tab w:val="right" w:leader="dot" w:pos="9016"/>
            </w:tabs>
            <w:rPr>
              <w:rFonts w:ascii="Times New Roman" w:hAnsi="Times New Roman" w:cs="Times New Roman"/>
              <w:noProof/>
              <w:sz w:val="24"/>
              <w:szCs w:val="24"/>
            </w:rPr>
          </w:pPr>
          <w:hyperlink w:anchor="_Toc222405283" w:history="1">
            <w:r w:rsidRPr="001A0082">
              <w:rPr>
                <w:rStyle w:val="Hyperlink"/>
                <w:rFonts w:ascii="Times New Roman" w:hAnsi="Times New Roman" w:cs="Times New Roman"/>
                <w:noProof/>
                <w:sz w:val="24"/>
                <w:szCs w:val="24"/>
              </w:rPr>
              <w:t>Element 1: Brand Extension Poster Presentation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_Toc222405283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3</w:t>
            </w:r>
            <w:r w:rsidRPr="001A0082">
              <w:rPr>
                <w:rFonts w:ascii="Times New Roman" w:hAnsi="Times New Roman" w:cs="Times New Roman"/>
                <w:noProof/>
                <w:webHidden/>
                <w:sz w:val="24"/>
                <w:szCs w:val="24"/>
              </w:rPr>
              <w:fldChar w:fldCharType="end"/>
            </w:r>
          </w:hyperlink>
        </w:p>
        <w:p w:rsidR="001A0082" w:rsidRPr="001A0082" w:rsidRDefault="001A0082">
          <w:pPr>
            <w:pStyle w:val="TOC1"/>
            <w:tabs>
              <w:tab w:val="right" w:leader="dot" w:pos="9016"/>
            </w:tabs>
            <w:rPr>
              <w:rFonts w:ascii="Times New Roman" w:hAnsi="Times New Roman" w:cs="Times New Roman"/>
              <w:noProof/>
              <w:sz w:val="24"/>
              <w:szCs w:val="24"/>
            </w:rPr>
          </w:pPr>
          <w:hyperlink w:anchor="_Toc222405284" w:history="1">
            <w:r w:rsidRPr="001A0082">
              <w:rPr>
                <w:rStyle w:val="Hyperlink"/>
                <w:rFonts w:ascii="Times New Roman" w:hAnsi="Times New Roman" w:cs="Times New Roman"/>
                <w:noProof/>
                <w:sz w:val="24"/>
                <w:szCs w:val="24"/>
              </w:rPr>
              <w:t>Element 2: Segmentation, Targeting, Differentiation, and Positioning (STDP) Analysis</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_Toc222405284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3</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85" w:history="1">
            <w:r w:rsidRPr="001A0082">
              <w:rPr>
                <w:rStyle w:val="Hyperlink"/>
                <w:rFonts w:ascii="Times New Roman" w:hAnsi="Times New Roman" w:cs="Times New Roman"/>
                <w:noProof/>
                <w:sz w:val="24"/>
                <w:szCs w:val="24"/>
                <w:lang w:val="en-AU"/>
              </w:rPr>
              <w:t>Segmentation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_Toc222405285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3</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86" w:history="1">
            <w:r w:rsidRPr="001A0082">
              <w:rPr>
                <w:rStyle w:val="Hyperlink"/>
                <w:rFonts w:ascii="Times New Roman" w:hAnsi="Times New Roman" w:cs="Times New Roman"/>
                <w:noProof/>
                <w:sz w:val="24"/>
                <w:szCs w:val="24"/>
              </w:rPr>
              <w:t>Targeting</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_Toc222405286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4</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87" w:history="1">
            <w:r w:rsidRPr="001A0082">
              <w:rPr>
                <w:rStyle w:val="Hyperlink"/>
                <w:rFonts w:ascii="Times New Roman" w:hAnsi="Times New Roman" w:cs="Times New Roman"/>
                <w:noProof/>
                <w:sz w:val="24"/>
                <w:szCs w:val="24"/>
              </w:rPr>
              <w:t>Differentiation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_Toc222405287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5</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88" w:history="1">
            <w:r w:rsidRPr="001A0082">
              <w:rPr>
                <w:rStyle w:val="Hyperlink"/>
                <w:rFonts w:ascii="Times New Roman" w:hAnsi="Times New Roman" w:cs="Times New Roman"/>
                <w:noProof/>
                <w:sz w:val="24"/>
                <w:szCs w:val="24"/>
                <w:lang w:val="en-AU"/>
              </w:rPr>
              <w:t>Positioning</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_Toc222405288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5</w:t>
            </w:r>
            <w:r w:rsidRPr="001A0082">
              <w:rPr>
                <w:rFonts w:ascii="Times New Roman" w:hAnsi="Times New Roman" w:cs="Times New Roman"/>
                <w:noProof/>
                <w:webHidden/>
                <w:sz w:val="24"/>
                <w:szCs w:val="24"/>
              </w:rPr>
              <w:fldChar w:fldCharType="end"/>
            </w:r>
          </w:hyperlink>
        </w:p>
        <w:p w:rsidR="001A0082" w:rsidRPr="001A0082" w:rsidRDefault="001A0082">
          <w:pPr>
            <w:pStyle w:val="TOC1"/>
            <w:tabs>
              <w:tab w:val="right" w:leader="dot" w:pos="9016"/>
            </w:tabs>
            <w:rPr>
              <w:rFonts w:ascii="Times New Roman" w:hAnsi="Times New Roman" w:cs="Times New Roman"/>
              <w:noProof/>
              <w:sz w:val="24"/>
              <w:szCs w:val="24"/>
            </w:rPr>
          </w:pPr>
          <w:hyperlink w:anchor="_Toc222405289" w:history="1">
            <w:r w:rsidRPr="001A0082">
              <w:rPr>
                <w:rStyle w:val="Hyperlink"/>
                <w:rFonts w:ascii="Times New Roman" w:hAnsi="Times New Roman" w:cs="Times New Roman"/>
                <w:noProof/>
                <w:sz w:val="24"/>
                <w:szCs w:val="24"/>
              </w:rPr>
              <w:t>Element 3: Marketing Mix (4Ps)</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_Toc222405289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6</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0" w:history="1">
            <w:r w:rsidRPr="001A0082">
              <w:rPr>
                <w:rStyle w:val="Hyperlink"/>
                <w:rFonts w:ascii="Times New Roman" w:hAnsi="Times New Roman" w:cs="Times New Roman"/>
                <w:noProof/>
                <w:sz w:val="24"/>
                <w:szCs w:val="24"/>
                <w:lang w:val="en-AU"/>
              </w:rPr>
              <w:t>Product</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_Toc222405290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6</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1" w:history="1">
            <w:r w:rsidRPr="001A0082">
              <w:rPr>
                <w:rStyle w:val="Hyperlink"/>
                <w:rFonts w:ascii="Times New Roman" w:hAnsi="Times New Roman" w:cs="Times New Roman"/>
                <w:noProof/>
                <w:sz w:val="24"/>
                <w:szCs w:val="24"/>
              </w:rPr>
              <w:t>Price</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_Toc222405291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7</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2" w:history="1">
            <w:r w:rsidRPr="001A0082">
              <w:rPr>
                <w:rStyle w:val="Hyperlink"/>
                <w:rFonts w:ascii="Times New Roman" w:hAnsi="Times New Roman" w:cs="Times New Roman"/>
                <w:noProof/>
                <w:sz w:val="24"/>
                <w:szCs w:val="24"/>
                <w:lang w:val="en-AU"/>
              </w:rPr>
              <w:t>Place</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_Toc222405292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7</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3" w:history="1">
            <w:r w:rsidRPr="001A0082">
              <w:rPr>
                <w:rStyle w:val="Hyperlink"/>
                <w:rFonts w:ascii="Times New Roman" w:hAnsi="Times New Roman" w:cs="Times New Roman"/>
                <w:noProof/>
                <w:sz w:val="24"/>
                <w:szCs w:val="24"/>
                <w:lang w:val="en-AU"/>
              </w:rPr>
              <w:t>Promotion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_Toc222405293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8</w:t>
            </w:r>
            <w:r w:rsidRPr="001A0082">
              <w:rPr>
                <w:rFonts w:ascii="Times New Roman" w:hAnsi="Times New Roman" w:cs="Times New Roman"/>
                <w:noProof/>
                <w:webHidden/>
                <w:sz w:val="24"/>
                <w:szCs w:val="24"/>
              </w:rPr>
              <w:fldChar w:fldCharType="end"/>
            </w:r>
          </w:hyperlink>
        </w:p>
        <w:p w:rsidR="001A0082" w:rsidRPr="001A0082" w:rsidRDefault="001A0082">
          <w:pPr>
            <w:pStyle w:val="TOC1"/>
            <w:tabs>
              <w:tab w:val="right" w:leader="dot" w:pos="9016"/>
            </w:tabs>
            <w:rPr>
              <w:rFonts w:ascii="Times New Roman" w:hAnsi="Times New Roman" w:cs="Times New Roman"/>
              <w:noProof/>
              <w:sz w:val="24"/>
              <w:szCs w:val="24"/>
            </w:rPr>
          </w:pPr>
          <w:hyperlink w:anchor="_Toc222405294" w:history="1">
            <w:r w:rsidRPr="001A0082">
              <w:rPr>
                <w:rStyle w:val="Hyperlink"/>
                <w:rFonts w:ascii="Times New Roman" w:hAnsi="Times New Roman" w:cs="Times New Roman"/>
                <w:noProof/>
                <w:sz w:val="24"/>
                <w:szCs w:val="24"/>
              </w:rPr>
              <w:t>Element 4: Reflection (Kolb’s Experiential Learning Cycle)</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_Toc222405294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9</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5" w:history="1">
            <w:r w:rsidRPr="001A0082">
              <w:rPr>
                <w:rStyle w:val="Hyperlink"/>
                <w:rFonts w:ascii="Times New Roman" w:hAnsi="Times New Roman" w:cs="Times New Roman"/>
                <w:noProof/>
                <w:sz w:val="24"/>
                <w:szCs w:val="24"/>
              </w:rPr>
              <w:t>Concrete Experience</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_Toc222405295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9</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6" w:history="1">
            <w:r w:rsidRPr="001A0082">
              <w:rPr>
                <w:rStyle w:val="Hyperlink"/>
                <w:rFonts w:ascii="Times New Roman" w:hAnsi="Times New Roman" w:cs="Times New Roman"/>
                <w:noProof/>
                <w:sz w:val="24"/>
                <w:szCs w:val="24"/>
              </w:rPr>
              <w:t>Reflective Observation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_Toc222405296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9</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7" w:history="1">
            <w:r w:rsidRPr="001A0082">
              <w:rPr>
                <w:rStyle w:val="Hyperlink"/>
                <w:rFonts w:ascii="Times New Roman" w:hAnsi="Times New Roman" w:cs="Times New Roman"/>
                <w:noProof/>
                <w:sz w:val="24"/>
                <w:szCs w:val="24"/>
              </w:rPr>
              <w:t>Abstract Conceptualization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_Toc222405297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9</w:t>
            </w:r>
            <w:r w:rsidRPr="001A0082">
              <w:rPr>
                <w:rFonts w:ascii="Times New Roman" w:hAnsi="Times New Roman" w:cs="Times New Roman"/>
                <w:noProof/>
                <w:webHidden/>
                <w:sz w:val="24"/>
                <w:szCs w:val="24"/>
              </w:rPr>
              <w:fldChar w:fldCharType="end"/>
            </w:r>
          </w:hyperlink>
        </w:p>
        <w:p w:rsidR="001A0082" w:rsidRPr="001A0082" w:rsidRDefault="001A0082">
          <w:pPr>
            <w:pStyle w:val="TOC2"/>
            <w:tabs>
              <w:tab w:val="right" w:leader="dot" w:pos="9016"/>
            </w:tabs>
            <w:rPr>
              <w:rFonts w:ascii="Times New Roman" w:hAnsi="Times New Roman" w:cs="Times New Roman"/>
              <w:noProof/>
              <w:sz w:val="24"/>
              <w:szCs w:val="24"/>
            </w:rPr>
          </w:pPr>
          <w:hyperlink w:anchor="_Toc222405298" w:history="1">
            <w:r w:rsidRPr="001A0082">
              <w:rPr>
                <w:rStyle w:val="Hyperlink"/>
                <w:rFonts w:ascii="Times New Roman" w:hAnsi="Times New Roman" w:cs="Times New Roman"/>
                <w:noProof/>
                <w:sz w:val="24"/>
                <w:szCs w:val="24"/>
              </w:rPr>
              <w:t>Active Experimentation</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_Toc222405298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10</w:t>
            </w:r>
            <w:r w:rsidRPr="001A0082">
              <w:rPr>
                <w:rFonts w:ascii="Times New Roman" w:hAnsi="Times New Roman" w:cs="Times New Roman"/>
                <w:noProof/>
                <w:webHidden/>
                <w:sz w:val="24"/>
                <w:szCs w:val="24"/>
              </w:rPr>
              <w:fldChar w:fldCharType="end"/>
            </w:r>
          </w:hyperlink>
        </w:p>
        <w:p w:rsidR="001A0082" w:rsidRPr="001A0082" w:rsidRDefault="001A0082">
          <w:pPr>
            <w:pStyle w:val="TOC1"/>
            <w:tabs>
              <w:tab w:val="right" w:leader="dot" w:pos="9016"/>
            </w:tabs>
            <w:rPr>
              <w:rFonts w:ascii="Times New Roman" w:hAnsi="Times New Roman" w:cs="Times New Roman"/>
              <w:noProof/>
              <w:sz w:val="24"/>
              <w:szCs w:val="24"/>
            </w:rPr>
          </w:pPr>
          <w:hyperlink w:anchor="_Toc222405299" w:history="1">
            <w:r w:rsidRPr="001A0082">
              <w:rPr>
                <w:rStyle w:val="Hyperlink"/>
                <w:rFonts w:ascii="Times New Roman" w:hAnsi="Times New Roman" w:cs="Times New Roman"/>
                <w:noProof/>
                <w:sz w:val="24"/>
                <w:szCs w:val="24"/>
                <w:lang w:val="en-AU"/>
              </w:rPr>
              <w:t>References</w:t>
            </w:r>
            <w:r w:rsidRPr="001A0082">
              <w:rPr>
                <w:rFonts w:ascii="Times New Roman" w:hAnsi="Times New Roman" w:cs="Times New Roman"/>
                <w:noProof/>
                <w:webHidden/>
                <w:sz w:val="24"/>
                <w:szCs w:val="24"/>
              </w:rPr>
              <w:tab/>
            </w:r>
            <w:r w:rsidRPr="001A0082">
              <w:rPr>
                <w:rFonts w:ascii="Times New Roman" w:hAnsi="Times New Roman" w:cs="Times New Roman"/>
                <w:noProof/>
                <w:webHidden/>
                <w:sz w:val="24"/>
                <w:szCs w:val="24"/>
              </w:rPr>
              <w:fldChar w:fldCharType="begin"/>
            </w:r>
            <w:r w:rsidRPr="001A0082">
              <w:rPr>
                <w:rFonts w:ascii="Times New Roman" w:hAnsi="Times New Roman" w:cs="Times New Roman"/>
                <w:noProof/>
                <w:webHidden/>
                <w:sz w:val="24"/>
                <w:szCs w:val="24"/>
              </w:rPr>
              <w:instrText xml:space="preserve"> PAGEREF _Toc222405299 \h </w:instrText>
            </w:r>
            <w:r w:rsidRPr="001A0082">
              <w:rPr>
                <w:rFonts w:ascii="Times New Roman" w:hAnsi="Times New Roman" w:cs="Times New Roman"/>
                <w:noProof/>
                <w:webHidden/>
                <w:sz w:val="24"/>
                <w:szCs w:val="24"/>
              </w:rPr>
            </w:r>
            <w:r w:rsidRPr="001A0082">
              <w:rPr>
                <w:rFonts w:ascii="Times New Roman" w:hAnsi="Times New Roman" w:cs="Times New Roman"/>
                <w:noProof/>
                <w:webHidden/>
                <w:sz w:val="24"/>
                <w:szCs w:val="24"/>
              </w:rPr>
              <w:fldChar w:fldCharType="separate"/>
            </w:r>
            <w:r w:rsidRPr="001A0082">
              <w:rPr>
                <w:rFonts w:ascii="Times New Roman" w:hAnsi="Times New Roman" w:cs="Times New Roman"/>
                <w:noProof/>
                <w:webHidden/>
                <w:sz w:val="24"/>
                <w:szCs w:val="24"/>
              </w:rPr>
              <w:t>11</w:t>
            </w:r>
            <w:r w:rsidRPr="001A0082">
              <w:rPr>
                <w:rFonts w:ascii="Times New Roman" w:hAnsi="Times New Roman" w:cs="Times New Roman"/>
                <w:noProof/>
                <w:webHidden/>
                <w:sz w:val="24"/>
                <w:szCs w:val="24"/>
              </w:rPr>
              <w:fldChar w:fldCharType="end"/>
            </w:r>
          </w:hyperlink>
        </w:p>
        <w:p w:rsidR="001A0082" w:rsidRDefault="001A0082">
          <w:r w:rsidRPr="001A0082">
            <w:rPr>
              <w:rFonts w:ascii="Times New Roman" w:hAnsi="Times New Roman" w:cs="Times New Roman"/>
              <w:b/>
              <w:bCs/>
              <w:noProof/>
              <w:sz w:val="24"/>
              <w:szCs w:val="24"/>
            </w:rPr>
            <w:fldChar w:fldCharType="end"/>
          </w:r>
        </w:p>
      </w:sdtContent>
    </w:sdt>
    <w:p w:rsidR="001A0082" w:rsidRDefault="001A0082">
      <w:pPr>
        <w:rPr>
          <w:rFonts w:ascii="Times New Roman" w:hAnsi="Times New Roman" w:cs="Times New Roman"/>
          <w:b/>
          <w:sz w:val="24"/>
          <w:szCs w:val="24"/>
          <w:lang w:val="en-AU"/>
        </w:rPr>
      </w:pPr>
      <w:r>
        <w:rPr>
          <w:rFonts w:ascii="Times New Roman" w:hAnsi="Times New Roman" w:cs="Times New Roman"/>
          <w:b/>
          <w:sz w:val="24"/>
          <w:szCs w:val="24"/>
          <w:lang w:val="en-AU"/>
        </w:rPr>
        <w:br w:type="page"/>
      </w:r>
      <w:bookmarkStart w:id="0" w:name="_GoBack"/>
      <w:bookmarkEnd w:id="0"/>
    </w:p>
    <w:p w:rsidR="0026749B" w:rsidRDefault="00806C73" w:rsidP="001A0082">
      <w:pPr>
        <w:pStyle w:val="Heading1"/>
        <w:rPr>
          <w:lang w:val="en-AU"/>
        </w:rPr>
      </w:pPr>
      <w:bookmarkStart w:id="1" w:name="_Toc222405282"/>
      <w:r w:rsidRPr="00806C73">
        <w:rPr>
          <w:lang w:val="en-AU"/>
        </w:rPr>
        <w:lastRenderedPageBreak/>
        <w:t>Introduction</w:t>
      </w:r>
      <w:bookmarkEnd w:id="1"/>
    </w:p>
    <w:p w:rsidR="00806C73" w:rsidRDefault="00806C73" w:rsidP="00806C73">
      <w:pPr>
        <w:spacing w:line="360" w:lineRule="auto"/>
        <w:jc w:val="both"/>
        <w:rPr>
          <w:rFonts w:ascii="Times New Roman" w:hAnsi="Times New Roman" w:cs="Times New Roman"/>
          <w:sz w:val="24"/>
          <w:szCs w:val="24"/>
          <w:lang w:val="en-AU"/>
        </w:rPr>
      </w:pPr>
      <w:r w:rsidRPr="00806C73">
        <w:rPr>
          <w:rFonts w:ascii="Times New Roman" w:hAnsi="Times New Roman" w:cs="Times New Roman"/>
          <w:sz w:val="24"/>
          <w:szCs w:val="24"/>
          <w:lang w:val="en-AU"/>
        </w:rPr>
        <w:t>HP Inc. (Hewlett-Packard) is the technology company that is being analysed in this portfolio. HP is a reputable worldwide competitor in the computing and printing sector and has gained reputation in its laptops, desktops, printers, and productivity solutions with an enterprise orientation. In contrast to trend setting innovators like apple, HP focuses more on reliability, performance and integrated business solutions. The strategic evaluation of the company is appropriate since it enjoys a large amount of publicly available data, such as financial reporting and industry reports on websites like Statista and Gartner.</w:t>
      </w:r>
    </w:p>
    <w:p w:rsidR="00806C73" w:rsidRDefault="00806C73" w:rsidP="00806C73">
      <w:pPr>
        <w:spacing w:line="360" w:lineRule="auto"/>
        <w:jc w:val="both"/>
        <w:rPr>
          <w:rFonts w:ascii="Times New Roman" w:hAnsi="Times New Roman" w:cs="Times New Roman"/>
          <w:sz w:val="24"/>
          <w:szCs w:val="24"/>
          <w:lang w:val="en-AU"/>
        </w:rPr>
      </w:pPr>
      <w:r w:rsidRPr="00806C73">
        <w:rPr>
          <w:rFonts w:ascii="Times New Roman" w:hAnsi="Times New Roman" w:cs="Times New Roman"/>
          <w:sz w:val="24"/>
          <w:szCs w:val="24"/>
          <w:lang w:val="en-AU"/>
        </w:rPr>
        <w:t>In line with Kotler et al. (2024), the report suggests a brand extension approach by launching a new brand, HP Vitality, a brand of smartwatch aimed at professionals. This extension builds upon the hardware and software integration the company has, to provide productivity and health-monitoring capabilities, as it is in line with remote work trends and sustainability issues due to the environmentally-friendly nature of design.</w:t>
      </w:r>
    </w:p>
    <w:p w:rsidR="00806C73" w:rsidRPr="00806C73" w:rsidRDefault="00806C73" w:rsidP="001A0082">
      <w:pPr>
        <w:pStyle w:val="Heading1"/>
      </w:pPr>
      <w:bookmarkStart w:id="2" w:name="_Toc222405283"/>
      <w:r w:rsidRPr="00806C73">
        <w:t>Element 1: Brand Extension Poster Presentation</w:t>
      </w:r>
      <w:bookmarkEnd w:id="2"/>
    </w:p>
    <w:p w:rsidR="00806C73" w:rsidRDefault="00806C73" w:rsidP="00806C7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Attached in the appendix section</w:t>
      </w:r>
    </w:p>
    <w:p w:rsidR="00806C73" w:rsidRPr="00806C73" w:rsidRDefault="00806C73" w:rsidP="001A0082">
      <w:pPr>
        <w:pStyle w:val="Heading1"/>
      </w:pPr>
      <w:bookmarkStart w:id="3" w:name="_Toc222405284"/>
      <w:r w:rsidRPr="00806C73">
        <w:t>Element 2: Segmentation, Targeting, Differentiation, and Positioning (STDP) Analysis</w:t>
      </w:r>
      <w:bookmarkEnd w:id="3"/>
    </w:p>
    <w:p w:rsidR="00806C73" w:rsidRDefault="00E61B46" w:rsidP="00806C73">
      <w:pPr>
        <w:spacing w:line="360" w:lineRule="auto"/>
        <w:jc w:val="both"/>
        <w:rPr>
          <w:rFonts w:ascii="Times New Roman" w:hAnsi="Times New Roman" w:cs="Times New Roman"/>
          <w:sz w:val="24"/>
          <w:szCs w:val="24"/>
          <w:lang w:val="en-AU"/>
        </w:rPr>
      </w:pPr>
      <w:r w:rsidRPr="00E61B46">
        <w:rPr>
          <w:rFonts w:ascii="Times New Roman" w:hAnsi="Times New Roman" w:cs="Times New Roman"/>
          <w:sz w:val="24"/>
          <w:szCs w:val="24"/>
          <w:lang w:val="en-AU"/>
        </w:rPr>
        <w:t>The STDP model offers an organized basis of assessment of the proposed HP Vitality smartwatch brand extension. With the help of systematically used segmentation, targeting, differentiation, and positioning, HP would be able to recognize high potential markets and generate a defensible competitive advantage in the growing global wearables sector. This analysis gives a match between the enterprise oriented strength of HP and the new demands of professional style of life, so that there can be strategic clarity and the potential of growth in long term in a modern technology world.</w:t>
      </w:r>
    </w:p>
    <w:p w:rsidR="00E61B46" w:rsidRPr="00E61B46" w:rsidRDefault="00E61B46" w:rsidP="001A0082">
      <w:pPr>
        <w:pStyle w:val="Heading2"/>
        <w:rPr>
          <w:lang w:val="en-AU"/>
        </w:rPr>
      </w:pPr>
      <w:bookmarkStart w:id="4" w:name="_Toc222405285"/>
      <w:r w:rsidRPr="00E61B46">
        <w:rPr>
          <w:lang w:val="en-AU"/>
        </w:rPr>
        <w:t>Segmentation</w:t>
      </w:r>
      <w:bookmarkEnd w:id="4"/>
    </w:p>
    <w:p w:rsidR="00E61B46" w:rsidRDefault="00E61B46" w:rsidP="00806C73">
      <w:pPr>
        <w:spacing w:line="360" w:lineRule="auto"/>
        <w:jc w:val="both"/>
        <w:rPr>
          <w:rFonts w:ascii="Times New Roman" w:hAnsi="Times New Roman" w:cs="Times New Roman"/>
          <w:sz w:val="24"/>
          <w:szCs w:val="24"/>
          <w:lang w:val="en-AU"/>
        </w:rPr>
      </w:pPr>
      <w:r w:rsidRPr="00E61B46">
        <w:rPr>
          <w:rFonts w:ascii="Times New Roman" w:hAnsi="Times New Roman" w:cs="Times New Roman"/>
          <w:sz w:val="24"/>
          <w:szCs w:val="24"/>
          <w:lang w:val="en-AU"/>
        </w:rPr>
        <w:t xml:space="preserve">As a strategic marketing consideration, HP Vitality shall focus on urban markets within North America and Europe, where digital infrastructure and the adoption of high technology make an ideal environment of wearable integration. To date, the North American market is estimated to constitute around 43 percent of the entire wearable market with well-developed healthcare structures and sustained demand towards connected devices (DelveInsight, 2024). Asia-Pacific will also act as a strategic expansion market as it is expected that it will have a CAGR of 24.7 percent due to the increasing middle-class expenditure and investment in digital health (MarketsandMarkets, 2024). The demographics will target professionals between the ages of </w:t>
      </w:r>
      <w:r w:rsidRPr="00E61B46">
        <w:rPr>
          <w:rFonts w:ascii="Times New Roman" w:hAnsi="Times New Roman" w:cs="Times New Roman"/>
          <w:sz w:val="24"/>
          <w:szCs w:val="24"/>
          <w:lang w:val="en-AU"/>
        </w:rPr>
        <w:lastRenderedPageBreak/>
        <w:t>25-45 years since it is the age bracket that leads in the wearable usage, both in fitness and productivity (ElectroIQ, 2025). The emphasis will be on white-collar workers in the middle-to-upper income category in industries like IT, finance, who would be highly attracted by well-known productivity-focused technology solutions (Maximize Market Research, 2024).</w:t>
      </w:r>
    </w:p>
    <w:p w:rsidR="00E61B46" w:rsidRDefault="002C7D80" w:rsidP="00806C73">
      <w:pPr>
        <w:spacing w:line="360" w:lineRule="auto"/>
        <w:jc w:val="both"/>
        <w:rPr>
          <w:rFonts w:ascii="Times New Roman" w:hAnsi="Times New Roman" w:cs="Times New Roman"/>
          <w:sz w:val="24"/>
          <w:szCs w:val="24"/>
          <w:lang w:val="en-AU"/>
        </w:rPr>
      </w:pPr>
      <w:r w:rsidRPr="002C7D80">
        <w:rPr>
          <w:rFonts w:ascii="Times New Roman" w:hAnsi="Times New Roman" w:cs="Times New Roman"/>
          <w:sz w:val="24"/>
          <w:szCs w:val="24"/>
          <w:lang w:val="en-AU"/>
        </w:rPr>
        <w:t>The psychographic segmentation will focus on ambitious, achievement-oriented professionals who are going to seek work-life balance by ways of integrated smart technologies. These healthy-minded people put into high regard efficiency and personal optimisation, a phenomenon that is reinforced by the prolonged post-COVID sensitisation of wellbeing and preventive health (Futuredatastats, 2023). On the behavioural level, it will target productivity application heavy users who exhibit loyalty to the ecosystem and want round-the-clock health monitoring coupled with the ability to work remotely (IDC, 2025). The focus on these dimensions reinforces market accuracy because psychographic and behavioural dimensions are more effective predictors of technology adoption compared to demographics (Holdack et al., 2020).</w:t>
      </w:r>
    </w:p>
    <w:p w:rsidR="002C7D80" w:rsidRPr="002C7D80" w:rsidRDefault="002C7D80" w:rsidP="001A0082">
      <w:pPr>
        <w:pStyle w:val="Heading2"/>
      </w:pPr>
      <w:bookmarkStart w:id="5" w:name="_Toc222405286"/>
      <w:r w:rsidRPr="002C7D80">
        <w:t>Targeting</w:t>
      </w:r>
      <w:bookmarkEnd w:id="5"/>
    </w:p>
    <w:p w:rsidR="002C7D80" w:rsidRDefault="002C7D80" w:rsidP="00806C73">
      <w:pPr>
        <w:spacing w:line="360" w:lineRule="auto"/>
        <w:jc w:val="both"/>
        <w:rPr>
          <w:rFonts w:ascii="Times New Roman" w:hAnsi="Times New Roman" w:cs="Times New Roman"/>
          <w:sz w:val="24"/>
          <w:szCs w:val="24"/>
          <w:lang w:val="en-AU"/>
        </w:rPr>
      </w:pPr>
      <w:r w:rsidRPr="002C7D80">
        <w:rPr>
          <w:rFonts w:ascii="Times New Roman" w:hAnsi="Times New Roman" w:cs="Times New Roman"/>
          <w:sz w:val="24"/>
          <w:szCs w:val="24"/>
          <w:lang w:val="en-AU"/>
        </w:rPr>
        <w:t>The core HP Vitality market segment will include urban professionals, 25-45 years old, working in hybrid and remote work conditions, which is a segment of the wearables market valued at 20 billion dollars depending on the changes in work environments (McKinsey, 2024). These upper and middle-income, tech-savvy people would focus on a seamless connection between productivity tools and health monitoring as 70% claim experiencing work-related stress (Gallup, 2024). By focusing on this segment, HP will be able to build on its already developed B2B reputation, f</w:t>
      </w:r>
      <w:r>
        <w:rPr>
          <w:rFonts w:ascii="Times New Roman" w:hAnsi="Times New Roman" w:cs="Times New Roman"/>
          <w:sz w:val="24"/>
          <w:szCs w:val="24"/>
          <w:lang w:val="en-AU"/>
        </w:rPr>
        <w:t>ocusing on gaining a good</w:t>
      </w:r>
      <w:r w:rsidRPr="002C7D80">
        <w:rPr>
          <w:rFonts w:ascii="Times New Roman" w:hAnsi="Times New Roman" w:cs="Times New Roman"/>
          <w:sz w:val="24"/>
          <w:szCs w:val="24"/>
          <w:lang w:val="en-AU"/>
        </w:rPr>
        <w:t xml:space="preserve"> market share in three years by cross-selling to current custo</w:t>
      </w:r>
      <w:r>
        <w:rPr>
          <w:rFonts w:ascii="Times New Roman" w:hAnsi="Times New Roman" w:cs="Times New Roman"/>
          <w:sz w:val="24"/>
          <w:szCs w:val="24"/>
          <w:lang w:val="en-AU"/>
        </w:rPr>
        <w:t>mers</w:t>
      </w:r>
      <w:r w:rsidRPr="002C7D80">
        <w:rPr>
          <w:rFonts w:ascii="Times New Roman" w:hAnsi="Times New Roman" w:cs="Times New Roman"/>
          <w:sz w:val="24"/>
          <w:szCs w:val="24"/>
          <w:lang w:val="en-AU"/>
        </w:rPr>
        <w:t>. Another targeted market will be the millennial professionals of the Asian-Pacific region, where the wearable uptake is given a boost by the rapid adoption of smartphones (Persistence Market Research, 2024).</w:t>
      </w:r>
    </w:p>
    <w:p w:rsidR="002C7D80" w:rsidRDefault="002C7D80" w:rsidP="00806C73">
      <w:pPr>
        <w:spacing w:line="360" w:lineRule="auto"/>
        <w:jc w:val="both"/>
        <w:rPr>
          <w:rFonts w:ascii="Times New Roman" w:hAnsi="Times New Roman" w:cs="Times New Roman"/>
          <w:sz w:val="24"/>
          <w:szCs w:val="24"/>
          <w:lang w:val="en-AU"/>
        </w:rPr>
      </w:pPr>
      <w:r w:rsidRPr="002C7D80">
        <w:rPr>
          <w:rFonts w:ascii="Times New Roman" w:hAnsi="Times New Roman" w:cs="Times New Roman"/>
          <w:sz w:val="24"/>
          <w:szCs w:val="24"/>
          <w:lang w:val="en-AU"/>
        </w:rPr>
        <w:t xml:space="preserve">The targeting will focus on the individualised digital promotional campaigns using LinkedIn, professional networks and the industry technology events to directly target the market need of AI-driven productivity information in a market that is projected to grow at 9.6% each year (IDC, 2025). Instead of reaching out to mass appeal, it will focus on high-value segments of the professionals so that the return on investment can be maximised, especially considering that the corporates and healthcare systems are starting to implement wearables to reduce healthcare expenses in the form of wellness programs (ACSM, 2024). The focus on </w:t>
      </w:r>
      <w:r w:rsidRPr="002C7D80">
        <w:rPr>
          <w:rFonts w:ascii="Times New Roman" w:hAnsi="Times New Roman" w:cs="Times New Roman"/>
          <w:sz w:val="24"/>
          <w:szCs w:val="24"/>
          <w:lang w:val="en-AU"/>
        </w:rPr>
        <w:lastRenderedPageBreak/>
        <w:t>professionals will enhance the loyalty of the ecosystem in the environment in which health-oriented devices occupy 60% of the total usage (ElectroIQ, 2025).</w:t>
      </w:r>
    </w:p>
    <w:p w:rsidR="002C7D80" w:rsidRPr="002C7D80" w:rsidRDefault="002C7D80" w:rsidP="001A0082">
      <w:pPr>
        <w:pStyle w:val="Heading2"/>
      </w:pPr>
      <w:bookmarkStart w:id="6" w:name="_Toc222405287"/>
      <w:r w:rsidRPr="002C7D80">
        <w:t>Differentiation</w:t>
      </w:r>
      <w:bookmarkEnd w:id="6"/>
    </w:p>
    <w:p w:rsidR="002C7D80" w:rsidRDefault="00733C6F" w:rsidP="00806C73">
      <w:pPr>
        <w:spacing w:line="360" w:lineRule="auto"/>
        <w:jc w:val="both"/>
        <w:rPr>
          <w:rFonts w:ascii="Times New Roman" w:hAnsi="Times New Roman" w:cs="Times New Roman"/>
          <w:sz w:val="24"/>
          <w:szCs w:val="24"/>
          <w:lang w:val="en-AU"/>
        </w:rPr>
      </w:pPr>
      <w:r w:rsidRPr="00733C6F">
        <w:rPr>
          <w:rFonts w:ascii="Times New Roman" w:hAnsi="Times New Roman" w:cs="Times New Roman"/>
          <w:sz w:val="24"/>
          <w:szCs w:val="24"/>
          <w:lang w:val="en-AU"/>
        </w:rPr>
        <w:t>By integrating enterprise-quality, HP Vitality will be a differentiated product, allowing it to directly synchronise with HP printers, cloud services, and productivity tools, which is a strategy that is unlike that of Apple, which is more consumer-oriented (GMInsights, 2024). The most import feature of the product like the 48-hour battery life and AI-based productivity boosts are aimed at satisfying performance gaps in the work of the professional rather than at simple fitness demands, which makes the item more reliable than rivals, including Fitbit. The use of 50 percent of recycled items also promises to attract those interested in sustainability (Ellen MacArthur Foundation, 2023), which confirms the tradition of HP innovation and mitigates commoditisation threats.</w:t>
      </w:r>
    </w:p>
    <w:p w:rsidR="00733C6F" w:rsidRDefault="00733C6F" w:rsidP="00806C73">
      <w:pPr>
        <w:spacing w:line="360" w:lineRule="auto"/>
        <w:jc w:val="both"/>
        <w:rPr>
          <w:rFonts w:ascii="Times New Roman" w:hAnsi="Times New Roman" w:cs="Times New Roman"/>
          <w:sz w:val="24"/>
          <w:szCs w:val="24"/>
          <w:lang w:val="en-AU"/>
        </w:rPr>
      </w:pPr>
      <w:r w:rsidRPr="00733C6F">
        <w:rPr>
          <w:rFonts w:ascii="Times New Roman" w:hAnsi="Times New Roman" w:cs="Times New Roman"/>
          <w:sz w:val="24"/>
          <w:szCs w:val="24"/>
          <w:lang w:val="en-AU"/>
        </w:rPr>
        <w:t>In a bid to ensure competitiveness in the saturated market, HP Vitality will integrate modular updates with the practices of agile development that will ensure that technological obsolesc</w:t>
      </w:r>
      <w:r>
        <w:rPr>
          <w:rFonts w:ascii="Times New Roman" w:hAnsi="Times New Roman" w:cs="Times New Roman"/>
          <w:sz w:val="24"/>
          <w:szCs w:val="24"/>
          <w:lang w:val="en-AU"/>
        </w:rPr>
        <w:t>ence is minimalised</w:t>
      </w:r>
      <w:r w:rsidRPr="00733C6F">
        <w:rPr>
          <w:rFonts w:ascii="Times New Roman" w:hAnsi="Times New Roman" w:cs="Times New Roman"/>
          <w:sz w:val="24"/>
          <w:szCs w:val="24"/>
          <w:lang w:val="en-AU"/>
        </w:rPr>
        <w:t>. As Apple controls nearly 17% of the world market share, carving out HP as an extender of the professional ecosystem gives it a very specific competitive advantage (LinkedIn, 2024). Differentiation is enhanced by strategic alliances that specifically aim at ensuring the security of enterprise data management. This will develop institutional credibility, which has been especially notable with most multinational companies incorporating wearable information into corporate health dashboards (Deloitte, 2024).</w:t>
      </w:r>
    </w:p>
    <w:p w:rsidR="00733C6F" w:rsidRDefault="00733C6F" w:rsidP="001A0082">
      <w:pPr>
        <w:pStyle w:val="Heading2"/>
        <w:rPr>
          <w:lang w:val="en-AU"/>
        </w:rPr>
      </w:pPr>
      <w:bookmarkStart w:id="7" w:name="_Toc222405288"/>
      <w:r w:rsidRPr="00733C6F">
        <w:rPr>
          <w:lang w:val="en-AU"/>
        </w:rPr>
        <w:t>Positioning</w:t>
      </w:r>
      <w:bookmarkEnd w:id="7"/>
    </w:p>
    <w:p w:rsidR="0098207B" w:rsidRDefault="00733C6F" w:rsidP="00806C73">
      <w:pPr>
        <w:spacing w:line="360" w:lineRule="auto"/>
        <w:jc w:val="both"/>
        <w:rPr>
          <w:rFonts w:ascii="Times New Roman" w:hAnsi="Times New Roman" w:cs="Times New Roman"/>
          <w:sz w:val="24"/>
          <w:szCs w:val="24"/>
          <w:lang w:val="en-AU"/>
        </w:rPr>
      </w:pPr>
      <w:r w:rsidRPr="00733C6F">
        <w:rPr>
          <w:rFonts w:ascii="Times New Roman" w:hAnsi="Times New Roman" w:cs="Times New Roman"/>
          <w:sz w:val="24"/>
          <w:szCs w:val="24"/>
          <w:lang w:val="en-AU"/>
        </w:rPr>
        <w:t>HP Vitality will be positioned</w:t>
      </w:r>
      <w:r w:rsidR="0098207B">
        <w:rPr>
          <w:rFonts w:ascii="Times New Roman" w:hAnsi="Times New Roman" w:cs="Times New Roman"/>
          <w:sz w:val="24"/>
          <w:szCs w:val="24"/>
          <w:lang w:val="en-AU"/>
        </w:rPr>
        <w:t xml:space="preserve"> as “</w:t>
      </w:r>
      <w:r w:rsidRPr="00733C6F">
        <w:rPr>
          <w:rFonts w:ascii="Times New Roman" w:hAnsi="Times New Roman" w:cs="Times New Roman"/>
          <w:sz w:val="24"/>
          <w:szCs w:val="24"/>
          <w:lang w:val="en-AU"/>
        </w:rPr>
        <w:t>The Smart Companion that helps the professional work and stay vital</w:t>
      </w:r>
      <w:r w:rsidR="0098207B">
        <w:rPr>
          <w:rFonts w:ascii="Times New Roman" w:hAnsi="Times New Roman" w:cs="Times New Roman"/>
          <w:sz w:val="24"/>
          <w:szCs w:val="24"/>
          <w:lang w:val="en-AU"/>
        </w:rPr>
        <w:t>”</w:t>
      </w:r>
      <w:r w:rsidRPr="00733C6F">
        <w:rPr>
          <w:rFonts w:ascii="Times New Roman" w:hAnsi="Times New Roman" w:cs="Times New Roman"/>
          <w:sz w:val="24"/>
          <w:szCs w:val="24"/>
          <w:lang w:val="en-AU"/>
        </w:rPr>
        <w:t xml:space="preserve">, having a high-productivity and moderate-health orientation on the perceptual maps that are clearly distinguished compared to the entertainment-focus of Apple (MicroEJ, 2025). The central brand message will be to </w:t>
      </w:r>
      <w:r w:rsidR="0098207B">
        <w:rPr>
          <w:rFonts w:ascii="Times New Roman" w:hAnsi="Times New Roman" w:cs="Times New Roman"/>
          <w:sz w:val="24"/>
          <w:szCs w:val="24"/>
          <w:lang w:val="en-AU"/>
        </w:rPr>
        <w:t>“</w:t>
      </w:r>
      <w:r w:rsidRPr="00733C6F">
        <w:rPr>
          <w:rFonts w:ascii="Times New Roman" w:hAnsi="Times New Roman" w:cs="Times New Roman"/>
          <w:sz w:val="24"/>
          <w:szCs w:val="24"/>
          <w:lang w:val="en-AU"/>
        </w:rPr>
        <w:t>Extend Your Office Sustainably</w:t>
      </w:r>
      <w:r w:rsidR="0098207B">
        <w:rPr>
          <w:rFonts w:ascii="Times New Roman" w:hAnsi="Times New Roman" w:cs="Times New Roman"/>
          <w:sz w:val="24"/>
          <w:szCs w:val="24"/>
          <w:lang w:val="en-AU"/>
        </w:rPr>
        <w:t>”</w:t>
      </w:r>
      <w:r w:rsidRPr="00733C6F">
        <w:rPr>
          <w:rFonts w:ascii="Times New Roman" w:hAnsi="Times New Roman" w:cs="Times New Roman"/>
          <w:sz w:val="24"/>
          <w:szCs w:val="24"/>
          <w:lang w:val="en-AU"/>
        </w:rPr>
        <w:t xml:space="preserve">, will highlight smooth integration with the HP ecosystem, dependability, and responsible design, and be conveyed to urban workers via narrow digital channels (Arizton, 2024). This position is a continuation of the existing brand equity that HP has of reliable technology solutions (Aaker, 2018). As the wearable market is expected to expand at a rate of 15.9% CAGR, the strategy will be integrated with AI-related connectivity to keep up with the competition (MarketsandMarkets, 2025). An integrated marketing communications that is informed by the AIDA principles will facilitate </w:t>
      </w:r>
      <w:r w:rsidRPr="00733C6F">
        <w:rPr>
          <w:rFonts w:ascii="Times New Roman" w:hAnsi="Times New Roman" w:cs="Times New Roman"/>
          <w:sz w:val="24"/>
          <w:szCs w:val="24"/>
          <w:lang w:val="en-AU"/>
        </w:rPr>
        <w:lastRenderedPageBreak/>
        <w:t>high brand recall, whereas the data practices that are compliant with GDPR will help to build consumer trust.</w:t>
      </w:r>
    </w:p>
    <w:p w:rsidR="00834A2D" w:rsidRPr="00834A2D" w:rsidRDefault="00834A2D" w:rsidP="001A0082">
      <w:pPr>
        <w:pStyle w:val="Heading1"/>
      </w:pPr>
      <w:bookmarkStart w:id="8" w:name="_Toc222405289"/>
      <w:r w:rsidRPr="00834A2D">
        <w:t>Element 3: Marketing Mix (4Ps)</w:t>
      </w:r>
      <w:bookmarkEnd w:id="8"/>
    </w:p>
    <w:p w:rsidR="0098207B" w:rsidRDefault="00834A2D" w:rsidP="00806C73">
      <w:pPr>
        <w:spacing w:line="360" w:lineRule="auto"/>
        <w:jc w:val="both"/>
        <w:rPr>
          <w:rFonts w:ascii="Times New Roman" w:hAnsi="Times New Roman" w:cs="Times New Roman"/>
          <w:sz w:val="24"/>
          <w:szCs w:val="24"/>
          <w:lang w:val="en-AU"/>
        </w:rPr>
      </w:pPr>
      <w:r w:rsidRPr="00834A2D">
        <w:rPr>
          <w:rFonts w:ascii="Times New Roman" w:hAnsi="Times New Roman" w:cs="Times New Roman"/>
          <w:sz w:val="24"/>
          <w:szCs w:val="24"/>
          <w:lang w:val="en-AU"/>
        </w:rPr>
        <w:t>The marketing mix which is the 4Ps (Product, Price, Place, Promotion) will form a core platform through which the HP Vitality smartwatch brand extension strategy can be implemented so that it meets the requirements of the professional productivity and sustainability targets in the competitive market of wearables. This discussion critically assesses every aspect with justification of applications using scholarly and business experiences to aid business expansion. With a combination of these Ps, HP will be able to use its technological background to enter a market projected to reach $90 billion by 2028, promote differentiation and customer loyalty to changing consumer needs (Gartner, 2024).</w:t>
      </w:r>
    </w:p>
    <w:p w:rsidR="00834A2D" w:rsidRDefault="00834A2D" w:rsidP="001A0082">
      <w:pPr>
        <w:pStyle w:val="Heading2"/>
        <w:rPr>
          <w:lang w:val="en-AU"/>
        </w:rPr>
      </w:pPr>
      <w:bookmarkStart w:id="9" w:name="_Toc222405290"/>
      <w:r w:rsidRPr="00834A2D">
        <w:rPr>
          <w:lang w:val="en-AU"/>
        </w:rPr>
        <w:t>Product</w:t>
      </w:r>
      <w:bookmarkEnd w:id="9"/>
    </w:p>
    <w:p w:rsidR="00834A2D" w:rsidRDefault="00834A2D" w:rsidP="00806C73">
      <w:pPr>
        <w:spacing w:line="360" w:lineRule="auto"/>
        <w:jc w:val="both"/>
        <w:rPr>
          <w:rFonts w:ascii="Times New Roman" w:hAnsi="Times New Roman" w:cs="Times New Roman"/>
          <w:sz w:val="24"/>
          <w:szCs w:val="24"/>
          <w:lang w:val="en-AU"/>
        </w:rPr>
      </w:pPr>
      <w:r w:rsidRPr="00834A2D">
        <w:rPr>
          <w:rFonts w:ascii="Times New Roman" w:hAnsi="Times New Roman" w:cs="Times New Roman"/>
          <w:sz w:val="24"/>
          <w:szCs w:val="24"/>
          <w:lang w:val="en-AU"/>
        </w:rPr>
        <w:t>The product strategy of HP vitality is founded on meaningful functionality and professional relevance. The gadget will have 1.4-inch AMOLED screen, advanced health sensors and a smooth integration with HP ecosystem that will support smaller productivity features like document scanning and remote printing orders. There will be Standard and Pro editions that will match different performance levels, and the use of recycled plastics will support the sustainability pledges of HP. Instead of the competition based on the novelty only, the stra</w:t>
      </w:r>
      <w:r w:rsidR="00867A6F">
        <w:rPr>
          <w:rFonts w:ascii="Times New Roman" w:hAnsi="Times New Roman" w:cs="Times New Roman"/>
          <w:sz w:val="24"/>
          <w:szCs w:val="24"/>
          <w:lang w:val="en-AU"/>
        </w:rPr>
        <w:t>tegy echoes the argument by Peng et al. (2021</w:t>
      </w:r>
      <w:r w:rsidRPr="00834A2D">
        <w:rPr>
          <w:rFonts w:ascii="Times New Roman" w:hAnsi="Times New Roman" w:cs="Times New Roman"/>
          <w:sz w:val="24"/>
          <w:szCs w:val="24"/>
          <w:lang w:val="en-AU"/>
        </w:rPr>
        <w:t>) that attribute-based differentiation plays a critical role in a saturated marketplace of technology. With the emphasis on durability and modular software updates, the HP Vitality is aimed at reducing the element of obsolescence and enhancing its position based on reliability as a stable extension in workplace challenges in the hybrid setting.</w:t>
      </w:r>
    </w:p>
    <w:p w:rsidR="00834A2D" w:rsidRDefault="00834A2D" w:rsidP="00806C73">
      <w:pPr>
        <w:spacing w:line="360" w:lineRule="auto"/>
        <w:jc w:val="both"/>
        <w:rPr>
          <w:rFonts w:ascii="Times New Roman" w:hAnsi="Times New Roman" w:cs="Times New Roman"/>
          <w:sz w:val="24"/>
          <w:szCs w:val="24"/>
          <w:lang w:val="en-AU"/>
        </w:rPr>
      </w:pPr>
      <w:r w:rsidRPr="00834A2D">
        <w:rPr>
          <w:rFonts w:ascii="Times New Roman" w:hAnsi="Times New Roman" w:cs="Times New Roman"/>
          <w:sz w:val="24"/>
          <w:szCs w:val="24"/>
          <w:lang w:val="en-AU"/>
        </w:rPr>
        <w:t xml:space="preserve">The use of data-driven innovation will further increase the competitive advantage of the product. By introducing the processes of big data analytics into developmental processes, HP will have the ability to constantly improve the features in real-time, according to the user behaviour, and maximize both health tracking and productivity. AI-based stress monitoring is a direct reaction to the emerging high demand in the consumer market in the sphere of integrated wellness solutions and energy-efficient elements are in line with the </w:t>
      </w:r>
      <w:r w:rsidR="00867A6F">
        <w:rPr>
          <w:rFonts w:ascii="Times New Roman" w:hAnsi="Times New Roman" w:cs="Times New Roman"/>
          <w:sz w:val="24"/>
          <w:szCs w:val="24"/>
          <w:lang w:val="en-AU"/>
        </w:rPr>
        <w:t xml:space="preserve">sustainability efforts. As </w:t>
      </w:r>
      <w:r w:rsidR="00867A6F" w:rsidRPr="00867A6F">
        <w:rPr>
          <w:rFonts w:ascii="Times New Roman" w:hAnsi="Times New Roman" w:cs="Times New Roman"/>
          <w:sz w:val="24"/>
          <w:szCs w:val="24"/>
        </w:rPr>
        <w:t>Mikalef</w:t>
      </w:r>
      <w:r w:rsidR="00867A6F">
        <w:rPr>
          <w:rFonts w:ascii="Times New Roman" w:hAnsi="Times New Roman" w:cs="Times New Roman"/>
          <w:sz w:val="24"/>
          <w:szCs w:val="24"/>
        </w:rPr>
        <w:t xml:space="preserve"> et al.</w:t>
      </w:r>
      <w:r w:rsidR="00867A6F">
        <w:rPr>
          <w:rFonts w:ascii="Times New Roman" w:hAnsi="Times New Roman" w:cs="Times New Roman"/>
          <w:sz w:val="24"/>
          <w:szCs w:val="24"/>
          <w:lang w:val="en-AU"/>
        </w:rPr>
        <w:t xml:space="preserve"> (2019</w:t>
      </w:r>
      <w:r w:rsidRPr="00834A2D">
        <w:rPr>
          <w:rFonts w:ascii="Times New Roman" w:hAnsi="Times New Roman" w:cs="Times New Roman"/>
          <w:sz w:val="24"/>
          <w:szCs w:val="24"/>
          <w:lang w:val="en-AU"/>
        </w:rPr>
        <w:t xml:space="preserve">) argues, companies that base their innovation on analytics have a better chance of dealing with technological uncertainty and changing consumer demands. By using these insights, HP Vitality will be able to remain relevant, increase their interaction with </w:t>
      </w:r>
      <w:r w:rsidRPr="00834A2D">
        <w:rPr>
          <w:rFonts w:ascii="Times New Roman" w:hAnsi="Times New Roman" w:cs="Times New Roman"/>
          <w:sz w:val="24"/>
          <w:szCs w:val="24"/>
          <w:lang w:val="en-AU"/>
        </w:rPr>
        <w:lastRenderedPageBreak/>
        <w:t>the user, and help the company grow its revenue in the long term in the changing landscape of wearables.</w:t>
      </w:r>
    </w:p>
    <w:p w:rsidR="00FA67B3" w:rsidRPr="00FA67B3" w:rsidRDefault="00FA67B3" w:rsidP="001A0082">
      <w:pPr>
        <w:pStyle w:val="Heading2"/>
      </w:pPr>
      <w:bookmarkStart w:id="10" w:name="_Toc222405291"/>
      <w:r w:rsidRPr="00FA67B3">
        <w:t>Price</w:t>
      </w:r>
      <w:bookmarkEnd w:id="10"/>
    </w:p>
    <w:p w:rsidR="00FA67B3" w:rsidRDefault="00FA67B3" w:rsidP="00806C73">
      <w:pPr>
        <w:spacing w:line="360" w:lineRule="auto"/>
        <w:jc w:val="both"/>
        <w:rPr>
          <w:rFonts w:ascii="Times New Roman" w:hAnsi="Times New Roman" w:cs="Times New Roman"/>
          <w:sz w:val="24"/>
          <w:szCs w:val="24"/>
          <w:lang w:val="en-AU"/>
        </w:rPr>
      </w:pPr>
      <w:r w:rsidRPr="00FA67B3">
        <w:rPr>
          <w:rFonts w:ascii="Times New Roman" w:hAnsi="Times New Roman" w:cs="Times New Roman"/>
          <w:sz w:val="24"/>
          <w:szCs w:val="24"/>
          <w:lang w:val="en-AU"/>
        </w:rPr>
        <w:t xml:space="preserve">To have a competitive position, HP Vitality will use a value-based system with the base pricing being at $249, which is below high-end options like the Apple Watch but conveys higher quality to middle-to-income professionals. Having HP laptops with bundled offers and the ability to add extra levels of subscription to sophisticated analytics will make the product more valuable and reasonable, especially in those markets characterized by relatively high price sensitivity. </w:t>
      </w:r>
      <w:r w:rsidR="00867A6F">
        <w:rPr>
          <w:rFonts w:ascii="Times New Roman" w:hAnsi="Times New Roman" w:cs="Times New Roman"/>
          <w:sz w:val="24"/>
          <w:szCs w:val="24"/>
        </w:rPr>
        <w:t>Hinterhuber and</w:t>
      </w:r>
      <w:r w:rsidR="00867A6F" w:rsidRPr="00867A6F">
        <w:rPr>
          <w:rFonts w:ascii="Times New Roman" w:hAnsi="Times New Roman" w:cs="Times New Roman"/>
          <w:sz w:val="24"/>
          <w:szCs w:val="24"/>
        </w:rPr>
        <w:t xml:space="preserve"> Liozu</w:t>
      </w:r>
      <w:r w:rsidR="00867A6F" w:rsidRPr="00867A6F">
        <w:rPr>
          <w:rFonts w:ascii="Times New Roman" w:hAnsi="Times New Roman" w:cs="Times New Roman"/>
          <w:sz w:val="24"/>
          <w:szCs w:val="24"/>
          <w:lang w:val="en-AU"/>
        </w:rPr>
        <w:t xml:space="preserve"> </w:t>
      </w:r>
      <w:r w:rsidRPr="00FA67B3">
        <w:rPr>
          <w:rFonts w:ascii="Times New Roman" w:hAnsi="Times New Roman" w:cs="Times New Roman"/>
          <w:sz w:val="24"/>
          <w:szCs w:val="24"/>
          <w:lang w:val="en-AU"/>
        </w:rPr>
        <w:t>(2019) provide evidence that value-based pricing provides firms and individuals with the scope to balance profitability and accessibility to maintain tar</w:t>
      </w:r>
      <w:r>
        <w:rPr>
          <w:rFonts w:ascii="Times New Roman" w:hAnsi="Times New Roman" w:cs="Times New Roman"/>
          <w:sz w:val="24"/>
          <w:szCs w:val="24"/>
          <w:lang w:val="en-AU"/>
        </w:rPr>
        <w:t>get margins</w:t>
      </w:r>
      <w:r w:rsidRPr="00FA67B3">
        <w:rPr>
          <w:rFonts w:ascii="Times New Roman" w:hAnsi="Times New Roman" w:cs="Times New Roman"/>
          <w:sz w:val="24"/>
          <w:szCs w:val="24"/>
          <w:lang w:val="en-AU"/>
        </w:rPr>
        <w:t xml:space="preserve"> even in the face of inflationary pressures. It is possible to peg price on integration benefits and productivity in the ecosystem to provide HP with an opportunity to offer a small premium and not to lose brand value in the market context where consumers value compatibility and convenience.</w:t>
      </w:r>
    </w:p>
    <w:p w:rsidR="00FA67B3" w:rsidRDefault="000737F1" w:rsidP="00806C73">
      <w:pPr>
        <w:spacing w:line="360" w:lineRule="auto"/>
        <w:jc w:val="both"/>
        <w:rPr>
          <w:rFonts w:ascii="Times New Roman" w:hAnsi="Times New Roman" w:cs="Times New Roman"/>
          <w:sz w:val="24"/>
          <w:szCs w:val="24"/>
          <w:lang w:val="en-AU"/>
        </w:rPr>
      </w:pPr>
      <w:r w:rsidRPr="000737F1">
        <w:rPr>
          <w:rFonts w:ascii="Times New Roman" w:hAnsi="Times New Roman" w:cs="Times New Roman"/>
          <w:sz w:val="24"/>
          <w:szCs w:val="24"/>
          <w:lang w:val="en-AU"/>
        </w:rPr>
        <w:t xml:space="preserve">To enhance the responsiveness, dynamic pricing systems via e-commerce platforms will enable the HP to vary the rates depending on the level of competition, income disparity within the region, with more affordable levels in the Asia-Pacific markets. Discounts on corporate wellness programmes which are limited-time can further encourage demand since value propositions that target health have been found to lead to a significant increase in willingness </w:t>
      </w:r>
      <w:r w:rsidR="00867A6F">
        <w:rPr>
          <w:rFonts w:ascii="Times New Roman" w:hAnsi="Times New Roman" w:cs="Times New Roman"/>
          <w:sz w:val="24"/>
          <w:szCs w:val="24"/>
          <w:lang w:val="en-AU"/>
        </w:rPr>
        <w:t xml:space="preserve">to pay. According to </w:t>
      </w:r>
      <w:r w:rsidR="00867A6F">
        <w:rPr>
          <w:rFonts w:ascii="Times New Roman" w:hAnsi="Times New Roman" w:cs="Times New Roman"/>
          <w:sz w:val="24"/>
          <w:szCs w:val="24"/>
        </w:rPr>
        <w:t>Kotler</w:t>
      </w:r>
      <w:r w:rsidR="00867A6F" w:rsidRPr="00867A6F">
        <w:rPr>
          <w:rFonts w:ascii="Times New Roman" w:hAnsi="Times New Roman" w:cs="Times New Roman"/>
          <w:sz w:val="24"/>
          <w:szCs w:val="24"/>
        </w:rPr>
        <w:t xml:space="preserve"> and Armstrong</w:t>
      </w:r>
      <w:r w:rsidR="00867A6F" w:rsidRPr="00867A6F">
        <w:rPr>
          <w:rFonts w:ascii="Times New Roman" w:hAnsi="Times New Roman" w:cs="Times New Roman"/>
          <w:sz w:val="24"/>
          <w:szCs w:val="24"/>
          <w:lang w:val="en-AU"/>
        </w:rPr>
        <w:t xml:space="preserve"> </w:t>
      </w:r>
      <w:r w:rsidRPr="000737F1">
        <w:rPr>
          <w:rFonts w:ascii="Times New Roman" w:hAnsi="Times New Roman" w:cs="Times New Roman"/>
          <w:sz w:val="24"/>
          <w:szCs w:val="24"/>
          <w:lang w:val="en-AU"/>
        </w:rPr>
        <w:t>(2016), the pricing strategies facilitated by perceived value and not based on the cost structures are more suitable to the modern consumer behaviour. The pricing strategy of HP Vitality will improve customer loyalty and maintain a consistent increase in revenues in the changing wearables market by embracing flexibility as well as strategic positioning.</w:t>
      </w:r>
    </w:p>
    <w:p w:rsidR="00867A6F" w:rsidRPr="00867A6F" w:rsidRDefault="00867A6F" w:rsidP="001A0082">
      <w:pPr>
        <w:pStyle w:val="Heading2"/>
        <w:rPr>
          <w:lang w:val="en-AU"/>
        </w:rPr>
      </w:pPr>
      <w:bookmarkStart w:id="11" w:name="_Toc222405292"/>
      <w:r w:rsidRPr="00867A6F">
        <w:rPr>
          <w:lang w:val="en-AU"/>
        </w:rPr>
        <w:t>Place</w:t>
      </w:r>
      <w:bookmarkEnd w:id="11"/>
    </w:p>
    <w:p w:rsidR="00867A6F" w:rsidRDefault="00867A6F" w:rsidP="00806C73">
      <w:pPr>
        <w:spacing w:line="360" w:lineRule="auto"/>
        <w:jc w:val="both"/>
        <w:rPr>
          <w:rFonts w:ascii="Times New Roman" w:hAnsi="Times New Roman" w:cs="Times New Roman"/>
          <w:sz w:val="24"/>
          <w:szCs w:val="24"/>
          <w:lang w:val="en-AU"/>
        </w:rPr>
      </w:pPr>
      <w:r w:rsidRPr="00867A6F">
        <w:rPr>
          <w:rFonts w:ascii="Times New Roman" w:hAnsi="Times New Roman" w:cs="Times New Roman"/>
          <w:sz w:val="24"/>
          <w:szCs w:val="24"/>
          <w:lang w:val="en-AU"/>
        </w:rPr>
        <w:t>HP Vitality will be an omnichannel distribution model with an equal balance between reach and brand control. The main focus will be the direct-to-consumer sales via HP.com and strategic alliances with local established retailers like Amazon and Best Buy to be seen in major urban professional markets. The channel management will be selective to maintain brand positioning, will also use the experience HP has with its global supply chain to provide operational efficiency, such as carbon-neutra</w:t>
      </w:r>
      <w:r w:rsidR="0053685F">
        <w:rPr>
          <w:rFonts w:ascii="Times New Roman" w:hAnsi="Times New Roman" w:cs="Times New Roman"/>
          <w:sz w:val="24"/>
          <w:szCs w:val="24"/>
          <w:lang w:val="en-AU"/>
        </w:rPr>
        <w:t>l shipments. According to IDC</w:t>
      </w:r>
      <w:r w:rsidRPr="00867A6F">
        <w:rPr>
          <w:rFonts w:ascii="Times New Roman" w:hAnsi="Times New Roman" w:cs="Times New Roman"/>
          <w:sz w:val="24"/>
          <w:szCs w:val="24"/>
          <w:lang w:val="en-AU"/>
        </w:rPr>
        <w:t xml:space="preserve"> (2019), concentrating on the high-adoption regions, especially in North America and Europe, </w:t>
      </w:r>
      <w:r w:rsidRPr="00867A6F">
        <w:rPr>
          <w:rFonts w:ascii="Times New Roman" w:hAnsi="Times New Roman" w:cs="Times New Roman"/>
          <w:sz w:val="24"/>
          <w:szCs w:val="24"/>
          <w:lang w:val="en-AU"/>
        </w:rPr>
        <w:lastRenderedPageBreak/>
        <w:t>reinforces the performance in the areas where digital infrastructure facilitates the smooth integration of wearables. This managed growth makes accessibility better without devaluing the brand in a fragmented and competitive market.</w:t>
      </w:r>
    </w:p>
    <w:p w:rsidR="00EC30A3" w:rsidRDefault="00EC30A3" w:rsidP="00806C73">
      <w:pPr>
        <w:spacing w:line="360" w:lineRule="auto"/>
        <w:jc w:val="both"/>
        <w:rPr>
          <w:rFonts w:ascii="Times New Roman" w:hAnsi="Times New Roman" w:cs="Times New Roman"/>
          <w:sz w:val="24"/>
          <w:szCs w:val="24"/>
          <w:lang w:val="en-AU"/>
        </w:rPr>
      </w:pPr>
      <w:r w:rsidRPr="00EC30A3">
        <w:rPr>
          <w:rFonts w:ascii="Times New Roman" w:hAnsi="Times New Roman" w:cs="Times New Roman"/>
          <w:sz w:val="24"/>
          <w:szCs w:val="24"/>
          <w:lang w:val="en-AU"/>
        </w:rPr>
        <w:t>To support B2B-to-B2C crossover, distribution shall also incorporate enterprise partnerships and custom pop-ups in key business districts and directly address hybrid professionals. As the e-commerce sector i</w:t>
      </w:r>
      <w:r>
        <w:rPr>
          <w:rFonts w:ascii="Times New Roman" w:hAnsi="Times New Roman" w:cs="Times New Roman"/>
          <w:sz w:val="24"/>
          <w:szCs w:val="24"/>
          <w:lang w:val="en-AU"/>
        </w:rPr>
        <w:t>s</w:t>
      </w:r>
      <w:r w:rsidR="005A1DB0">
        <w:rPr>
          <w:rFonts w:ascii="Times New Roman" w:hAnsi="Times New Roman" w:cs="Times New Roman"/>
          <w:sz w:val="24"/>
          <w:szCs w:val="24"/>
          <w:lang w:val="en-AU"/>
        </w:rPr>
        <w:t xml:space="preserve"> expected to take about 80</w:t>
      </w:r>
      <w:r w:rsidRPr="00EC30A3">
        <w:rPr>
          <w:rFonts w:ascii="Times New Roman" w:hAnsi="Times New Roman" w:cs="Times New Roman"/>
          <w:sz w:val="24"/>
          <w:szCs w:val="24"/>
          <w:lang w:val="en-AU"/>
        </w:rPr>
        <w:t>% of sales</w:t>
      </w:r>
      <w:r>
        <w:rPr>
          <w:rFonts w:ascii="Times New Roman" w:hAnsi="Times New Roman" w:cs="Times New Roman"/>
          <w:sz w:val="24"/>
          <w:szCs w:val="24"/>
          <w:lang w:val="en-AU"/>
        </w:rPr>
        <w:t xml:space="preserve"> (Gartner, 2020)</w:t>
      </w:r>
      <w:r w:rsidRPr="00EC30A3">
        <w:rPr>
          <w:rFonts w:ascii="Times New Roman" w:hAnsi="Times New Roman" w:cs="Times New Roman"/>
          <w:sz w:val="24"/>
          <w:szCs w:val="24"/>
          <w:lang w:val="en-AU"/>
        </w:rPr>
        <w:t>, the strategy follows current tendencies of digital buying habits without depend</w:t>
      </w:r>
      <w:r>
        <w:rPr>
          <w:rFonts w:ascii="Times New Roman" w:hAnsi="Times New Roman" w:cs="Times New Roman"/>
          <w:sz w:val="24"/>
          <w:szCs w:val="24"/>
          <w:lang w:val="en-AU"/>
        </w:rPr>
        <w:t>ing on the old style of retail</w:t>
      </w:r>
      <w:r w:rsidRPr="00EC30A3">
        <w:rPr>
          <w:rFonts w:ascii="Times New Roman" w:hAnsi="Times New Roman" w:cs="Times New Roman"/>
          <w:sz w:val="24"/>
          <w:szCs w:val="24"/>
          <w:lang w:val="en-AU"/>
        </w:rPr>
        <w:t>. Co-operations with office technology vendors will also increase coverage of consumers who relate more to productivity. The channel conflict will be reduced by exclusive online features and differentiated offerings that will maintain a high value perception. Together, this combined distribution is aimed at maximising the market penetration, operational efficiency, and revenue contribution due to the increasing wearables segment.</w:t>
      </w:r>
    </w:p>
    <w:p w:rsidR="005A1DB0" w:rsidRPr="005A1DB0" w:rsidRDefault="005A1DB0" w:rsidP="001A0082">
      <w:pPr>
        <w:pStyle w:val="Heading2"/>
        <w:rPr>
          <w:lang w:val="en-AU"/>
        </w:rPr>
      </w:pPr>
      <w:bookmarkStart w:id="12" w:name="_Toc222405293"/>
      <w:r w:rsidRPr="005A1DB0">
        <w:rPr>
          <w:lang w:val="en-AU"/>
        </w:rPr>
        <w:t>Promotion</w:t>
      </w:r>
      <w:bookmarkEnd w:id="12"/>
    </w:p>
    <w:p w:rsidR="005A1DB0" w:rsidRDefault="005A1DB0" w:rsidP="00806C73">
      <w:pPr>
        <w:spacing w:line="360" w:lineRule="auto"/>
        <w:jc w:val="both"/>
        <w:rPr>
          <w:rFonts w:ascii="Times New Roman" w:hAnsi="Times New Roman" w:cs="Times New Roman"/>
          <w:sz w:val="24"/>
          <w:szCs w:val="24"/>
          <w:lang w:val="en-AU"/>
        </w:rPr>
      </w:pPr>
      <w:r w:rsidRPr="005A1DB0">
        <w:rPr>
          <w:rFonts w:ascii="Times New Roman" w:hAnsi="Times New Roman" w:cs="Times New Roman"/>
          <w:sz w:val="24"/>
          <w:szCs w:val="24"/>
          <w:lang w:val="en-AU"/>
        </w:rPr>
        <w:t>The integrated marketing communications plan of HP Vitality will focus on the targeted digital interactions that are accurate and precise to target the professional audience. Targeted advertising and sponsored content on LinkedIn and YouTube will indicate the benefits of productivity integration and sustainability, respectively, addressing the urban knowledge workers directly. Partnerships with reputable technology influencers and productivity thought leaders will strengthen brand authority, and aggressive public relations presence at such global technology events like CES will create awareness in the indus</w:t>
      </w:r>
      <w:r>
        <w:rPr>
          <w:rFonts w:ascii="Times New Roman" w:hAnsi="Times New Roman" w:cs="Times New Roman"/>
          <w:sz w:val="24"/>
          <w:szCs w:val="24"/>
          <w:lang w:val="en-AU"/>
        </w:rPr>
        <w:t>try. In tandem with Liu and Zhang (2025</w:t>
      </w:r>
      <w:r w:rsidRPr="005A1DB0">
        <w:rPr>
          <w:rFonts w:ascii="Times New Roman" w:hAnsi="Times New Roman" w:cs="Times New Roman"/>
          <w:sz w:val="24"/>
          <w:szCs w:val="24"/>
          <w:lang w:val="en-AU"/>
        </w:rPr>
        <w:t>), the implementation of AIDA framework will inform awareness and persuasion, with an objective of attaining free recall of the brand. The campaign will reduce the effects of advertising saturation and maximise meaningful interaction within a saturated wearable industry by focusing on genuine stories rather than senseless promotion.</w:t>
      </w:r>
    </w:p>
    <w:p w:rsidR="005A1DB0" w:rsidRDefault="005A1DB0" w:rsidP="00806C73">
      <w:pPr>
        <w:spacing w:line="360" w:lineRule="auto"/>
        <w:jc w:val="both"/>
        <w:rPr>
          <w:rFonts w:ascii="Times New Roman" w:hAnsi="Times New Roman" w:cs="Times New Roman"/>
          <w:sz w:val="24"/>
          <w:szCs w:val="24"/>
          <w:lang w:val="en-AU"/>
        </w:rPr>
      </w:pPr>
      <w:r w:rsidRPr="005A1DB0">
        <w:rPr>
          <w:rFonts w:ascii="Times New Roman" w:hAnsi="Times New Roman" w:cs="Times New Roman"/>
          <w:sz w:val="24"/>
          <w:szCs w:val="24"/>
          <w:lang w:val="en-AU"/>
        </w:rPr>
        <w:t>The promotional messages will include emotional and health based stories as well, and represent AI-driven insights that reaffirm work-life balance and stress management. The campaigns on user-generated content will stimulate further participation, which will strengthen continuous use of the product and credibility of the community. Developed machine learning and data analytics will allow effective targeting of the audience and look-alike modeling to increase relevance throughout the social media. These data-driven strategies are quite useful in the generation of demand in the</w:t>
      </w:r>
      <w:r w:rsidR="00D82989">
        <w:rPr>
          <w:rFonts w:ascii="Times New Roman" w:hAnsi="Times New Roman" w:cs="Times New Roman"/>
          <w:sz w:val="24"/>
          <w:szCs w:val="24"/>
          <w:lang w:val="en-AU"/>
        </w:rPr>
        <w:t xml:space="preserve"> IoT wearables industry, as Park et al. (2025</w:t>
      </w:r>
      <w:r w:rsidRPr="005A1DB0">
        <w:rPr>
          <w:rFonts w:ascii="Times New Roman" w:hAnsi="Times New Roman" w:cs="Times New Roman"/>
          <w:sz w:val="24"/>
          <w:szCs w:val="24"/>
          <w:lang w:val="en-AU"/>
        </w:rPr>
        <w:t xml:space="preserve">) state. Together, this communication strategy will strengthen the loyalty towards the brand name, establish HP </w:t>
      </w:r>
      <w:r w:rsidRPr="005A1DB0">
        <w:rPr>
          <w:rFonts w:ascii="Times New Roman" w:hAnsi="Times New Roman" w:cs="Times New Roman"/>
          <w:sz w:val="24"/>
          <w:szCs w:val="24"/>
          <w:lang w:val="en-AU"/>
        </w:rPr>
        <w:lastRenderedPageBreak/>
        <w:t>Vitality as an imperative professional tool, and lay the groundwork to the long-term business development.</w:t>
      </w:r>
    </w:p>
    <w:p w:rsidR="00D82989" w:rsidRPr="00D82989" w:rsidRDefault="00D82989" w:rsidP="001A0082">
      <w:pPr>
        <w:pStyle w:val="Heading1"/>
      </w:pPr>
      <w:bookmarkStart w:id="13" w:name="_Toc222405294"/>
      <w:r w:rsidRPr="00D82989">
        <w:t>Element 4: Reflection</w:t>
      </w:r>
      <w:r>
        <w:t xml:space="preserve"> (</w:t>
      </w:r>
      <w:r w:rsidRPr="00D82989">
        <w:t>Kolb’s Experiential Learning Cycle</w:t>
      </w:r>
      <w:r>
        <w:t>)</w:t>
      </w:r>
      <w:bookmarkEnd w:id="13"/>
    </w:p>
    <w:p w:rsidR="00771FE0" w:rsidRPr="00771FE0" w:rsidRDefault="00771FE0" w:rsidP="001A0082">
      <w:pPr>
        <w:pStyle w:val="Heading2"/>
      </w:pPr>
      <w:bookmarkStart w:id="14" w:name="_Toc222405295"/>
      <w:r w:rsidRPr="00771FE0">
        <w:t>Concrete Experience</w:t>
      </w:r>
      <w:bookmarkEnd w:id="14"/>
    </w:p>
    <w:p w:rsidR="00D82989" w:rsidRDefault="00771FE0" w:rsidP="00806C73">
      <w:pPr>
        <w:spacing w:line="360" w:lineRule="auto"/>
        <w:jc w:val="both"/>
        <w:rPr>
          <w:rFonts w:ascii="Times New Roman" w:hAnsi="Times New Roman" w:cs="Times New Roman"/>
          <w:sz w:val="24"/>
          <w:szCs w:val="24"/>
          <w:lang w:val="en-AU"/>
        </w:rPr>
      </w:pPr>
      <w:r w:rsidRPr="00771FE0">
        <w:rPr>
          <w:rFonts w:ascii="Times New Roman" w:hAnsi="Times New Roman" w:cs="Times New Roman"/>
          <w:sz w:val="24"/>
          <w:szCs w:val="24"/>
          <w:lang w:val="en-AU"/>
        </w:rPr>
        <w:t>The creation of the HP Vitality brand extension was based on a thorough study of the HP ecosystem, the analysis of the market gaps in professional wearables, and the need to develop a strategy based on productivity and sustainability. Creation of the poster on Canva and the delivery later on PowerPoint, involved breaking down strategic knowledge into understandable and convincing visuals. I required critical analysis of industry information and scholarly theory, which was much more indicative of the duties of a marketing manager and clearly helped to bridge the gap between STDP and the 4Ps and their application.</w:t>
      </w:r>
    </w:p>
    <w:p w:rsidR="00771FE0" w:rsidRPr="00771FE0" w:rsidRDefault="00771FE0" w:rsidP="001A0082">
      <w:pPr>
        <w:pStyle w:val="Heading2"/>
      </w:pPr>
      <w:bookmarkStart w:id="15" w:name="_Toc222405296"/>
      <w:r w:rsidRPr="00771FE0">
        <w:t>Reflective Observation</w:t>
      </w:r>
      <w:bookmarkEnd w:id="15"/>
    </w:p>
    <w:p w:rsidR="00771FE0" w:rsidRDefault="00546D4A" w:rsidP="00806C73">
      <w:pPr>
        <w:spacing w:line="360" w:lineRule="auto"/>
        <w:jc w:val="both"/>
        <w:rPr>
          <w:rFonts w:ascii="Times New Roman" w:hAnsi="Times New Roman" w:cs="Times New Roman"/>
          <w:sz w:val="24"/>
          <w:szCs w:val="24"/>
          <w:lang w:val="en-AU"/>
        </w:rPr>
      </w:pPr>
      <w:r w:rsidRPr="00546D4A">
        <w:rPr>
          <w:rFonts w:ascii="Times New Roman" w:hAnsi="Times New Roman" w:cs="Times New Roman"/>
          <w:sz w:val="24"/>
          <w:szCs w:val="24"/>
          <w:lang w:val="en-AU"/>
        </w:rPr>
        <w:t>When considering the process, I felt that my strengths were on doing well in analysis, including market segmentation, but my performance in creative ideation was poor as first extension ideas were generic before being refined. The poster preparation also demonstrated my enhanced visual communication skills, but time-based rehearsal showed that I have a problem with timing when I am under pressure. All in all, the project helped me gain more insight into brand dynamics in the tech industry, which brought to light the effect of sustainability on consumer interest. This fact highlights the cyclic aspect of marketing campaigns, in which feedback mechanisms could have been used to improve performance, as part of what Kolb describes as an experiential assessment toward balanced learning.</w:t>
      </w:r>
    </w:p>
    <w:p w:rsidR="00546D4A" w:rsidRPr="00546D4A" w:rsidRDefault="00546D4A" w:rsidP="001A0082">
      <w:pPr>
        <w:pStyle w:val="Heading2"/>
      </w:pPr>
      <w:bookmarkStart w:id="16" w:name="_Toc222405297"/>
      <w:r w:rsidRPr="00546D4A">
        <w:t>Abstract Conceptualization</w:t>
      </w:r>
      <w:bookmarkEnd w:id="16"/>
    </w:p>
    <w:p w:rsidR="00546D4A" w:rsidRDefault="00546D4A" w:rsidP="00806C73">
      <w:pPr>
        <w:spacing w:line="360" w:lineRule="auto"/>
        <w:jc w:val="both"/>
        <w:rPr>
          <w:rFonts w:ascii="Times New Roman" w:hAnsi="Times New Roman" w:cs="Times New Roman"/>
          <w:sz w:val="24"/>
          <w:szCs w:val="24"/>
          <w:lang w:val="en-AU"/>
        </w:rPr>
      </w:pPr>
      <w:r w:rsidRPr="00546D4A">
        <w:rPr>
          <w:rFonts w:ascii="Times New Roman" w:hAnsi="Times New Roman" w:cs="Times New Roman"/>
          <w:sz w:val="24"/>
          <w:szCs w:val="24"/>
          <w:lang w:val="en-AU"/>
        </w:rPr>
        <w:t>Through this experience, I learned the most important concepts about the role of marketing in the business development, including how technology trends such as integration of AI is powering brand extensions. On the professional level, it helped me to become more strategic and plausible in my decision-making that applies to the duties of a manager, and on a personal level, it gave me the more valuable skill of speaking articulately and convincingly. In line with the experiential learning cycle used by Kolb (1984), I had the opportunity to refine experiential engagement to generalized conceptual information such as the value of sustainability as a source of differentiation. The process helped me grow as it focused on flexible, evidence-based strategies on dynamic markets.</w:t>
      </w:r>
    </w:p>
    <w:p w:rsidR="00546D4A" w:rsidRPr="00546D4A" w:rsidRDefault="00546D4A" w:rsidP="001A0082">
      <w:pPr>
        <w:pStyle w:val="Heading2"/>
      </w:pPr>
      <w:bookmarkStart w:id="17" w:name="_Toc222405298"/>
      <w:r w:rsidRPr="00546D4A">
        <w:lastRenderedPageBreak/>
        <w:t>Active Experimentation</w:t>
      </w:r>
      <w:bookmarkEnd w:id="17"/>
    </w:p>
    <w:p w:rsidR="00546D4A" w:rsidRDefault="00BB0994" w:rsidP="00806C73">
      <w:pPr>
        <w:spacing w:line="360" w:lineRule="auto"/>
        <w:jc w:val="both"/>
        <w:rPr>
          <w:rFonts w:ascii="Times New Roman" w:hAnsi="Times New Roman" w:cs="Times New Roman"/>
          <w:sz w:val="24"/>
          <w:szCs w:val="24"/>
          <w:lang w:val="en-AU"/>
        </w:rPr>
      </w:pPr>
      <w:r w:rsidRPr="00BB0994">
        <w:rPr>
          <w:rFonts w:ascii="Times New Roman" w:hAnsi="Times New Roman" w:cs="Times New Roman"/>
          <w:sz w:val="24"/>
          <w:szCs w:val="24"/>
          <w:lang w:val="en-AU"/>
        </w:rPr>
        <w:t>In future projects, I will use primary research methods, including surveys, to reinforce market validation and overcome the constraint that comes with using secondary data only. Conducting formal peer review will also make presentations more understandable and convincing. Also, better planning tools will be used to aid in better time management and implementation. By implementing knowledge on the experiential learning cycle developed by Kolb (1984), I intend to translate the process of reflection into an active experimentation, which would allow me to increase the level of analytical rigour and create more resolute and strategically based marketing products.</w:t>
      </w:r>
    </w:p>
    <w:p w:rsidR="00EC30A3" w:rsidRPr="00834A2D" w:rsidRDefault="00EC30A3" w:rsidP="00806C73">
      <w:pPr>
        <w:spacing w:line="360" w:lineRule="auto"/>
        <w:jc w:val="both"/>
        <w:rPr>
          <w:rFonts w:ascii="Times New Roman" w:hAnsi="Times New Roman" w:cs="Times New Roman"/>
          <w:sz w:val="24"/>
          <w:szCs w:val="24"/>
          <w:lang w:val="en-AU"/>
        </w:rPr>
      </w:pPr>
    </w:p>
    <w:p w:rsidR="0098207B" w:rsidRDefault="0098207B">
      <w:pPr>
        <w:rPr>
          <w:rFonts w:ascii="Times New Roman" w:hAnsi="Times New Roman" w:cs="Times New Roman"/>
          <w:sz w:val="24"/>
          <w:szCs w:val="24"/>
          <w:lang w:val="en-AU"/>
        </w:rPr>
      </w:pPr>
      <w:r>
        <w:rPr>
          <w:rFonts w:ascii="Times New Roman" w:hAnsi="Times New Roman" w:cs="Times New Roman"/>
          <w:sz w:val="24"/>
          <w:szCs w:val="24"/>
          <w:lang w:val="en-AU"/>
        </w:rPr>
        <w:br w:type="page"/>
      </w:r>
    </w:p>
    <w:p w:rsidR="00733C6F" w:rsidRPr="0098207B" w:rsidRDefault="0098207B" w:rsidP="001A0082">
      <w:pPr>
        <w:pStyle w:val="Heading1"/>
        <w:rPr>
          <w:lang w:val="en-AU"/>
        </w:rPr>
      </w:pPr>
      <w:bookmarkStart w:id="18" w:name="_Toc222405299"/>
      <w:r w:rsidRPr="0098207B">
        <w:rPr>
          <w:lang w:val="en-AU"/>
        </w:rPr>
        <w:lastRenderedPageBreak/>
        <w:t>References</w:t>
      </w:r>
      <w:bookmarkEnd w:id="18"/>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Aaker, D.A. (2018) </w:t>
      </w:r>
      <w:r w:rsidRPr="0098207B">
        <w:rPr>
          <w:rFonts w:ascii="Times New Roman" w:hAnsi="Times New Roman" w:cs="Times New Roman"/>
          <w:i/>
          <w:iCs/>
          <w:sz w:val="24"/>
          <w:szCs w:val="24"/>
        </w:rPr>
        <w:t>Creating Signature Stories: Strategic Messaging that Energizes, Persuades and Inspires</w:t>
      </w:r>
      <w:r w:rsidRPr="0098207B">
        <w:rPr>
          <w:rFonts w:ascii="Times New Roman" w:hAnsi="Times New Roman" w:cs="Times New Roman"/>
          <w:sz w:val="24"/>
          <w:szCs w:val="24"/>
        </w:rPr>
        <w:t>. Morgan James Publishing.</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ACSM (2024) </w:t>
      </w:r>
      <w:r w:rsidRPr="0098207B">
        <w:rPr>
          <w:rFonts w:ascii="Times New Roman" w:hAnsi="Times New Roman" w:cs="Times New Roman"/>
          <w:i/>
          <w:iCs/>
          <w:sz w:val="24"/>
          <w:szCs w:val="24"/>
        </w:rPr>
        <w:t>ACSM Announces Top Fitness Trends for 2025</w:t>
      </w:r>
      <w:r w:rsidRPr="0098207B">
        <w:rPr>
          <w:rFonts w:ascii="Times New Roman" w:hAnsi="Times New Roman" w:cs="Times New Roman"/>
          <w:sz w:val="24"/>
          <w:szCs w:val="24"/>
        </w:rPr>
        <w:t xml:space="preserve">. Available at: </w:t>
      </w:r>
      <w:hyperlink r:id="rId7" w:tgtFrame="_blank" w:history="1">
        <w:r w:rsidRPr="0098207B">
          <w:rPr>
            <w:rStyle w:val="Hyperlink"/>
            <w:rFonts w:ascii="Times New Roman" w:hAnsi="Times New Roman" w:cs="Times New Roman"/>
            <w:sz w:val="24"/>
            <w:szCs w:val="24"/>
          </w:rPr>
          <w:t>https://acsm.org/top-fitness-trends-2025</w:t>
        </w:r>
      </w:hyperlink>
      <w:r>
        <w:rPr>
          <w:rFonts w:ascii="Times New Roman" w:hAnsi="Times New Roman" w:cs="Times New Roman"/>
          <w:sz w:val="24"/>
          <w:szCs w:val="24"/>
        </w:rPr>
        <w:t xml:space="preserve"> (Accessed: </w:t>
      </w:r>
      <w:r w:rsidRPr="0098207B">
        <w:rPr>
          <w:rFonts w:ascii="Times New Roman" w:hAnsi="Times New Roman" w:cs="Times New Roman"/>
          <w:sz w:val="24"/>
          <w:szCs w:val="24"/>
        </w:rPr>
        <w:t>9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Arizton (2024) </w:t>
      </w:r>
      <w:r w:rsidRPr="0098207B">
        <w:rPr>
          <w:rFonts w:ascii="Times New Roman" w:hAnsi="Times New Roman" w:cs="Times New Roman"/>
          <w:i/>
          <w:iCs/>
          <w:sz w:val="24"/>
          <w:szCs w:val="24"/>
        </w:rPr>
        <w:t>Smart Wearables Market - Global Outlook &amp; Forecast 2024-2029</w:t>
      </w:r>
      <w:r w:rsidRPr="0098207B">
        <w:rPr>
          <w:rFonts w:ascii="Times New Roman" w:hAnsi="Times New Roman" w:cs="Times New Roman"/>
          <w:sz w:val="24"/>
          <w:szCs w:val="24"/>
        </w:rPr>
        <w:t xml:space="preserve">. Available at: </w:t>
      </w:r>
      <w:hyperlink r:id="rId8" w:tgtFrame="_blank" w:history="1">
        <w:r w:rsidRPr="0098207B">
          <w:rPr>
            <w:rStyle w:val="Hyperlink"/>
            <w:rFonts w:ascii="Times New Roman" w:hAnsi="Times New Roman" w:cs="Times New Roman"/>
            <w:sz w:val="24"/>
            <w:szCs w:val="24"/>
          </w:rPr>
          <w:t>https://www.arizton.com/market-reports/smart-wearables-market</w:t>
        </w:r>
      </w:hyperlink>
      <w:r>
        <w:rPr>
          <w:rFonts w:ascii="Times New Roman" w:hAnsi="Times New Roman" w:cs="Times New Roman"/>
          <w:sz w:val="24"/>
          <w:szCs w:val="24"/>
        </w:rPr>
        <w:t xml:space="preserve"> (Accessed: 12</w:t>
      </w:r>
      <w:r w:rsidRPr="0098207B">
        <w:rPr>
          <w:rFonts w:ascii="Times New Roman" w:hAnsi="Times New Roman" w:cs="Times New Roman"/>
          <w:sz w:val="24"/>
          <w:szCs w:val="24"/>
        </w:rPr>
        <w:t xml:space="preserve">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Deloitte (2024) </w:t>
      </w:r>
      <w:r w:rsidRPr="0098207B">
        <w:rPr>
          <w:rFonts w:ascii="Times New Roman" w:hAnsi="Times New Roman" w:cs="Times New Roman"/>
          <w:i/>
          <w:iCs/>
          <w:sz w:val="24"/>
          <w:szCs w:val="24"/>
        </w:rPr>
        <w:t>2024 Survey on Multinationals and Wearables</w:t>
      </w:r>
      <w:r w:rsidRPr="0098207B">
        <w:rPr>
          <w:rFonts w:ascii="Times New Roman" w:hAnsi="Times New Roman" w:cs="Times New Roman"/>
          <w:sz w:val="24"/>
          <w:szCs w:val="24"/>
        </w:rPr>
        <w:t>. As cited in Mordor Intelligence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DelveInsight (2024) </w:t>
      </w:r>
      <w:r w:rsidRPr="0098207B">
        <w:rPr>
          <w:rFonts w:ascii="Times New Roman" w:hAnsi="Times New Roman" w:cs="Times New Roman"/>
          <w:i/>
          <w:iCs/>
          <w:sz w:val="24"/>
          <w:szCs w:val="24"/>
        </w:rPr>
        <w:t>Wearable Medical Devices Market Size and Share Analysis 2032</w:t>
      </w:r>
      <w:r w:rsidRPr="0098207B">
        <w:rPr>
          <w:rFonts w:ascii="Times New Roman" w:hAnsi="Times New Roman" w:cs="Times New Roman"/>
          <w:sz w:val="24"/>
          <w:szCs w:val="24"/>
        </w:rPr>
        <w:t xml:space="preserve">. Available at: </w:t>
      </w:r>
      <w:hyperlink r:id="rId9" w:tgtFrame="_blank" w:history="1">
        <w:r w:rsidRPr="0098207B">
          <w:rPr>
            <w:rStyle w:val="Hyperlink"/>
            <w:rFonts w:ascii="Times New Roman" w:hAnsi="Times New Roman" w:cs="Times New Roman"/>
            <w:sz w:val="24"/>
            <w:szCs w:val="24"/>
          </w:rPr>
          <w:t>https://www.delveinsight.com/report-store/wearable-medical-devices-market</w:t>
        </w:r>
      </w:hyperlink>
      <w:r>
        <w:rPr>
          <w:rFonts w:ascii="Times New Roman" w:hAnsi="Times New Roman" w:cs="Times New Roman"/>
          <w:sz w:val="24"/>
          <w:szCs w:val="24"/>
        </w:rPr>
        <w:t xml:space="preserve"> (Accessed: 15</w:t>
      </w:r>
      <w:r w:rsidRPr="0098207B">
        <w:rPr>
          <w:rFonts w:ascii="Times New Roman" w:hAnsi="Times New Roman" w:cs="Times New Roman"/>
          <w:sz w:val="24"/>
          <w:szCs w:val="24"/>
        </w:rPr>
        <w:t xml:space="preserve">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ElectroIQ (2025) </w:t>
      </w:r>
      <w:r w:rsidRPr="0098207B">
        <w:rPr>
          <w:rFonts w:ascii="Times New Roman" w:hAnsi="Times New Roman" w:cs="Times New Roman"/>
          <w:i/>
          <w:iCs/>
          <w:sz w:val="24"/>
          <w:szCs w:val="24"/>
        </w:rPr>
        <w:t>Wearable Technology Statistics By Market, Consumers And Region</w:t>
      </w:r>
      <w:r w:rsidRPr="0098207B">
        <w:rPr>
          <w:rFonts w:ascii="Times New Roman" w:hAnsi="Times New Roman" w:cs="Times New Roman"/>
          <w:sz w:val="24"/>
          <w:szCs w:val="24"/>
        </w:rPr>
        <w:t xml:space="preserve">. Available at: </w:t>
      </w:r>
      <w:hyperlink r:id="rId10" w:tgtFrame="_blank" w:history="1">
        <w:r w:rsidRPr="0098207B">
          <w:rPr>
            <w:rStyle w:val="Hyperlink"/>
            <w:rFonts w:ascii="Times New Roman" w:hAnsi="Times New Roman" w:cs="Times New Roman"/>
            <w:sz w:val="24"/>
            <w:szCs w:val="24"/>
          </w:rPr>
          <w:t>https://electroiq.com/stats/wearable-technology-statistics</w:t>
        </w:r>
      </w:hyperlink>
      <w:r>
        <w:rPr>
          <w:rFonts w:ascii="Times New Roman" w:hAnsi="Times New Roman" w:cs="Times New Roman"/>
          <w:sz w:val="24"/>
          <w:szCs w:val="24"/>
        </w:rPr>
        <w:t xml:space="preserve"> (Accessed: 8</w:t>
      </w:r>
      <w:r w:rsidRPr="0098207B">
        <w:rPr>
          <w:rFonts w:ascii="Times New Roman" w:hAnsi="Times New Roman" w:cs="Times New Roman"/>
          <w:sz w:val="24"/>
          <w:szCs w:val="24"/>
        </w:rPr>
        <w:t xml:space="preserve">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Ellen MacArthur Foundation (2023) </w:t>
      </w:r>
      <w:r w:rsidRPr="0098207B">
        <w:rPr>
          <w:rFonts w:ascii="Times New Roman" w:hAnsi="Times New Roman" w:cs="Times New Roman"/>
          <w:i/>
          <w:iCs/>
          <w:sz w:val="24"/>
          <w:szCs w:val="24"/>
        </w:rPr>
        <w:t>Towards the Circular Economy</w:t>
      </w:r>
      <w:r w:rsidRPr="0098207B">
        <w:rPr>
          <w:rFonts w:ascii="Times New Roman" w:hAnsi="Times New Roman" w:cs="Times New Roman"/>
          <w:sz w:val="24"/>
          <w:szCs w:val="24"/>
        </w:rPr>
        <w:t xml:space="preserve">. Available at: </w:t>
      </w:r>
      <w:hyperlink r:id="rId11" w:tgtFrame="_blank" w:history="1">
        <w:r w:rsidRPr="0098207B">
          <w:rPr>
            <w:rStyle w:val="Hyperlink"/>
            <w:rFonts w:ascii="Times New Roman" w:hAnsi="Times New Roman" w:cs="Times New Roman"/>
            <w:sz w:val="24"/>
            <w:szCs w:val="24"/>
          </w:rPr>
          <w:t>https://www.ellenmacarthurfoundation.org/topics/circular-economy-introduction/overview</w:t>
        </w:r>
      </w:hyperlink>
      <w:r>
        <w:rPr>
          <w:rFonts w:ascii="Times New Roman" w:hAnsi="Times New Roman" w:cs="Times New Roman"/>
          <w:sz w:val="24"/>
          <w:szCs w:val="24"/>
        </w:rPr>
        <w:t xml:space="preserve"> (Accessed: 7</w:t>
      </w:r>
      <w:r w:rsidRPr="0098207B">
        <w:rPr>
          <w:rFonts w:ascii="Times New Roman" w:hAnsi="Times New Roman" w:cs="Times New Roman"/>
          <w:sz w:val="24"/>
          <w:szCs w:val="24"/>
        </w:rPr>
        <w:t xml:space="preserve"> February 2026).</w:t>
      </w:r>
    </w:p>
    <w:p w:rsidR="00BB0994" w:rsidRPr="0098207B" w:rsidRDefault="00BB0994" w:rsidP="0098207B">
      <w:pPr>
        <w:spacing w:line="360" w:lineRule="auto"/>
        <w:jc w:val="both"/>
        <w:rPr>
          <w:rFonts w:ascii="Times New Roman" w:hAnsi="Times New Roman" w:cs="Times New Roman"/>
          <w:sz w:val="24"/>
          <w:szCs w:val="24"/>
        </w:rPr>
      </w:pPr>
      <w:r>
        <w:rPr>
          <w:rFonts w:ascii="Times New Roman" w:hAnsi="Times New Roman" w:cs="Times New Roman"/>
          <w:sz w:val="24"/>
          <w:szCs w:val="24"/>
        </w:rPr>
        <w:t>Futuredatastats (2025</w:t>
      </w:r>
      <w:r w:rsidRPr="0098207B">
        <w:rPr>
          <w:rFonts w:ascii="Times New Roman" w:hAnsi="Times New Roman" w:cs="Times New Roman"/>
          <w:sz w:val="24"/>
          <w:szCs w:val="24"/>
        </w:rPr>
        <w:t xml:space="preserve">) </w:t>
      </w:r>
      <w:r w:rsidRPr="0098207B">
        <w:rPr>
          <w:rFonts w:ascii="Times New Roman" w:hAnsi="Times New Roman" w:cs="Times New Roman"/>
          <w:i/>
          <w:iCs/>
          <w:sz w:val="24"/>
          <w:szCs w:val="24"/>
        </w:rPr>
        <w:t>Smart Wearables Market Size &amp; Industry Growth 2030</w:t>
      </w:r>
      <w:r w:rsidRPr="0098207B">
        <w:rPr>
          <w:rFonts w:ascii="Times New Roman" w:hAnsi="Times New Roman" w:cs="Times New Roman"/>
          <w:sz w:val="24"/>
          <w:szCs w:val="24"/>
        </w:rPr>
        <w:t xml:space="preserve">. Available at: </w:t>
      </w:r>
      <w:hyperlink r:id="rId12" w:tgtFrame="_blank" w:history="1">
        <w:r w:rsidRPr="0098207B">
          <w:rPr>
            <w:rStyle w:val="Hyperlink"/>
            <w:rFonts w:ascii="Times New Roman" w:hAnsi="Times New Roman" w:cs="Times New Roman"/>
            <w:sz w:val="24"/>
            <w:szCs w:val="24"/>
          </w:rPr>
          <w:t>https://www.futuredatastats.</w:t>
        </w:r>
        <w:r w:rsidRPr="0098207B">
          <w:rPr>
            <w:rStyle w:val="Hyperlink"/>
            <w:rFonts w:ascii="Times New Roman" w:hAnsi="Times New Roman" w:cs="Times New Roman"/>
            <w:sz w:val="24"/>
            <w:szCs w:val="24"/>
          </w:rPr>
          <w:t>c</w:t>
        </w:r>
        <w:r w:rsidRPr="0098207B">
          <w:rPr>
            <w:rStyle w:val="Hyperlink"/>
            <w:rFonts w:ascii="Times New Roman" w:hAnsi="Times New Roman" w:cs="Times New Roman"/>
            <w:sz w:val="24"/>
            <w:szCs w:val="24"/>
          </w:rPr>
          <w:t>om/smart-wearables-market</w:t>
        </w:r>
      </w:hyperlink>
      <w:r>
        <w:rPr>
          <w:rFonts w:ascii="Times New Roman" w:hAnsi="Times New Roman" w:cs="Times New Roman"/>
          <w:sz w:val="24"/>
          <w:szCs w:val="24"/>
        </w:rPr>
        <w:t xml:space="preserve"> (Accessed: 14</w:t>
      </w:r>
      <w:r w:rsidRPr="0098207B">
        <w:rPr>
          <w:rFonts w:ascii="Times New Roman" w:hAnsi="Times New Roman" w:cs="Times New Roman"/>
          <w:sz w:val="24"/>
          <w:szCs w:val="24"/>
        </w:rPr>
        <w:t xml:space="preserve">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Gallup (2024) </w:t>
      </w:r>
      <w:r w:rsidRPr="0098207B">
        <w:rPr>
          <w:rFonts w:ascii="Times New Roman" w:hAnsi="Times New Roman" w:cs="Times New Roman"/>
          <w:i/>
          <w:iCs/>
          <w:sz w:val="24"/>
          <w:szCs w:val="24"/>
        </w:rPr>
        <w:t>State of the Global Workplace</w:t>
      </w:r>
      <w:r w:rsidRPr="0098207B">
        <w:rPr>
          <w:rFonts w:ascii="Times New Roman" w:hAnsi="Times New Roman" w:cs="Times New Roman"/>
          <w:sz w:val="24"/>
          <w:szCs w:val="24"/>
        </w:rPr>
        <w:t>. Gallup Press.</w:t>
      </w:r>
    </w:p>
    <w:p w:rsidR="00BB0994" w:rsidRPr="00EC30A3" w:rsidRDefault="00BB0994" w:rsidP="00EC30A3">
      <w:pPr>
        <w:spacing w:line="360" w:lineRule="auto"/>
        <w:jc w:val="both"/>
        <w:rPr>
          <w:rFonts w:ascii="Times New Roman" w:hAnsi="Times New Roman" w:cs="Times New Roman"/>
          <w:sz w:val="24"/>
          <w:szCs w:val="24"/>
        </w:rPr>
      </w:pPr>
      <w:r w:rsidRPr="00EC30A3">
        <w:rPr>
          <w:rFonts w:ascii="Times New Roman" w:hAnsi="Times New Roman" w:cs="Times New Roman"/>
          <w:sz w:val="24"/>
          <w:szCs w:val="24"/>
        </w:rPr>
        <w:t xml:space="preserve">Gartner. (2020) 'Gartner Says 80% of B2B Sales Interactions Between Suppliers and Buyers Will Occur in Digital Channels by 2025'. Available at: </w:t>
      </w:r>
      <w:hyperlink r:id="rId13" w:history="1">
        <w:r w:rsidRPr="006B596C">
          <w:rPr>
            <w:rStyle w:val="Hyperlink"/>
            <w:rFonts w:ascii="Times New Roman" w:hAnsi="Times New Roman" w:cs="Times New Roman"/>
            <w:sz w:val="24"/>
            <w:szCs w:val="24"/>
          </w:rPr>
          <w:t>https://www.gartner.com/en/newsroom/press-releases/2020-09-15-gartner-says-80--of-b2b-sales-interactions-between-su</w:t>
        </w:r>
      </w:hyperlink>
      <w:r>
        <w:rPr>
          <w:rFonts w:ascii="Times New Roman" w:hAnsi="Times New Roman" w:cs="Times New Roman"/>
          <w:sz w:val="24"/>
          <w:szCs w:val="24"/>
        </w:rPr>
        <w:t xml:space="preserve"> (Accessed: 10</w:t>
      </w:r>
      <w:r w:rsidRPr="00EC30A3">
        <w:rPr>
          <w:rFonts w:ascii="Times New Roman" w:hAnsi="Times New Roman" w:cs="Times New Roman"/>
          <w:sz w:val="24"/>
          <w:szCs w:val="24"/>
        </w:rPr>
        <w:t xml:space="preserve">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GMInsights (2024) </w:t>
      </w:r>
      <w:r w:rsidRPr="0098207B">
        <w:rPr>
          <w:rFonts w:ascii="Times New Roman" w:hAnsi="Times New Roman" w:cs="Times New Roman"/>
          <w:i/>
          <w:iCs/>
          <w:sz w:val="24"/>
          <w:szCs w:val="24"/>
        </w:rPr>
        <w:t>Wearables Market Share, Growth Analysis Report 2025-2034</w:t>
      </w:r>
      <w:r w:rsidRPr="0098207B">
        <w:rPr>
          <w:rFonts w:ascii="Times New Roman" w:hAnsi="Times New Roman" w:cs="Times New Roman"/>
          <w:sz w:val="24"/>
          <w:szCs w:val="24"/>
        </w:rPr>
        <w:t xml:space="preserve">. Available at: </w:t>
      </w:r>
      <w:hyperlink r:id="rId14" w:tgtFrame="_blank" w:history="1">
        <w:r w:rsidRPr="0098207B">
          <w:rPr>
            <w:rStyle w:val="Hyperlink"/>
            <w:rFonts w:ascii="Times New Roman" w:hAnsi="Times New Roman" w:cs="Times New Roman"/>
            <w:sz w:val="24"/>
            <w:szCs w:val="24"/>
          </w:rPr>
          <w:t>https://www.gminsights.com/industry-analysis/wearables-market</w:t>
        </w:r>
      </w:hyperlink>
      <w:r>
        <w:rPr>
          <w:rFonts w:ascii="Times New Roman" w:hAnsi="Times New Roman" w:cs="Times New Roman"/>
          <w:sz w:val="24"/>
          <w:szCs w:val="24"/>
        </w:rPr>
        <w:t xml:space="preserve"> (Accessed: 16</w:t>
      </w:r>
      <w:r w:rsidRPr="0098207B">
        <w:rPr>
          <w:rFonts w:ascii="Times New Roman" w:hAnsi="Times New Roman" w:cs="Times New Roman"/>
          <w:sz w:val="24"/>
          <w:szCs w:val="24"/>
        </w:rPr>
        <w:t xml:space="preserve"> February 2026).</w:t>
      </w:r>
    </w:p>
    <w:p w:rsidR="00BB0994" w:rsidRDefault="00BB0994" w:rsidP="00806C7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rPr>
        <w:lastRenderedPageBreak/>
        <w:t>Hinterhuber, A., and</w:t>
      </w:r>
      <w:r w:rsidRPr="000737F1">
        <w:rPr>
          <w:rFonts w:ascii="Times New Roman" w:hAnsi="Times New Roman" w:cs="Times New Roman"/>
          <w:sz w:val="24"/>
          <w:szCs w:val="24"/>
        </w:rPr>
        <w:t xml:space="preserve"> Liozu, S. M. (2017). Is innovation in pricing your next source of competitive advantage? 1. In </w:t>
      </w:r>
      <w:r w:rsidRPr="000737F1">
        <w:rPr>
          <w:rFonts w:ascii="Times New Roman" w:hAnsi="Times New Roman" w:cs="Times New Roman"/>
          <w:i/>
          <w:iCs/>
          <w:sz w:val="24"/>
          <w:szCs w:val="24"/>
        </w:rPr>
        <w:t>Innovation in pricing</w:t>
      </w:r>
      <w:r w:rsidRPr="000737F1">
        <w:rPr>
          <w:rFonts w:ascii="Times New Roman" w:hAnsi="Times New Roman" w:cs="Times New Roman"/>
          <w:sz w:val="24"/>
          <w:szCs w:val="24"/>
        </w:rPr>
        <w:t> (pp. 11-27). Routledge.</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Holdack, E. et al. (2020) 'Consumers' acceptance of in-store technologies through the lens of segmentation', </w:t>
      </w:r>
      <w:r w:rsidRPr="0098207B">
        <w:rPr>
          <w:rFonts w:ascii="Times New Roman" w:hAnsi="Times New Roman" w:cs="Times New Roman"/>
          <w:i/>
          <w:iCs/>
          <w:sz w:val="24"/>
          <w:szCs w:val="24"/>
        </w:rPr>
        <w:t>Journal of Retailing</w:t>
      </w:r>
      <w:r w:rsidRPr="0098207B">
        <w:rPr>
          <w:rFonts w:ascii="Times New Roman" w:hAnsi="Times New Roman" w:cs="Times New Roman"/>
          <w:sz w:val="24"/>
          <w:szCs w:val="24"/>
        </w:rPr>
        <w:t>, 96(4), pp. 567-582.</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IDC (2025) </w:t>
      </w:r>
      <w:r w:rsidRPr="0098207B">
        <w:rPr>
          <w:rFonts w:ascii="Times New Roman" w:hAnsi="Times New Roman" w:cs="Times New Roman"/>
          <w:i/>
          <w:iCs/>
          <w:sz w:val="24"/>
          <w:szCs w:val="24"/>
        </w:rPr>
        <w:t>Wearable Devices Market Insights</w:t>
      </w:r>
      <w:r w:rsidRPr="0098207B">
        <w:rPr>
          <w:rFonts w:ascii="Times New Roman" w:hAnsi="Times New Roman" w:cs="Times New Roman"/>
          <w:sz w:val="24"/>
          <w:szCs w:val="24"/>
        </w:rPr>
        <w:t xml:space="preserve">. Available at: </w:t>
      </w:r>
      <w:hyperlink r:id="rId15" w:tgtFrame="_blank" w:history="1">
        <w:r w:rsidRPr="0098207B">
          <w:rPr>
            <w:rStyle w:val="Hyperlink"/>
            <w:rFonts w:ascii="Times New Roman" w:hAnsi="Times New Roman" w:cs="Times New Roman"/>
            <w:sz w:val="24"/>
            <w:szCs w:val="24"/>
          </w:rPr>
          <w:t>https://www.idc.com/promo/wearablevendor</w:t>
        </w:r>
      </w:hyperlink>
      <w:r>
        <w:rPr>
          <w:rFonts w:ascii="Times New Roman" w:hAnsi="Times New Roman" w:cs="Times New Roman"/>
          <w:sz w:val="24"/>
          <w:szCs w:val="24"/>
        </w:rPr>
        <w:t xml:space="preserve"> (Accessed: 12</w:t>
      </w:r>
      <w:r w:rsidRPr="0098207B">
        <w:rPr>
          <w:rFonts w:ascii="Times New Roman" w:hAnsi="Times New Roman" w:cs="Times New Roman"/>
          <w:sz w:val="24"/>
          <w:szCs w:val="24"/>
        </w:rPr>
        <w:t xml:space="preserve"> February 2026).</w:t>
      </w:r>
    </w:p>
    <w:p w:rsidR="00BB0994" w:rsidRPr="0053685F" w:rsidRDefault="00BB0994" w:rsidP="0053685F">
      <w:pPr>
        <w:spacing w:line="360" w:lineRule="auto"/>
        <w:jc w:val="both"/>
        <w:rPr>
          <w:rFonts w:ascii="Times New Roman" w:hAnsi="Times New Roman" w:cs="Times New Roman"/>
          <w:sz w:val="24"/>
          <w:szCs w:val="24"/>
        </w:rPr>
      </w:pPr>
      <w:r w:rsidRPr="0053685F">
        <w:rPr>
          <w:rFonts w:ascii="Times New Roman" w:hAnsi="Times New Roman" w:cs="Times New Roman"/>
          <w:sz w:val="24"/>
          <w:szCs w:val="24"/>
        </w:rPr>
        <w:t xml:space="preserve">International Data Corporation (IDC) (2019) 'Worldwide wearables market to top 300 million units in 2019 and nearly 500 million units in 2023', TelecomTV, 17 December. Available at: </w:t>
      </w:r>
      <w:hyperlink r:id="rId16" w:history="1">
        <w:r w:rsidRPr="006B596C">
          <w:rPr>
            <w:rStyle w:val="Hyperlink"/>
            <w:rFonts w:ascii="Times New Roman" w:hAnsi="Times New Roman" w:cs="Times New Roman"/>
            <w:sz w:val="24"/>
            <w:szCs w:val="24"/>
          </w:rPr>
          <w:t>https://www.telecomtv.com/content/devices/worldwide-wearables-market-to-top-300-million-units-in-2019-and-nearly-500-million-units-in-2023-37251</w:t>
        </w:r>
      </w:hyperlink>
      <w:r>
        <w:rPr>
          <w:rFonts w:ascii="Times New Roman" w:hAnsi="Times New Roman" w:cs="Times New Roman"/>
          <w:sz w:val="24"/>
          <w:szCs w:val="24"/>
        </w:rPr>
        <w:t xml:space="preserve"> (Accessed: 13</w:t>
      </w:r>
      <w:r w:rsidRPr="0053685F">
        <w:rPr>
          <w:rFonts w:ascii="Times New Roman" w:hAnsi="Times New Roman" w:cs="Times New Roman"/>
          <w:sz w:val="24"/>
          <w:szCs w:val="24"/>
        </w:rPr>
        <w:t xml:space="preserve"> February 2026).</w:t>
      </w:r>
    </w:p>
    <w:p w:rsidR="00BB0994" w:rsidRDefault="00BB0994" w:rsidP="0098207B">
      <w:pPr>
        <w:spacing w:line="360" w:lineRule="auto"/>
        <w:jc w:val="both"/>
        <w:rPr>
          <w:rFonts w:ascii="Times New Roman" w:hAnsi="Times New Roman" w:cs="Times New Roman"/>
          <w:sz w:val="24"/>
          <w:szCs w:val="24"/>
        </w:rPr>
      </w:pPr>
      <w:r w:rsidRPr="00BB0994">
        <w:rPr>
          <w:rFonts w:ascii="Times New Roman" w:hAnsi="Times New Roman" w:cs="Times New Roman"/>
          <w:sz w:val="24"/>
          <w:szCs w:val="24"/>
        </w:rPr>
        <w:t>Kolb, D.A. (1984) Experiential Learning: Experience as the Source of Learning and Development. Prentice-Hall.</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Kotler, P. et al. (2024) </w:t>
      </w:r>
      <w:r w:rsidRPr="0098207B">
        <w:rPr>
          <w:rFonts w:ascii="Times New Roman" w:hAnsi="Times New Roman" w:cs="Times New Roman"/>
          <w:i/>
          <w:iCs/>
          <w:sz w:val="24"/>
          <w:szCs w:val="24"/>
        </w:rPr>
        <w:t>Principles of Marketing</w:t>
      </w:r>
      <w:r w:rsidRPr="0098207B">
        <w:rPr>
          <w:rFonts w:ascii="Times New Roman" w:hAnsi="Times New Roman" w:cs="Times New Roman"/>
          <w:sz w:val="24"/>
          <w:szCs w:val="24"/>
        </w:rPr>
        <w:t>. 18th edn. Pearson.</w:t>
      </w:r>
    </w:p>
    <w:p w:rsidR="00BB0994" w:rsidRPr="00733C6F" w:rsidRDefault="00BB0994" w:rsidP="00806C7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rPr>
        <w:t>Kotler, P., and</w:t>
      </w:r>
      <w:r w:rsidRPr="00867A6F">
        <w:rPr>
          <w:rFonts w:ascii="Times New Roman" w:hAnsi="Times New Roman" w:cs="Times New Roman"/>
          <w:sz w:val="24"/>
          <w:szCs w:val="24"/>
        </w:rPr>
        <w:t xml:space="preserve"> Armstrong, G. (2016). </w:t>
      </w:r>
      <w:r w:rsidRPr="00867A6F">
        <w:rPr>
          <w:rFonts w:ascii="Times New Roman" w:hAnsi="Times New Roman" w:cs="Times New Roman"/>
          <w:i/>
          <w:iCs/>
          <w:sz w:val="24"/>
          <w:szCs w:val="24"/>
        </w:rPr>
        <w:t>Principles of Marketing, 16/e</w:t>
      </w:r>
      <w:r w:rsidRPr="00867A6F">
        <w:rPr>
          <w:rFonts w:ascii="Times New Roman" w:hAnsi="Times New Roman" w:cs="Times New Roman"/>
          <w:sz w:val="24"/>
          <w:szCs w:val="24"/>
        </w:rPr>
        <w:t>. pearson education limited.</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LinkedIn (2024) </w:t>
      </w:r>
      <w:r w:rsidRPr="0098207B">
        <w:rPr>
          <w:rFonts w:ascii="Times New Roman" w:hAnsi="Times New Roman" w:cs="Times New Roman"/>
          <w:i/>
          <w:iCs/>
          <w:sz w:val="24"/>
          <w:szCs w:val="24"/>
        </w:rPr>
        <w:t>Wearable Health Devices Market Growth Analysis</w:t>
      </w:r>
      <w:r w:rsidRPr="0098207B">
        <w:rPr>
          <w:rFonts w:ascii="Times New Roman" w:hAnsi="Times New Roman" w:cs="Times New Roman"/>
          <w:sz w:val="24"/>
          <w:szCs w:val="24"/>
        </w:rPr>
        <w:t xml:space="preserve">. Available at: </w:t>
      </w:r>
      <w:hyperlink r:id="rId17" w:tgtFrame="_blank" w:history="1">
        <w:r w:rsidRPr="0098207B">
          <w:rPr>
            <w:rStyle w:val="Hyperlink"/>
            <w:rFonts w:ascii="Times New Roman" w:hAnsi="Times New Roman" w:cs="Times New Roman"/>
            <w:sz w:val="24"/>
            <w:szCs w:val="24"/>
          </w:rPr>
          <w:t>https://www.linkedin.com/pulse/wearable-health-devices-market-growth-analysis-dynamics-ias0f</w:t>
        </w:r>
      </w:hyperlink>
      <w:r>
        <w:rPr>
          <w:rFonts w:ascii="Times New Roman" w:hAnsi="Times New Roman" w:cs="Times New Roman"/>
          <w:sz w:val="24"/>
          <w:szCs w:val="24"/>
        </w:rPr>
        <w:t xml:space="preserve"> (Accessed: 13</w:t>
      </w:r>
      <w:r w:rsidRPr="0098207B">
        <w:rPr>
          <w:rFonts w:ascii="Times New Roman" w:hAnsi="Times New Roman" w:cs="Times New Roman"/>
          <w:sz w:val="24"/>
          <w:szCs w:val="24"/>
        </w:rPr>
        <w:t xml:space="preserve"> February 2026).</w:t>
      </w:r>
    </w:p>
    <w:p w:rsidR="00BB0994" w:rsidRDefault="00BB0994" w:rsidP="00806C73">
      <w:pPr>
        <w:spacing w:line="360" w:lineRule="auto"/>
        <w:jc w:val="both"/>
        <w:rPr>
          <w:rFonts w:ascii="Times New Roman" w:hAnsi="Times New Roman" w:cs="Times New Roman"/>
          <w:sz w:val="24"/>
          <w:szCs w:val="24"/>
        </w:rPr>
      </w:pPr>
      <w:r>
        <w:rPr>
          <w:rFonts w:ascii="Times New Roman" w:hAnsi="Times New Roman" w:cs="Times New Roman"/>
          <w:sz w:val="24"/>
          <w:szCs w:val="24"/>
        </w:rPr>
        <w:t>Liu, X. T., and</w:t>
      </w:r>
      <w:r w:rsidRPr="005A1DB0">
        <w:rPr>
          <w:rFonts w:ascii="Times New Roman" w:hAnsi="Times New Roman" w:cs="Times New Roman"/>
          <w:sz w:val="24"/>
          <w:szCs w:val="24"/>
        </w:rPr>
        <w:t xml:space="preserve"> Zhang, Q. (2025). Optimizing digital advertising effectiveness: An empirical study integrating two-factor theory and the AIDA model. </w:t>
      </w:r>
      <w:r w:rsidRPr="005A1DB0">
        <w:rPr>
          <w:rFonts w:ascii="Times New Roman" w:hAnsi="Times New Roman" w:cs="Times New Roman"/>
          <w:i/>
          <w:iCs/>
          <w:sz w:val="24"/>
          <w:szCs w:val="24"/>
        </w:rPr>
        <w:t>Asia-Pacific Journal of Convergent Research Interchange</w:t>
      </w:r>
      <w:r w:rsidRPr="005A1DB0">
        <w:rPr>
          <w:rFonts w:ascii="Times New Roman" w:hAnsi="Times New Roman" w:cs="Times New Roman"/>
          <w:sz w:val="24"/>
          <w:szCs w:val="24"/>
        </w:rPr>
        <w:t>, </w:t>
      </w:r>
      <w:r w:rsidRPr="005A1DB0">
        <w:rPr>
          <w:rFonts w:ascii="Times New Roman" w:hAnsi="Times New Roman" w:cs="Times New Roman"/>
          <w:i/>
          <w:iCs/>
          <w:sz w:val="24"/>
          <w:szCs w:val="24"/>
        </w:rPr>
        <w:t>11</w:t>
      </w:r>
      <w:r w:rsidRPr="005A1DB0">
        <w:rPr>
          <w:rFonts w:ascii="Times New Roman" w:hAnsi="Times New Roman" w:cs="Times New Roman"/>
          <w:sz w:val="24"/>
          <w:szCs w:val="24"/>
        </w:rPr>
        <w:t>(1), 121-131.</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MarketsandMarkets (2024) </w:t>
      </w:r>
      <w:r w:rsidRPr="0098207B">
        <w:rPr>
          <w:rFonts w:ascii="Times New Roman" w:hAnsi="Times New Roman" w:cs="Times New Roman"/>
          <w:i/>
          <w:iCs/>
          <w:sz w:val="24"/>
          <w:szCs w:val="24"/>
        </w:rPr>
        <w:t>Wearable Technology Market - Industry Analysis and Forecast 2032</w:t>
      </w:r>
      <w:r w:rsidRPr="0098207B">
        <w:rPr>
          <w:rFonts w:ascii="Times New Roman" w:hAnsi="Times New Roman" w:cs="Times New Roman"/>
          <w:sz w:val="24"/>
          <w:szCs w:val="24"/>
        </w:rPr>
        <w:t xml:space="preserve">. Available at: </w:t>
      </w:r>
      <w:hyperlink r:id="rId18" w:tgtFrame="_blank" w:history="1">
        <w:r w:rsidRPr="0098207B">
          <w:rPr>
            <w:rStyle w:val="Hyperlink"/>
            <w:rFonts w:ascii="Times New Roman" w:hAnsi="Times New Roman" w:cs="Times New Roman"/>
            <w:sz w:val="24"/>
            <w:szCs w:val="24"/>
          </w:rPr>
          <w:t>https://www.marketsandmarkets.com/Market-Reports/wearable-electronics-market-983.html</w:t>
        </w:r>
      </w:hyperlink>
      <w:r w:rsidRPr="0098207B">
        <w:rPr>
          <w:rFonts w:ascii="Times New Roman" w:hAnsi="Times New Roman" w:cs="Times New Roman"/>
          <w:sz w:val="24"/>
          <w:szCs w:val="24"/>
        </w:rPr>
        <w:t xml:space="preserve"> (</w:t>
      </w:r>
      <w:r>
        <w:rPr>
          <w:rFonts w:ascii="Times New Roman" w:hAnsi="Times New Roman" w:cs="Times New Roman"/>
          <w:sz w:val="24"/>
          <w:szCs w:val="24"/>
        </w:rPr>
        <w:t>Accessed: 11</w:t>
      </w:r>
      <w:r w:rsidRPr="0098207B">
        <w:rPr>
          <w:rFonts w:ascii="Times New Roman" w:hAnsi="Times New Roman" w:cs="Times New Roman"/>
          <w:sz w:val="24"/>
          <w:szCs w:val="24"/>
        </w:rPr>
        <w:t xml:space="preserve">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McKinsey (2024) </w:t>
      </w:r>
      <w:r w:rsidRPr="0098207B">
        <w:rPr>
          <w:rFonts w:ascii="Times New Roman" w:hAnsi="Times New Roman" w:cs="Times New Roman"/>
          <w:i/>
          <w:iCs/>
          <w:sz w:val="24"/>
          <w:szCs w:val="24"/>
        </w:rPr>
        <w:t>The Future of Wearables</w:t>
      </w:r>
      <w:r w:rsidRPr="0098207B">
        <w:rPr>
          <w:rFonts w:ascii="Times New Roman" w:hAnsi="Times New Roman" w:cs="Times New Roman"/>
          <w:sz w:val="24"/>
          <w:szCs w:val="24"/>
        </w:rPr>
        <w:t>. McKinsey Global Institute.</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MicroEJ (2025) </w:t>
      </w:r>
      <w:r w:rsidRPr="0098207B">
        <w:rPr>
          <w:rFonts w:ascii="Times New Roman" w:hAnsi="Times New Roman" w:cs="Times New Roman"/>
          <w:i/>
          <w:iCs/>
          <w:sz w:val="24"/>
          <w:szCs w:val="24"/>
        </w:rPr>
        <w:t>The Ultimate Smartwatch Design Industry Guide 2025</w:t>
      </w:r>
      <w:r w:rsidRPr="0098207B">
        <w:rPr>
          <w:rFonts w:ascii="Times New Roman" w:hAnsi="Times New Roman" w:cs="Times New Roman"/>
          <w:sz w:val="24"/>
          <w:szCs w:val="24"/>
        </w:rPr>
        <w:t xml:space="preserve">. Available at: </w:t>
      </w:r>
      <w:hyperlink r:id="rId19" w:tgtFrame="_blank" w:history="1">
        <w:r w:rsidRPr="0098207B">
          <w:rPr>
            <w:rStyle w:val="Hyperlink"/>
            <w:rFonts w:ascii="Times New Roman" w:hAnsi="Times New Roman" w:cs="Times New Roman"/>
            <w:sz w:val="24"/>
            <w:szCs w:val="24"/>
          </w:rPr>
          <w:t>https://www.microej.com/news/the-ultimate-smartwatch-design-industry-guide-2025</w:t>
        </w:r>
      </w:hyperlink>
      <w:r>
        <w:rPr>
          <w:rFonts w:ascii="Times New Roman" w:hAnsi="Times New Roman" w:cs="Times New Roman"/>
          <w:sz w:val="24"/>
          <w:szCs w:val="24"/>
        </w:rPr>
        <w:t xml:space="preserve"> (Accessed: 8</w:t>
      </w:r>
      <w:r w:rsidRPr="0098207B">
        <w:rPr>
          <w:rFonts w:ascii="Times New Roman" w:hAnsi="Times New Roman" w:cs="Times New Roman"/>
          <w:sz w:val="24"/>
          <w:szCs w:val="24"/>
        </w:rPr>
        <w:t xml:space="preserve"> February 2026).</w:t>
      </w:r>
    </w:p>
    <w:p w:rsidR="00BB0994" w:rsidRDefault="00BB0994" w:rsidP="00806C73">
      <w:pPr>
        <w:spacing w:line="360" w:lineRule="auto"/>
        <w:jc w:val="both"/>
        <w:rPr>
          <w:rFonts w:ascii="Times New Roman" w:hAnsi="Times New Roman" w:cs="Times New Roman"/>
          <w:sz w:val="24"/>
          <w:szCs w:val="24"/>
          <w:lang w:val="en-AU"/>
        </w:rPr>
      </w:pPr>
      <w:r w:rsidRPr="00867A6F">
        <w:rPr>
          <w:rFonts w:ascii="Times New Roman" w:hAnsi="Times New Roman" w:cs="Times New Roman"/>
          <w:sz w:val="24"/>
          <w:szCs w:val="24"/>
        </w:rPr>
        <w:lastRenderedPageBreak/>
        <w:t>Mikale</w:t>
      </w:r>
      <w:r>
        <w:rPr>
          <w:rFonts w:ascii="Times New Roman" w:hAnsi="Times New Roman" w:cs="Times New Roman"/>
          <w:sz w:val="24"/>
          <w:szCs w:val="24"/>
        </w:rPr>
        <w:t>f, P., Boura, M., Lekakos, G., and</w:t>
      </w:r>
      <w:r w:rsidRPr="00867A6F">
        <w:rPr>
          <w:rFonts w:ascii="Times New Roman" w:hAnsi="Times New Roman" w:cs="Times New Roman"/>
          <w:sz w:val="24"/>
          <w:szCs w:val="24"/>
        </w:rPr>
        <w:t xml:space="preserve"> Krogstie, J. (2019). Big data analytics and firm performance: Findings from a mixed-method approach. </w:t>
      </w:r>
      <w:r w:rsidRPr="00867A6F">
        <w:rPr>
          <w:rFonts w:ascii="Times New Roman" w:hAnsi="Times New Roman" w:cs="Times New Roman"/>
          <w:i/>
          <w:iCs/>
          <w:sz w:val="24"/>
          <w:szCs w:val="24"/>
        </w:rPr>
        <w:t>Journal of business research</w:t>
      </w:r>
      <w:r w:rsidRPr="00867A6F">
        <w:rPr>
          <w:rFonts w:ascii="Times New Roman" w:hAnsi="Times New Roman" w:cs="Times New Roman"/>
          <w:sz w:val="24"/>
          <w:szCs w:val="24"/>
        </w:rPr>
        <w:t>, </w:t>
      </w:r>
      <w:r w:rsidRPr="00867A6F">
        <w:rPr>
          <w:rFonts w:ascii="Times New Roman" w:hAnsi="Times New Roman" w:cs="Times New Roman"/>
          <w:i/>
          <w:iCs/>
          <w:sz w:val="24"/>
          <w:szCs w:val="24"/>
        </w:rPr>
        <w:t>98</w:t>
      </w:r>
      <w:r w:rsidRPr="00867A6F">
        <w:rPr>
          <w:rFonts w:ascii="Times New Roman" w:hAnsi="Times New Roman" w:cs="Times New Roman"/>
          <w:sz w:val="24"/>
          <w:szCs w:val="24"/>
        </w:rPr>
        <w:t>, 261-276.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Mordor Intelligence (2026) </w:t>
      </w:r>
      <w:r w:rsidRPr="0098207B">
        <w:rPr>
          <w:rFonts w:ascii="Times New Roman" w:hAnsi="Times New Roman" w:cs="Times New Roman"/>
          <w:i/>
          <w:iCs/>
          <w:sz w:val="24"/>
          <w:szCs w:val="24"/>
        </w:rPr>
        <w:t>Smartwatch Market: Growth, Analysis &amp; Forecast 2030</w:t>
      </w:r>
      <w:r w:rsidRPr="0098207B">
        <w:rPr>
          <w:rFonts w:ascii="Times New Roman" w:hAnsi="Times New Roman" w:cs="Times New Roman"/>
          <w:sz w:val="24"/>
          <w:szCs w:val="24"/>
        </w:rPr>
        <w:t xml:space="preserve">. Available at: </w:t>
      </w:r>
      <w:hyperlink r:id="rId20" w:tgtFrame="_blank" w:history="1">
        <w:r w:rsidRPr="0098207B">
          <w:rPr>
            <w:rStyle w:val="Hyperlink"/>
            <w:rFonts w:ascii="Times New Roman" w:hAnsi="Times New Roman" w:cs="Times New Roman"/>
            <w:sz w:val="24"/>
            <w:szCs w:val="24"/>
          </w:rPr>
          <w:t>https://www.mordorintelligence.com/industry-reports/smartwatch-market</w:t>
        </w:r>
      </w:hyperlink>
      <w:r>
        <w:rPr>
          <w:rFonts w:ascii="Times New Roman" w:hAnsi="Times New Roman" w:cs="Times New Roman"/>
          <w:sz w:val="24"/>
          <w:szCs w:val="24"/>
        </w:rPr>
        <w:t xml:space="preserve"> (Accessed: 17</w:t>
      </w:r>
      <w:r w:rsidRPr="0098207B">
        <w:rPr>
          <w:rFonts w:ascii="Times New Roman" w:hAnsi="Times New Roman" w:cs="Times New Roman"/>
          <w:sz w:val="24"/>
          <w:szCs w:val="24"/>
        </w:rPr>
        <w:t xml:space="preserve"> February 2026).</w:t>
      </w:r>
    </w:p>
    <w:p w:rsidR="00BB0994" w:rsidRPr="00806C73" w:rsidRDefault="00BB0994" w:rsidP="00806C73">
      <w:pPr>
        <w:spacing w:line="360" w:lineRule="auto"/>
        <w:jc w:val="both"/>
        <w:rPr>
          <w:rFonts w:ascii="Times New Roman" w:hAnsi="Times New Roman" w:cs="Times New Roman"/>
          <w:sz w:val="24"/>
          <w:szCs w:val="24"/>
          <w:lang w:val="en-AU"/>
        </w:rPr>
      </w:pPr>
      <w:r w:rsidRPr="005A1DB0">
        <w:rPr>
          <w:rFonts w:ascii="Times New Roman" w:hAnsi="Times New Roman" w:cs="Times New Roman"/>
          <w:sz w:val="24"/>
          <w:szCs w:val="24"/>
        </w:rPr>
        <w:t xml:space="preserve">Park, Y., Mun, </w:t>
      </w:r>
      <w:r>
        <w:rPr>
          <w:rFonts w:ascii="Times New Roman" w:hAnsi="Times New Roman" w:cs="Times New Roman"/>
          <w:sz w:val="24"/>
          <w:szCs w:val="24"/>
        </w:rPr>
        <w:t>J., Lee, Y., Um, J., Choi, J., and</w:t>
      </w:r>
      <w:r w:rsidRPr="005A1DB0">
        <w:rPr>
          <w:rFonts w:ascii="Times New Roman" w:hAnsi="Times New Roman" w:cs="Times New Roman"/>
          <w:sz w:val="24"/>
          <w:szCs w:val="24"/>
        </w:rPr>
        <w:t xml:space="preserve"> Choi, J. (2025). Data-Driven Optimization of Healthcare Recommender System Retraining Pipelines in MLOps with Wearable IoT Data. </w:t>
      </w:r>
      <w:r w:rsidRPr="005A1DB0">
        <w:rPr>
          <w:rFonts w:ascii="Times New Roman" w:hAnsi="Times New Roman" w:cs="Times New Roman"/>
          <w:i/>
          <w:iCs/>
          <w:sz w:val="24"/>
          <w:szCs w:val="24"/>
        </w:rPr>
        <w:t>Sensors</w:t>
      </w:r>
      <w:r w:rsidRPr="005A1DB0">
        <w:rPr>
          <w:rFonts w:ascii="Times New Roman" w:hAnsi="Times New Roman" w:cs="Times New Roman"/>
          <w:sz w:val="24"/>
          <w:szCs w:val="24"/>
        </w:rPr>
        <w:t>, </w:t>
      </w:r>
      <w:r w:rsidRPr="005A1DB0">
        <w:rPr>
          <w:rFonts w:ascii="Times New Roman" w:hAnsi="Times New Roman" w:cs="Times New Roman"/>
          <w:i/>
          <w:iCs/>
          <w:sz w:val="24"/>
          <w:szCs w:val="24"/>
        </w:rPr>
        <w:t>25</w:t>
      </w:r>
      <w:r w:rsidRPr="005A1DB0">
        <w:rPr>
          <w:rFonts w:ascii="Times New Roman" w:hAnsi="Times New Roman" w:cs="Times New Roman"/>
          <w:sz w:val="24"/>
          <w:szCs w:val="24"/>
        </w:rPr>
        <w:t>(20), 6369.</w:t>
      </w:r>
    </w:p>
    <w:p w:rsidR="00BB0994" w:rsidRDefault="00BB0994" w:rsidP="00806C73">
      <w:pPr>
        <w:spacing w:line="360" w:lineRule="auto"/>
        <w:jc w:val="both"/>
        <w:rPr>
          <w:rFonts w:ascii="Times New Roman" w:hAnsi="Times New Roman" w:cs="Times New Roman"/>
          <w:sz w:val="24"/>
          <w:szCs w:val="24"/>
        </w:rPr>
      </w:pPr>
      <w:r>
        <w:rPr>
          <w:rFonts w:ascii="Times New Roman" w:hAnsi="Times New Roman" w:cs="Times New Roman"/>
          <w:sz w:val="24"/>
          <w:szCs w:val="24"/>
        </w:rPr>
        <w:t>Peng, J., Qin, Q., and</w:t>
      </w:r>
      <w:r w:rsidRPr="00867A6F">
        <w:rPr>
          <w:rFonts w:ascii="Times New Roman" w:hAnsi="Times New Roman" w:cs="Times New Roman"/>
          <w:sz w:val="24"/>
          <w:szCs w:val="24"/>
        </w:rPr>
        <w:t xml:space="preserve"> Tang, T. (2021). The influence of marketing innovations on firm performance under different market environments: Evidence from China. </w:t>
      </w:r>
      <w:r w:rsidRPr="00867A6F">
        <w:rPr>
          <w:rFonts w:ascii="Times New Roman" w:hAnsi="Times New Roman" w:cs="Times New Roman"/>
          <w:i/>
          <w:iCs/>
          <w:sz w:val="24"/>
          <w:szCs w:val="24"/>
        </w:rPr>
        <w:t>Sustainability</w:t>
      </w:r>
      <w:r w:rsidRPr="00867A6F">
        <w:rPr>
          <w:rFonts w:ascii="Times New Roman" w:hAnsi="Times New Roman" w:cs="Times New Roman"/>
          <w:sz w:val="24"/>
          <w:szCs w:val="24"/>
        </w:rPr>
        <w:t>, </w:t>
      </w:r>
      <w:r w:rsidRPr="00867A6F">
        <w:rPr>
          <w:rFonts w:ascii="Times New Roman" w:hAnsi="Times New Roman" w:cs="Times New Roman"/>
          <w:i/>
          <w:iCs/>
          <w:sz w:val="24"/>
          <w:szCs w:val="24"/>
        </w:rPr>
        <w:t>13</w:t>
      </w:r>
      <w:r w:rsidRPr="00867A6F">
        <w:rPr>
          <w:rFonts w:ascii="Times New Roman" w:hAnsi="Times New Roman" w:cs="Times New Roman"/>
          <w:sz w:val="24"/>
          <w:szCs w:val="24"/>
        </w:rPr>
        <w:t>(18), 10049.</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Persistence Market Research (2024) </w:t>
      </w:r>
      <w:r w:rsidRPr="0098207B">
        <w:rPr>
          <w:rFonts w:ascii="Times New Roman" w:hAnsi="Times New Roman" w:cs="Times New Roman"/>
          <w:i/>
          <w:iCs/>
          <w:sz w:val="24"/>
          <w:szCs w:val="24"/>
        </w:rPr>
        <w:t>Smart Watch Market - Size, Share, Trends &amp; Growth</w:t>
      </w:r>
      <w:r w:rsidRPr="0098207B">
        <w:rPr>
          <w:rFonts w:ascii="Times New Roman" w:hAnsi="Times New Roman" w:cs="Times New Roman"/>
          <w:sz w:val="24"/>
          <w:szCs w:val="24"/>
        </w:rPr>
        <w:t xml:space="preserve">. Available at: </w:t>
      </w:r>
      <w:hyperlink r:id="rId21" w:tgtFrame="_blank" w:history="1">
        <w:r w:rsidRPr="0098207B">
          <w:rPr>
            <w:rStyle w:val="Hyperlink"/>
            <w:rFonts w:ascii="Times New Roman" w:hAnsi="Times New Roman" w:cs="Times New Roman"/>
            <w:sz w:val="24"/>
            <w:szCs w:val="24"/>
          </w:rPr>
          <w:t>https://www.persistencemarketresearch.com/market-research/smart-watch-market.asp</w:t>
        </w:r>
      </w:hyperlink>
      <w:r w:rsidRPr="0098207B">
        <w:rPr>
          <w:rFonts w:ascii="Times New Roman" w:hAnsi="Times New Roman" w:cs="Times New Roman"/>
          <w:sz w:val="24"/>
          <w:szCs w:val="24"/>
        </w:rPr>
        <w:t xml:space="preserve"> (Accessed: 19 February 2026).</w:t>
      </w:r>
    </w:p>
    <w:p w:rsidR="00BB0994" w:rsidRPr="0098207B" w:rsidRDefault="00BB0994" w:rsidP="0098207B">
      <w:pPr>
        <w:spacing w:line="360" w:lineRule="auto"/>
        <w:jc w:val="both"/>
        <w:rPr>
          <w:rFonts w:ascii="Times New Roman" w:hAnsi="Times New Roman" w:cs="Times New Roman"/>
          <w:sz w:val="24"/>
          <w:szCs w:val="24"/>
        </w:rPr>
      </w:pPr>
      <w:r w:rsidRPr="0098207B">
        <w:rPr>
          <w:rFonts w:ascii="Times New Roman" w:hAnsi="Times New Roman" w:cs="Times New Roman"/>
          <w:sz w:val="24"/>
          <w:szCs w:val="24"/>
        </w:rPr>
        <w:t xml:space="preserve">TechInsights (2025) </w:t>
      </w:r>
      <w:r w:rsidRPr="0098207B">
        <w:rPr>
          <w:rFonts w:ascii="Times New Roman" w:hAnsi="Times New Roman" w:cs="Times New Roman"/>
          <w:i/>
          <w:iCs/>
          <w:sz w:val="24"/>
          <w:szCs w:val="24"/>
        </w:rPr>
        <w:t>Five Key Trends for Wearables in 2025</w:t>
      </w:r>
      <w:r w:rsidRPr="0098207B">
        <w:rPr>
          <w:rFonts w:ascii="Times New Roman" w:hAnsi="Times New Roman" w:cs="Times New Roman"/>
          <w:sz w:val="24"/>
          <w:szCs w:val="24"/>
        </w:rPr>
        <w:t xml:space="preserve">. Available at: </w:t>
      </w:r>
      <w:hyperlink r:id="rId22" w:tgtFrame="_blank" w:history="1">
        <w:r w:rsidRPr="0098207B">
          <w:rPr>
            <w:rStyle w:val="Hyperlink"/>
            <w:rFonts w:ascii="Times New Roman" w:hAnsi="Times New Roman" w:cs="Times New Roman"/>
            <w:sz w:val="24"/>
            <w:szCs w:val="24"/>
          </w:rPr>
          <w:t>https://www.techinsights.com/blog/five-key-trends-wearables-2025</w:t>
        </w:r>
      </w:hyperlink>
      <w:r>
        <w:rPr>
          <w:rFonts w:ascii="Times New Roman" w:hAnsi="Times New Roman" w:cs="Times New Roman"/>
          <w:sz w:val="24"/>
          <w:szCs w:val="24"/>
        </w:rPr>
        <w:t xml:space="preserve"> (Accessed: 9</w:t>
      </w:r>
      <w:r w:rsidRPr="0098207B">
        <w:rPr>
          <w:rFonts w:ascii="Times New Roman" w:hAnsi="Times New Roman" w:cs="Times New Roman"/>
          <w:sz w:val="24"/>
          <w:szCs w:val="24"/>
        </w:rPr>
        <w:t xml:space="preserve"> February 2026).</w:t>
      </w:r>
    </w:p>
    <w:p w:rsidR="00E74102" w:rsidRDefault="00232350" w:rsidP="00232350">
      <w:pPr>
        <w:spacing w:line="360" w:lineRule="auto"/>
        <w:jc w:val="both"/>
        <w:rPr>
          <w:rFonts w:ascii="Times New Roman" w:hAnsi="Times New Roman" w:cs="Times New Roman"/>
          <w:sz w:val="24"/>
          <w:szCs w:val="24"/>
        </w:rPr>
      </w:pPr>
      <w:r w:rsidRPr="00232350">
        <w:rPr>
          <w:rFonts w:ascii="Times New Roman" w:hAnsi="Times New Roman" w:cs="Times New Roman"/>
          <w:sz w:val="24"/>
          <w:szCs w:val="24"/>
        </w:rPr>
        <w:t xml:space="preserve">Gartner (2024) Forecast Analysis: Wearable Electronic Devices, Worldwide. Available at: </w:t>
      </w:r>
      <w:hyperlink r:id="rId23" w:history="1">
        <w:r w:rsidRPr="006B596C">
          <w:rPr>
            <w:rStyle w:val="Hyperlink"/>
            <w:rFonts w:ascii="Times New Roman" w:hAnsi="Times New Roman" w:cs="Times New Roman"/>
            <w:sz w:val="24"/>
            <w:szCs w:val="24"/>
          </w:rPr>
          <w:t>https://www.gartner.com/en/documents/539986</w:t>
        </w:r>
      </w:hyperlink>
      <w:r>
        <w:rPr>
          <w:rFonts w:ascii="Times New Roman" w:hAnsi="Times New Roman" w:cs="Times New Roman"/>
          <w:sz w:val="24"/>
          <w:szCs w:val="24"/>
        </w:rPr>
        <w:t xml:space="preserve">  (Accessed: 13</w:t>
      </w:r>
      <w:r w:rsidRPr="00232350">
        <w:rPr>
          <w:rFonts w:ascii="Times New Roman" w:hAnsi="Times New Roman" w:cs="Times New Roman"/>
          <w:sz w:val="24"/>
          <w:szCs w:val="24"/>
        </w:rPr>
        <w:t xml:space="preserve"> February 2026).</w:t>
      </w:r>
    </w:p>
    <w:p w:rsidR="00E74102" w:rsidRDefault="00E74102">
      <w:pPr>
        <w:rPr>
          <w:rFonts w:ascii="Times New Roman" w:hAnsi="Times New Roman" w:cs="Times New Roman"/>
          <w:sz w:val="24"/>
          <w:szCs w:val="24"/>
        </w:rPr>
      </w:pPr>
      <w:r>
        <w:rPr>
          <w:rFonts w:ascii="Times New Roman" w:hAnsi="Times New Roman" w:cs="Times New Roman"/>
          <w:sz w:val="24"/>
          <w:szCs w:val="24"/>
        </w:rPr>
        <w:br w:type="page"/>
      </w:r>
    </w:p>
    <w:p w:rsidR="00E74102" w:rsidRPr="00E74102" w:rsidRDefault="00E74102" w:rsidP="00E74102">
      <w:pPr>
        <w:spacing w:line="360" w:lineRule="auto"/>
        <w:jc w:val="both"/>
        <w:rPr>
          <w:rFonts w:ascii="Times New Roman" w:hAnsi="Times New Roman" w:cs="Times New Roman"/>
          <w:b/>
          <w:sz w:val="24"/>
          <w:szCs w:val="24"/>
        </w:rPr>
      </w:pPr>
      <w:r w:rsidRPr="00E74102">
        <w:rPr>
          <w:rFonts w:ascii="Times New Roman" w:hAnsi="Times New Roman" w:cs="Times New Roman"/>
          <w:b/>
          <w:sz w:val="24"/>
          <w:szCs w:val="24"/>
        </w:rPr>
        <w:lastRenderedPageBreak/>
        <w:t>Appendix: Brand Extension Poster Presentation</w:t>
      </w:r>
    </w:p>
    <w:p w:rsidR="00232350" w:rsidRDefault="00E74102" w:rsidP="00232350">
      <w:pPr>
        <w:spacing w:line="360" w:lineRule="auto"/>
        <w:jc w:val="both"/>
        <w:rPr>
          <w:rFonts w:ascii="Times New Roman" w:hAnsi="Times New Roman" w:cs="Times New Roman"/>
          <w:sz w:val="24"/>
          <w:szCs w:val="24"/>
        </w:rPr>
      </w:pPr>
      <w:r>
        <w:rPr>
          <w:noProof/>
          <w:lang w:eastAsia="en-GB"/>
        </w:rPr>
        <w:drawing>
          <wp:inline distT="0" distB="0" distL="0" distR="0" wp14:anchorId="73F6DD5C" wp14:editId="71599E62">
            <wp:extent cx="5731510" cy="35814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581400"/>
                    </a:xfrm>
                    <a:prstGeom prst="rect">
                      <a:avLst/>
                    </a:prstGeom>
                  </pic:spPr>
                </pic:pic>
              </a:graphicData>
            </a:graphic>
          </wp:inline>
        </w:drawing>
      </w:r>
    </w:p>
    <w:p w:rsidR="00232350" w:rsidRPr="00232350" w:rsidRDefault="00232350" w:rsidP="00232350">
      <w:pPr>
        <w:spacing w:line="360" w:lineRule="auto"/>
        <w:jc w:val="both"/>
        <w:rPr>
          <w:rFonts w:ascii="Times New Roman" w:hAnsi="Times New Roman" w:cs="Times New Roman"/>
          <w:sz w:val="24"/>
          <w:szCs w:val="24"/>
        </w:rPr>
      </w:pPr>
    </w:p>
    <w:p w:rsidR="00806C73" w:rsidRPr="00806C73" w:rsidRDefault="00806C73" w:rsidP="00806C73">
      <w:pPr>
        <w:spacing w:line="360" w:lineRule="auto"/>
        <w:jc w:val="both"/>
        <w:rPr>
          <w:rFonts w:ascii="Times New Roman" w:hAnsi="Times New Roman" w:cs="Times New Roman"/>
          <w:sz w:val="24"/>
          <w:szCs w:val="24"/>
          <w:lang w:val="en-AU"/>
        </w:rPr>
      </w:pPr>
    </w:p>
    <w:sectPr w:rsidR="00806C73" w:rsidRPr="00806C73">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28E" w:rsidRDefault="00AE628E" w:rsidP="00A35749">
      <w:pPr>
        <w:spacing w:after="0" w:line="240" w:lineRule="auto"/>
      </w:pPr>
      <w:r>
        <w:separator/>
      </w:r>
    </w:p>
  </w:endnote>
  <w:endnote w:type="continuationSeparator" w:id="0">
    <w:p w:rsidR="00AE628E" w:rsidRDefault="00AE628E" w:rsidP="00A35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56201"/>
      <w:docPartObj>
        <w:docPartGallery w:val="Page Numbers (Bottom of Page)"/>
        <w:docPartUnique/>
      </w:docPartObj>
    </w:sdtPr>
    <w:sdtEndPr>
      <w:rPr>
        <w:noProof/>
      </w:rPr>
    </w:sdtEndPr>
    <w:sdtContent>
      <w:p w:rsidR="00A35749" w:rsidRDefault="00A35749">
        <w:pPr>
          <w:pStyle w:val="Footer"/>
          <w:jc w:val="right"/>
        </w:pPr>
        <w:r>
          <w:fldChar w:fldCharType="begin"/>
        </w:r>
        <w:r>
          <w:instrText xml:space="preserve"> PAGE   \* MERGEFORMAT </w:instrText>
        </w:r>
        <w:r>
          <w:fldChar w:fldCharType="separate"/>
        </w:r>
        <w:r w:rsidR="001A0082">
          <w:rPr>
            <w:noProof/>
          </w:rPr>
          <w:t>3</w:t>
        </w:r>
        <w:r>
          <w:rPr>
            <w:noProof/>
          </w:rPr>
          <w:fldChar w:fldCharType="end"/>
        </w:r>
      </w:p>
    </w:sdtContent>
  </w:sdt>
  <w:p w:rsidR="00A35749" w:rsidRDefault="00A357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28E" w:rsidRDefault="00AE628E" w:rsidP="00A35749">
      <w:pPr>
        <w:spacing w:after="0" w:line="240" w:lineRule="auto"/>
      </w:pPr>
      <w:r>
        <w:separator/>
      </w:r>
    </w:p>
  </w:footnote>
  <w:footnote w:type="continuationSeparator" w:id="0">
    <w:p w:rsidR="00AE628E" w:rsidRDefault="00AE628E" w:rsidP="00A357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C73"/>
    <w:rsid w:val="000737F1"/>
    <w:rsid w:val="0007696D"/>
    <w:rsid w:val="000A61CD"/>
    <w:rsid w:val="000B7A3C"/>
    <w:rsid w:val="000D4D7E"/>
    <w:rsid w:val="00176BDC"/>
    <w:rsid w:val="001A0082"/>
    <w:rsid w:val="00224FB3"/>
    <w:rsid w:val="00232350"/>
    <w:rsid w:val="002A292F"/>
    <w:rsid w:val="002C7D80"/>
    <w:rsid w:val="003500AB"/>
    <w:rsid w:val="00373999"/>
    <w:rsid w:val="00377125"/>
    <w:rsid w:val="00467516"/>
    <w:rsid w:val="00481892"/>
    <w:rsid w:val="004B64E6"/>
    <w:rsid w:val="004C05F8"/>
    <w:rsid w:val="00534998"/>
    <w:rsid w:val="0053685F"/>
    <w:rsid w:val="00546D4A"/>
    <w:rsid w:val="005A1DB0"/>
    <w:rsid w:val="005D1BB5"/>
    <w:rsid w:val="005D35C0"/>
    <w:rsid w:val="0061024D"/>
    <w:rsid w:val="006131CF"/>
    <w:rsid w:val="00616CB1"/>
    <w:rsid w:val="00622F12"/>
    <w:rsid w:val="006344F6"/>
    <w:rsid w:val="0069380D"/>
    <w:rsid w:val="00733C6F"/>
    <w:rsid w:val="00771FE0"/>
    <w:rsid w:val="00784F0E"/>
    <w:rsid w:val="007B3AF6"/>
    <w:rsid w:val="007E51F9"/>
    <w:rsid w:val="007E522A"/>
    <w:rsid w:val="00806C73"/>
    <w:rsid w:val="00834A2D"/>
    <w:rsid w:val="008551EC"/>
    <w:rsid w:val="00867A6F"/>
    <w:rsid w:val="008B2A8F"/>
    <w:rsid w:val="00923EF5"/>
    <w:rsid w:val="0098207B"/>
    <w:rsid w:val="009A3FBC"/>
    <w:rsid w:val="009C64EE"/>
    <w:rsid w:val="009E7E64"/>
    <w:rsid w:val="00A35749"/>
    <w:rsid w:val="00A83275"/>
    <w:rsid w:val="00AA31F6"/>
    <w:rsid w:val="00AC1B80"/>
    <w:rsid w:val="00AE628E"/>
    <w:rsid w:val="00B21CA1"/>
    <w:rsid w:val="00B35CA8"/>
    <w:rsid w:val="00B3657C"/>
    <w:rsid w:val="00B46FCC"/>
    <w:rsid w:val="00B61106"/>
    <w:rsid w:val="00BA54BE"/>
    <w:rsid w:val="00BA7F08"/>
    <w:rsid w:val="00BB0994"/>
    <w:rsid w:val="00BB5812"/>
    <w:rsid w:val="00BC3545"/>
    <w:rsid w:val="00C21764"/>
    <w:rsid w:val="00C424B0"/>
    <w:rsid w:val="00C47295"/>
    <w:rsid w:val="00C65C60"/>
    <w:rsid w:val="00CB0C59"/>
    <w:rsid w:val="00CD3494"/>
    <w:rsid w:val="00D20895"/>
    <w:rsid w:val="00D31C3B"/>
    <w:rsid w:val="00D337FE"/>
    <w:rsid w:val="00D639E8"/>
    <w:rsid w:val="00D74724"/>
    <w:rsid w:val="00D82989"/>
    <w:rsid w:val="00DA2C27"/>
    <w:rsid w:val="00DF6143"/>
    <w:rsid w:val="00E02560"/>
    <w:rsid w:val="00E32CE8"/>
    <w:rsid w:val="00E55FB6"/>
    <w:rsid w:val="00E61B46"/>
    <w:rsid w:val="00E74102"/>
    <w:rsid w:val="00EC30A3"/>
    <w:rsid w:val="00F249F2"/>
    <w:rsid w:val="00F8102A"/>
    <w:rsid w:val="00F935A4"/>
    <w:rsid w:val="00FA0AF6"/>
    <w:rsid w:val="00FA67B3"/>
    <w:rsid w:val="00FB149F"/>
    <w:rsid w:val="00FB2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BCCD0"/>
  <w15:chartTrackingRefBased/>
  <w15:docId w15:val="{F8C69AB3-319A-4A33-A6C5-5B44B478C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0082"/>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1A0082"/>
    <w:pPr>
      <w:keepNext/>
      <w:keepLines/>
      <w:spacing w:before="40" w:after="0" w:line="360" w:lineRule="auto"/>
      <w:jc w:val="both"/>
      <w:outlineLvl w:val="1"/>
    </w:pPr>
    <w:rPr>
      <w:rFonts w:ascii="Times New Roman" w:eastAsiaTheme="majorEastAsia" w:hAnsi="Times New Roman" w:cstheme="majorBidi"/>
      <w:b/>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749"/>
  </w:style>
  <w:style w:type="paragraph" w:styleId="Footer">
    <w:name w:val="footer"/>
    <w:basedOn w:val="Normal"/>
    <w:link w:val="FooterChar"/>
    <w:uiPriority w:val="99"/>
    <w:unhideWhenUsed/>
    <w:rsid w:val="00A35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749"/>
  </w:style>
  <w:style w:type="character" w:styleId="Hyperlink">
    <w:name w:val="Hyperlink"/>
    <w:basedOn w:val="DefaultParagraphFont"/>
    <w:uiPriority w:val="99"/>
    <w:unhideWhenUsed/>
    <w:rsid w:val="0098207B"/>
    <w:rPr>
      <w:color w:val="0563C1" w:themeColor="hyperlink"/>
      <w:u w:val="single"/>
    </w:rPr>
  </w:style>
  <w:style w:type="character" w:styleId="FollowedHyperlink">
    <w:name w:val="FollowedHyperlink"/>
    <w:basedOn w:val="DefaultParagraphFont"/>
    <w:uiPriority w:val="99"/>
    <w:semiHidden/>
    <w:unhideWhenUsed/>
    <w:rsid w:val="0053685F"/>
    <w:rPr>
      <w:color w:val="954F72" w:themeColor="followedHyperlink"/>
      <w:u w:val="single"/>
    </w:rPr>
  </w:style>
  <w:style w:type="paragraph" w:styleId="NormalWeb">
    <w:name w:val="Normal (Web)"/>
    <w:basedOn w:val="Normal"/>
    <w:uiPriority w:val="99"/>
    <w:semiHidden/>
    <w:unhideWhenUsed/>
    <w:rsid w:val="00E74102"/>
    <w:rPr>
      <w:rFonts w:ascii="Times New Roman" w:hAnsi="Times New Roman" w:cs="Times New Roman"/>
      <w:sz w:val="24"/>
      <w:szCs w:val="24"/>
    </w:rPr>
  </w:style>
  <w:style w:type="character" w:customStyle="1" w:styleId="Heading1Char">
    <w:name w:val="Heading 1 Char"/>
    <w:basedOn w:val="DefaultParagraphFont"/>
    <w:link w:val="Heading1"/>
    <w:uiPriority w:val="9"/>
    <w:rsid w:val="001A008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A0082"/>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A008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A0082"/>
    <w:pPr>
      <w:spacing w:after="100"/>
    </w:pPr>
  </w:style>
  <w:style w:type="paragraph" w:styleId="TOC2">
    <w:name w:val="toc 2"/>
    <w:basedOn w:val="Normal"/>
    <w:next w:val="Normal"/>
    <w:autoRedefine/>
    <w:uiPriority w:val="39"/>
    <w:unhideWhenUsed/>
    <w:rsid w:val="001A00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80377">
      <w:bodyDiv w:val="1"/>
      <w:marLeft w:val="0"/>
      <w:marRight w:val="0"/>
      <w:marTop w:val="0"/>
      <w:marBottom w:val="0"/>
      <w:divBdr>
        <w:top w:val="none" w:sz="0" w:space="0" w:color="auto"/>
        <w:left w:val="none" w:sz="0" w:space="0" w:color="auto"/>
        <w:bottom w:val="none" w:sz="0" w:space="0" w:color="auto"/>
        <w:right w:val="none" w:sz="0" w:space="0" w:color="auto"/>
      </w:divBdr>
    </w:div>
    <w:div w:id="452287127">
      <w:bodyDiv w:val="1"/>
      <w:marLeft w:val="0"/>
      <w:marRight w:val="0"/>
      <w:marTop w:val="0"/>
      <w:marBottom w:val="0"/>
      <w:divBdr>
        <w:top w:val="none" w:sz="0" w:space="0" w:color="auto"/>
        <w:left w:val="none" w:sz="0" w:space="0" w:color="auto"/>
        <w:bottom w:val="none" w:sz="0" w:space="0" w:color="auto"/>
        <w:right w:val="none" w:sz="0" w:space="0" w:color="auto"/>
      </w:divBdr>
    </w:div>
    <w:div w:id="557521887">
      <w:bodyDiv w:val="1"/>
      <w:marLeft w:val="0"/>
      <w:marRight w:val="0"/>
      <w:marTop w:val="0"/>
      <w:marBottom w:val="0"/>
      <w:divBdr>
        <w:top w:val="none" w:sz="0" w:space="0" w:color="auto"/>
        <w:left w:val="none" w:sz="0" w:space="0" w:color="auto"/>
        <w:bottom w:val="none" w:sz="0" w:space="0" w:color="auto"/>
        <w:right w:val="none" w:sz="0" w:space="0" w:color="auto"/>
      </w:divBdr>
    </w:div>
    <w:div w:id="635141066">
      <w:bodyDiv w:val="1"/>
      <w:marLeft w:val="0"/>
      <w:marRight w:val="0"/>
      <w:marTop w:val="0"/>
      <w:marBottom w:val="0"/>
      <w:divBdr>
        <w:top w:val="none" w:sz="0" w:space="0" w:color="auto"/>
        <w:left w:val="none" w:sz="0" w:space="0" w:color="auto"/>
        <w:bottom w:val="none" w:sz="0" w:space="0" w:color="auto"/>
        <w:right w:val="none" w:sz="0" w:space="0" w:color="auto"/>
      </w:divBdr>
    </w:div>
    <w:div w:id="644357026">
      <w:bodyDiv w:val="1"/>
      <w:marLeft w:val="0"/>
      <w:marRight w:val="0"/>
      <w:marTop w:val="0"/>
      <w:marBottom w:val="0"/>
      <w:divBdr>
        <w:top w:val="none" w:sz="0" w:space="0" w:color="auto"/>
        <w:left w:val="none" w:sz="0" w:space="0" w:color="auto"/>
        <w:bottom w:val="none" w:sz="0" w:space="0" w:color="auto"/>
        <w:right w:val="none" w:sz="0" w:space="0" w:color="auto"/>
      </w:divBdr>
    </w:div>
    <w:div w:id="702902488">
      <w:bodyDiv w:val="1"/>
      <w:marLeft w:val="0"/>
      <w:marRight w:val="0"/>
      <w:marTop w:val="0"/>
      <w:marBottom w:val="0"/>
      <w:divBdr>
        <w:top w:val="none" w:sz="0" w:space="0" w:color="auto"/>
        <w:left w:val="none" w:sz="0" w:space="0" w:color="auto"/>
        <w:bottom w:val="none" w:sz="0" w:space="0" w:color="auto"/>
        <w:right w:val="none" w:sz="0" w:space="0" w:color="auto"/>
      </w:divBdr>
    </w:div>
    <w:div w:id="888878915">
      <w:bodyDiv w:val="1"/>
      <w:marLeft w:val="0"/>
      <w:marRight w:val="0"/>
      <w:marTop w:val="0"/>
      <w:marBottom w:val="0"/>
      <w:divBdr>
        <w:top w:val="none" w:sz="0" w:space="0" w:color="auto"/>
        <w:left w:val="none" w:sz="0" w:space="0" w:color="auto"/>
        <w:bottom w:val="none" w:sz="0" w:space="0" w:color="auto"/>
        <w:right w:val="none" w:sz="0" w:space="0" w:color="auto"/>
      </w:divBdr>
    </w:div>
    <w:div w:id="1355185085">
      <w:bodyDiv w:val="1"/>
      <w:marLeft w:val="0"/>
      <w:marRight w:val="0"/>
      <w:marTop w:val="0"/>
      <w:marBottom w:val="0"/>
      <w:divBdr>
        <w:top w:val="none" w:sz="0" w:space="0" w:color="auto"/>
        <w:left w:val="none" w:sz="0" w:space="0" w:color="auto"/>
        <w:bottom w:val="none" w:sz="0" w:space="0" w:color="auto"/>
        <w:right w:val="none" w:sz="0" w:space="0" w:color="auto"/>
      </w:divBdr>
    </w:div>
    <w:div w:id="1443382707">
      <w:bodyDiv w:val="1"/>
      <w:marLeft w:val="0"/>
      <w:marRight w:val="0"/>
      <w:marTop w:val="0"/>
      <w:marBottom w:val="0"/>
      <w:divBdr>
        <w:top w:val="none" w:sz="0" w:space="0" w:color="auto"/>
        <w:left w:val="none" w:sz="0" w:space="0" w:color="auto"/>
        <w:bottom w:val="none" w:sz="0" w:space="0" w:color="auto"/>
        <w:right w:val="none" w:sz="0" w:space="0" w:color="auto"/>
      </w:divBdr>
    </w:div>
    <w:div w:id="1533496441">
      <w:bodyDiv w:val="1"/>
      <w:marLeft w:val="0"/>
      <w:marRight w:val="0"/>
      <w:marTop w:val="0"/>
      <w:marBottom w:val="0"/>
      <w:divBdr>
        <w:top w:val="none" w:sz="0" w:space="0" w:color="auto"/>
        <w:left w:val="none" w:sz="0" w:space="0" w:color="auto"/>
        <w:bottom w:val="none" w:sz="0" w:space="0" w:color="auto"/>
        <w:right w:val="none" w:sz="0" w:space="0" w:color="auto"/>
      </w:divBdr>
    </w:div>
    <w:div w:id="1586914234">
      <w:bodyDiv w:val="1"/>
      <w:marLeft w:val="0"/>
      <w:marRight w:val="0"/>
      <w:marTop w:val="0"/>
      <w:marBottom w:val="0"/>
      <w:divBdr>
        <w:top w:val="none" w:sz="0" w:space="0" w:color="auto"/>
        <w:left w:val="none" w:sz="0" w:space="0" w:color="auto"/>
        <w:bottom w:val="none" w:sz="0" w:space="0" w:color="auto"/>
        <w:right w:val="none" w:sz="0" w:space="0" w:color="auto"/>
      </w:divBdr>
    </w:div>
    <w:div w:id="1821145881">
      <w:bodyDiv w:val="1"/>
      <w:marLeft w:val="0"/>
      <w:marRight w:val="0"/>
      <w:marTop w:val="0"/>
      <w:marBottom w:val="0"/>
      <w:divBdr>
        <w:top w:val="none" w:sz="0" w:space="0" w:color="auto"/>
        <w:left w:val="none" w:sz="0" w:space="0" w:color="auto"/>
        <w:bottom w:val="none" w:sz="0" w:space="0" w:color="auto"/>
        <w:right w:val="none" w:sz="0" w:space="0" w:color="auto"/>
      </w:divBdr>
    </w:div>
    <w:div w:id="1870601252">
      <w:bodyDiv w:val="1"/>
      <w:marLeft w:val="0"/>
      <w:marRight w:val="0"/>
      <w:marTop w:val="0"/>
      <w:marBottom w:val="0"/>
      <w:divBdr>
        <w:top w:val="none" w:sz="0" w:space="0" w:color="auto"/>
        <w:left w:val="none" w:sz="0" w:space="0" w:color="auto"/>
        <w:bottom w:val="none" w:sz="0" w:space="0" w:color="auto"/>
        <w:right w:val="none" w:sz="0" w:space="0" w:color="auto"/>
      </w:divBdr>
    </w:div>
    <w:div w:id="1929726225">
      <w:bodyDiv w:val="1"/>
      <w:marLeft w:val="0"/>
      <w:marRight w:val="0"/>
      <w:marTop w:val="0"/>
      <w:marBottom w:val="0"/>
      <w:divBdr>
        <w:top w:val="none" w:sz="0" w:space="0" w:color="auto"/>
        <w:left w:val="none" w:sz="0" w:space="0" w:color="auto"/>
        <w:bottom w:val="none" w:sz="0" w:space="0" w:color="auto"/>
        <w:right w:val="none" w:sz="0" w:space="0" w:color="auto"/>
      </w:divBdr>
    </w:div>
    <w:div w:id="2033191248">
      <w:bodyDiv w:val="1"/>
      <w:marLeft w:val="0"/>
      <w:marRight w:val="0"/>
      <w:marTop w:val="0"/>
      <w:marBottom w:val="0"/>
      <w:divBdr>
        <w:top w:val="none" w:sz="0" w:space="0" w:color="auto"/>
        <w:left w:val="none" w:sz="0" w:space="0" w:color="auto"/>
        <w:bottom w:val="none" w:sz="0" w:space="0" w:color="auto"/>
        <w:right w:val="none" w:sz="0" w:space="0" w:color="auto"/>
      </w:divBdr>
    </w:div>
    <w:div w:id="2106801026">
      <w:bodyDiv w:val="1"/>
      <w:marLeft w:val="0"/>
      <w:marRight w:val="0"/>
      <w:marTop w:val="0"/>
      <w:marBottom w:val="0"/>
      <w:divBdr>
        <w:top w:val="none" w:sz="0" w:space="0" w:color="auto"/>
        <w:left w:val="none" w:sz="0" w:space="0" w:color="auto"/>
        <w:bottom w:val="none" w:sz="0" w:space="0" w:color="auto"/>
        <w:right w:val="none" w:sz="0" w:space="0" w:color="auto"/>
      </w:divBdr>
    </w:div>
    <w:div w:id="212568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izton.com/market-reports/smart-wearables-market" TargetMode="External"/><Relationship Id="rId13" Type="http://schemas.openxmlformats.org/officeDocument/2006/relationships/hyperlink" Target="https://www.gartner.com/en/newsroom/press-releases/2020-09-15-gartner-says-80--of-b2b-sales-interactions-between-su" TargetMode="External"/><Relationship Id="rId18" Type="http://schemas.openxmlformats.org/officeDocument/2006/relationships/hyperlink" Target="https://www.marketsandmarkets.com/Market-Reports/wearable-electronics-market-983.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ersistencemarketresearch.com/market-research/smart-watch-market.asp" TargetMode="External"/><Relationship Id="rId7" Type="http://schemas.openxmlformats.org/officeDocument/2006/relationships/hyperlink" Target="https://acsm.org/top-fitness-trends-2025" TargetMode="External"/><Relationship Id="rId12" Type="http://schemas.openxmlformats.org/officeDocument/2006/relationships/hyperlink" Target="https://www.futuredatastats.com/smart-wearables-market" TargetMode="External"/><Relationship Id="rId17" Type="http://schemas.openxmlformats.org/officeDocument/2006/relationships/hyperlink" Target="https://www.linkedin.com/pulse/wearable-health-devices-market-growth-analysis-dynamics-ias0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elecomtv.com/content/devices/worldwide-wearables-market-to-top-300-million-units-in-2019-and-nearly-500-million-units-in-2023-37251" TargetMode="External"/><Relationship Id="rId20" Type="http://schemas.openxmlformats.org/officeDocument/2006/relationships/hyperlink" Target="https://www.mordorintelligence.com/industry-reports/smartwatch-marke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llenmacarthurfoundation.org/topics/circular-economy-introduction/overview" TargetMode="Externa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idc.com/promo/wearablevendor" TargetMode="External"/><Relationship Id="rId23" Type="http://schemas.openxmlformats.org/officeDocument/2006/relationships/hyperlink" Target="https://www.gartner.com/en/documents/539986" TargetMode="External"/><Relationship Id="rId10" Type="http://schemas.openxmlformats.org/officeDocument/2006/relationships/hyperlink" Target="https://electroiq.com/stats/wearable-technology-statistics" TargetMode="External"/><Relationship Id="rId19" Type="http://schemas.openxmlformats.org/officeDocument/2006/relationships/hyperlink" Target="https://www.microej.com/news/the-ultimate-smartwatch-design-industry-guide-2025" TargetMode="External"/><Relationship Id="rId4" Type="http://schemas.openxmlformats.org/officeDocument/2006/relationships/webSettings" Target="webSettings.xml"/><Relationship Id="rId9" Type="http://schemas.openxmlformats.org/officeDocument/2006/relationships/hyperlink" Target="https://www.delveinsight.com/report-store/wearable-medical-devices-market" TargetMode="External"/><Relationship Id="rId14" Type="http://schemas.openxmlformats.org/officeDocument/2006/relationships/hyperlink" Target="https://www.gminsights.com/industry-analysis/wearables-market" TargetMode="External"/><Relationship Id="rId22" Type="http://schemas.openxmlformats.org/officeDocument/2006/relationships/hyperlink" Target="https://www.techinsights.com/blog/five-key-trends-wearables-202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10582-AFDD-465E-8B6C-077D7AF4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14</Pages>
  <Words>4129</Words>
  <Characters>23538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Testing</dc:creator>
  <cp:keywords/>
  <dc:description/>
  <cp:lastModifiedBy>Testing</cp:lastModifiedBy>
  <cp:revision>1</cp:revision>
  <dcterms:created xsi:type="dcterms:W3CDTF">2026-02-19T05:46:00Z</dcterms:created>
  <dcterms:modified xsi:type="dcterms:W3CDTF">2026-02-19T11:55:00Z</dcterms:modified>
</cp:coreProperties>
</file>