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65629" w14:textId="2E0EA9B3" w:rsidR="00FE6C10" w:rsidRPr="003A734B" w:rsidRDefault="00FE6C10" w:rsidP="00B022F4">
      <w:pPr>
        <w:spacing w:line="360" w:lineRule="auto"/>
        <w:jc w:val="center"/>
        <w:rPr>
          <w:b/>
          <w:bCs/>
        </w:rPr>
      </w:pPr>
      <w:r w:rsidRPr="003A734B">
        <w:rPr>
          <w:b/>
          <w:bCs/>
          <w:noProof/>
        </w:rPr>
        <w:drawing>
          <wp:inline distT="0" distB="0" distL="0" distR="0" wp14:anchorId="0390F759" wp14:editId="6B6DB119">
            <wp:extent cx="1981372" cy="739204"/>
            <wp:effectExtent l="0" t="0" r="0" b="3810"/>
            <wp:docPr id="1265922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922132" name=""/>
                    <pic:cNvPicPr/>
                  </pic:nvPicPr>
                  <pic:blipFill>
                    <a:blip r:embed="rId7"/>
                    <a:stretch>
                      <a:fillRect/>
                    </a:stretch>
                  </pic:blipFill>
                  <pic:spPr>
                    <a:xfrm>
                      <a:off x="0" y="0"/>
                      <a:ext cx="1981372" cy="739204"/>
                    </a:xfrm>
                    <a:prstGeom prst="rect">
                      <a:avLst/>
                    </a:prstGeom>
                  </pic:spPr>
                </pic:pic>
              </a:graphicData>
            </a:graphic>
          </wp:inline>
        </w:drawing>
      </w:r>
    </w:p>
    <w:p w14:paraId="00000001" w14:textId="69C5B1E4" w:rsidR="0099076E" w:rsidRPr="003A734B" w:rsidRDefault="00000000" w:rsidP="00B022F4">
      <w:pPr>
        <w:spacing w:line="360" w:lineRule="auto"/>
        <w:jc w:val="center"/>
        <w:rPr>
          <w:b/>
          <w:bCs/>
        </w:rPr>
      </w:pPr>
      <w:r w:rsidRPr="003A734B">
        <w:rPr>
          <w:b/>
          <w:bCs/>
        </w:rPr>
        <w:t>Module: Introduction to Health and Social Care</w:t>
      </w:r>
    </w:p>
    <w:p w14:paraId="00000002" w14:textId="77777777" w:rsidR="0099076E" w:rsidRPr="003A734B" w:rsidRDefault="00000000" w:rsidP="00B022F4">
      <w:pPr>
        <w:spacing w:line="360" w:lineRule="auto"/>
        <w:jc w:val="center"/>
        <w:rPr>
          <w:b/>
          <w:bCs/>
        </w:rPr>
      </w:pPr>
      <w:r w:rsidRPr="003A734B">
        <w:rPr>
          <w:b/>
          <w:bCs/>
        </w:rPr>
        <w:t>Module code: LCHS4003</w:t>
      </w:r>
    </w:p>
    <w:p w14:paraId="00000003" w14:textId="77777777" w:rsidR="0099076E" w:rsidRDefault="00000000" w:rsidP="00B022F4">
      <w:pPr>
        <w:spacing w:line="360" w:lineRule="auto"/>
        <w:jc w:val="center"/>
        <w:rPr>
          <w:b/>
          <w:bCs/>
        </w:rPr>
      </w:pPr>
      <w:r w:rsidRPr="003A734B">
        <w:rPr>
          <w:b/>
          <w:bCs/>
        </w:rPr>
        <w:t>Assignment Title: Component 2 Written Assignment</w:t>
      </w:r>
    </w:p>
    <w:p w14:paraId="4D126BC3" w14:textId="658C6E7D" w:rsidR="007129E7" w:rsidRDefault="007129E7" w:rsidP="00B022F4">
      <w:pPr>
        <w:spacing w:line="360" w:lineRule="auto"/>
        <w:jc w:val="center"/>
        <w:rPr>
          <w:b/>
          <w:bCs/>
        </w:rPr>
      </w:pPr>
      <w:r>
        <w:rPr>
          <w:b/>
          <w:bCs/>
        </w:rPr>
        <w:t>Student Name: Mariana Adriana Iancu</w:t>
      </w:r>
    </w:p>
    <w:p w14:paraId="20316768" w14:textId="4CF7D427" w:rsidR="007129E7" w:rsidRPr="003A734B" w:rsidRDefault="007129E7" w:rsidP="00B022F4">
      <w:pPr>
        <w:spacing w:line="360" w:lineRule="auto"/>
        <w:jc w:val="center"/>
        <w:rPr>
          <w:b/>
          <w:bCs/>
        </w:rPr>
      </w:pPr>
      <w:r>
        <w:rPr>
          <w:b/>
          <w:bCs/>
        </w:rPr>
        <w:t>Student ID: 2530098</w:t>
      </w:r>
    </w:p>
    <w:p w14:paraId="00000004" w14:textId="77777777" w:rsidR="0099076E" w:rsidRPr="003A734B" w:rsidRDefault="00000000" w:rsidP="00B022F4">
      <w:pPr>
        <w:spacing w:line="360" w:lineRule="auto"/>
        <w:jc w:val="both"/>
      </w:pPr>
      <w:r w:rsidRPr="003A734B">
        <w:br w:type="page"/>
      </w:r>
    </w:p>
    <w:bookmarkStart w:id="0" w:name="_nabjuzdqmqj2" w:colFirst="0" w:colLast="0" w:displacedByCustomXml="next"/>
    <w:bookmarkEnd w:id="0" w:displacedByCustomXml="next"/>
    <w:sdt>
      <w:sdtPr>
        <w:rPr>
          <w:rFonts w:ascii="Arial" w:eastAsia="Arial" w:hAnsi="Arial" w:cs="Arial"/>
          <w:b/>
          <w:bCs/>
          <w:color w:val="auto"/>
          <w:sz w:val="22"/>
          <w:szCs w:val="22"/>
          <w:lang w:val="en-GB"/>
        </w:rPr>
        <w:id w:val="1629432116"/>
        <w:docPartObj>
          <w:docPartGallery w:val="Table of Contents"/>
          <w:docPartUnique/>
        </w:docPartObj>
      </w:sdtPr>
      <w:sdtContent>
        <w:p w14:paraId="7CA0624C" w14:textId="2FB1EA3F" w:rsidR="0052504B" w:rsidRPr="003A734B" w:rsidRDefault="0052504B" w:rsidP="00B022F4">
          <w:pPr>
            <w:pStyle w:val="TOCHeading"/>
            <w:spacing w:line="360" w:lineRule="auto"/>
            <w:jc w:val="center"/>
            <w:rPr>
              <w:rFonts w:ascii="Arial" w:hAnsi="Arial" w:cs="Arial"/>
              <w:b/>
              <w:bCs/>
              <w:color w:val="auto"/>
              <w:sz w:val="22"/>
              <w:szCs w:val="22"/>
              <w:lang w:val="en-GB"/>
            </w:rPr>
          </w:pPr>
          <w:r w:rsidRPr="003A734B">
            <w:rPr>
              <w:rFonts w:ascii="Arial" w:hAnsi="Arial" w:cs="Arial"/>
              <w:b/>
              <w:bCs/>
              <w:color w:val="auto"/>
              <w:sz w:val="22"/>
              <w:szCs w:val="22"/>
              <w:lang w:val="en-GB"/>
            </w:rPr>
            <w:t>Table of Contents</w:t>
          </w:r>
        </w:p>
        <w:p w14:paraId="23DF9BB0" w14:textId="6688172E" w:rsidR="0052504B" w:rsidRPr="003A734B" w:rsidRDefault="0052504B" w:rsidP="00B022F4">
          <w:pPr>
            <w:pStyle w:val="TOC1"/>
            <w:tabs>
              <w:tab w:val="right" w:leader="dot" w:pos="9350"/>
            </w:tabs>
            <w:spacing w:line="360" w:lineRule="auto"/>
            <w:rPr>
              <w:noProof/>
            </w:rPr>
          </w:pPr>
          <w:r w:rsidRPr="003A734B">
            <w:fldChar w:fldCharType="begin"/>
          </w:r>
          <w:r w:rsidRPr="003A734B">
            <w:instrText xml:space="preserve"> TOC \o "1-3" \h \z \u </w:instrText>
          </w:r>
          <w:r w:rsidRPr="003A734B">
            <w:fldChar w:fldCharType="separate"/>
          </w:r>
          <w:hyperlink w:anchor="_Toc237439332" w:history="1">
            <w:r w:rsidRPr="003A734B">
              <w:rPr>
                <w:rStyle w:val="Hyperlink"/>
                <w:noProof/>
              </w:rPr>
              <w:t>Introduction</w:t>
            </w:r>
            <w:r w:rsidRPr="003A734B">
              <w:rPr>
                <w:noProof/>
                <w:webHidden/>
              </w:rPr>
              <w:tab/>
            </w:r>
            <w:r w:rsidRPr="003A734B">
              <w:rPr>
                <w:noProof/>
                <w:webHidden/>
              </w:rPr>
              <w:fldChar w:fldCharType="begin"/>
            </w:r>
            <w:r w:rsidRPr="003A734B">
              <w:rPr>
                <w:noProof/>
                <w:webHidden/>
              </w:rPr>
              <w:instrText xml:space="preserve"> PAGEREF _Toc237439332 \h </w:instrText>
            </w:r>
            <w:r w:rsidRPr="003A734B">
              <w:rPr>
                <w:noProof/>
                <w:webHidden/>
              </w:rPr>
            </w:r>
            <w:r w:rsidRPr="003A734B">
              <w:rPr>
                <w:noProof/>
                <w:webHidden/>
              </w:rPr>
              <w:fldChar w:fldCharType="separate"/>
            </w:r>
            <w:r w:rsidR="00F043FF">
              <w:rPr>
                <w:noProof/>
                <w:webHidden/>
              </w:rPr>
              <w:t>3</w:t>
            </w:r>
            <w:r w:rsidRPr="003A734B">
              <w:rPr>
                <w:noProof/>
                <w:webHidden/>
              </w:rPr>
              <w:fldChar w:fldCharType="end"/>
            </w:r>
          </w:hyperlink>
        </w:p>
        <w:p w14:paraId="5464767E" w14:textId="04EC2A27" w:rsidR="0052504B" w:rsidRPr="003A734B" w:rsidRDefault="0052504B" w:rsidP="00B022F4">
          <w:pPr>
            <w:pStyle w:val="TOC1"/>
            <w:tabs>
              <w:tab w:val="right" w:leader="dot" w:pos="9350"/>
            </w:tabs>
            <w:spacing w:line="360" w:lineRule="auto"/>
            <w:rPr>
              <w:noProof/>
            </w:rPr>
          </w:pPr>
          <w:hyperlink w:anchor="_Toc237439333" w:history="1">
            <w:r w:rsidRPr="003A734B">
              <w:rPr>
                <w:rStyle w:val="Hyperlink"/>
                <w:noProof/>
              </w:rPr>
              <w:t>Section 1: Effective Communication</w:t>
            </w:r>
            <w:r w:rsidRPr="003A734B">
              <w:rPr>
                <w:noProof/>
                <w:webHidden/>
              </w:rPr>
              <w:tab/>
            </w:r>
            <w:r w:rsidRPr="003A734B">
              <w:rPr>
                <w:noProof/>
                <w:webHidden/>
              </w:rPr>
              <w:fldChar w:fldCharType="begin"/>
            </w:r>
            <w:r w:rsidRPr="003A734B">
              <w:rPr>
                <w:noProof/>
                <w:webHidden/>
              </w:rPr>
              <w:instrText xml:space="preserve"> PAGEREF _Toc237439333 \h </w:instrText>
            </w:r>
            <w:r w:rsidRPr="003A734B">
              <w:rPr>
                <w:noProof/>
                <w:webHidden/>
              </w:rPr>
            </w:r>
            <w:r w:rsidRPr="003A734B">
              <w:rPr>
                <w:noProof/>
                <w:webHidden/>
              </w:rPr>
              <w:fldChar w:fldCharType="separate"/>
            </w:r>
            <w:r w:rsidR="00F043FF">
              <w:rPr>
                <w:noProof/>
                <w:webHidden/>
              </w:rPr>
              <w:t>3</w:t>
            </w:r>
            <w:r w:rsidRPr="003A734B">
              <w:rPr>
                <w:noProof/>
                <w:webHidden/>
              </w:rPr>
              <w:fldChar w:fldCharType="end"/>
            </w:r>
          </w:hyperlink>
        </w:p>
        <w:p w14:paraId="2D22AB86" w14:textId="4190F1FE" w:rsidR="0052504B" w:rsidRPr="003A734B" w:rsidRDefault="0052504B" w:rsidP="00B022F4">
          <w:pPr>
            <w:pStyle w:val="TOC1"/>
            <w:tabs>
              <w:tab w:val="right" w:leader="dot" w:pos="9350"/>
            </w:tabs>
            <w:spacing w:line="360" w:lineRule="auto"/>
            <w:rPr>
              <w:noProof/>
            </w:rPr>
          </w:pPr>
          <w:hyperlink w:anchor="_Toc237439334" w:history="1">
            <w:r w:rsidRPr="003A734B">
              <w:rPr>
                <w:rStyle w:val="Hyperlink"/>
                <w:noProof/>
              </w:rPr>
              <w:t>Section 2: Administrative Skills &amp; Record Keeping</w:t>
            </w:r>
            <w:r w:rsidRPr="003A734B">
              <w:rPr>
                <w:noProof/>
                <w:webHidden/>
              </w:rPr>
              <w:tab/>
            </w:r>
            <w:r w:rsidRPr="003A734B">
              <w:rPr>
                <w:noProof/>
                <w:webHidden/>
              </w:rPr>
              <w:fldChar w:fldCharType="begin"/>
            </w:r>
            <w:r w:rsidRPr="003A734B">
              <w:rPr>
                <w:noProof/>
                <w:webHidden/>
              </w:rPr>
              <w:instrText xml:space="preserve"> PAGEREF _Toc237439334 \h </w:instrText>
            </w:r>
            <w:r w:rsidRPr="003A734B">
              <w:rPr>
                <w:noProof/>
                <w:webHidden/>
              </w:rPr>
            </w:r>
            <w:r w:rsidRPr="003A734B">
              <w:rPr>
                <w:noProof/>
                <w:webHidden/>
              </w:rPr>
              <w:fldChar w:fldCharType="separate"/>
            </w:r>
            <w:r w:rsidR="00F043FF">
              <w:rPr>
                <w:noProof/>
                <w:webHidden/>
              </w:rPr>
              <w:t>4</w:t>
            </w:r>
            <w:r w:rsidRPr="003A734B">
              <w:rPr>
                <w:noProof/>
                <w:webHidden/>
              </w:rPr>
              <w:fldChar w:fldCharType="end"/>
            </w:r>
          </w:hyperlink>
        </w:p>
        <w:p w14:paraId="261AEECD" w14:textId="544904C3" w:rsidR="0052504B" w:rsidRPr="003A734B" w:rsidRDefault="0052504B" w:rsidP="00B022F4">
          <w:pPr>
            <w:pStyle w:val="TOC1"/>
            <w:tabs>
              <w:tab w:val="right" w:leader="dot" w:pos="9350"/>
            </w:tabs>
            <w:spacing w:line="360" w:lineRule="auto"/>
            <w:rPr>
              <w:noProof/>
            </w:rPr>
          </w:pPr>
          <w:hyperlink w:anchor="_Toc237439335" w:history="1">
            <w:r w:rsidRPr="003A734B">
              <w:rPr>
                <w:rStyle w:val="Hyperlink"/>
                <w:noProof/>
              </w:rPr>
              <w:t>Section 3: Collaborative &amp; Multi-Agency Working</w:t>
            </w:r>
            <w:r w:rsidRPr="003A734B">
              <w:rPr>
                <w:noProof/>
                <w:webHidden/>
              </w:rPr>
              <w:tab/>
            </w:r>
            <w:r w:rsidRPr="003A734B">
              <w:rPr>
                <w:noProof/>
                <w:webHidden/>
              </w:rPr>
              <w:fldChar w:fldCharType="begin"/>
            </w:r>
            <w:r w:rsidRPr="003A734B">
              <w:rPr>
                <w:noProof/>
                <w:webHidden/>
              </w:rPr>
              <w:instrText xml:space="preserve"> PAGEREF _Toc237439335 \h </w:instrText>
            </w:r>
            <w:r w:rsidRPr="003A734B">
              <w:rPr>
                <w:noProof/>
                <w:webHidden/>
              </w:rPr>
            </w:r>
            <w:r w:rsidRPr="003A734B">
              <w:rPr>
                <w:noProof/>
                <w:webHidden/>
              </w:rPr>
              <w:fldChar w:fldCharType="separate"/>
            </w:r>
            <w:r w:rsidR="00F043FF">
              <w:rPr>
                <w:noProof/>
                <w:webHidden/>
              </w:rPr>
              <w:t>6</w:t>
            </w:r>
            <w:r w:rsidRPr="003A734B">
              <w:rPr>
                <w:noProof/>
                <w:webHidden/>
              </w:rPr>
              <w:fldChar w:fldCharType="end"/>
            </w:r>
          </w:hyperlink>
        </w:p>
        <w:p w14:paraId="7247EE02" w14:textId="4A8E856F" w:rsidR="0052504B" w:rsidRPr="003A734B" w:rsidRDefault="0052504B" w:rsidP="00B022F4">
          <w:pPr>
            <w:pStyle w:val="TOC1"/>
            <w:tabs>
              <w:tab w:val="right" w:leader="dot" w:pos="9350"/>
            </w:tabs>
            <w:spacing w:line="360" w:lineRule="auto"/>
            <w:rPr>
              <w:noProof/>
            </w:rPr>
          </w:pPr>
          <w:hyperlink w:anchor="_Toc237439336" w:history="1">
            <w:r w:rsidRPr="003A734B">
              <w:rPr>
                <w:rStyle w:val="Hyperlink"/>
                <w:noProof/>
              </w:rPr>
              <w:t>Conclusion</w:t>
            </w:r>
            <w:r w:rsidRPr="003A734B">
              <w:rPr>
                <w:noProof/>
                <w:webHidden/>
              </w:rPr>
              <w:tab/>
            </w:r>
            <w:r w:rsidRPr="003A734B">
              <w:rPr>
                <w:noProof/>
                <w:webHidden/>
              </w:rPr>
              <w:fldChar w:fldCharType="begin"/>
            </w:r>
            <w:r w:rsidRPr="003A734B">
              <w:rPr>
                <w:noProof/>
                <w:webHidden/>
              </w:rPr>
              <w:instrText xml:space="preserve"> PAGEREF _Toc237439336 \h </w:instrText>
            </w:r>
            <w:r w:rsidRPr="003A734B">
              <w:rPr>
                <w:noProof/>
                <w:webHidden/>
              </w:rPr>
            </w:r>
            <w:r w:rsidRPr="003A734B">
              <w:rPr>
                <w:noProof/>
                <w:webHidden/>
              </w:rPr>
              <w:fldChar w:fldCharType="separate"/>
            </w:r>
            <w:r w:rsidR="00F043FF">
              <w:rPr>
                <w:noProof/>
                <w:webHidden/>
              </w:rPr>
              <w:t>7</w:t>
            </w:r>
            <w:r w:rsidRPr="003A734B">
              <w:rPr>
                <w:noProof/>
                <w:webHidden/>
              </w:rPr>
              <w:fldChar w:fldCharType="end"/>
            </w:r>
          </w:hyperlink>
        </w:p>
        <w:p w14:paraId="4C82C421" w14:textId="513A6216" w:rsidR="0052504B" w:rsidRPr="003A734B" w:rsidRDefault="0052504B" w:rsidP="00B022F4">
          <w:pPr>
            <w:pStyle w:val="TOC1"/>
            <w:tabs>
              <w:tab w:val="right" w:leader="dot" w:pos="9350"/>
            </w:tabs>
            <w:spacing w:line="360" w:lineRule="auto"/>
            <w:rPr>
              <w:noProof/>
            </w:rPr>
          </w:pPr>
          <w:hyperlink w:anchor="_Toc237439337" w:history="1">
            <w:r w:rsidRPr="003A734B">
              <w:rPr>
                <w:rStyle w:val="Hyperlink"/>
                <w:noProof/>
              </w:rPr>
              <w:t>References</w:t>
            </w:r>
            <w:r w:rsidRPr="003A734B">
              <w:rPr>
                <w:noProof/>
                <w:webHidden/>
              </w:rPr>
              <w:tab/>
            </w:r>
            <w:r w:rsidRPr="003A734B">
              <w:rPr>
                <w:noProof/>
                <w:webHidden/>
              </w:rPr>
              <w:fldChar w:fldCharType="begin"/>
            </w:r>
            <w:r w:rsidRPr="003A734B">
              <w:rPr>
                <w:noProof/>
                <w:webHidden/>
              </w:rPr>
              <w:instrText xml:space="preserve"> PAGEREF _Toc237439337 \h </w:instrText>
            </w:r>
            <w:r w:rsidRPr="003A734B">
              <w:rPr>
                <w:noProof/>
                <w:webHidden/>
              </w:rPr>
            </w:r>
            <w:r w:rsidRPr="003A734B">
              <w:rPr>
                <w:noProof/>
                <w:webHidden/>
              </w:rPr>
              <w:fldChar w:fldCharType="separate"/>
            </w:r>
            <w:r w:rsidR="00F043FF">
              <w:rPr>
                <w:noProof/>
                <w:webHidden/>
              </w:rPr>
              <w:t>8</w:t>
            </w:r>
            <w:r w:rsidRPr="003A734B">
              <w:rPr>
                <w:noProof/>
                <w:webHidden/>
              </w:rPr>
              <w:fldChar w:fldCharType="end"/>
            </w:r>
          </w:hyperlink>
        </w:p>
        <w:p w14:paraId="2FE8029C" w14:textId="3C0BE737" w:rsidR="0052504B" w:rsidRPr="003A734B" w:rsidRDefault="0052504B" w:rsidP="00B022F4">
          <w:pPr>
            <w:spacing w:line="360" w:lineRule="auto"/>
          </w:pPr>
          <w:r w:rsidRPr="003A734B">
            <w:rPr>
              <w:b/>
              <w:bCs/>
            </w:rPr>
            <w:fldChar w:fldCharType="end"/>
          </w:r>
        </w:p>
      </w:sdtContent>
    </w:sdt>
    <w:p w14:paraId="61977116" w14:textId="77777777" w:rsidR="0052504B" w:rsidRPr="003A734B" w:rsidRDefault="0052504B" w:rsidP="00B022F4">
      <w:pPr>
        <w:spacing w:line="360" w:lineRule="auto"/>
        <w:rPr>
          <w:b/>
          <w:bCs/>
        </w:rPr>
      </w:pPr>
      <w:r w:rsidRPr="003A734B">
        <w:br w:type="page"/>
      </w:r>
    </w:p>
    <w:p w14:paraId="00000005" w14:textId="5EDD0F0E" w:rsidR="0099076E" w:rsidRPr="003A734B" w:rsidRDefault="00000000" w:rsidP="00B022F4">
      <w:pPr>
        <w:pStyle w:val="Heading1"/>
        <w:spacing w:line="360" w:lineRule="auto"/>
        <w:jc w:val="both"/>
      </w:pPr>
      <w:bookmarkStart w:id="1" w:name="_Toc237439332"/>
      <w:r w:rsidRPr="003A734B">
        <w:lastRenderedPageBreak/>
        <w:t>Introduction</w:t>
      </w:r>
      <w:bookmarkEnd w:id="1"/>
    </w:p>
    <w:p w14:paraId="00000006" w14:textId="582D2A7C" w:rsidR="0099076E" w:rsidRPr="003A734B" w:rsidRDefault="00000000" w:rsidP="00B022F4">
      <w:pPr>
        <w:spacing w:line="360" w:lineRule="auto"/>
        <w:jc w:val="both"/>
      </w:pPr>
      <w:r w:rsidRPr="003A734B">
        <w:t xml:space="preserve">This report focuses on the all-round care needs of </w:t>
      </w:r>
      <w:r w:rsidR="003A734B" w:rsidRPr="003A734B">
        <w:t>Mrs.</w:t>
      </w:r>
      <w:r w:rsidRPr="003A734B">
        <w:t xml:space="preserve"> Thompson, who is 84 years old and only lives with her family. This report investigates the whole person care needs of </w:t>
      </w:r>
      <w:r w:rsidR="003A734B" w:rsidRPr="003A734B">
        <w:t>Mrs.</w:t>
      </w:r>
      <w:r w:rsidRPr="003A734B">
        <w:t xml:space="preserve"> Thompson, who is 84 years old and lives only with her family, following discharge from hospital with pneumonia. A few months ago, Mrs Thompson had a critical incident for care where she had missed her medication twice over 2 days, resulting in increased confusion and an unplanned walk outdoors without sufficient clothing on which to protect herself from the cold. As a result of these concerns, formal incident logging has been implemented, a medication review has been conducted, and a continuous evaluation of safeguarding by the local council is underway.</w:t>
      </w:r>
    </w:p>
    <w:p w14:paraId="00000007" w14:textId="1225E0CE" w:rsidR="0099076E" w:rsidRPr="003A734B" w:rsidRDefault="00000000" w:rsidP="00B022F4">
      <w:pPr>
        <w:spacing w:line="360" w:lineRule="auto"/>
        <w:jc w:val="both"/>
      </w:pPr>
      <w:r w:rsidRPr="003A734B">
        <w:t xml:space="preserve">The main aims of this report are to critically examine the key aspects of professional practice needed to manage </w:t>
      </w:r>
      <w:r w:rsidR="003A734B" w:rsidRPr="003A734B">
        <w:t>Mrs.</w:t>
      </w:r>
      <w:r w:rsidRPr="003A734B">
        <w:t xml:space="preserve"> Thompson's complex needs safely and effectively. First, it assesses the importance of effective communication with the service user and her family, incorporating the Equality Act 2010 and communication framework (Commonslibrary, 2024). Second, it highlights key administrative activities and proper record-keeping required by the Data Protection Act 2018 and sector policies (PART, 2018). Lastly, it examines multi-agency working between GP, community-based nurse and domiciliary carers, to develop integrated care provision and address inter-professional issues.</w:t>
      </w:r>
    </w:p>
    <w:p w14:paraId="00000008" w14:textId="77777777" w:rsidR="0099076E" w:rsidRPr="003A734B" w:rsidRDefault="00000000" w:rsidP="00B022F4">
      <w:pPr>
        <w:pStyle w:val="Heading1"/>
        <w:spacing w:line="360" w:lineRule="auto"/>
        <w:jc w:val="both"/>
      </w:pPr>
      <w:bookmarkStart w:id="2" w:name="_gjbdzvh4v2wi" w:colFirst="0" w:colLast="0"/>
      <w:bookmarkStart w:id="3" w:name="_Toc237439333"/>
      <w:bookmarkEnd w:id="2"/>
      <w:r w:rsidRPr="003A734B">
        <w:t>Section 1: Effective Communication</w:t>
      </w:r>
      <w:bookmarkEnd w:id="3"/>
    </w:p>
    <w:p w14:paraId="00000009" w14:textId="77777777" w:rsidR="0099076E" w:rsidRPr="003A734B" w:rsidRDefault="00000000" w:rsidP="00B022F4">
      <w:pPr>
        <w:spacing w:line="360" w:lineRule="auto"/>
        <w:jc w:val="both"/>
      </w:pPr>
      <w:r w:rsidRPr="003A734B">
        <w:t xml:space="preserve">Communication skills are essential in providing person-centred, compassionate and safe care in relation to health and social care settings. Clear communication in the context of Mrs Thompson, an 84-year old person with mild dementia, recovering from pneumonia, and with medication management issues, is crucial to help maintain her dignity, autonomy, and physical health.  </w:t>
      </w:r>
    </w:p>
    <w:p w14:paraId="0000000A" w14:textId="77777777" w:rsidR="0099076E" w:rsidRPr="003A734B" w:rsidRDefault="00000000" w:rsidP="00B022F4">
      <w:pPr>
        <w:spacing w:line="360" w:lineRule="auto"/>
        <w:jc w:val="both"/>
      </w:pPr>
      <w:r w:rsidRPr="003A734B">
        <w:t xml:space="preserve">Practitioners need to tailor their practice to suit Mrs Thompson's cognitive and physical capacities in order to communicate effectively with her. Care workers should use simple, clear language, speak in a calm and reassuring tone and make eye contact, as dementia can make it hard for people to take in information, remember things or communicate. Warm facial expressions, friendly connection and cooperative body language help to lower anxiety in interactions (Goh </w:t>
      </w:r>
      <w:r w:rsidRPr="003A734B">
        <w:rPr>
          <w:i/>
          <w:iCs/>
        </w:rPr>
        <w:t xml:space="preserve">et al., </w:t>
      </w:r>
      <w:r w:rsidRPr="003A734B">
        <w:t xml:space="preserve">2023). In addition, there must be open and understanding communication with her family, which helps them understand incident reports and changes to her care plan, with the family being actively involved in any decisions about information sharing that are made by Mrs Thompson (Kawashima </w:t>
      </w:r>
      <w:r w:rsidRPr="003A734B">
        <w:rPr>
          <w:i/>
          <w:iCs/>
        </w:rPr>
        <w:t xml:space="preserve">et al., </w:t>
      </w:r>
      <w:r w:rsidRPr="003A734B">
        <w:t>2025).</w:t>
      </w:r>
    </w:p>
    <w:p w14:paraId="0000000B" w14:textId="77777777" w:rsidR="0099076E" w:rsidRPr="003A734B" w:rsidRDefault="00000000" w:rsidP="00B022F4">
      <w:pPr>
        <w:spacing w:line="360" w:lineRule="auto"/>
        <w:jc w:val="both"/>
      </w:pPr>
      <w:r w:rsidRPr="003A734B">
        <w:t xml:space="preserve">These communication practices are influenced by the core principles of the Equality Act 2010. The Act prevents discrimination based on certain protected characteristics, which include age and disability, which are relevant in Mrs Thompson's case. The Equality Act places a legal </w:t>
      </w:r>
      <w:r w:rsidRPr="003A734B">
        <w:lastRenderedPageBreak/>
        <w:t>responsibility on service providers to make reasonable adjustments which allow equitable access to care and information (Aririguzoh, 2022). Mrs Thompson's reasonable adjustments will involve providing simplified verbal information, giving her time to process information and formulate queries without interruptions, using visual aids and arranging discussion at times of the day when she is most likely to be able to process information well. These are the principles which are designed to prevent indirect discrimination and ensure that through her care journey, her rights, dignity and individuality are upheld.</w:t>
      </w:r>
    </w:p>
    <w:p w14:paraId="0000000C" w14:textId="77777777" w:rsidR="0099076E" w:rsidRPr="003A734B" w:rsidRDefault="00000000" w:rsidP="00B022F4">
      <w:pPr>
        <w:spacing w:line="360" w:lineRule="auto"/>
        <w:jc w:val="both"/>
      </w:pPr>
      <w:r w:rsidRPr="003A734B">
        <w:t>The Transaction Model of Communication is helpful to operationalise communication within Mrs Thompson's care plan. The Transaction Model of communication is a dynamic, continuous and simultaneous process in which both sender and receiver create meaning in physical, relational and psychological surroundings, as opposed to a one-way transfer of messages, as in linear models (Olufowote, 2026).</w:t>
      </w:r>
    </w:p>
    <w:p w14:paraId="0000000D" w14:textId="77777777" w:rsidR="0099076E" w:rsidRPr="003A734B" w:rsidRDefault="00000000" w:rsidP="00B022F4">
      <w:pPr>
        <w:spacing w:line="360" w:lineRule="auto"/>
        <w:jc w:val="both"/>
      </w:pPr>
      <w:r w:rsidRPr="003A734B">
        <w:t>For Mrs Thompson, her physical context is her home environment in sheltered housing, which should be quiet and free of distractions for clear listening. The relational context recognises the trust relationship between Mrs. Thompson, her family and her domiciliary care team. The psychological context is due to her possible distress or confusion due to her recent hospital stay and absence of medication. Care staff use the Transaction Model to listen attentively to Mrs Thompson's verbal and non-verbal feedback, such as confusion, hesitancy, or facial expression, and alter the way they talk, tone or delivery. In talking with her family, this model promotes a conversation and dialogue with her, which respects her family's concerns while keeping Mrs Thompson the focus of all decision-making. This interactive approach guarantees that communication is inclusive, responsive, and fully conforms to legal requirements.</w:t>
      </w:r>
    </w:p>
    <w:p w14:paraId="0000000E" w14:textId="77777777" w:rsidR="0099076E" w:rsidRPr="003A734B" w:rsidRDefault="00000000" w:rsidP="00B022F4">
      <w:pPr>
        <w:pStyle w:val="Heading1"/>
        <w:spacing w:line="360" w:lineRule="auto"/>
        <w:jc w:val="both"/>
      </w:pPr>
      <w:bookmarkStart w:id="4" w:name="_20z5x7itb2ex" w:colFirst="0" w:colLast="0"/>
      <w:bookmarkStart w:id="5" w:name="_Toc237439334"/>
      <w:bookmarkEnd w:id="4"/>
      <w:r w:rsidRPr="003A734B">
        <w:t>Section 2: Administrative Skills &amp; Record Keeping</w:t>
      </w:r>
      <w:bookmarkEnd w:id="5"/>
    </w:p>
    <w:p w14:paraId="0000000F" w14:textId="77777777" w:rsidR="0099076E" w:rsidRPr="003A734B" w:rsidRDefault="00000000" w:rsidP="00B022F4">
      <w:pPr>
        <w:spacing w:line="360" w:lineRule="auto"/>
        <w:jc w:val="both"/>
      </w:pPr>
      <w:r w:rsidRPr="003A734B">
        <w:t>Good administrative skills and thorough record-keeping are essential elements of safe, secure and legally correct health and social care practice. It ensures a precise record of care, effective communication on multi-agency teams, and the protection of service users by identifying any emerging risks (Khan and Mita, 2023). Precise record-keeping is the heart of risk management, auditing, and legal compliance in the case of Mrs Thompson, a recent patient who missed two days of medication and was found outside in a cool climate, not dressed properly.</w:t>
      </w:r>
    </w:p>
    <w:p w14:paraId="00000010" w14:textId="77777777" w:rsidR="0099076E" w:rsidRPr="003A734B" w:rsidRDefault="00000000" w:rsidP="00B022F4">
      <w:pPr>
        <w:spacing w:line="360" w:lineRule="auto"/>
        <w:jc w:val="both"/>
      </w:pPr>
      <w:r w:rsidRPr="003A734B">
        <w:t xml:space="preserve">The principles of record keeping in health and social care are underpinned by the Data Protection Act 2018 (DPA 2018), which is based on the General Data Protection Regulation (GDPR) in the European Union. Professionals handling records of Mrs Thompson's care must adhere to the principles of the GDPR as detailed in Article 5 of the GDPR - the principles of the GDPR (Cofas, 2023). Personal data must be processed legally, fairly and transparently. Mrs Thompson and her </w:t>
      </w:r>
      <w:r w:rsidRPr="003A734B">
        <w:lastRenderedPageBreak/>
        <w:t>family should be made aware of how their care records, incident reports and health information are used and shared (Haven, 2025). Second, data collection should occur for defined, certain and justified purposes, for example, risk management and care coordination, and not be further processed in a way that is not compatible with these purposes. Thirdly, data minimisation requires that any data recorded be limited to what is necessary, relevant and sufficient. Incidents recorded by care staff about her missing medication or wandering must be specific, factual and objective for instance, times, physical observations and actions taken and not speculative or subjective. Additionally, the DPA 2018 requires that records be accurate and up to date, and that her health care plan reflect her current health status, and that records be stored in a manner that prevents disclosure to anyone other than authorised health care officials, on secure storage systems (confidentiality and integrity), such as an encrypted digital system or locked filing storage.</w:t>
      </w:r>
    </w:p>
    <w:p w14:paraId="00000011" w14:textId="77777777" w:rsidR="0099076E" w:rsidRPr="003A734B" w:rsidRDefault="00000000" w:rsidP="00B022F4">
      <w:pPr>
        <w:spacing w:line="360" w:lineRule="auto"/>
        <w:jc w:val="both"/>
      </w:pPr>
      <w:r w:rsidRPr="003A734B">
        <w:t xml:space="preserve">Administrative practices should provide for the incorporation of important sectoral legal instruments and policies in the context of specific safety incidents as raised by Mrs Thompson. The Health and Social Care Act 2008 (Regulated Activities) Regulations 2014 (Regulation 17, Good Governance) require service providers to keep accurate, complete and up-to-date records of each service user (‌Bond, 2024). Medication and care workers are accountable to the organisation's medication administration record (MAR) procedures and clinical governance procedures for missed medication. If a prescription medication is not given, it is a medication error and should be recorded on the MAR chart and reported via the provider's incident reporting system. This initiates an administrative process which leads to a formal medication review with her GP and appropriate health teams.  </w:t>
      </w:r>
    </w:p>
    <w:p w14:paraId="00000012" w14:textId="15E7E311" w:rsidR="0099076E" w:rsidRPr="003A734B" w:rsidRDefault="00000000" w:rsidP="00B022F4">
      <w:pPr>
        <w:spacing w:line="360" w:lineRule="auto"/>
        <w:jc w:val="both"/>
      </w:pPr>
      <w:r w:rsidRPr="003A734B">
        <w:t>In the same way, the situation where Mrs Thompson goes out in the cold is also subject to adult safeguarding regulatory requirements under local council adult safeguarding arrangements and the Care Act 2014. The Care Act 2014 sets out the statutory duty for local authorities and care providers to protect adults (including adults with care and support needs) who are experiencing, or at risk of, abuse or neglect, including where there is evidence of self-neglect or vulnerability due to cognitive loss (‌Devonsafeguardingadultspartnership, 2026). Care staff are required to make a formal alert to the adult social care department of the local council if they are concerned about any of the staff. Multi-agency risk assessments are required</w:t>
      </w:r>
      <w:r w:rsidR="0052504B" w:rsidRPr="003A734B">
        <w:t>,</w:t>
      </w:r>
      <w:r w:rsidRPr="003A734B">
        <w:t xml:space="preserve"> with detailed incident logs that include the environment, her cognitive state and physical health to help assess whether her current setup in sheltered housing and domiciliary care visits are appropriate. In the end, meeting statutory record-keeping standards assures legal compliance and a clear protective framework for people at risk.</w:t>
      </w:r>
    </w:p>
    <w:p w14:paraId="00000013" w14:textId="77777777" w:rsidR="0099076E" w:rsidRPr="003A734B" w:rsidRDefault="00000000" w:rsidP="00B022F4">
      <w:pPr>
        <w:pStyle w:val="Heading1"/>
        <w:spacing w:line="360" w:lineRule="auto"/>
        <w:jc w:val="both"/>
      </w:pPr>
      <w:bookmarkStart w:id="6" w:name="_e24gvuayc5g6" w:colFirst="0" w:colLast="0"/>
      <w:bookmarkStart w:id="7" w:name="_Toc237439335"/>
      <w:bookmarkEnd w:id="6"/>
      <w:r w:rsidRPr="003A734B">
        <w:lastRenderedPageBreak/>
        <w:t>Section 3: Collaborative &amp; Multi-Agency Working</w:t>
      </w:r>
      <w:bookmarkEnd w:id="7"/>
    </w:p>
    <w:p w14:paraId="00000014" w14:textId="2ECF397C" w:rsidR="0099076E" w:rsidRPr="003A734B" w:rsidRDefault="00000000" w:rsidP="00B022F4">
      <w:pPr>
        <w:spacing w:line="360" w:lineRule="auto"/>
        <w:jc w:val="both"/>
      </w:pPr>
      <w:r w:rsidRPr="003A734B">
        <w:t>Multi-agency working is key in meeting the complex and interconnected needs of the vulnerable</w:t>
      </w:r>
      <w:r w:rsidR="0052504B" w:rsidRPr="003A734B">
        <w:t>,</w:t>
      </w:r>
      <w:r w:rsidRPr="003A734B">
        <w:t xml:space="preserve"> such as Mrs Thompson. She receives care from a wide range of professionals and domiciliary care workers, her GP, a community nurse and local council social workers. Each professional has a different role, such as, care workers act as a person's primary care provider, keeping a close watch on the minor changes in their behaviour; the GP keeps focused on the overall medical stability of the person and carries out the requested medication review; the community nurse focuses on the person's clinical health and cognitive status; local council staff coordinate adult safeguarding procedures (Ryan, 2025).  </w:t>
      </w:r>
    </w:p>
    <w:p w14:paraId="00000015" w14:textId="795DEC0C" w:rsidR="0099076E" w:rsidRPr="003A734B" w:rsidRDefault="00000000" w:rsidP="00B022F4">
      <w:pPr>
        <w:spacing w:line="360" w:lineRule="auto"/>
        <w:jc w:val="both"/>
      </w:pPr>
      <w:r w:rsidRPr="003A734B">
        <w:t xml:space="preserve">Structures for collaboration between these various disciplines need to be created to ensure smooth teamwork. There is a formal opportunity for all professionals to review Mrs Thompson's case, look at what has happened in recent times and agree on goals in regular Multi-Disciplinary Team (MDT) meetings. The use of shared digital care platforms and standardised communication protocols, like SBARD, which represents Situation, Background, Assessment, Recommendation, Decision, further supports team alignment by facilitating structured and real-time information exchange between organisations (Davis </w:t>
      </w:r>
      <w:r w:rsidRPr="003A734B">
        <w:rPr>
          <w:i/>
          <w:iCs/>
        </w:rPr>
        <w:t>et al</w:t>
      </w:r>
      <w:r w:rsidRPr="003A734B">
        <w:t>., 2023).</w:t>
      </w:r>
    </w:p>
    <w:p w14:paraId="00000016" w14:textId="77777777" w:rsidR="0099076E" w:rsidRPr="003A734B" w:rsidRDefault="00000000" w:rsidP="00B022F4">
      <w:pPr>
        <w:spacing w:line="360" w:lineRule="auto"/>
        <w:jc w:val="both"/>
      </w:pPr>
      <w:r w:rsidRPr="003A734B">
        <w:t>But multi-agency working often has problems, such as lack of communication, conflicting organisational agendas, unclear roles, and different data sharing policies between agencies. Some ways of addressing these barriers are to:</w:t>
      </w:r>
    </w:p>
    <w:p w14:paraId="00000017" w14:textId="0DEBEC26" w:rsidR="0099076E" w:rsidRPr="003A734B" w:rsidRDefault="00000000" w:rsidP="00B022F4">
      <w:pPr>
        <w:spacing w:line="360" w:lineRule="auto"/>
        <w:jc w:val="both"/>
      </w:pPr>
      <w:r w:rsidRPr="003A734B">
        <w:rPr>
          <w:b/>
          <w:bCs/>
          <w:i/>
          <w:iCs/>
        </w:rPr>
        <w:t>Single Point of Contact / Key Worker System:</w:t>
      </w:r>
      <w:r w:rsidRPr="003A734B">
        <w:t xml:space="preserve"> A key worker / Single Point of Contact, for example, </w:t>
      </w:r>
      <w:r w:rsidR="0052504B" w:rsidRPr="003A734B">
        <w:t xml:space="preserve">a </w:t>
      </w:r>
      <w:r w:rsidRPr="003A734B">
        <w:t xml:space="preserve">Lead Social Worker and Community Nurse, provides a focused and efficient approach to co-ordinating services, making </w:t>
      </w:r>
      <w:r w:rsidR="0052504B" w:rsidRPr="003A734B">
        <w:t>accountability clear</w:t>
      </w:r>
      <w:r w:rsidRPr="003A734B">
        <w:t xml:space="preserve"> and giving Mrs Thompson and her family one point of contact (Tandan </w:t>
      </w:r>
      <w:r w:rsidRPr="003A734B">
        <w:rPr>
          <w:i/>
          <w:iCs/>
        </w:rPr>
        <w:t xml:space="preserve">et al., </w:t>
      </w:r>
      <w:r w:rsidRPr="003A734B">
        <w:t>2024).</w:t>
      </w:r>
    </w:p>
    <w:p w14:paraId="00000018" w14:textId="77777777" w:rsidR="0099076E" w:rsidRPr="003A734B" w:rsidRDefault="00000000" w:rsidP="00B022F4">
      <w:pPr>
        <w:spacing w:line="360" w:lineRule="auto"/>
        <w:jc w:val="both"/>
      </w:pPr>
      <w:r w:rsidRPr="003A734B">
        <w:rPr>
          <w:b/>
          <w:bCs/>
          <w:i/>
          <w:iCs/>
        </w:rPr>
        <w:t>Information Sharing Protocols:</w:t>
      </w:r>
      <w:r w:rsidRPr="003A734B">
        <w:t xml:space="preserve"> Pre-agreed Information Sharing Protocols (ISPs) under the Data Protection Act 2018 ensure that key safety escalations are not delayed and patient confidentiality is maintained.</w:t>
      </w:r>
    </w:p>
    <w:p w14:paraId="00000019" w14:textId="77777777" w:rsidR="0099076E" w:rsidRPr="003A734B" w:rsidRDefault="00000000" w:rsidP="00B022F4">
      <w:pPr>
        <w:spacing w:line="360" w:lineRule="auto"/>
        <w:jc w:val="both"/>
      </w:pPr>
      <w:r w:rsidRPr="003A734B">
        <w:rPr>
          <w:b/>
          <w:bCs/>
          <w:i/>
          <w:iCs/>
        </w:rPr>
        <w:t>Shared Care Planning &amp; Inter-Professional Training:</w:t>
      </w:r>
      <w:r w:rsidRPr="003A734B">
        <w:t xml:space="preserve"> A single, integrated care plan that is available to all providers allows all providers to follow the same goals. Care workers and health teams work together during training to reduce professional barriers and promote trust between professions (Barr </w:t>
      </w:r>
      <w:r w:rsidRPr="003A734B">
        <w:rPr>
          <w:i/>
          <w:iCs/>
        </w:rPr>
        <w:t xml:space="preserve">et al., </w:t>
      </w:r>
      <w:r w:rsidRPr="003A734B">
        <w:t>2024).</w:t>
      </w:r>
    </w:p>
    <w:p w14:paraId="0000001A" w14:textId="77777777" w:rsidR="0099076E" w:rsidRPr="003A734B" w:rsidRDefault="00000000" w:rsidP="00B022F4">
      <w:pPr>
        <w:spacing w:line="360" w:lineRule="auto"/>
        <w:jc w:val="both"/>
      </w:pPr>
      <w:r w:rsidRPr="003A734B">
        <w:t>These coordinated approaches will help the professionals break down agency divisions, providing Mrs Thompson with a comprehensive, safe, and proactive person-centred care.</w:t>
      </w:r>
    </w:p>
    <w:p w14:paraId="0000001B" w14:textId="77777777" w:rsidR="0099076E" w:rsidRPr="003A734B" w:rsidRDefault="00000000" w:rsidP="00B022F4">
      <w:pPr>
        <w:pStyle w:val="Heading1"/>
        <w:spacing w:line="360" w:lineRule="auto"/>
        <w:jc w:val="both"/>
      </w:pPr>
      <w:bookmarkStart w:id="8" w:name="_z6vh62hy1zqi" w:colFirst="0" w:colLast="0"/>
      <w:bookmarkStart w:id="9" w:name="_Toc237439336"/>
      <w:bookmarkEnd w:id="8"/>
      <w:r w:rsidRPr="003A734B">
        <w:lastRenderedPageBreak/>
        <w:t>Conclusion</w:t>
      </w:r>
      <w:bookmarkEnd w:id="9"/>
    </w:p>
    <w:p w14:paraId="0000001C" w14:textId="77777777" w:rsidR="0099076E" w:rsidRPr="003A734B" w:rsidRDefault="00000000" w:rsidP="00B022F4">
      <w:pPr>
        <w:spacing w:line="360" w:lineRule="auto"/>
        <w:jc w:val="both"/>
      </w:pPr>
      <w:r w:rsidRPr="003A734B">
        <w:t>To conclude, a person-centred approach to delivering safe, quality care to Mrs Thompson must be integrated and based on professional frameworks and statutory requirements. With the support of the Equality Act 2010 and the Transaction Model, her individual needs are met with dignity, respect and adaptations. In addition, compliance with strict administrative requirements and documentation processes under the Data Protection Act 2018 and the Care Act 2014 is essential for ensuring proper record-keeping of medication incidents, escalation of safeguarding issues and regulatory compliance. Lastly, tackling inter-professional issues with strong multi-agency working between GPs, community nurses, domiciliary care workers and local council employees creates an effective, proactive care network. At the end of the day, the ability to combine these core competencies creates a strong protective environment that ensures Mrs Thompson's health, promotes her independence and reduces potential future safety hazards in her community context.</w:t>
      </w:r>
    </w:p>
    <w:p w14:paraId="0000001D" w14:textId="77777777" w:rsidR="0099076E" w:rsidRPr="003A734B" w:rsidRDefault="00000000" w:rsidP="00B022F4">
      <w:pPr>
        <w:pStyle w:val="Heading1"/>
        <w:spacing w:line="360" w:lineRule="auto"/>
        <w:jc w:val="both"/>
      </w:pPr>
      <w:bookmarkStart w:id="10" w:name="_qjd2k5401jwd" w:colFirst="0" w:colLast="0"/>
      <w:bookmarkEnd w:id="10"/>
      <w:r w:rsidRPr="003A734B">
        <w:br w:type="page"/>
      </w:r>
    </w:p>
    <w:p w14:paraId="0000001E" w14:textId="77777777" w:rsidR="0099076E" w:rsidRPr="003A734B" w:rsidRDefault="00000000" w:rsidP="00B022F4">
      <w:pPr>
        <w:pStyle w:val="Heading1"/>
        <w:spacing w:line="360" w:lineRule="auto"/>
        <w:jc w:val="both"/>
      </w:pPr>
      <w:bookmarkStart w:id="11" w:name="_362wmphsgt6a" w:colFirst="0" w:colLast="0"/>
      <w:bookmarkStart w:id="12" w:name="_Toc237439337"/>
      <w:bookmarkEnd w:id="11"/>
      <w:r w:rsidRPr="003A734B">
        <w:lastRenderedPageBreak/>
        <w:t>References</w:t>
      </w:r>
      <w:bookmarkEnd w:id="12"/>
    </w:p>
    <w:p w14:paraId="75527817" w14:textId="77777777" w:rsidR="003A734B" w:rsidRPr="003A734B" w:rsidRDefault="003A734B" w:rsidP="00B022F4">
      <w:pPr>
        <w:spacing w:before="240" w:after="240" w:line="360" w:lineRule="auto"/>
        <w:jc w:val="both"/>
      </w:pPr>
      <w:r w:rsidRPr="003A734B">
        <w:rPr>
          <w:color w:val="222222"/>
        </w:rPr>
        <w:t xml:space="preserve">Aririguzoh, S., (2022). Communication competencies, culture and SDGs: effective processes to cross-cultural communication. </w:t>
      </w:r>
      <w:r w:rsidRPr="003A734B">
        <w:rPr>
          <w:i/>
          <w:iCs/>
          <w:color w:val="222222"/>
        </w:rPr>
        <w:t>Humanities and Social Sciences Communications</w:t>
      </w:r>
      <w:r w:rsidRPr="003A734B">
        <w:rPr>
          <w:color w:val="222222"/>
        </w:rPr>
        <w:t xml:space="preserve">, </w:t>
      </w:r>
      <w:r w:rsidRPr="003A734B">
        <w:rPr>
          <w:i/>
          <w:iCs/>
          <w:color w:val="222222"/>
        </w:rPr>
        <w:t>9</w:t>
      </w:r>
      <w:r w:rsidRPr="003A734B">
        <w:rPr>
          <w:color w:val="222222"/>
        </w:rPr>
        <w:t>(1), p.96.</w:t>
      </w:r>
      <w:r w:rsidRPr="003A734B">
        <w:t xml:space="preserve"> </w:t>
      </w:r>
      <w:hyperlink r:id="rId8">
        <w:r w:rsidRPr="003A734B">
          <w:rPr>
            <w:color w:val="1155CC"/>
            <w:u w:val="single"/>
          </w:rPr>
          <w:t>https://www.nature.com/articles/s41599-022-01109-4</w:t>
        </w:r>
      </w:hyperlink>
    </w:p>
    <w:p w14:paraId="77D6138C" w14:textId="77777777" w:rsidR="003A734B" w:rsidRPr="003A734B" w:rsidRDefault="003A734B" w:rsidP="00B022F4">
      <w:pPr>
        <w:spacing w:before="240" w:after="240" w:line="360" w:lineRule="auto"/>
        <w:jc w:val="both"/>
        <w:rPr>
          <w:rFonts w:eastAsia="Times New Roman"/>
        </w:rPr>
      </w:pPr>
      <w:r w:rsidRPr="003A734B">
        <w:rPr>
          <w:color w:val="222222"/>
        </w:rPr>
        <w:t xml:space="preserve">Barr, H., Anderson, E.S. and Hutchings, M., (2024). Understanding integrated care. </w:t>
      </w:r>
      <w:r w:rsidRPr="003A734B">
        <w:rPr>
          <w:i/>
          <w:iCs/>
          <w:color w:val="222222"/>
        </w:rPr>
        <w:t>Journal of interprofessional care</w:t>
      </w:r>
      <w:r w:rsidRPr="003A734B">
        <w:rPr>
          <w:color w:val="222222"/>
        </w:rPr>
        <w:t xml:space="preserve">, </w:t>
      </w:r>
      <w:r w:rsidRPr="003A734B">
        <w:rPr>
          <w:i/>
          <w:iCs/>
          <w:color w:val="222222"/>
        </w:rPr>
        <w:t>38</w:t>
      </w:r>
      <w:r w:rsidRPr="003A734B">
        <w:rPr>
          <w:color w:val="222222"/>
        </w:rPr>
        <w:t>(6), pp.974-984.</w:t>
      </w:r>
      <w:r w:rsidRPr="003A734B">
        <w:rPr>
          <w:rFonts w:eastAsia="Times New Roman"/>
        </w:rPr>
        <w:t xml:space="preserve"> </w:t>
      </w:r>
      <w:hyperlink r:id="rId9">
        <w:r w:rsidRPr="003A734B">
          <w:rPr>
            <w:rFonts w:eastAsia="Times New Roman"/>
            <w:color w:val="1155CC"/>
            <w:u w:val="single"/>
          </w:rPr>
          <w:t>https://www.tandfonline.com/doi/abs/10.1080/13561820.2024.2405550</w:t>
        </w:r>
      </w:hyperlink>
    </w:p>
    <w:p w14:paraId="6AB8D22D" w14:textId="77777777" w:rsidR="003A734B" w:rsidRPr="003A734B" w:rsidRDefault="003A734B" w:rsidP="00B022F4">
      <w:pPr>
        <w:spacing w:before="240" w:after="240" w:line="360" w:lineRule="auto"/>
        <w:jc w:val="both"/>
        <w:rPr>
          <w:rFonts w:eastAsia="Times New Roman"/>
        </w:rPr>
      </w:pPr>
      <w:r w:rsidRPr="003A734B">
        <w:rPr>
          <w:rFonts w:eastAsia="Times New Roman"/>
        </w:rPr>
        <w:t xml:space="preserve">‌Bond, M. (2024) </w:t>
      </w:r>
      <w:r w:rsidRPr="003A734B">
        <w:rPr>
          <w:rFonts w:eastAsia="Times New Roman"/>
          <w:i/>
          <w:iCs/>
        </w:rPr>
        <w:t>Health and Social Care Act 2008</w:t>
      </w:r>
      <w:r w:rsidRPr="003A734B">
        <w:rPr>
          <w:rFonts w:eastAsia="Times New Roman"/>
        </w:rPr>
        <w:t xml:space="preserve">, </w:t>
      </w:r>
      <w:r w:rsidRPr="003A734B">
        <w:rPr>
          <w:rFonts w:eastAsia="Times New Roman"/>
          <w:i/>
          <w:iCs/>
        </w:rPr>
        <w:t>Getborderless.co.uk</w:t>
      </w:r>
      <w:r w:rsidRPr="003A734B">
        <w:rPr>
          <w:rFonts w:eastAsia="Times New Roman"/>
        </w:rPr>
        <w:t>. Borderless. Available at: https://www.getborderless.co.uk/blog/health-social-care-act-2008 (Accessed: August 12, 2026).</w:t>
      </w:r>
    </w:p>
    <w:p w14:paraId="4F63ECFA" w14:textId="77777777" w:rsidR="003A734B" w:rsidRPr="003A734B" w:rsidRDefault="003A734B" w:rsidP="00B022F4">
      <w:pPr>
        <w:spacing w:before="240" w:after="240" w:line="360" w:lineRule="auto"/>
        <w:jc w:val="both"/>
      </w:pPr>
      <w:r w:rsidRPr="003A734B">
        <w:rPr>
          <w:color w:val="222222"/>
        </w:rPr>
        <w:t xml:space="preserve">Cofas, E., (2023). Management of personal data processing and protection. </w:t>
      </w:r>
      <w:r w:rsidRPr="003A734B">
        <w:rPr>
          <w:i/>
          <w:iCs/>
          <w:color w:val="222222"/>
        </w:rPr>
        <w:t>Scientific Papers Series Management, Economic Engineering in Agriculture &amp; Rural Development</w:t>
      </w:r>
      <w:r w:rsidRPr="003A734B">
        <w:rPr>
          <w:color w:val="222222"/>
        </w:rPr>
        <w:t xml:space="preserve">, </w:t>
      </w:r>
      <w:r w:rsidRPr="003A734B">
        <w:rPr>
          <w:i/>
          <w:iCs/>
          <w:color w:val="222222"/>
        </w:rPr>
        <w:t>23</w:t>
      </w:r>
      <w:r w:rsidRPr="003A734B">
        <w:rPr>
          <w:color w:val="222222"/>
        </w:rPr>
        <w:t>(3).</w:t>
      </w:r>
      <w:r w:rsidRPr="003A734B">
        <w:t xml:space="preserve"> </w:t>
      </w:r>
      <w:hyperlink r:id="rId10">
        <w:r w:rsidRPr="003A734B">
          <w:rPr>
            <w:color w:val="1155CC"/>
            <w:u w:val="single"/>
          </w:rPr>
          <w:t>https://managementjournal.usamv.ro/pdf/vol.23_3/Art19.pdf</w:t>
        </w:r>
      </w:hyperlink>
    </w:p>
    <w:p w14:paraId="47870A7C" w14:textId="77777777" w:rsidR="003A734B" w:rsidRPr="003A734B" w:rsidRDefault="003A734B" w:rsidP="00B022F4">
      <w:pPr>
        <w:spacing w:before="240" w:after="240" w:line="360" w:lineRule="auto"/>
        <w:jc w:val="both"/>
      </w:pPr>
      <w:r w:rsidRPr="003A734B">
        <w:rPr>
          <w:rFonts w:eastAsia="Times New Roman"/>
        </w:rPr>
        <w:t xml:space="preserve">Commonslibrary (2024) </w:t>
      </w:r>
      <w:r w:rsidRPr="003A734B">
        <w:rPr>
          <w:rFonts w:eastAsia="Times New Roman"/>
          <w:i/>
          <w:iCs/>
        </w:rPr>
        <w:t>A short introduction to equality law and policy - House of Commons Library</w:t>
      </w:r>
      <w:r w:rsidRPr="003A734B">
        <w:rPr>
          <w:rFonts w:eastAsia="Times New Roman"/>
        </w:rPr>
        <w:t xml:space="preserve">, </w:t>
      </w:r>
      <w:r w:rsidRPr="003A734B">
        <w:rPr>
          <w:rFonts w:eastAsia="Times New Roman"/>
          <w:i/>
          <w:iCs/>
        </w:rPr>
        <w:t>House of Commons Library</w:t>
      </w:r>
      <w:r w:rsidRPr="003A734B">
        <w:rPr>
          <w:rFonts w:eastAsia="Times New Roman"/>
        </w:rPr>
        <w:t>. Available at: https://commonslibrary.parliament.uk/research-briefings/cbp-9448/ (Accessed: August 12, 2026).</w:t>
      </w:r>
    </w:p>
    <w:p w14:paraId="22AA24D2" w14:textId="77777777" w:rsidR="003A734B" w:rsidRPr="003A734B" w:rsidRDefault="003A734B" w:rsidP="00B022F4">
      <w:pPr>
        <w:spacing w:before="240" w:after="240" w:line="360" w:lineRule="auto"/>
        <w:jc w:val="both"/>
        <w:rPr>
          <w:rFonts w:eastAsia="Times New Roman"/>
        </w:rPr>
      </w:pPr>
      <w:r w:rsidRPr="003A734B">
        <w:rPr>
          <w:color w:val="222222"/>
        </w:rPr>
        <w:t xml:space="preserve">Davis, B.P., Mitchell, S.A., Weston, J., Dragon, C., Luthra, M., Kim, J., Stoddard, H. and Ander, D., (2023). Situation, Background, Assessment, Recommendation (SBAR) education for health care students: assessment of a training program. </w:t>
      </w:r>
      <w:r w:rsidRPr="003A734B">
        <w:rPr>
          <w:i/>
          <w:iCs/>
          <w:color w:val="222222"/>
        </w:rPr>
        <w:t>MedEdPORTAL</w:t>
      </w:r>
      <w:r w:rsidRPr="003A734B">
        <w:rPr>
          <w:color w:val="222222"/>
        </w:rPr>
        <w:t xml:space="preserve">, </w:t>
      </w:r>
      <w:r w:rsidRPr="003A734B">
        <w:rPr>
          <w:i/>
          <w:iCs/>
          <w:color w:val="222222"/>
        </w:rPr>
        <w:t>19</w:t>
      </w:r>
      <w:r w:rsidRPr="003A734B">
        <w:rPr>
          <w:color w:val="222222"/>
        </w:rPr>
        <w:t>, p.11293.</w:t>
      </w:r>
      <w:r w:rsidRPr="003A734B">
        <w:rPr>
          <w:rFonts w:eastAsia="Times New Roman"/>
        </w:rPr>
        <w:t xml:space="preserve"> </w:t>
      </w:r>
      <w:hyperlink r:id="rId11">
        <w:r w:rsidRPr="003A734B">
          <w:rPr>
            <w:rFonts w:eastAsia="Times New Roman"/>
            <w:color w:val="1155CC"/>
            <w:u w:val="single"/>
          </w:rPr>
          <w:t>https://www.mededportal.org/doi/abs/10.15766/mep_2374-8265.11293</w:t>
        </w:r>
      </w:hyperlink>
    </w:p>
    <w:p w14:paraId="745343BC" w14:textId="77777777" w:rsidR="003A734B" w:rsidRPr="003A734B" w:rsidRDefault="003A734B" w:rsidP="00B022F4">
      <w:pPr>
        <w:spacing w:before="240" w:after="240" w:line="360" w:lineRule="auto"/>
        <w:jc w:val="both"/>
        <w:rPr>
          <w:rFonts w:eastAsia="Times New Roman"/>
        </w:rPr>
      </w:pPr>
      <w:r w:rsidRPr="003A734B">
        <w:rPr>
          <w:rFonts w:eastAsia="Times New Roman"/>
        </w:rPr>
        <w:t xml:space="preserve">‌Devonsafeguardingadultspartnership (2026) </w:t>
      </w:r>
      <w:r w:rsidRPr="003A734B">
        <w:rPr>
          <w:rFonts w:eastAsia="Times New Roman"/>
          <w:i/>
          <w:iCs/>
        </w:rPr>
        <w:t>The Care Act (2014) - Devon Safeguarding Adults Partnership</w:t>
      </w:r>
      <w:r w:rsidRPr="003A734B">
        <w:rPr>
          <w:rFonts w:eastAsia="Times New Roman"/>
        </w:rPr>
        <w:t xml:space="preserve">, </w:t>
      </w:r>
      <w:r w:rsidRPr="003A734B">
        <w:rPr>
          <w:rFonts w:eastAsia="Times New Roman"/>
          <w:i/>
          <w:iCs/>
        </w:rPr>
        <w:t>Devon Safeguarding Adults Partnership</w:t>
      </w:r>
      <w:r w:rsidRPr="003A734B">
        <w:rPr>
          <w:rFonts w:eastAsia="Times New Roman"/>
        </w:rPr>
        <w:t>. Available at: https://www.devonsafeguardingadultspartnership.org.uk/training-and-resources/care-act/ (Accessed: August 12, 2026).</w:t>
      </w:r>
    </w:p>
    <w:p w14:paraId="395A6D05" w14:textId="77777777" w:rsidR="003A734B" w:rsidRPr="003A734B" w:rsidRDefault="003A734B" w:rsidP="00B022F4">
      <w:pPr>
        <w:spacing w:before="240" w:after="240" w:line="360" w:lineRule="auto"/>
        <w:jc w:val="both"/>
      </w:pPr>
      <w:r w:rsidRPr="003A734B">
        <w:rPr>
          <w:color w:val="222222"/>
        </w:rPr>
        <w:t xml:space="preserve">Goh, P.R.Q., Ng, G.Y.J., Shorey, S. and Lim, S., (2023). Impacts of standardized patients as a teaching tool to develop communication skills in nursing education: a mixed-studies systematic review. </w:t>
      </w:r>
      <w:r w:rsidRPr="003A734B">
        <w:rPr>
          <w:i/>
          <w:iCs/>
          <w:color w:val="222222"/>
        </w:rPr>
        <w:t>Clinical Simulation in Nursing</w:t>
      </w:r>
      <w:r w:rsidRPr="003A734B">
        <w:rPr>
          <w:color w:val="222222"/>
        </w:rPr>
        <w:t xml:space="preserve">, </w:t>
      </w:r>
      <w:r w:rsidRPr="003A734B">
        <w:rPr>
          <w:i/>
          <w:iCs/>
          <w:color w:val="222222"/>
        </w:rPr>
        <w:t>84</w:t>
      </w:r>
      <w:r w:rsidRPr="003A734B">
        <w:rPr>
          <w:color w:val="222222"/>
        </w:rPr>
        <w:t>, p.101464.</w:t>
      </w:r>
      <w:r w:rsidRPr="003A734B">
        <w:t xml:space="preserve"> </w:t>
      </w:r>
      <w:hyperlink r:id="rId12">
        <w:r w:rsidRPr="003A734B">
          <w:rPr>
            <w:color w:val="1155CC"/>
            <w:u w:val="single"/>
          </w:rPr>
          <w:t>https://www.sciencedirect.com/science/article/pii/S1876139923000786</w:t>
        </w:r>
      </w:hyperlink>
    </w:p>
    <w:p w14:paraId="5D153E0B" w14:textId="77777777" w:rsidR="003A734B" w:rsidRPr="003A734B" w:rsidRDefault="003A734B" w:rsidP="00B022F4">
      <w:pPr>
        <w:spacing w:before="240" w:after="240" w:line="360" w:lineRule="auto"/>
        <w:jc w:val="both"/>
        <w:rPr>
          <w:rFonts w:eastAsia="Times New Roman"/>
        </w:rPr>
      </w:pPr>
      <w:r w:rsidRPr="003A734B">
        <w:rPr>
          <w:rFonts w:eastAsia="Times New Roman"/>
        </w:rPr>
        <w:lastRenderedPageBreak/>
        <w:t xml:space="preserve">Haven, A. (2025) </w:t>
      </w:r>
      <w:r w:rsidRPr="003A734B">
        <w:rPr>
          <w:rFonts w:eastAsia="Times New Roman"/>
          <w:i/>
          <w:iCs/>
        </w:rPr>
        <w:t>The Role of GDPR in Protecting Patient Data in Health and Social Care</w:t>
      </w:r>
      <w:r w:rsidRPr="003A734B">
        <w:rPr>
          <w:rFonts w:eastAsia="Times New Roman"/>
        </w:rPr>
        <w:t xml:space="preserve">, </w:t>
      </w:r>
      <w:r w:rsidRPr="003A734B">
        <w:rPr>
          <w:rFonts w:eastAsia="Times New Roman"/>
          <w:i/>
          <w:iCs/>
        </w:rPr>
        <w:t>Academy for Health &amp; Fitness</w:t>
      </w:r>
      <w:r w:rsidRPr="003A734B">
        <w:rPr>
          <w:rFonts w:eastAsia="Times New Roman"/>
        </w:rPr>
        <w:t>. Available at: https://uk.hfonline.org/the-role-of-gdpr-in-protecting-patient-data-in-health-and-social-care/ (Accessed: August 12, 2026).</w:t>
      </w:r>
    </w:p>
    <w:p w14:paraId="12FA150C" w14:textId="77777777" w:rsidR="003A734B" w:rsidRPr="003A734B" w:rsidRDefault="003A734B" w:rsidP="00B022F4">
      <w:pPr>
        <w:spacing w:before="240" w:after="240" w:line="360" w:lineRule="auto"/>
        <w:jc w:val="both"/>
      </w:pPr>
      <w:r w:rsidRPr="003A734B">
        <w:rPr>
          <w:color w:val="222222"/>
        </w:rPr>
        <w:t xml:space="preserve">Kawashima, T., Ota, Y., Aikawa, G., Watanabe, M., Ashida, K. and Sakuramoto, H., (2025). Effectiveness of emotional intelligence training on nurses' and nursing students' emotional intelligence, resilience, stress, and communication skills: a systematic review and meta-analysis. </w:t>
      </w:r>
      <w:r w:rsidRPr="003A734B">
        <w:rPr>
          <w:i/>
          <w:iCs/>
          <w:color w:val="222222"/>
        </w:rPr>
        <w:t>Nurse Education Today</w:t>
      </w:r>
      <w:r w:rsidRPr="003A734B">
        <w:rPr>
          <w:color w:val="222222"/>
        </w:rPr>
        <w:t xml:space="preserve">, </w:t>
      </w:r>
      <w:r w:rsidRPr="003A734B">
        <w:rPr>
          <w:i/>
          <w:iCs/>
          <w:color w:val="222222"/>
        </w:rPr>
        <w:t>151</w:t>
      </w:r>
      <w:r w:rsidRPr="003A734B">
        <w:rPr>
          <w:color w:val="222222"/>
        </w:rPr>
        <w:t>, p.106743.</w:t>
      </w:r>
      <w:r w:rsidRPr="003A734B">
        <w:t xml:space="preserve"> </w:t>
      </w:r>
      <w:hyperlink r:id="rId13">
        <w:r w:rsidRPr="003A734B">
          <w:rPr>
            <w:color w:val="1155CC"/>
            <w:u w:val="single"/>
          </w:rPr>
          <w:t>https://www.sciencedirect.com/science/article/pii/S0260691725001790</w:t>
        </w:r>
      </w:hyperlink>
    </w:p>
    <w:p w14:paraId="1F063A2A" w14:textId="77777777" w:rsidR="003A734B" w:rsidRPr="003A734B" w:rsidRDefault="003A734B" w:rsidP="00B022F4">
      <w:pPr>
        <w:spacing w:before="240" w:after="240" w:line="360" w:lineRule="auto"/>
        <w:jc w:val="both"/>
      </w:pPr>
      <w:r w:rsidRPr="003A734B">
        <w:rPr>
          <w:color w:val="222222"/>
        </w:rPr>
        <w:t xml:space="preserve">Khan, F. and Mita, T.A.B., (2023). Cybersecure documentation and record-keeping protocols for safeguarding sensitive financial information across business operations. </w:t>
      </w:r>
      <w:r w:rsidRPr="003A734B">
        <w:rPr>
          <w:i/>
          <w:iCs/>
          <w:color w:val="222222"/>
        </w:rPr>
        <w:t>International Journal of Scientific Interdisciplinary Research</w:t>
      </w:r>
      <w:r w:rsidRPr="003A734B">
        <w:rPr>
          <w:color w:val="222222"/>
        </w:rPr>
        <w:t xml:space="preserve">, </w:t>
      </w:r>
      <w:r w:rsidRPr="003A734B">
        <w:rPr>
          <w:i/>
          <w:iCs/>
          <w:color w:val="222222"/>
        </w:rPr>
        <w:t>4</w:t>
      </w:r>
      <w:r w:rsidRPr="003A734B">
        <w:rPr>
          <w:color w:val="222222"/>
        </w:rPr>
        <w:t>(3), pp.117-152.</w:t>
      </w:r>
      <w:r w:rsidRPr="003A734B">
        <w:t xml:space="preserve"> </w:t>
      </w:r>
      <w:hyperlink r:id="rId14">
        <w:r w:rsidRPr="003A734B">
          <w:rPr>
            <w:color w:val="1155CC"/>
            <w:u w:val="single"/>
          </w:rPr>
          <w:t>https://ijsir.org/index.php/IJSIR/article/view/70</w:t>
        </w:r>
      </w:hyperlink>
    </w:p>
    <w:p w14:paraId="4CF217B4" w14:textId="77777777" w:rsidR="003A734B" w:rsidRPr="003A734B" w:rsidRDefault="003A734B" w:rsidP="00B022F4">
      <w:pPr>
        <w:spacing w:before="240" w:after="240" w:line="360" w:lineRule="auto"/>
        <w:jc w:val="both"/>
      </w:pPr>
      <w:r w:rsidRPr="003A734B">
        <w:rPr>
          <w:color w:val="222222"/>
        </w:rPr>
        <w:t xml:space="preserve">Olufowote, J.O., (2026). The transactional model of communication: a framework for exchanging public health messages. In </w:t>
      </w:r>
      <w:r w:rsidRPr="003A734B">
        <w:rPr>
          <w:i/>
          <w:iCs/>
          <w:color w:val="222222"/>
        </w:rPr>
        <w:t>Research Handbook on Public Communication</w:t>
      </w:r>
      <w:r w:rsidRPr="003A734B">
        <w:rPr>
          <w:color w:val="222222"/>
        </w:rPr>
        <w:t xml:space="preserve"> (pp. 43-54). Edward Elgar Publishing.</w:t>
      </w:r>
      <w:r w:rsidRPr="003A734B">
        <w:t xml:space="preserve"> </w:t>
      </w:r>
      <w:hyperlink r:id="rId15">
        <w:r w:rsidRPr="003A734B">
          <w:rPr>
            <w:color w:val="1155CC"/>
            <w:u w:val="single"/>
          </w:rPr>
          <w:t>https://www.elgaronline.com/edcollchap/book/9781035342105/chapter3.xml</w:t>
        </w:r>
      </w:hyperlink>
    </w:p>
    <w:p w14:paraId="7E8421F0" w14:textId="77777777" w:rsidR="003A734B" w:rsidRPr="003A734B" w:rsidRDefault="003A734B" w:rsidP="00B022F4">
      <w:pPr>
        <w:spacing w:before="240" w:after="240" w:line="360" w:lineRule="auto"/>
        <w:jc w:val="both"/>
      </w:pPr>
      <w:r w:rsidRPr="003A734B">
        <w:rPr>
          <w:color w:val="222222"/>
        </w:rPr>
        <w:t>PART, I., (2018). Data Protection Act, 2018.</w:t>
      </w:r>
      <w:r w:rsidRPr="003A734B">
        <w:t xml:space="preserve"> </w:t>
      </w:r>
      <w:hyperlink r:id="rId16">
        <w:r w:rsidRPr="003A734B">
          <w:rPr>
            <w:color w:val="1155CC"/>
            <w:u w:val="single"/>
          </w:rPr>
          <w:t>https://policyvault.africa/wp-content/uploads/policy/BWA452.pdf</w:t>
        </w:r>
      </w:hyperlink>
    </w:p>
    <w:p w14:paraId="2E16F451" w14:textId="77777777" w:rsidR="003A734B" w:rsidRPr="003A734B" w:rsidRDefault="003A734B" w:rsidP="00B022F4">
      <w:pPr>
        <w:spacing w:before="240" w:after="240" w:line="360" w:lineRule="auto"/>
        <w:jc w:val="both"/>
        <w:rPr>
          <w:rFonts w:eastAsia="Times New Roman"/>
        </w:rPr>
      </w:pPr>
      <w:r w:rsidRPr="003A734B">
        <w:rPr>
          <w:color w:val="222222"/>
        </w:rPr>
        <w:t>Ryan, D., (2025). Guidance of key practices for multi-agency whole systems working.</w:t>
      </w:r>
      <w:r w:rsidRPr="003A734B">
        <w:rPr>
          <w:rFonts w:eastAsia="Times New Roman"/>
        </w:rPr>
        <w:t xml:space="preserve"> </w:t>
      </w:r>
      <w:hyperlink r:id="rId17">
        <w:r w:rsidRPr="003A734B">
          <w:rPr>
            <w:rFonts w:eastAsia="Times New Roman"/>
            <w:color w:val="1155CC"/>
            <w:u w:val="single"/>
          </w:rPr>
          <w:t>https://nectar.northampton.ac.uk/id/eprint/20392/</w:t>
        </w:r>
      </w:hyperlink>
    </w:p>
    <w:p w14:paraId="41A79248" w14:textId="77777777" w:rsidR="003A734B" w:rsidRPr="003A734B" w:rsidRDefault="003A734B" w:rsidP="00B022F4">
      <w:pPr>
        <w:spacing w:before="240" w:after="240" w:line="360" w:lineRule="auto"/>
        <w:jc w:val="both"/>
        <w:rPr>
          <w:rFonts w:eastAsia="Times New Roman"/>
        </w:rPr>
      </w:pPr>
      <w:r w:rsidRPr="003A734B">
        <w:rPr>
          <w:color w:val="222222"/>
        </w:rPr>
        <w:t xml:space="preserve">Tandan, M., Dunlea, S., Cullen, W. and Bury, G., (2024). Teamwork and its impact on chronic disease clinical outcomes in primary care: a systematic review and meta-analysis. </w:t>
      </w:r>
      <w:r w:rsidRPr="003A734B">
        <w:rPr>
          <w:i/>
          <w:iCs/>
          <w:color w:val="222222"/>
        </w:rPr>
        <w:t>Public health</w:t>
      </w:r>
      <w:r w:rsidRPr="003A734B">
        <w:rPr>
          <w:color w:val="222222"/>
        </w:rPr>
        <w:t xml:space="preserve">, </w:t>
      </w:r>
      <w:r w:rsidRPr="003A734B">
        <w:rPr>
          <w:i/>
          <w:iCs/>
          <w:color w:val="222222"/>
        </w:rPr>
        <w:t>229</w:t>
      </w:r>
      <w:r w:rsidRPr="003A734B">
        <w:rPr>
          <w:color w:val="222222"/>
        </w:rPr>
        <w:t>, pp.88-115.</w:t>
      </w:r>
      <w:r w:rsidRPr="003A734B">
        <w:rPr>
          <w:rFonts w:eastAsia="Times New Roman"/>
        </w:rPr>
        <w:t xml:space="preserve"> </w:t>
      </w:r>
      <w:hyperlink r:id="rId18">
        <w:r w:rsidRPr="003A734B">
          <w:rPr>
            <w:rFonts w:eastAsia="Times New Roman"/>
            <w:color w:val="1155CC"/>
            <w:u w:val="single"/>
          </w:rPr>
          <w:t>https://www.sciencedirect.com/science/article/pii/S0033350624000398</w:t>
        </w:r>
      </w:hyperlink>
    </w:p>
    <w:p w14:paraId="00000033" w14:textId="35E491C6" w:rsidR="0099076E" w:rsidRPr="003A734B" w:rsidRDefault="0099076E" w:rsidP="00B022F4">
      <w:pPr>
        <w:spacing w:before="240" w:after="240" w:line="360" w:lineRule="auto"/>
        <w:jc w:val="both"/>
        <w:rPr>
          <w:rFonts w:eastAsia="Times New Roman"/>
        </w:rPr>
      </w:pPr>
    </w:p>
    <w:p w14:paraId="00000034" w14:textId="77777777" w:rsidR="0099076E" w:rsidRPr="003A734B" w:rsidRDefault="0099076E" w:rsidP="00B022F4">
      <w:pPr>
        <w:spacing w:line="360" w:lineRule="auto"/>
        <w:jc w:val="both"/>
      </w:pPr>
    </w:p>
    <w:p w14:paraId="00000035" w14:textId="77777777" w:rsidR="0099076E" w:rsidRPr="0052504B" w:rsidRDefault="0099076E" w:rsidP="00B022F4">
      <w:pPr>
        <w:spacing w:line="360" w:lineRule="auto"/>
        <w:jc w:val="both"/>
      </w:pPr>
    </w:p>
    <w:sectPr w:rsidR="0099076E" w:rsidRPr="0052504B" w:rsidSect="0052504B">
      <w:footerReference w:type="default" r:id="rId1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62825" w14:textId="77777777" w:rsidR="003A5C52" w:rsidRPr="003A734B" w:rsidRDefault="003A5C52" w:rsidP="0052504B">
      <w:pPr>
        <w:spacing w:line="240" w:lineRule="auto"/>
      </w:pPr>
      <w:r w:rsidRPr="003A734B">
        <w:separator/>
      </w:r>
    </w:p>
  </w:endnote>
  <w:endnote w:type="continuationSeparator" w:id="0">
    <w:p w14:paraId="5AA675A9" w14:textId="77777777" w:rsidR="003A5C52" w:rsidRPr="003A734B" w:rsidRDefault="003A5C52" w:rsidP="0052504B">
      <w:pPr>
        <w:spacing w:line="240" w:lineRule="auto"/>
      </w:pPr>
      <w:r w:rsidRPr="003A734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670AC20-187E-4F8F-B149-6F5FF6240BFC}"/>
  </w:font>
  <w:font w:name="Cambria">
    <w:panose1 w:val="02040503050406030204"/>
    <w:charset w:val="00"/>
    <w:family w:val="roman"/>
    <w:pitch w:val="variable"/>
    <w:sig w:usb0="E00006FF" w:usb1="420024FF" w:usb2="02000000" w:usb3="00000000" w:csb0="0000019F" w:csb1="00000000"/>
    <w:embedRegular r:id="rId2" w:fontKey="{8FBD25A0-7785-48DF-9E00-792449F8E33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8475998"/>
      <w:docPartObj>
        <w:docPartGallery w:val="Page Numbers (Bottom of Page)"/>
        <w:docPartUnique/>
      </w:docPartObj>
    </w:sdtPr>
    <w:sdtContent>
      <w:p w14:paraId="4F531EF6" w14:textId="67CA687D" w:rsidR="0052504B" w:rsidRPr="003A734B" w:rsidRDefault="0052504B">
        <w:pPr>
          <w:pStyle w:val="Footer"/>
          <w:jc w:val="right"/>
        </w:pPr>
        <w:r w:rsidRPr="003A734B">
          <w:fldChar w:fldCharType="begin"/>
        </w:r>
        <w:r w:rsidRPr="003A734B">
          <w:instrText xml:space="preserve"> PAGE   \* MERGEFORMAT </w:instrText>
        </w:r>
        <w:r w:rsidRPr="003A734B">
          <w:fldChar w:fldCharType="separate"/>
        </w:r>
        <w:r w:rsidRPr="003A734B">
          <w:t>2</w:t>
        </w:r>
        <w:r w:rsidRPr="003A734B">
          <w:fldChar w:fldCharType="end"/>
        </w:r>
      </w:p>
    </w:sdtContent>
  </w:sdt>
  <w:p w14:paraId="45976A79" w14:textId="77777777" w:rsidR="0052504B" w:rsidRPr="003A734B" w:rsidRDefault="00525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19181" w14:textId="77777777" w:rsidR="003A5C52" w:rsidRPr="003A734B" w:rsidRDefault="003A5C52" w:rsidP="0052504B">
      <w:pPr>
        <w:spacing w:line="240" w:lineRule="auto"/>
      </w:pPr>
      <w:r w:rsidRPr="003A734B">
        <w:separator/>
      </w:r>
    </w:p>
  </w:footnote>
  <w:footnote w:type="continuationSeparator" w:id="0">
    <w:p w14:paraId="1966D283" w14:textId="77777777" w:rsidR="003A5C52" w:rsidRPr="003A734B" w:rsidRDefault="003A5C52" w:rsidP="0052504B">
      <w:pPr>
        <w:spacing w:line="240" w:lineRule="auto"/>
      </w:pPr>
      <w:r w:rsidRPr="003A734B">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76E"/>
    <w:rsid w:val="00086DFD"/>
    <w:rsid w:val="000E7644"/>
    <w:rsid w:val="00281B63"/>
    <w:rsid w:val="003A5C52"/>
    <w:rsid w:val="003A734B"/>
    <w:rsid w:val="0052504B"/>
    <w:rsid w:val="005E0B7F"/>
    <w:rsid w:val="007129E7"/>
    <w:rsid w:val="00825DDC"/>
    <w:rsid w:val="0099076E"/>
    <w:rsid w:val="00AC65BB"/>
    <w:rsid w:val="00AE00B9"/>
    <w:rsid w:val="00B022F4"/>
    <w:rsid w:val="00B4475E"/>
    <w:rsid w:val="00BE0A4F"/>
    <w:rsid w:val="00C748C7"/>
    <w:rsid w:val="00CA7C33"/>
    <w:rsid w:val="00D47E1C"/>
    <w:rsid w:val="00DB3CB5"/>
    <w:rsid w:val="00F043FF"/>
    <w:rsid w:val="00F62991"/>
    <w:rsid w:val="00FE6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ECF26"/>
  <w15:docId w15:val="{4EFDE058-E881-4BD1-BCEC-42D6861A9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2504B"/>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52504B"/>
    <w:pPr>
      <w:spacing w:after="100"/>
    </w:pPr>
  </w:style>
  <w:style w:type="character" w:styleId="Hyperlink">
    <w:name w:val="Hyperlink"/>
    <w:basedOn w:val="DefaultParagraphFont"/>
    <w:uiPriority w:val="99"/>
    <w:unhideWhenUsed/>
    <w:rsid w:val="0052504B"/>
    <w:rPr>
      <w:color w:val="0000FF" w:themeColor="hyperlink"/>
      <w:u w:val="single"/>
    </w:rPr>
  </w:style>
  <w:style w:type="paragraph" w:styleId="Header">
    <w:name w:val="header"/>
    <w:basedOn w:val="Normal"/>
    <w:link w:val="HeaderChar"/>
    <w:uiPriority w:val="99"/>
    <w:unhideWhenUsed/>
    <w:rsid w:val="0052504B"/>
    <w:pPr>
      <w:tabs>
        <w:tab w:val="center" w:pos="4680"/>
        <w:tab w:val="right" w:pos="9360"/>
      </w:tabs>
      <w:spacing w:line="240" w:lineRule="auto"/>
    </w:pPr>
  </w:style>
  <w:style w:type="character" w:customStyle="1" w:styleId="HeaderChar">
    <w:name w:val="Header Char"/>
    <w:basedOn w:val="DefaultParagraphFont"/>
    <w:link w:val="Header"/>
    <w:uiPriority w:val="99"/>
    <w:rsid w:val="0052504B"/>
  </w:style>
  <w:style w:type="paragraph" w:styleId="Footer">
    <w:name w:val="footer"/>
    <w:basedOn w:val="Normal"/>
    <w:link w:val="FooterChar"/>
    <w:uiPriority w:val="99"/>
    <w:unhideWhenUsed/>
    <w:rsid w:val="0052504B"/>
    <w:pPr>
      <w:tabs>
        <w:tab w:val="center" w:pos="4680"/>
        <w:tab w:val="right" w:pos="9360"/>
      </w:tabs>
      <w:spacing w:line="240" w:lineRule="auto"/>
    </w:pPr>
  </w:style>
  <w:style w:type="character" w:customStyle="1" w:styleId="FooterChar">
    <w:name w:val="Footer Char"/>
    <w:basedOn w:val="DefaultParagraphFont"/>
    <w:link w:val="Footer"/>
    <w:uiPriority w:val="99"/>
    <w:rsid w:val="00525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ature.com/articles/s41599-022-01109-4" TargetMode="External"/><Relationship Id="rId13" Type="http://schemas.openxmlformats.org/officeDocument/2006/relationships/hyperlink" Target="https://www.sciencedirect.com/science/article/pii/S0260691725001790" TargetMode="External"/><Relationship Id="rId18" Type="http://schemas.openxmlformats.org/officeDocument/2006/relationships/hyperlink" Target="https://www.sciencedirect.com/science/article/pii/S003335062400039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sciencedirect.com/science/article/pii/S1876139923000786" TargetMode="External"/><Relationship Id="rId17" Type="http://schemas.openxmlformats.org/officeDocument/2006/relationships/hyperlink" Target="https://nectar.northampton.ac.uk/id/eprint/20392/" TargetMode="External"/><Relationship Id="rId2" Type="http://schemas.openxmlformats.org/officeDocument/2006/relationships/styles" Target="styles.xml"/><Relationship Id="rId16" Type="http://schemas.openxmlformats.org/officeDocument/2006/relationships/hyperlink" Target="https://policyvault.africa/wp-content/uploads/policy/BWA452.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ededportal.org/doi/abs/10.15766/mep_2374-8265.11293" TargetMode="External"/><Relationship Id="rId5" Type="http://schemas.openxmlformats.org/officeDocument/2006/relationships/footnotes" Target="footnotes.xml"/><Relationship Id="rId15" Type="http://schemas.openxmlformats.org/officeDocument/2006/relationships/hyperlink" Target="https://www.elgaronline.com/edcollchap/book/9781035342105/chapter3.xml" TargetMode="External"/><Relationship Id="rId10" Type="http://schemas.openxmlformats.org/officeDocument/2006/relationships/hyperlink" Target="https://managementjournal.usamv.ro/pdf/vol.23_3/Art19.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andfonline.com/doi/abs/10.1080/13561820.2024.2405550" TargetMode="External"/><Relationship Id="rId14" Type="http://schemas.openxmlformats.org/officeDocument/2006/relationships/hyperlink" Target="https://ijsir.org/index.php/IJSIR/article/view/70"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79095-91F8-4C86-8DBA-3BA7CC252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2684</Words>
  <Characters>15299</Characters>
  <Application>Microsoft Office Word</Application>
  <DocSecurity>0</DocSecurity>
  <Lines>127</Lines>
  <Paragraphs>35</Paragraphs>
  <ScaleCrop>false</ScaleCrop>
  <Company>digital.storeid</Company>
  <LinksUpToDate>false</LinksUpToDate>
  <CharactersWithSpaces>17948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iancu</cp:lastModifiedBy>
  <cp:revision>31</cp:revision>
  <dcterms:created xsi:type="dcterms:W3CDTF">2026-08-12T09:29:00Z</dcterms:created>
  <dcterms:modified xsi:type="dcterms:W3CDTF">2026-08-14T16:33:00Z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32baceee-6359-4f24-ae9d-f7ce92abad90</vt:lpwstr>
  </property>
</Properties>
</file>