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0F3B4208"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2B4FAF3E"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94345D">
        <w:rPr>
          <w:rStyle w:val="Strong"/>
          <w:rFonts w:ascii="Arial" w:hAnsi="Arial" w:cs="Arial"/>
          <w:color w:val="1D2125"/>
          <w:sz w:val="32"/>
          <w:szCs w:val="32"/>
        </w:rPr>
        <w:t xml:space="preserve"> Zakiullah Storay Khaliqyar</w:t>
      </w:r>
    </w:p>
    <w:p w14:paraId="3DCFFD10" w14:textId="5682061A"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94345D">
        <w:rPr>
          <w:rStyle w:val="Strong"/>
          <w:rFonts w:ascii="Arial" w:hAnsi="Arial" w:cs="Arial"/>
          <w:color w:val="1D2125"/>
          <w:sz w:val="32"/>
          <w:szCs w:val="32"/>
        </w:rPr>
        <w:t xml:space="preserve"> 2515597</w:t>
      </w:r>
    </w:p>
    <w:p w14:paraId="6F2C3011" w14:textId="512FC321"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94345D">
        <w:rPr>
          <w:rStyle w:val="Strong"/>
          <w:rFonts w:ascii="Arial" w:hAnsi="Arial" w:cs="Arial"/>
          <w:color w:val="1D2125"/>
          <w:sz w:val="32"/>
          <w:szCs w:val="32"/>
        </w:rPr>
        <w:t xml:space="preserve"> Laila Surani</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377D1450" w14:textId="309DA876" w:rsidR="002351EA" w:rsidRDefault="002351EA" w:rsidP="002351EA">
      <w:pPr>
        <w:spacing w:line="360" w:lineRule="auto"/>
        <w:jc w:val="center"/>
        <w:rPr>
          <w:rFonts w:ascii="Arial" w:hAnsi="Arial" w:cs="Arial"/>
          <w:sz w:val="36"/>
          <w:szCs w:val="36"/>
        </w:rPr>
      </w:pPr>
      <w:r>
        <w:rPr>
          <w:rFonts w:ascii="Arial" w:hAnsi="Arial" w:cs="Arial"/>
          <w:sz w:val="36"/>
          <w:szCs w:val="36"/>
        </w:rPr>
        <w:t>Date: 15</w:t>
      </w:r>
      <w:r w:rsidRPr="002351EA">
        <w:rPr>
          <w:rFonts w:ascii="Arial" w:hAnsi="Arial" w:cs="Arial"/>
          <w:sz w:val="36"/>
          <w:szCs w:val="36"/>
          <w:vertAlign w:val="superscript"/>
        </w:rPr>
        <w:t>th</w:t>
      </w:r>
      <w:r>
        <w:rPr>
          <w:rFonts w:ascii="Arial" w:hAnsi="Arial" w:cs="Arial"/>
          <w:sz w:val="36"/>
          <w:szCs w:val="36"/>
        </w:rPr>
        <w:t xml:space="preserve"> April 2026</w:t>
      </w:r>
    </w:p>
    <w:p w14:paraId="42726B8D" w14:textId="2B5473B6" w:rsidR="00D46920" w:rsidRDefault="00D46920" w:rsidP="00D46920">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r w:rsidR="002351EA">
        <w:rPr>
          <w:rFonts w:ascii="Arial" w:hAnsi="Arial" w:cs="Arial"/>
          <w:b/>
          <w:bCs/>
          <w:color w:val="000000"/>
          <w:sz w:val="28"/>
          <w:szCs w:val="28"/>
        </w:rPr>
        <w:t>:</w:t>
      </w:r>
    </w:p>
    <w:p w14:paraId="15A8B84E" w14:textId="58D0FEA5" w:rsidR="002351EA" w:rsidRDefault="002351EA" w:rsidP="002351EA">
      <w:pPr>
        <w:pStyle w:val="NormalWeb"/>
        <w:numPr>
          <w:ilvl w:val="0"/>
          <w:numId w:val="15"/>
        </w:numPr>
        <w:spacing w:line="360" w:lineRule="auto"/>
        <w:rPr>
          <w:rFonts w:ascii="Arial" w:hAnsi="Arial" w:cs="Arial"/>
          <w:b/>
          <w:bCs/>
          <w:color w:val="000000"/>
          <w:sz w:val="28"/>
          <w:szCs w:val="28"/>
        </w:rPr>
      </w:pPr>
      <w:r>
        <w:rPr>
          <w:rFonts w:ascii="Arial" w:hAnsi="Arial" w:cs="Arial"/>
          <w:b/>
          <w:bCs/>
          <w:color w:val="000000"/>
          <w:sz w:val="28"/>
          <w:szCs w:val="28"/>
        </w:rPr>
        <w:t>Introduction…………</w:t>
      </w:r>
      <w:r w:rsidR="0040096B">
        <w:rPr>
          <w:rFonts w:ascii="Arial" w:hAnsi="Arial" w:cs="Arial"/>
          <w:b/>
          <w:bCs/>
          <w:color w:val="000000"/>
          <w:sz w:val="28"/>
          <w:szCs w:val="28"/>
        </w:rPr>
        <w:t>………………………………………….</w:t>
      </w:r>
      <w:r>
        <w:rPr>
          <w:rFonts w:ascii="Arial" w:hAnsi="Arial" w:cs="Arial"/>
          <w:b/>
          <w:bCs/>
          <w:color w:val="000000"/>
          <w:sz w:val="28"/>
          <w:szCs w:val="28"/>
        </w:rPr>
        <w:t>…</w:t>
      </w:r>
      <w:r w:rsidR="005C0FD7">
        <w:rPr>
          <w:rFonts w:ascii="Arial" w:hAnsi="Arial" w:cs="Arial"/>
          <w:b/>
          <w:bCs/>
          <w:color w:val="000000"/>
          <w:sz w:val="28"/>
          <w:szCs w:val="28"/>
        </w:rPr>
        <w:t>…</w:t>
      </w:r>
      <w:r>
        <w:rPr>
          <w:rFonts w:ascii="Arial" w:hAnsi="Arial" w:cs="Arial"/>
          <w:b/>
          <w:bCs/>
          <w:color w:val="000000"/>
          <w:sz w:val="28"/>
          <w:szCs w:val="28"/>
        </w:rPr>
        <w:t>…</w:t>
      </w:r>
      <w:r w:rsidR="0040096B">
        <w:rPr>
          <w:rFonts w:ascii="Arial" w:hAnsi="Arial" w:cs="Arial"/>
          <w:b/>
          <w:bCs/>
          <w:color w:val="000000"/>
          <w:sz w:val="28"/>
          <w:szCs w:val="28"/>
        </w:rPr>
        <w:t>2</w:t>
      </w:r>
    </w:p>
    <w:p w14:paraId="112D75F8" w14:textId="6E0EA60B" w:rsidR="002579F1" w:rsidRPr="002579F1" w:rsidRDefault="002579F1" w:rsidP="002579F1">
      <w:pPr>
        <w:pStyle w:val="ListParagraph"/>
        <w:numPr>
          <w:ilvl w:val="0"/>
          <w:numId w:val="15"/>
        </w:numPr>
        <w:rPr>
          <w:rFonts w:ascii="Arial" w:eastAsia="Times New Roman" w:hAnsi="Arial" w:cs="Arial"/>
          <w:b/>
          <w:bCs/>
          <w:color w:val="000000"/>
          <w:kern w:val="0"/>
          <w:sz w:val="28"/>
          <w:szCs w:val="28"/>
          <w:lang w:eastAsia="en-GB"/>
        </w:rPr>
      </w:pPr>
      <w:r w:rsidRPr="002579F1">
        <w:rPr>
          <w:rFonts w:ascii="Arial" w:eastAsia="Times New Roman" w:hAnsi="Arial" w:cs="Arial"/>
          <w:b/>
          <w:bCs/>
          <w:color w:val="000000"/>
          <w:kern w:val="0"/>
          <w:sz w:val="28"/>
          <w:szCs w:val="28"/>
          <w:lang w:eastAsia="en-GB"/>
        </w:rPr>
        <w:t>Task 1 – Defining Key Concept in Practice</w:t>
      </w:r>
      <w:r w:rsidR="0040096B">
        <w:rPr>
          <w:rFonts w:ascii="Arial" w:eastAsia="Times New Roman" w:hAnsi="Arial" w:cs="Arial"/>
          <w:b/>
          <w:bCs/>
          <w:color w:val="000000"/>
          <w:kern w:val="0"/>
          <w:sz w:val="28"/>
          <w:szCs w:val="28"/>
          <w:lang w:eastAsia="en-GB"/>
        </w:rPr>
        <w:t>………………………2</w:t>
      </w:r>
    </w:p>
    <w:p w14:paraId="29224D01" w14:textId="5152F226" w:rsidR="002351EA" w:rsidRPr="002579F1" w:rsidRDefault="002351EA" w:rsidP="002351EA">
      <w:pPr>
        <w:pStyle w:val="ListParagraph"/>
        <w:numPr>
          <w:ilvl w:val="0"/>
          <w:numId w:val="15"/>
        </w:numPr>
        <w:rPr>
          <w:rFonts w:ascii="Arial" w:eastAsia="Times New Roman" w:hAnsi="Arial" w:cs="Arial"/>
          <w:b/>
          <w:bCs/>
          <w:color w:val="000000"/>
          <w:kern w:val="0"/>
          <w:sz w:val="28"/>
          <w:szCs w:val="28"/>
          <w:lang w:eastAsia="en-GB"/>
        </w:rPr>
      </w:pPr>
      <w:r w:rsidRPr="002579F1">
        <w:rPr>
          <w:rFonts w:ascii="Arial" w:eastAsia="Times New Roman" w:hAnsi="Arial" w:cs="Arial"/>
          <w:b/>
          <w:bCs/>
          <w:color w:val="000000"/>
          <w:kern w:val="0"/>
          <w:sz w:val="28"/>
          <w:szCs w:val="28"/>
          <w:lang w:eastAsia="en-GB"/>
        </w:rPr>
        <w:t>Task 2 – Mind Map</w:t>
      </w:r>
      <w:r w:rsidR="0040096B">
        <w:rPr>
          <w:rFonts w:ascii="Arial" w:eastAsia="Times New Roman" w:hAnsi="Arial" w:cs="Arial"/>
          <w:b/>
          <w:bCs/>
          <w:color w:val="000000"/>
          <w:kern w:val="0"/>
          <w:sz w:val="28"/>
          <w:szCs w:val="28"/>
          <w:lang w:eastAsia="en-GB"/>
        </w:rPr>
        <w:t>……………………………………………………4</w:t>
      </w:r>
    </w:p>
    <w:p w14:paraId="51C5AD26" w14:textId="571183D1" w:rsidR="002579F1" w:rsidRPr="002579F1" w:rsidRDefault="002579F1" w:rsidP="002579F1">
      <w:pPr>
        <w:pStyle w:val="ListParagraph"/>
        <w:numPr>
          <w:ilvl w:val="0"/>
          <w:numId w:val="15"/>
        </w:numPr>
        <w:rPr>
          <w:rFonts w:ascii="Arial" w:eastAsia="Times New Roman" w:hAnsi="Arial" w:cs="Arial"/>
          <w:b/>
          <w:bCs/>
          <w:color w:val="000000"/>
          <w:kern w:val="0"/>
          <w:sz w:val="28"/>
          <w:szCs w:val="28"/>
          <w:lang w:eastAsia="en-GB"/>
        </w:rPr>
      </w:pPr>
      <w:r w:rsidRPr="002579F1">
        <w:rPr>
          <w:rFonts w:ascii="Arial" w:eastAsia="Times New Roman" w:hAnsi="Arial" w:cs="Arial"/>
          <w:b/>
          <w:bCs/>
          <w:color w:val="000000"/>
          <w:kern w:val="0"/>
          <w:sz w:val="28"/>
          <w:szCs w:val="28"/>
          <w:lang w:eastAsia="en-GB"/>
        </w:rPr>
        <w:t>Task 3 – Self-Reflection of Group Activity</w:t>
      </w:r>
      <w:r w:rsidR="0040096B">
        <w:rPr>
          <w:rFonts w:ascii="Arial" w:eastAsia="Times New Roman" w:hAnsi="Arial" w:cs="Arial"/>
          <w:b/>
          <w:bCs/>
          <w:color w:val="000000"/>
          <w:kern w:val="0"/>
          <w:sz w:val="28"/>
          <w:szCs w:val="28"/>
          <w:lang w:eastAsia="en-GB"/>
        </w:rPr>
        <w:t>……………………….5</w:t>
      </w:r>
    </w:p>
    <w:p w14:paraId="36FC16DC" w14:textId="52288C94" w:rsidR="002579F1" w:rsidRPr="002579F1" w:rsidRDefault="002579F1" w:rsidP="002579F1">
      <w:pPr>
        <w:pStyle w:val="ListParagraph"/>
        <w:numPr>
          <w:ilvl w:val="0"/>
          <w:numId w:val="15"/>
        </w:numPr>
        <w:rPr>
          <w:rFonts w:ascii="Arial" w:eastAsia="Times New Roman" w:hAnsi="Arial" w:cs="Arial"/>
          <w:b/>
          <w:bCs/>
          <w:color w:val="000000"/>
          <w:kern w:val="0"/>
          <w:sz w:val="28"/>
          <w:szCs w:val="28"/>
          <w:lang w:eastAsia="en-GB"/>
        </w:rPr>
      </w:pPr>
      <w:r w:rsidRPr="002579F1">
        <w:rPr>
          <w:rFonts w:ascii="Arial" w:eastAsia="Times New Roman" w:hAnsi="Arial" w:cs="Arial"/>
          <w:b/>
          <w:bCs/>
          <w:color w:val="000000"/>
          <w:kern w:val="0"/>
          <w:sz w:val="28"/>
          <w:szCs w:val="28"/>
          <w:lang w:eastAsia="en-GB"/>
        </w:rPr>
        <w:t>Task 4 – Case Study Analysis of a UK Innovation</w:t>
      </w:r>
      <w:r w:rsidR="0040096B">
        <w:rPr>
          <w:rFonts w:ascii="Arial" w:eastAsia="Times New Roman" w:hAnsi="Arial" w:cs="Arial"/>
          <w:b/>
          <w:bCs/>
          <w:color w:val="000000"/>
          <w:kern w:val="0"/>
          <w:sz w:val="28"/>
          <w:szCs w:val="28"/>
          <w:lang w:eastAsia="en-GB"/>
        </w:rPr>
        <w:t>…………</w:t>
      </w:r>
      <w:r w:rsidR="00E06A88">
        <w:rPr>
          <w:rFonts w:ascii="Arial" w:eastAsia="Times New Roman" w:hAnsi="Arial" w:cs="Arial"/>
          <w:b/>
          <w:bCs/>
          <w:color w:val="000000"/>
          <w:kern w:val="0"/>
          <w:sz w:val="28"/>
          <w:szCs w:val="28"/>
          <w:lang w:eastAsia="en-GB"/>
        </w:rPr>
        <w:t>…...</w:t>
      </w:r>
      <w:r w:rsidR="0040096B">
        <w:rPr>
          <w:rFonts w:ascii="Arial" w:eastAsia="Times New Roman" w:hAnsi="Arial" w:cs="Arial"/>
          <w:b/>
          <w:bCs/>
          <w:color w:val="000000"/>
          <w:kern w:val="0"/>
          <w:sz w:val="28"/>
          <w:szCs w:val="28"/>
          <w:lang w:eastAsia="en-GB"/>
        </w:rPr>
        <w:t>5</w:t>
      </w:r>
    </w:p>
    <w:p w14:paraId="6D718AF1" w14:textId="0FC5FB39" w:rsidR="002351EA" w:rsidRPr="002579F1" w:rsidRDefault="002351EA" w:rsidP="002351EA">
      <w:pPr>
        <w:pStyle w:val="ListParagraph"/>
        <w:numPr>
          <w:ilvl w:val="0"/>
          <w:numId w:val="15"/>
        </w:numPr>
        <w:rPr>
          <w:rFonts w:ascii="Arial" w:eastAsia="Times New Roman" w:hAnsi="Arial" w:cs="Arial"/>
          <w:b/>
          <w:bCs/>
          <w:color w:val="000000"/>
          <w:kern w:val="0"/>
          <w:sz w:val="28"/>
          <w:szCs w:val="28"/>
          <w:lang w:eastAsia="en-GB"/>
        </w:rPr>
      </w:pPr>
      <w:r w:rsidRPr="002579F1">
        <w:rPr>
          <w:rFonts w:ascii="Arial" w:eastAsia="Times New Roman" w:hAnsi="Arial" w:cs="Arial"/>
          <w:b/>
          <w:bCs/>
          <w:color w:val="000000"/>
          <w:kern w:val="0"/>
          <w:sz w:val="28"/>
          <w:szCs w:val="28"/>
          <w:lang w:eastAsia="en-GB"/>
        </w:rPr>
        <w:t>Task 5 – Research Task</w:t>
      </w:r>
      <w:r w:rsidR="0040096B">
        <w:rPr>
          <w:rFonts w:ascii="Arial" w:eastAsia="Times New Roman" w:hAnsi="Arial" w:cs="Arial"/>
          <w:b/>
          <w:bCs/>
          <w:color w:val="000000"/>
          <w:kern w:val="0"/>
          <w:sz w:val="28"/>
          <w:szCs w:val="28"/>
          <w:lang w:eastAsia="en-GB"/>
        </w:rPr>
        <w:t>…………………………………………</w:t>
      </w:r>
      <w:r w:rsidR="00E06A88">
        <w:rPr>
          <w:rFonts w:ascii="Arial" w:eastAsia="Times New Roman" w:hAnsi="Arial" w:cs="Arial"/>
          <w:b/>
          <w:bCs/>
          <w:color w:val="000000"/>
          <w:kern w:val="0"/>
          <w:sz w:val="28"/>
          <w:szCs w:val="28"/>
          <w:lang w:eastAsia="en-GB"/>
        </w:rPr>
        <w:t>….</w:t>
      </w:r>
      <w:r w:rsidR="0040096B">
        <w:rPr>
          <w:rFonts w:ascii="Arial" w:eastAsia="Times New Roman" w:hAnsi="Arial" w:cs="Arial"/>
          <w:b/>
          <w:bCs/>
          <w:color w:val="000000"/>
          <w:kern w:val="0"/>
          <w:sz w:val="28"/>
          <w:szCs w:val="28"/>
          <w:lang w:eastAsia="en-GB"/>
        </w:rPr>
        <w:t>6</w:t>
      </w:r>
    </w:p>
    <w:p w14:paraId="5530F2C7" w14:textId="77777777" w:rsidR="0040096B" w:rsidRDefault="002579F1" w:rsidP="002579F1">
      <w:pPr>
        <w:pStyle w:val="ListParagraph"/>
        <w:numPr>
          <w:ilvl w:val="0"/>
          <w:numId w:val="15"/>
        </w:numPr>
        <w:rPr>
          <w:rFonts w:ascii="Arial" w:eastAsia="Times New Roman" w:hAnsi="Arial" w:cs="Arial"/>
          <w:b/>
          <w:bCs/>
          <w:color w:val="000000"/>
          <w:kern w:val="0"/>
          <w:sz w:val="28"/>
          <w:szCs w:val="28"/>
          <w:lang w:eastAsia="en-GB"/>
        </w:rPr>
      </w:pPr>
      <w:r w:rsidRPr="002579F1">
        <w:rPr>
          <w:rFonts w:ascii="Arial" w:eastAsia="Times New Roman" w:hAnsi="Arial" w:cs="Arial"/>
          <w:b/>
          <w:bCs/>
          <w:color w:val="000000"/>
          <w:kern w:val="0"/>
          <w:sz w:val="28"/>
          <w:szCs w:val="28"/>
          <w:lang w:eastAsia="en-GB"/>
        </w:rPr>
        <w:t xml:space="preserve">Task 6 – Exploring Digital Innovation in </w:t>
      </w:r>
    </w:p>
    <w:p w14:paraId="3C1D8896" w14:textId="1175CB2A" w:rsidR="002579F1" w:rsidRPr="002579F1" w:rsidRDefault="002579F1" w:rsidP="0040096B">
      <w:pPr>
        <w:pStyle w:val="ListParagraph"/>
        <w:ind w:left="436"/>
        <w:rPr>
          <w:rFonts w:ascii="Arial" w:eastAsia="Times New Roman" w:hAnsi="Arial" w:cs="Arial"/>
          <w:b/>
          <w:bCs/>
          <w:color w:val="000000"/>
          <w:kern w:val="0"/>
          <w:sz w:val="28"/>
          <w:szCs w:val="28"/>
          <w:lang w:eastAsia="en-GB"/>
        </w:rPr>
      </w:pPr>
      <w:r w:rsidRPr="002579F1">
        <w:rPr>
          <w:rFonts w:ascii="Arial" w:eastAsia="Times New Roman" w:hAnsi="Arial" w:cs="Arial"/>
          <w:b/>
          <w:bCs/>
          <w:color w:val="000000"/>
          <w:kern w:val="0"/>
          <w:sz w:val="28"/>
          <w:szCs w:val="28"/>
          <w:lang w:eastAsia="en-GB"/>
        </w:rPr>
        <w:t>Health and Social Care</w:t>
      </w:r>
      <w:r w:rsidR="0040096B">
        <w:rPr>
          <w:rFonts w:ascii="Arial" w:eastAsia="Times New Roman" w:hAnsi="Arial" w:cs="Arial"/>
          <w:b/>
          <w:bCs/>
          <w:color w:val="000000"/>
          <w:kern w:val="0"/>
          <w:sz w:val="28"/>
          <w:szCs w:val="28"/>
          <w:lang w:eastAsia="en-GB"/>
        </w:rPr>
        <w:t>………………………………………………</w:t>
      </w:r>
      <w:r w:rsidR="00E06A88">
        <w:rPr>
          <w:rFonts w:ascii="Arial" w:eastAsia="Times New Roman" w:hAnsi="Arial" w:cs="Arial"/>
          <w:b/>
          <w:bCs/>
          <w:color w:val="000000"/>
          <w:kern w:val="0"/>
          <w:sz w:val="28"/>
          <w:szCs w:val="28"/>
          <w:lang w:eastAsia="en-GB"/>
        </w:rPr>
        <w:t>7.</w:t>
      </w:r>
    </w:p>
    <w:p w14:paraId="6F28D13D" w14:textId="22F12032" w:rsidR="002579F1" w:rsidRPr="002579F1" w:rsidRDefault="002579F1" w:rsidP="002579F1">
      <w:pPr>
        <w:pStyle w:val="ListParagraph"/>
        <w:numPr>
          <w:ilvl w:val="0"/>
          <w:numId w:val="15"/>
        </w:numPr>
        <w:rPr>
          <w:rFonts w:ascii="Arial" w:eastAsia="Times New Roman" w:hAnsi="Arial" w:cs="Arial"/>
          <w:b/>
          <w:bCs/>
          <w:color w:val="000000"/>
          <w:kern w:val="0"/>
          <w:sz w:val="28"/>
          <w:szCs w:val="28"/>
          <w:lang w:eastAsia="en-GB"/>
        </w:rPr>
      </w:pPr>
      <w:r w:rsidRPr="002579F1">
        <w:rPr>
          <w:rFonts w:ascii="Arial" w:eastAsia="Times New Roman" w:hAnsi="Arial" w:cs="Arial"/>
          <w:b/>
          <w:bCs/>
          <w:color w:val="000000"/>
          <w:kern w:val="0"/>
          <w:sz w:val="28"/>
          <w:szCs w:val="28"/>
          <w:lang w:eastAsia="en-GB"/>
        </w:rPr>
        <w:t>Task 7 – Understanding the NHS Leadership Framework</w:t>
      </w:r>
      <w:r w:rsidR="0040096B">
        <w:rPr>
          <w:rFonts w:ascii="Arial" w:eastAsia="Times New Roman" w:hAnsi="Arial" w:cs="Arial"/>
          <w:b/>
          <w:bCs/>
          <w:color w:val="000000"/>
          <w:kern w:val="0"/>
          <w:sz w:val="28"/>
          <w:szCs w:val="28"/>
          <w:lang w:eastAsia="en-GB"/>
        </w:rPr>
        <w:t>…….</w:t>
      </w:r>
      <w:r w:rsidR="000158EE">
        <w:rPr>
          <w:rFonts w:ascii="Arial" w:eastAsia="Times New Roman" w:hAnsi="Arial" w:cs="Arial"/>
          <w:b/>
          <w:bCs/>
          <w:color w:val="000000"/>
          <w:kern w:val="0"/>
          <w:sz w:val="28"/>
          <w:szCs w:val="28"/>
          <w:lang w:eastAsia="en-GB"/>
        </w:rPr>
        <w:t>8</w:t>
      </w:r>
    </w:p>
    <w:p w14:paraId="0977686F" w14:textId="209A89C4" w:rsidR="002351EA" w:rsidRPr="002579F1" w:rsidRDefault="002351EA" w:rsidP="002351EA">
      <w:pPr>
        <w:pStyle w:val="ListParagraph"/>
        <w:numPr>
          <w:ilvl w:val="0"/>
          <w:numId w:val="15"/>
        </w:numPr>
        <w:rPr>
          <w:rFonts w:ascii="Arial" w:eastAsia="Times New Roman" w:hAnsi="Arial" w:cs="Arial"/>
          <w:b/>
          <w:bCs/>
          <w:color w:val="000000"/>
          <w:kern w:val="0"/>
          <w:sz w:val="28"/>
          <w:szCs w:val="28"/>
          <w:lang w:eastAsia="en-GB"/>
        </w:rPr>
      </w:pPr>
      <w:r w:rsidRPr="002579F1">
        <w:rPr>
          <w:rFonts w:ascii="Arial" w:eastAsia="Times New Roman" w:hAnsi="Arial" w:cs="Arial"/>
          <w:b/>
          <w:bCs/>
          <w:color w:val="000000"/>
          <w:kern w:val="0"/>
          <w:sz w:val="28"/>
          <w:szCs w:val="28"/>
          <w:lang w:eastAsia="en-GB"/>
        </w:rPr>
        <w:t>Task 8 — Self-Reflection Journal Entry</w:t>
      </w:r>
      <w:r w:rsidR="0040096B">
        <w:rPr>
          <w:rFonts w:ascii="Arial" w:eastAsia="Times New Roman" w:hAnsi="Arial" w:cs="Arial"/>
          <w:b/>
          <w:bCs/>
          <w:color w:val="000000"/>
          <w:kern w:val="0"/>
          <w:sz w:val="28"/>
          <w:szCs w:val="28"/>
          <w:lang w:eastAsia="en-GB"/>
        </w:rPr>
        <w:t>……………</w:t>
      </w:r>
      <w:r w:rsidR="000158EE">
        <w:rPr>
          <w:rFonts w:ascii="Arial" w:eastAsia="Times New Roman" w:hAnsi="Arial" w:cs="Arial"/>
          <w:b/>
          <w:bCs/>
          <w:color w:val="000000"/>
          <w:kern w:val="0"/>
          <w:sz w:val="28"/>
          <w:szCs w:val="28"/>
          <w:lang w:eastAsia="en-GB"/>
        </w:rPr>
        <w:t>.</w:t>
      </w:r>
      <w:r w:rsidR="0040096B">
        <w:rPr>
          <w:rFonts w:ascii="Arial" w:eastAsia="Times New Roman" w:hAnsi="Arial" w:cs="Arial"/>
          <w:b/>
          <w:bCs/>
          <w:color w:val="000000"/>
          <w:kern w:val="0"/>
          <w:sz w:val="28"/>
          <w:szCs w:val="28"/>
          <w:lang w:eastAsia="en-GB"/>
        </w:rPr>
        <w:t>…………….</w:t>
      </w:r>
      <w:r w:rsidR="000158EE">
        <w:rPr>
          <w:rFonts w:ascii="Arial" w:eastAsia="Times New Roman" w:hAnsi="Arial" w:cs="Arial"/>
          <w:b/>
          <w:bCs/>
          <w:color w:val="000000"/>
          <w:kern w:val="0"/>
          <w:sz w:val="28"/>
          <w:szCs w:val="28"/>
          <w:lang w:eastAsia="en-GB"/>
        </w:rPr>
        <w:t>8</w:t>
      </w:r>
    </w:p>
    <w:p w14:paraId="583857F3" w14:textId="3A6A3162" w:rsidR="001A775A" w:rsidRPr="002579F1" w:rsidRDefault="002351EA" w:rsidP="001A775A">
      <w:pPr>
        <w:pStyle w:val="ListParagraph"/>
        <w:numPr>
          <w:ilvl w:val="0"/>
          <w:numId w:val="15"/>
        </w:numPr>
        <w:rPr>
          <w:rFonts w:ascii="Arial" w:eastAsia="Times New Roman" w:hAnsi="Arial" w:cs="Arial"/>
          <w:b/>
          <w:bCs/>
          <w:color w:val="000000"/>
          <w:kern w:val="0"/>
          <w:sz w:val="28"/>
          <w:szCs w:val="28"/>
          <w:lang w:eastAsia="en-GB"/>
        </w:rPr>
      </w:pPr>
      <w:r w:rsidRPr="002579F1">
        <w:rPr>
          <w:rFonts w:ascii="Arial" w:eastAsia="Times New Roman" w:hAnsi="Arial" w:cs="Arial"/>
          <w:b/>
          <w:bCs/>
          <w:color w:val="000000"/>
          <w:kern w:val="0"/>
          <w:sz w:val="28"/>
          <w:szCs w:val="28"/>
          <w:lang w:eastAsia="en-GB"/>
        </w:rPr>
        <w:t>Conclusion</w:t>
      </w:r>
      <w:r w:rsidR="0040096B">
        <w:rPr>
          <w:rFonts w:ascii="Arial" w:eastAsia="Times New Roman" w:hAnsi="Arial" w:cs="Arial"/>
          <w:b/>
          <w:bCs/>
          <w:color w:val="000000"/>
          <w:kern w:val="0"/>
          <w:sz w:val="28"/>
          <w:szCs w:val="28"/>
          <w:lang w:eastAsia="en-GB"/>
        </w:rPr>
        <w:t>…………………………………………………………….</w:t>
      </w:r>
      <w:r w:rsidR="000158EE">
        <w:rPr>
          <w:rFonts w:ascii="Arial" w:eastAsia="Times New Roman" w:hAnsi="Arial" w:cs="Arial"/>
          <w:b/>
          <w:bCs/>
          <w:color w:val="000000"/>
          <w:kern w:val="0"/>
          <w:sz w:val="28"/>
          <w:szCs w:val="28"/>
          <w:lang w:eastAsia="en-GB"/>
        </w:rPr>
        <w:t>9</w:t>
      </w:r>
    </w:p>
    <w:p w14:paraId="1403623C" w14:textId="2255A494" w:rsidR="001A775A" w:rsidRPr="001A775A" w:rsidRDefault="001A775A" w:rsidP="001A775A">
      <w:pPr>
        <w:pStyle w:val="ListParagraph"/>
        <w:numPr>
          <w:ilvl w:val="0"/>
          <w:numId w:val="15"/>
        </w:numPr>
        <w:rPr>
          <w:rFonts w:asciiTheme="minorBidi" w:hAnsiTheme="minorBidi"/>
          <w:b/>
          <w:bCs/>
          <w:sz w:val="28"/>
          <w:szCs w:val="28"/>
        </w:rPr>
      </w:pPr>
      <w:r w:rsidRPr="002579F1">
        <w:rPr>
          <w:rFonts w:ascii="Arial" w:eastAsia="Times New Roman" w:hAnsi="Arial" w:cs="Arial"/>
          <w:b/>
          <w:bCs/>
          <w:color w:val="000000"/>
          <w:kern w:val="0"/>
          <w:sz w:val="28"/>
          <w:szCs w:val="28"/>
          <w:lang w:eastAsia="en-GB"/>
        </w:rPr>
        <w:t>References</w:t>
      </w:r>
      <w:r w:rsidR="0040096B">
        <w:rPr>
          <w:rFonts w:asciiTheme="minorBidi" w:hAnsiTheme="minorBidi"/>
          <w:b/>
          <w:bCs/>
          <w:sz w:val="28"/>
          <w:szCs w:val="28"/>
        </w:rPr>
        <w:t>…………………………………………………………….9</w:t>
      </w:r>
    </w:p>
    <w:p w14:paraId="7D9415DC" w14:textId="77777777" w:rsidR="001A775A" w:rsidRDefault="001A775A" w:rsidP="001A775A">
      <w:pPr>
        <w:pStyle w:val="ListParagraph"/>
        <w:rPr>
          <w:rFonts w:asciiTheme="minorBidi" w:hAnsiTheme="minorBidi"/>
          <w:b/>
          <w:bCs/>
        </w:rPr>
      </w:pPr>
    </w:p>
    <w:p w14:paraId="076CC20B" w14:textId="0D80664F" w:rsidR="002351EA" w:rsidRDefault="002351EA" w:rsidP="001A775A">
      <w:pPr>
        <w:pStyle w:val="ListParagraph"/>
        <w:rPr>
          <w:rFonts w:ascii="Arial" w:hAnsi="Arial" w:cs="Arial"/>
          <w:b/>
          <w:bCs/>
          <w:color w:val="000000"/>
          <w:sz w:val="28"/>
          <w:szCs w:val="28"/>
        </w:rPr>
      </w:pPr>
    </w:p>
    <w:p w14:paraId="039BDD2B" w14:textId="77777777" w:rsidR="002579F1" w:rsidRDefault="002579F1" w:rsidP="001A775A">
      <w:pPr>
        <w:pStyle w:val="ListParagraph"/>
        <w:rPr>
          <w:rFonts w:ascii="Arial" w:hAnsi="Arial" w:cs="Arial"/>
          <w:b/>
          <w:bCs/>
          <w:color w:val="000000"/>
          <w:sz w:val="28"/>
          <w:szCs w:val="28"/>
        </w:rPr>
      </w:pPr>
    </w:p>
    <w:p w14:paraId="15FF6EE0" w14:textId="77777777" w:rsidR="002579F1" w:rsidRDefault="002579F1" w:rsidP="001A775A">
      <w:pPr>
        <w:pStyle w:val="ListParagraph"/>
        <w:rPr>
          <w:rFonts w:ascii="Arial" w:hAnsi="Arial" w:cs="Arial"/>
          <w:b/>
          <w:bCs/>
          <w:color w:val="000000"/>
          <w:sz w:val="28"/>
          <w:szCs w:val="28"/>
        </w:rPr>
      </w:pPr>
    </w:p>
    <w:p w14:paraId="6DAB746E" w14:textId="77777777" w:rsidR="0040096B" w:rsidRDefault="0040096B" w:rsidP="001A775A">
      <w:pPr>
        <w:pStyle w:val="ListParagraph"/>
        <w:rPr>
          <w:rFonts w:ascii="Arial" w:hAnsi="Arial" w:cs="Arial"/>
          <w:b/>
          <w:bCs/>
          <w:color w:val="000000"/>
          <w:sz w:val="28"/>
          <w:szCs w:val="28"/>
        </w:rPr>
      </w:pPr>
    </w:p>
    <w:p w14:paraId="11DD9826" w14:textId="77777777" w:rsidR="0040096B" w:rsidRDefault="0040096B" w:rsidP="001A775A">
      <w:pPr>
        <w:pStyle w:val="ListParagraph"/>
        <w:rPr>
          <w:rFonts w:ascii="Arial" w:hAnsi="Arial" w:cs="Arial"/>
          <w:b/>
          <w:bCs/>
          <w:color w:val="000000"/>
          <w:sz w:val="28"/>
          <w:szCs w:val="28"/>
        </w:rPr>
      </w:pPr>
    </w:p>
    <w:p w14:paraId="340CC3ED" w14:textId="77777777" w:rsidR="0040096B" w:rsidRDefault="0040096B" w:rsidP="001A775A">
      <w:pPr>
        <w:pStyle w:val="ListParagraph"/>
        <w:rPr>
          <w:rFonts w:ascii="Arial" w:hAnsi="Arial" w:cs="Arial"/>
          <w:b/>
          <w:bCs/>
          <w:color w:val="000000"/>
          <w:sz w:val="28"/>
          <w:szCs w:val="28"/>
        </w:rPr>
      </w:pPr>
    </w:p>
    <w:p w14:paraId="6C2B9F4B" w14:textId="77777777" w:rsidR="0040096B" w:rsidRDefault="0040096B" w:rsidP="001A775A">
      <w:pPr>
        <w:pStyle w:val="ListParagraph"/>
        <w:rPr>
          <w:rFonts w:ascii="Arial" w:hAnsi="Arial" w:cs="Arial"/>
          <w:b/>
          <w:bCs/>
          <w:color w:val="000000"/>
          <w:sz w:val="28"/>
          <w:szCs w:val="28"/>
        </w:rPr>
      </w:pPr>
    </w:p>
    <w:p w14:paraId="4EF09548" w14:textId="77777777" w:rsidR="0040096B" w:rsidRDefault="0040096B" w:rsidP="001A775A">
      <w:pPr>
        <w:pStyle w:val="ListParagraph"/>
        <w:rPr>
          <w:rFonts w:ascii="Arial" w:hAnsi="Arial" w:cs="Arial"/>
          <w:b/>
          <w:bCs/>
          <w:color w:val="000000"/>
          <w:sz w:val="28"/>
          <w:szCs w:val="28"/>
        </w:rPr>
      </w:pPr>
    </w:p>
    <w:p w14:paraId="3C6AB392" w14:textId="77777777" w:rsidR="0040096B" w:rsidRDefault="0040096B" w:rsidP="001A775A">
      <w:pPr>
        <w:pStyle w:val="ListParagraph"/>
        <w:rPr>
          <w:rFonts w:ascii="Arial" w:hAnsi="Arial" w:cs="Arial"/>
          <w:b/>
          <w:bCs/>
          <w:color w:val="000000"/>
          <w:sz w:val="28"/>
          <w:szCs w:val="28"/>
        </w:rPr>
      </w:pPr>
    </w:p>
    <w:p w14:paraId="6235DC52" w14:textId="77777777" w:rsidR="0040096B" w:rsidRDefault="0040096B" w:rsidP="001A775A">
      <w:pPr>
        <w:pStyle w:val="ListParagraph"/>
        <w:rPr>
          <w:rFonts w:ascii="Arial" w:hAnsi="Arial" w:cs="Arial"/>
          <w:b/>
          <w:bCs/>
          <w:color w:val="000000"/>
          <w:sz w:val="28"/>
          <w:szCs w:val="28"/>
        </w:rPr>
      </w:pPr>
    </w:p>
    <w:p w14:paraId="35AF3CD0" w14:textId="77777777" w:rsidR="0040096B" w:rsidRDefault="0040096B" w:rsidP="001A775A">
      <w:pPr>
        <w:pStyle w:val="ListParagraph"/>
        <w:rPr>
          <w:rFonts w:ascii="Arial" w:hAnsi="Arial" w:cs="Arial"/>
          <w:b/>
          <w:bCs/>
          <w:color w:val="000000"/>
          <w:sz w:val="28"/>
          <w:szCs w:val="28"/>
        </w:rPr>
      </w:pPr>
    </w:p>
    <w:p w14:paraId="49B21102" w14:textId="77777777" w:rsidR="0040096B" w:rsidRDefault="0040096B" w:rsidP="001A775A">
      <w:pPr>
        <w:pStyle w:val="ListParagraph"/>
        <w:rPr>
          <w:rFonts w:ascii="Arial" w:hAnsi="Arial" w:cs="Arial"/>
          <w:b/>
          <w:bCs/>
          <w:color w:val="000000"/>
          <w:sz w:val="28"/>
          <w:szCs w:val="28"/>
        </w:rPr>
      </w:pPr>
    </w:p>
    <w:p w14:paraId="64DE33DD" w14:textId="77777777" w:rsidR="0040096B" w:rsidRDefault="0040096B" w:rsidP="001A775A">
      <w:pPr>
        <w:pStyle w:val="ListParagraph"/>
        <w:rPr>
          <w:rFonts w:ascii="Arial" w:hAnsi="Arial" w:cs="Arial"/>
          <w:b/>
          <w:bCs/>
          <w:color w:val="000000"/>
          <w:sz w:val="28"/>
          <w:szCs w:val="28"/>
        </w:rPr>
      </w:pPr>
    </w:p>
    <w:p w14:paraId="1B18E4A0" w14:textId="77777777" w:rsidR="0040096B" w:rsidRDefault="0040096B" w:rsidP="001A775A">
      <w:pPr>
        <w:pStyle w:val="ListParagraph"/>
        <w:rPr>
          <w:rFonts w:ascii="Arial" w:hAnsi="Arial" w:cs="Arial"/>
          <w:b/>
          <w:bCs/>
          <w:color w:val="000000"/>
          <w:sz w:val="28"/>
          <w:szCs w:val="28"/>
        </w:rPr>
      </w:pPr>
    </w:p>
    <w:p w14:paraId="2C03C29E" w14:textId="77777777" w:rsidR="0040096B" w:rsidRDefault="0040096B" w:rsidP="001A775A">
      <w:pPr>
        <w:pStyle w:val="ListParagraph"/>
        <w:rPr>
          <w:rFonts w:ascii="Arial" w:hAnsi="Arial" w:cs="Arial"/>
          <w:b/>
          <w:bCs/>
          <w:color w:val="000000"/>
          <w:sz w:val="28"/>
          <w:szCs w:val="28"/>
        </w:rPr>
      </w:pPr>
    </w:p>
    <w:p w14:paraId="7681139B" w14:textId="77777777" w:rsidR="0040096B" w:rsidRDefault="0040096B" w:rsidP="001A775A">
      <w:pPr>
        <w:pStyle w:val="ListParagraph"/>
        <w:rPr>
          <w:rFonts w:ascii="Arial" w:hAnsi="Arial" w:cs="Arial"/>
          <w:b/>
          <w:bCs/>
          <w:color w:val="000000"/>
          <w:sz w:val="28"/>
          <w:szCs w:val="28"/>
        </w:rPr>
      </w:pPr>
    </w:p>
    <w:p w14:paraId="4CF04951" w14:textId="77777777" w:rsidR="003F093F" w:rsidRDefault="003F093F" w:rsidP="001A775A">
      <w:pPr>
        <w:pStyle w:val="ListParagraph"/>
        <w:rPr>
          <w:rFonts w:ascii="Arial" w:hAnsi="Arial" w:cs="Arial"/>
          <w:b/>
          <w:bCs/>
          <w:color w:val="000000"/>
          <w:sz w:val="28"/>
          <w:szCs w:val="28"/>
        </w:rPr>
      </w:pPr>
    </w:p>
    <w:p w14:paraId="6CCBCD72" w14:textId="77777777" w:rsidR="003F093F" w:rsidRDefault="003F093F" w:rsidP="001A775A">
      <w:pPr>
        <w:pStyle w:val="ListParagraph"/>
        <w:rPr>
          <w:rFonts w:ascii="Arial" w:hAnsi="Arial" w:cs="Arial"/>
          <w:b/>
          <w:bCs/>
          <w:color w:val="000000"/>
          <w:sz w:val="28"/>
          <w:szCs w:val="28"/>
        </w:rPr>
      </w:pPr>
    </w:p>
    <w:p w14:paraId="3CC48C3D" w14:textId="77777777" w:rsidR="003F093F" w:rsidRDefault="003F093F" w:rsidP="001A775A">
      <w:pPr>
        <w:pStyle w:val="ListParagraph"/>
        <w:rPr>
          <w:rFonts w:ascii="Arial" w:hAnsi="Arial" w:cs="Arial"/>
          <w:b/>
          <w:bCs/>
          <w:color w:val="000000"/>
          <w:sz w:val="28"/>
          <w:szCs w:val="28"/>
        </w:rPr>
      </w:pPr>
    </w:p>
    <w:p w14:paraId="7B076832" w14:textId="77777777" w:rsidR="003F093F" w:rsidRDefault="003F093F" w:rsidP="001A775A">
      <w:pPr>
        <w:pStyle w:val="ListParagraph"/>
        <w:rPr>
          <w:rFonts w:ascii="Arial" w:hAnsi="Arial" w:cs="Arial"/>
          <w:b/>
          <w:bCs/>
          <w:color w:val="000000"/>
          <w:sz w:val="28"/>
          <w:szCs w:val="28"/>
        </w:rPr>
      </w:pPr>
    </w:p>
    <w:p w14:paraId="592808A6" w14:textId="77777777" w:rsidR="0040096B" w:rsidRDefault="0040096B" w:rsidP="001A775A">
      <w:pPr>
        <w:pStyle w:val="ListParagraph"/>
        <w:rPr>
          <w:rFonts w:ascii="Arial" w:hAnsi="Arial" w:cs="Arial"/>
          <w:b/>
          <w:bCs/>
          <w:color w:val="000000"/>
          <w:sz w:val="28"/>
          <w:szCs w:val="28"/>
        </w:rPr>
      </w:pPr>
    </w:p>
    <w:p w14:paraId="48C2C1BB" w14:textId="77777777" w:rsidR="002579F1" w:rsidRPr="001A775A" w:rsidRDefault="002579F1" w:rsidP="001A775A">
      <w:pPr>
        <w:pStyle w:val="ListParagraph"/>
        <w:rPr>
          <w:rFonts w:asciiTheme="minorBidi" w:hAnsiTheme="minorBidi"/>
          <w:b/>
          <w:bCs/>
        </w:rPr>
      </w:pPr>
    </w:p>
    <w:p w14:paraId="6BB0CB9C" w14:textId="69DFF388" w:rsidR="001325C1" w:rsidRPr="001058F3" w:rsidRDefault="001325C1" w:rsidP="001325C1">
      <w:pPr>
        <w:rPr>
          <w:rFonts w:asciiTheme="minorBidi" w:hAnsiTheme="minorBidi"/>
          <w:b/>
          <w:bCs/>
          <w:sz w:val="28"/>
          <w:szCs w:val="28"/>
        </w:rPr>
      </w:pPr>
      <w:r w:rsidRPr="001058F3">
        <w:rPr>
          <w:rFonts w:asciiTheme="minorBidi" w:hAnsiTheme="minorBidi"/>
          <w:b/>
          <w:bCs/>
          <w:sz w:val="28"/>
          <w:szCs w:val="28"/>
        </w:rPr>
        <w:lastRenderedPageBreak/>
        <w:t xml:space="preserve">Health and Social </w:t>
      </w:r>
      <w:r w:rsidR="00637C8D">
        <w:rPr>
          <w:rFonts w:asciiTheme="minorBidi" w:hAnsiTheme="minorBidi"/>
          <w:b/>
          <w:bCs/>
          <w:sz w:val="28"/>
          <w:szCs w:val="28"/>
        </w:rPr>
        <w:t>Care</w:t>
      </w:r>
      <w:r w:rsidRPr="001058F3">
        <w:rPr>
          <w:rFonts w:asciiTheme="minorBidi" w:hAnsiTheme="minorBidi"/>
          <w:b/>
          <w:bCs/>
          <w:sz w:val="28"/>
          <w:szCs w:val="28"/>
        </w:rPr>
        <w:t xml:space="preserve"> – innovation, </w:t>
      </w:r>
      <w:r w:rsidR="00637C8D" w:rsidRPr="001058F3">
        <w:rPr>
          <w:rFonts w:asciiTheme="minorBidi" w:hAnsiTheme="minorBidi"/>
          <w:b/>
          <w:bCs/>
          <w:sz w:val="28"/>
          <w:szCs w:val="28"/>
        </w:rPr>
        <w:t>creativity,</w:t>
      </w:r>
      <w:r w:rsidRPr="001058F3">
        <w:rPr>
          <w:rFonts w:asciiTheme="minorBidi" w:hAnsiTheme="minorBidi"/>
          <w:b/>
          <w:bCs/>
          <w:sz w:val="28"/>
          <w:szCs w:val="28"/>
        </w:rPr>
        <w:t xml:space="preserve"> and value </w:t>
      </w:r>
      <w:r w:rsidR="00637C8D" w:rsidRPr="001058F3">
        <w:rPr>
          <w:rFonts w:asciiTheme="minorBidi" w:hAnsiTheme="minorBidi"/>
          <w:b/>
          <w:bCs/>
          <w:sz w:val="28"/>
          <w:szCs w:val="28"/>
        </w:rPr>
        <w:t>creation.</w:t>
      </w:r>
    </w:p>
    <w:p w14:paraId="788015C1" w14:textId="77777777" w:rsidR="001325C1" w:rsidRPr="001058F3" w:rsidRDefault="001325C1" w:rsidP="001325C1">
      <w:pPr>
        <w:rPr>
          <w:rFonts w:asciiTheme="minorBidi" w:hAnsiTheme="minorBidi"/>
          <w:b/>
          <w:bCs/>
          <w:sz w:val="28"/>
          <w:szCs w:val="28"/>
        </w:rPr>
      </w:pPr>
      <w:r w:rsidRPr="001058F3">
        <w:rPr>
          <w:rFonts w:asciiTheme="minorBidi" w:hAnsiTheme="minorBidi"/>
          <w:b/>
          <w:bCs/>
          <w:sz w:val="28"/>
          <w:szCs w:val="28"/>
        </w:rPr>
        <w:t>Portfolio of Set Exercises</w:t>
      </w:r>
    </w:p>
    <w:p w14:paraId="64CF9781" w14:textId="77777777" w:rsidR="001325C1" w:rsidRPr="001058F3" w:rsidRDefault="001325C1" w:rsidP="001325C1">
      <w:pPr>
        <w:rPr>
          <w:rFonts w:asciiTheme="minorBidi" w:hAnsiTheme="minorBidi"/>
          <w:b/>
          <w:bCs/>
        </w:rPr>
      </w:pPr>
      <w:r w:rsidRPr="001058F3">
        <w:rPr>
          <w:rFonts w:asciiTheme="minorBidi" w:hAnsiTheme="minorBidi"/>
          <w:b/>
          <w:bCs/>
        </w:rPr>
        <w:t>Introduction</w:t>
      </w:r>
    </w:p>
    <w:p w14:paraId="52B002DE" w14:textId="43AB3A8A" w:rsidR="002D71C8" w:rsidRPr="002D71C8" w:rsidRDefault="002D71C8" w:rsidP="002D71C8">
      <w:pPr>
        <w:rPr>
          <w:rFonts w:asciiTheme="minorBidi" w:hAnsiTheme="minorBidi"/>
        </w:rPr>
      </w:pPr>
      <w:r w:rsidRPr="002D71C8">
        <w:rPr>
          <w:rFonts w:asciiTheme="minorBidi" w:hAnsiTheme="minorBidi"/>
        </w:rPr>
        <w:t xml:space="preserve">Scarce resources and </w:t>
      </w:r>
      <w:r w:rsidR="00357688">
        <w:rPr>
          <w:rFonts w:asciiTheme="minorBidi" w:hAnsiTheme="minorBidi"/>
        </w:rPr>
        <w:t xml:space="preserve">workforce pressures </w:t>
      </w:r>
      <w:r w:rsidRPr="002D71C8">
        <w:rPr>
          <w:rFonts w:asciiTheme="minorBidi" w:hAnsiTheme="minorBidi"/>
        </w:rPr>
        <w:t xml:space="preserve">challenge health and social care systems to find solutions to complex problems. NHS and social care organisations in the UK must </w:t>
      </w:r>
      <w:r w:rsidR="00357688">
        <w:rPr>
          <w:rFonts w:asciiTheme="minorBidi" w:hAnsiTheme="minorBidi"/>
        </w:rPr>
        <w:t>continually adjust their approach to maintain the quality of care amid financial and operational constraints</w:t>
      </w:r>
      <w:r w:rsidRPr="002D71C8">
        <w:rPr>
          <w:rFonts w:asciiTheme="minorBidi" w:hAnsiTheme="minorBidi"/>
        </w:rPr>
        <w:t xml:space="preserve">. Innovation, creativity, value creation, and transformation are the pivotal corners in creating a platform of a working human service. But innovation adds </w:t>
      </w:r>
      <w:r w:rsidR="001605BE">
        <w:rPr>
          <w:rFonts w:asciiTheme="minorBidi" w:hAnsiTheme="minorBidi"/>
        </w:rPr>
        <w:t>ideas and technologies to deliver better services and offers; creativity generates solutions that bring different perspectives to existing offerings; while value creation evaluates which process changes will yield significant benefits</w:t>
      </w:r>
      <w:r w:rsidRPr="002D71C8">
        <w:rPr>
          <w:rFonts w:asciiTheme="minorBidi" w:hAnsiTheme="minorBidi"/>
        </w:rPr>
        <w:t xml:space="preserve"> for patients. Having a grasp of these ideas helps patients live longer, kinder lives, </w:t>
      </w:r>
      <w:r w:rsidR="004C1296">
        <w:rPr>
          <w:rFonts w:asciiTheme="minorBidi" w:hAnsiTheme="minorBidi"/>
        </w:rPr>
        <w:t xml:space="preserve">with </w:t>
      </w:r>
      <w:r w:rsidRPr="002D71C8">
        <w:rPr>
          <w:rFonts w:asciiTheme="minorBidi" w:hAnsiTheme="minorBidi"/>
        </w:rPr>
        <w:t>efficient service</w:t>
      </w:r>
      <w:r>
        <w:rPr>
          <w:rFonts w:asciiTheme="minorBidi" w:hAnsiTheme="minorBidi"/>
        </w:rPr>
        <w:t>,</w:t>
      </w:r>
      <w:r w:rsidRPr="002D71C8">
        <w:rPr>
          <w:rFonts w:asciiTheme="minorBidi" w:hAnsiTheme="minorBidi"/>
        </w:rPr>
        <w:t xml:space="preserve"> great </w:t>
      </w:r>
      <w:r w:rsidR="004C1296" w:rsidRPr="002D71C8">
        <w:rPr>
          <w:rFonts w:asciiTheme="minorBidi" w:hAnsiTheme="minorBidi"/>
        </w:rPr>
        <w:t>delivery,</w:t>
      </w:r>
      <w:r w:rsidRPr="002D71C8">
        <w:rPr>
          <w:rFonts w:asciiTheme="minorBidi" w:hAnsiTheme="minorBidi"/>
        </w:rPr>
        <w:t xml:space="preserve"> and </w:t>
      </w:r>
      <w:r>
        <w:rPr>
          <w:rFonts w:asciiTheme="minorBidi" w:hAnsiTheme="minorBidi"/>
        </w:rPr>
        <w:t xml:space="preserve">an </w:t>
      </w:r>
      <w:r w:rsidRPr="002D71C8">
        <w:rPr>
          <w:rFonts w:asciiTheme="minorBidi" w:hAnsiTheme="minorBidi"/>
        </w:rPr>
        <w:t xml:space="preserve">optimum health system. This portfolio uses </w:t>
      </w:r>
      <w:r w:rsidR="001605BE">
        <w:rPr>
          <w:rFonts w:asciiTheme="minorBidi" w:hAnsiTheme="minorBidi"/>
        </w:rPr>
        <w:t xml:space="preserve">theoretical discussions, real-world examples, and reflective learning activities to critically explore the concepts of creative thinking, with an emphasis on its use in health and social care practice, including identifying problems, creating solutions, and implementing </w:t>
      </w:r>
      <w:r w:rsidRPr="002D71C8">
        <w:rPr>
          <w:rFonts w:asciiTheme="minorBidi" w:hAnsiTheme="minorBidi"/>
        </w:rPr>
        <w:t>change.</w:t>
      </w:r>
    </w:p>
    <w:p w14:paraId="6300FF36" w14:textId="3BCEC53A" w:rsidR="001325C1" w:rsidRPr="001058F3" w:rsidRDefault="001325C1" w:rsidP="001325C1">
      <w:pPr>
        <w:rPr>
          <w:rFonts w:asciiTheme="minorBidi" w:hAnsiTheme="minorBidi"/>
          <w:b/>
          <w:bCs/>
          <w:sz w:val="28"/>
          <w:szCs w:val="28"/>
        </w:rPr>
      </w:pPr>
      <w:r w:rsidRPr="001058F3">
        <w:rPr>
          <w:rFonts w:asciiTheme="minorBidi" w:hAnsiTheme="minorBidi"/>
          <w:b/>
          <w:bCs/>
          <w:sz w:val="28"/>
          <w:szCs w:val="28"/>
        </w:rPr>
        <w:t xml:space="preserve">Task 1 – </w:t>
      </w:r>
      <w:r w:rsidR="002579F1">
        <w:rPr>
          <w:rFonts w:asciiTheme="minorBidi" w:hAnsiTheme="minorBidi"/>
          <w:b/>
          <w:bCs/>
          <w:sz w:val="28"/>
          <w:szCs w:val="28"/>
        </w:rPr>
        <w:t>Defining Key Concept in Practice</w:t>
      </w:r>
    </w:p>
    <w:p w14:paraId="384BA7A3" w14:textId="77777777" w:rsidR="001325C1" w:rsidRPr="001058F3" w:rsidRDefault="001325C1" w:rsidP="001325C1">
      <w:pPr>
        <w:rPr>
          <w:rFonts w:asciiTheme="minorBidi" w:hAnsiTheme="minorBidi"/>
          <w:b/>
          <w:bCs/>
        </w:rPr>
      </w:pPr>
      <w:r w:rsidRPr="001058F3">
        <w:rPr>
          <w:rFonts w:asciiTheme="minorBidi" w:hAnsiTheme="minorBidi"/>
          <w:b/>
          <w:bCs/>
        </w:rPr>
        <w:t>Innovation</w:t>
      </w:r>
    </w:p>
    <w:p w14:paraId="496AFD11" w14:textId="2DA5F2F7" w:rsidR="001325C1" w:rsidRPr="001058F3" w:rsidRDefault="001325C1" w:rsidP="001325C1">
      <w:pPr>
        <w:rPr>
          <w:rFonts w:asciiTheme="minorBidi" w:hAnsiTheme="minorBidi"/>
        </w:rPr>
      </w:pPr>
      <w:r w:rsidRPr="001058F3">
        <w:rPr>
          <w:rFonts w:asciiTheme="minorBidi" w:hAnsiTheme="minorBidi"/>
        </w:rPr>
        <w:t xml:space="preserve">Innovation is the introduction of </w:t>
      </w:r>
      <w:r w:rsidR="004C1296" w:rsidRPr="001058F3">
        <w:rPr>
          <w:rFonts w:asciiTheme="minorBidi" w:hAnsiTheme="minorBidi"/>
        </w:rPr>
        <w:t>innovative ideas</w:t>
      </w:r>
      <w:r w:rsidRPr="001058F3">
        <w:rPr>
          <w:rFonts w:asciiTheme="minorBidi" w:hAnsiTheme="minorBidi"/>
        </w:rPr>
        <w:t xml:space="preserve">, </w:t>
      </w:r>
      <w:r w:rsidR="004C1296" w:rsidRPr="001058F3">
        <w:rPr>
          <w:rFonts w:asciiTheme="minorBidi" w:hAnsiTheme="minorBidi"/>
        </w:rPr>
        <w:t>technologies,</w:t>
      </w:r>
      <w:r w:rsidRPr="001058F3">
        <w:rPr>
          <w:rFonts w:asciiTheme="minorBidi" w:hAnsiTheme="minorBidi"/>
        </w:rPr>
        <w:t xml:space="preserve"> or practices (Gonzalo et al.</w:t>
      </w:r>
      <w:r w:rsidR="002D71C8">
        <w:rPr>
          <w:rFonts w:asciiTheme="minorBidi" w:hAnsiTheme="minorBidi"/>
        </w:rPr>
        <w:t>,2019</w:t>
      </w:r>
      <w:r w:rsidRPr="001058F3">
        <w:rPr>
          <w:rFonts w:asciiTheme="minorBidi" w:hAnsiTheme="minorBidi"/>
        </w:rPr>
        <w:t xml:space="preserve">). Innovation is particularly important in health and social care since organisations need to constantly respond to changing patient needs, technological </w:t>
      </w:r>
      <w:r w:rsidR="004C1296" w:rsidRPr="001058F3">
        <w:rPr>
          <w:rFonts w:asciiTheme="minorBidi" w:hAnsiTheme="minorBidi"/>
        </w:rPr>
        <w:t>advances,</w:t>
      </w:r>
      <w:r w:rsidRPr="001058F3">
        <w:rPr>
          <w:rFonts w:asciiTheme="minorBidi" w:hAnsiTheme="minorBidi"/>
        </w:rPr>
        <w:t xml:space="preserve"> and resource constraints (Tidd and Bessant, 2021).</w:t>
      </w:r>
    </w:p>
    <w:p w14:paraId="287B61C0" w14:textId="10FC3B6C" w:rsidR="001325C1" w:rsidRPr="001058F3" w:rsidRDefault="001325C1" w:rsidP="001325C1">
      <w:pPr>
        <w:rPr>
          <w:rFonts w:asciiTheme="minorBidi" w:hAnsiTheme="minorBidi"/>
        </w:rPr>
      </w:pPr>
      <w:r w:rsidRPr="001058F3">
        <w:rPr>
          <w:rFonts w:asciiTheme="minorBidi" w:hAnsiTheme="minorBidi"/>
        </w:rPr>
        <w:t>Rogers’ Diffusion of Innovation Theory is one theoretical account of innovation adoption, where innovations spread slowly throughout organisations as individuals identify their usability and compatibility with current practices (Rogers, 2003). Based on this theory, the success of innovation very much depends on how readily staff understand and implement it.</w:t>
      </w:r>
    </w:p>
    <w:p w14:paraId="2061BDCC" w14:textId="20A5DA6C" w:rsidR="001325C1" w:rsidRPr="001058F3" w:rsidRDefault="001325C1" w:rsidP="001325C1">
      <w:pPr>
        <w:rPr>
          <w:rFonts w:asciiTheme="minorBidi" w:hAnsiTheme="minorBidi"/>
        </w:rPr>
      </w:pPr>
      <w:r w:rsidRPr="001058F3">
        <w:rPr>
          <w:rFonts w:asciiTheme="minorBidi" w:hAnsiTheme="minorBidi"/>
        </w:rPr>
        <w:t xml:space="preserve">Innovation is a key factor in the enhancement of healthcare delivery. An example of this is the introduction of virtual wards by the NHS, where patients receive hospital-level care from home using remote monitoring and digital consultations. Such innovation also enables patient care in an environment they are comfortable with (II), which helps relieve pressure </w:t>
      </w:r>
      <w:r w:rsidR="00D20BFC">
        <w:rPr>
          <w:rFonts w:asciiTheme="minorBidi" w:hAnsiTheme="minorBidi"/>
        </w:rPr>
        <w:t>on</w:t>
      </w:r>
      <w:r w:rsidRPr="001058F3">
        <w:rPr>
          <w:rFonts w:asciiTheme="minorBidi" w:hAnsiTheme="minorBidi"/>
        </w:rPr>
        <w:t xml:space="preserve"> the hospital resources.</w:t>
      </w:r>
    </w:p>
    <w:p w14:paraId="60BAF3AE" w14:textId="77777777" w:rsidR="001325C1" w:rsidRPr="001058F3" w:rsidRDefault="001325C1" w:rsidP="001325C1">
      <w:pPr>
        <w:rPr>
          <w:rFonts w:asciiTheme="minorBidi" w:hAnsiTheme="minorBidi"/>
          <w:b/>
          <w:bCs/>
        </w:rPr>
      </w:pPr>
      <w:r w:rsidRPr="001058F3">
        <w:rPr>
          <w:rFonts w:asciiTheme="minorBidi" w:hAnsiTheme="minorBidi"/>
          <w:b/>
          <w:bCs/>
        </w:rPr>
        <w:t>Creativity</w:t>
      </w:r>
    </w:p>
    <w:p w14:paraId="7F23395E" w14:textId="5A037D73" w:rsidR="001325C1" w:rsidRPr="001058F3" w:rsidRDefault="001325C1" w:rsidP="001325C1">
      <w:pPr>
        <w:rPr>
          <w:rFonts w:asciiTheme="minorBidi" w:hAnsiTheme="minorBidi"/>
        </w:rPr>
      </w:pPr>
      <w:r w:rsidRPr="001058F3">
        <w:rPr>
          <w:rFonts w:asciiTheme="minorBidi" w:hAnsiTheme="minorBidi"/>
        </w:rPr>
        <w:t xml:space="preserve">Creativity: The ability to create novel and useful ideas that solve problems or improve processes. Creativity is of real importance in health and social care settings, where practitioners are often faced with </w:t>
      </w:r>
      <w:r w:rsidR="004C1296" w:rsidRPr="001058F3">
        <w:rPr>
          <w:rFonts w:asciiTheme="minorBidi" w:hAnsiTheme="minorBidi"/>
        </w:rPr>
        <w:t>complex</w:t>
      </w:r>
      <w:r w:rsidRPr="001058F3">
        <w:rPr>
          <w:rFonts w:asciiTheme="minorBidi" w:hAnsiTheme="minorBidi"/>
        </w:rPr>
        <w:t xml:space="preserve"> scenarios that require a flexible approach</w:t>
      </w:r>
      <w:r w:rsidR="00746282">
        <w:rPr>
          <w:rFonts w:asciiTheme="minorBidi" w:hAnsiTheme="minorBidi"/>
        </w:rPr>
        <w:t xml:space="preserve">. </w:t>
      </w:r>
      <w:r w:rsidR="00746282" w:rsidRPr="001058F3">
        <w:rPr>
          <w:rFonts w:asciiTheme="minorBidi" w:hAnsiTheme="minorBidi"/>
        </w:rPr>
        <w:t>(Cropley, 2006)</w:t>
      </w:r>
    </w:p>
    <w:p w14:paraId="055CBF37" w14:textId="441DBEC0" w:rsidR="001325C1" w:rsidRPr="001058F3" w:rsidRDefault="001325C1" w:rsidP="001325C1">
      <w:pPr>
        <w:rPr>
          <w:rFonts w:asciiTheme="minorBidi" w:hAnsiTheme="minorBidi"/>
        </w:rPr>
      </w:pPr>
      <w:r w:rsidRPr="001058F3">
        <w:rPr>
          <w:rFonts w:asciiTheme="minorBidi" w:hAnsiTheme="minorBidi"/>
        </w:rPr>
        <w:lastRenderedPageBreak/>
        <w:t xml:space="preserve">According to Amabile’s Componential Theory of Creativity, creativity happens when people integrate domain knowledge, creative thinking </w:t>
      </w:r>
      <w:r w:rsidR="004C1296" w:rsidRPr="001058F3">
        <w:rPr>
          <w:rFonts w:asciiTheme="minorBidi" w:hAnsiTheme="minorBidi"/>
        </w:rPr>
        <w:t>skills,</w:t>
      </w:r>
      <w:r w:rsidRPr="001058F3">
        <w:rPr>
          <w:rFonts w:asciiTheme="minorBidi" w:hAnsiTheme="minorBidi"/>
        </w:rPr>
        <w:t xml:space="preserve"> and intrinsic motivation (Amabile, 1996). This theory emphasises the need for supportive organisational environments that nurture staff to exchange ideas and test </w:t>
      </w:r>
      <w:r w:rsidR="004C1296" w:rsidRPr="001058F3">
        <w:rPr>
          <w:rFonts w:asciiTheme="minorBidi" w:hAnsiTheme="minorBidi"/>
        </w:rPr>
        <w:t>innovative approaches</w:t>
      </w:r>
      <w:r w:rsidRPr="001058F3">
        <w:rPr>
          <w:rFonts w:asciiTheme="minorBidi" w:hAnsiTheme="minorBidi"/>
        </w:rPr>
        <w:t>.</w:t>
      </w:r>
    </w:p>
    <w:p w14:paraId="52206264" w14:textId="321ACD6E" w:rsidR="001325C1" w:rsidRPr="001058F3" w:rsidRDefault="001325C1" w:rsidP="001325C1">
      <w:pPr>
        <w:rPr>
          <w:rFonts w:asciiTheme="minorBidi" w:hAnsiTheme="minorBidi"/>
        </w:rPr>
      </w:pPr>
      <w:r w:rsidRPr="001058F3">
        <w:rPr>
          <w:rFonts w:asciiTheme="minorBidi" w:hAnsiTheme="minorBidi"/>
        </w:rPr>
        <w:t>One example of creative practice in healthcare is through cross-disciplinary team meetings, which bring people from various fields together to create tailor-made care plans for their patients. Teams generate creative solutions, improving patient outcomes through the integration of different perspectives and expertise.</w:t>
      </w:r>
    </w:p>
    <w:p w14:paraId="3F6B861F" w14:textId="77777777" w:rsidR="001325C1" w:rsidRPr="001058F3" w:rsidRDefault="001325C1" w:rsidP="001325C1">
      <w:pPr>
        <w:rPr>
          <w:rFonts w:asciiTheme="minorBidi" w:hAnsiTheme="minorBidi"/>
          <w:b/>
          <w:bCs/>
        </w:rPr>
      </w:pPr>
      <w:r w:rsidRPr="001058F3">
        <w:rPr>
          <w:rFonts w:asciiTheme="minorBidi" w:hAnsiTheme="minorBidi"/>
          <w:b/>
          <w:bCs/>
        </w:rPr>
        <w:t>Value Creation</w:t>
      </w:r>
    </w:p>
    <w:p w14:paraId="1B052D67" w14:textId="77777777" w:rsidR="001325C1" w:rsidRPr="001058F3" w:rsidRDefault="001325C1" w:rsidP="001325C1">
      <w:pPr>
        <w:rPr>
          <w:rFonts w:asciiTheme="minorBidi" w:hAnsiTheme="minorBidi"/>
        </w:rPr>
      </w:pPr>
      <w:r w:rsidRPr="001058F3">
        <w:rPr>
          <w:rFonts w:asciiTheme="minorBidi" w:hAnsiTheme="minorBidi"/>
        </w:rPr>
        <w:t>Value creation means achieving better patient outcomes per unit of resource used. In healthcare systems like the NHS, value is generated when services achieve improved health outcomes compared to the cost of delivering care (Porter, 2010).</w:t>
      </w:r>
    </w:p>
    <w:p w14:paraId="40B0CFDA" w14:textId="5264D951" w:rsidR="001325C1" w:rsidRPr="001058F3" w:rsidRDefault="000442DD" w:rsidP="001325C1">
      <w:pPr>
        <w:rPr>
          <w:rFonts w:asciiTheme="minorBidi" w:hAnsiTheme="minorBidi"/>
        </w:rPr>
      </w:pPr>
      <w:r>
        <w:rPr>
          <w:rFonts w:asciiTheme="minorBidi" w:hAnsiTheme="minorBidi"/>
        </w:rPr>
        <w:t>Michael</w:t>
      </w:r>
      <w:r w:rsidR="001325C1" w:rsidRPr="001058F3">
        <w:rPr>
          <w:rFonts w:asciiTheme="minorBidi" w:hAnsiTheme="minorBidi"/>
        </w:rPr>
        <w:t xml:space="preserve"> Porter</w:t>
      </w:r>
      <w:r>
        <w:rPr>
          <w:rFonts w:asciiTheme="minorBidi" w:hAnsiTheme="minorBidi"/>
        </w:rPr>
        <w:t xml:space="preserve"> (2010)</w:t>
      </w:r>
      <w:r w:rsidR="001325C1" w:rsidRPr="001058F3">
        <w:rPr>
          <w:rFonts w:asciiTheme="minorBidi" w:hAnsiTheme="minorBidi"/>
        </w:rPr>
        <w:t xml:space="preserve"> would argue that the Value-Based Healthcare Model has led to better measurement of patient outcomes and ensured healthcare systems are focusing on delivering meaningful improvements in patient wellbeing.</w:t>
      </w:r>
    </w:p>
    <w:p w14:paraId="5A22ADEB" w14:textId="77777777" w:rsidR="001325C1" w:rsidRPr="001058F3" w:rsidRDefault="001325C1" w:rsidP="001325C1">
      <w:pPr>
        <w:rPr>
          <w:rFonts w:asciiTheme="minorBidi" w:hAnsiTheme="minorBidi"/>
          <w:b/>
          <w:bCs/>
        </w:rPr>
      </w:pPr>
      <w:r w:rsidRPr="001058F3">
        <w:rPr>
          <w:rFonts w:asciiTheme="minorBidi" w:hAnsiTheme="minorBidi"/>
          <w:b/>
          <w:bCs/>
        </w:rPr>
        <w:t>Change</w:t>
      </w:r>
    </w:p>
    <w:p w14:paraId="7F76F466" w14:textId="45B0F7A1" w:rsidR="001325C1" w:rsidRPr="001058F3" w:rsidRDefault="001325C1" w:rsidP="001325C1">
      <w:pPr>
        <w:rPr>
          <w:rFonts w:asciiTheme="minorBidi" w:hAnsiTheme="minorBidi"/>
        </w:rPr>
      </w:pPr>
      <w:r w:rsidRPr="001058F3">
        <w:rPr>
          <w:rFonts w:asciiTheme="minorBidi" w:hAnsiTheme="minorBidi"/>
        </w:rPr>
        <w:t xml:space="preserve">Change is the process </w:t>
      </w:r>
      <w:r w:rsidR="00EC76B6">
        <w:rPr>
          <w:rFonts w:asciiTheme="minorBidi" w:hAnsiTheme="minorBidi"/>
        </w:rPr>
        <w:t>by which</w:t>
      </w:r>
      <w:r w:rsidRPr="001058F3">
        <w:rPr>
          <w:rFonts w:asciiTheme="minorBidi" w:hAnsiTheme="minorBidi"/>
        </w:rPr>
        <w:t xml:space="preserve"> organisations move away from their current practice</w:t>
      </w:r>
      <w:r w:rsidR="00EC76B6">
        <w:rPr>
          <w:rFonts w:asciiTheme="minorBidi" w:hAnsiTheme="minorBidi"/>
        </w:rPr>
        <w:t xml:space="preserve"> </w:t>
      </w:r>
      <w:r w:rsidRPr="001058F3">
        <w:rPr>
          <w:rFonts w:asciiTheme="minorBidi" w:hAnsiTheme="minorBidi"/>
        </w:rPr>
        <w:t xml:space="preserve">to new ways of doing things to improve organisational performance or service delivery. Because innovative practices in healthcare need to be implemented well </w:t>
      </w:r>
      <w:r w:rsidR="00637C8D" w:rsidRPr="001058F3">
        <w:rPr>
          <w:rFonts w:asciiTheme="minorBidi" w:hAnsiTheme="minorBidi"/>
        </w:rPr>
        <w:t>to</w:t>
      </w:r>
      <w:r w:rsidRPr="001058F3">
        <w:rPr>
          <w:rFonts w:asciiTheme="minorBidi" w:hAnsiTheme="minorBidi"/>
        </w:rPr>
        <w:t xml:space="preserve"> harvest results, change is especially important.</w:t>
      </w:r>
    </w:p>
    <w:p w14:paraId="118AD9B4" w14:textId="6D9B4104" w:rsidR="001325C1" w:rsidRPr="001058F3" w:rsidRDefault="001325C1" w:rsidP="001325C1">
      <w:pPr>
        <w:rPr>
          <w:rFonts w:asciiTheme="minorBidi" w:hAnsiTheme="minorBidi"/>
        </w:rPr>
      </w:pPr>
      <w:r w:rsidRPr="001058F3">
        <w:rPr>
          <w:rFonts w:asciiTheme="minorBidi" w:hAnsiTheme="minorBidi"/>
        </w:rPr>
        <w:t>Lewin’s Change Management Model describes change as a three-stage process in which existing practices are ‘unfrozen</w:t>
      </w:r>
      <w:r w:rsidR="00D20BFC" w:rsidRPr="001058F3">
        <w:rPr>
          <w:rFonts w:asciiTheme="minorBidi" w:hAnsiTheme="minorBidi"/>
        </w:rPr>
        <w:t>,’</w:t>
      </w:r>
      <w:r w:rsidRPr="001058F3">
        <w:rPr>
          <w:rFonts w:asciiTheme="minorBidi" w:hAnsiTheme="minorBidi"/>
        </w:rPr>
        <w:t xml:space="preserve"> new behaviours are implemented, and these changes are then re-frozen to ensure they become embedded in the organisation (Burnes, 2017).</w:t>
      </w:r>
    </w:p>
    <w:p w14:paraId="2662C799" w14:textId="16DB790A" w:rsidR="003501ED" w:rsidRPr="001058F3" w:rsidRDefault="003501ED" w:rsidP="003501ED">
      <w:pPr>
        <w:jc w:val="center"/>
        <w:rPr>
          <w:rFonts w:asciiTheme="minorBidi" w:hAnsiTheme="minorBidi"/>
        </w:rPr>
      </w:pPr>
      <w:r>
        <w:rPr>
          <w:noProof/>
        </w:rPr>
        <w:drawing>
          <wp:inline distT="0" distB="0" distL="0" distR="0" wp14:anchorId="05339474" wp14:editId="1BCFFB4A">
            <wp:extent cx="3025238" cy="4116705"/>
            <wp:effectExtent l="6667" t="0" r="0" b="0"/>
            <wp:docPr id="361485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3069148" cy="4176458"/>
                    </a:xfrm>
                    <a:prstGeom prst="rect">
                      <a:avLst/>
                    </a:prstGeom>
                    <a:noFill/>
                    <a:ln>
                      <a:noFill/>
                    </a:ln>
                  </pic:spPr>
                </pic:pic>
              </a:graphicData>
            </a:graphic>
          </wp:inline>
        </w:drawing>
      </w:r>
    </w:p>
    <w:p w14:paraId="0D8C59FA" w14:textId="77777777" w:rsidR="001325C1" w:rsidRPr="001058F3" w:rsidRDefault="001325C1" w:rsidP="001325C1">
      <w:pPr>
        <w:rPr>
          <w:rFonts w:asciiTheme="minorBidi" w:hAnsiTheme="minorBidi"/>
          <w:b/>
          <w:bCs/>
          <w:sz w:val="28"/>
          <w:szCs w:val="28"/>
        </w:rPr>
      </w:pPr>
      <w:r w:rsidRPr="001058F3">
        <w:rPr>
          <w:rFonts w:asciiTheme="minorBidi" w:hAnsiTheme="minorBidi"/>
          <w:b/>
          <w:bCs/>
          <w:sz w:val="28"/>
          <w:szCs w:val="28"/>
        </w:rPr>
        <w:lastRenderedPageBreak/>
        <w:t>Task 2 – Mind Map</w:t>
      </w:r>
    </w:p>
    <w:p w14:paraId="5C647CBF" w14:textId="77777777" w:rsidR="001325C1" w:rsidRPr="001058F3" w:rsidRDefault="001325C1" w:rsidP="001325C1">
      <w:pPr>
        <w:rPr>
          <w:rFonts w:asciiTheme="minorBidi" w:hAnsiTheme="minorBidi"/>
        </w:rPr>
      </w:pPr>
      <w:r w:rsidRPr="001058F3">
        <w:rPr>
          <w:rFonts w:asciiTheme="minorBidi" w:hAnsiTheme="minorBidi"/>
        </w:rPr>
        <w:t>Aim: The Health and Social Care Staff Burnout</w:t>
      </w:r>
    </w:p>
    <w:p w14:paraId="16129CAE" w14:textId="3F451FE2" w:rsidR="001325C1" w:rsidRPr="001058F3" w:rsidRDefault="001325C1" w:rsidP="001325C1">
      <w:pPr>
        <w:rPr>
          <w:rFonts w:asciiTheme="minorBidi" w:hAnsiTheme="minorBidi"/>
        </w:rPr>
      </w:pPr>
      <w:r w:rsidRPr="001058F3">
        <w:rPr>
          <w:rFonts w:asciiTheme="minorBidi" w:hAnsiTheme="minorBidi"/>
        </w:rPr>
        <w:t xml:space="preserve">Staff burnout is a significant problem in health and social care systems. Heavy workloads, emotional </w:t>
      </w:r>
      <w:r w:rsidR="00D20BFC" w:rsidRPr="001058F3">
        <w:rPr>
          <w:rFonts w:asciiTheme="minorBidi" w:hAnsiTheme="minorBidi"/>
        </w:rPr>
        <w:t>stress,</w:t>
      </w:r>
      <w:r w:rsidRPr="001058F3">
        <w:rPr>
          <w:rFonts w:asciiTheme="minorBidi" w:hAnsiTheme="minorBidi"/>
        </w:rPr>
        <w:t xml:space="preserve"> and staff shortages lead to fatigue and higher levels of reduced well-being in healthcare workers. If not addressed, burnout has a </w:t>
      </w:r>
      <w:r w:rsidR="00746282">
        <w:rPr>
          <w:rFonts w:asciiTheme="minorBidi" w:hAnsiTheme="minorBidi"/>
        </w:rPr>
        <w:t>detrimental effect on staff retention, job satisfaction, and</w:t>
      </w:r>
      <w:r w:rsidRPr="001058F3">
        <w:rPr>
          <w:rFonts w:asciiTheme="minorBidi" w:hAnsiTheme="minorBidi"/>
        </w:rPr>
        <w:t xml:space="preserve"> the quality of care provided to patients.</w:t>
      </w:r>
    </w:p>
    <w:p w14:paraId="4BBB3533" w14:textId="64FC8C8A" w:rsidR="001325C1" w:rsidRPr="001058F3" w:rsidRDefault="001325C1" w:rsidP="003F093F">
      <w:pPr>
        <w:rPr>
          <w:rFonts w:asciiTheme="minorBidi" w:hAnsiTheme="minorBidi"/>
        </w:rPr>
      </w:pPr>
      <w:r w:rsidRPr="001058F3">
        <w:rPr>
          <w:rFonts w:asciiTheme="minorBidi" w:hAnsiTheme="minorBidi"/>
        </w:rPr>
        <w:t xml:space="preserve">Better staffing levels, access to mental health support services and flexible work arrangements are among </w:t>
      </w:r>
      <w:r w:rsidR="004C1296" w:rsidRPr="001058F3">
        <w:rPr>
          <w:rFonts w:asciiTheme="minorBidi" w:hAnsiTheme="minorBidi"/>
        </w:rPr>
        <w:t>practical solutions</w:t>
      </w:r>
      <w:r w:rsidRPr="001058F3">
        <w:rPr>
          <w:rFonts w:asciiTheme="minorBidi" w:hAnsiTheme="minorBidi"/>
        </w:rPr>
        <w:t>. Since healthcare issues often have multiple effects across the system (Meadows, 2008), a systems thinking perspective helps identify their causes outside of individual practitioners. It follows that managing staff burnout is an issue that needs to be approached through organisational coordination.</w:t>
      </w:r>
    </w:p>
    <w:p w14:paraId="67F4BB8B" w14:textId="0043E1AE" w:rsidR="001325C1" w:rsidRPr="001058F3" w:rsidRDefault="001325C1" w:rsidP="001325C1">
      <w:pPr>
        <w:rPr>
          <w:rFonts w:asciiTheme="minorBidi" w:hAnsiTheme="minorBidi"/>
        </w:rPr>
      </w:pPr>
      <w:r w:rsidRPr="001058F3">
        <w:rPr>
          <w:rFonts w:asciiTheme="minorBidi" w:hAnsiTheme="minorBidi"/>
        </w:rPr>
        <w:t xml:space="preserve">This analysis is based on Gibbs’ Reflective Cycle, which enables an individual to reflect upon their experience through stages such as description, </w:t>
      </w:r>
      <w:r w:rsidR="00D20BFC" w:rsidRPr="001058F3">
        <w:rPr>
          <w:rFonts w:asciiTheme="minorBidi" w:hAnsiTheme="minorBidi"/>
        </w:rPr>
        <w:t>evaluation,</w:t>
      </w:r>
      <w:r w:rsidRPr="001058F3">
        <w:rPr>
          <w:rFonts w:asciiTheme="minorBidi" w:hAnsiTheme="minorBidi"/>
        </w:rPr>
        <w:t xml:space="preserve"> and action planning (Gibbs, 1988).</w:t>
      </w:r>
    </w:p>
    <w:p w14:paraId="32CBB16B" w14:textId="77777777" w:rsidR="001325C1" w:rsidRPr="001058F3" w:rsidRDefault="001325C1" w:rsidP="001325C1">
      <w:pPr>
        <w:rPr>
          <w:rFonts w:asciiTheme="minorBidi" w:hAnsiTheme="minorBidi"/>
        </w:rPr>
      </w:pPr>
      <w:r w:rsidRPr="001058F3">
        <w:rPr>
          <w:rFonts w:asciiTheme="minorBidi" w:hAnsiTheme="minorBidi"/>
        </w:rPr>
        <w:t>As part of the class activity, our group studied divergent and convergent thinking. Divergent thinking encompasses producing multiple ideas (Roets &amp; Van Hiel, 2011) and considering various possibilities, whereas convergent thinking is more about examining ideas and determining the best solution (Cropley, 2006).</w:t>
      </w:r>
    </w:p>
    <w:p w14:paraId="10D874A0" w14:textId="77777777" w:rsidR="001325C1" w:rsidRDefault="001325C1" w:rsidP="001325C1">
      <w:pPr>
        <w:rPr>
          <w:rFonts w:asciiTheme="minorBidi" w:hAnsiTheme="minorBidi"/>
        </w:rPr>
      </w:pPr>
      <w:r w:rsidRPr="001058F3">
        <w:rPr>
          <w:rFonts w:asciiTheme="minorBidi" w:hAnsiTheme="minorBidi"/>
        </w:rPr>
        <w:t>I learned from this activity that divergent thinking promotes the generation of creative ideas, whereas convergent thinking helps groups make reasoned choices. Looking ahead to group work in the future, I will take a more active role in the initial ideas stage and will actively prompt quieter members of the group to share their thoughts.</w:t>
      </w:r>
    </w:p>
    <w:p w14:paraId="4DFCF41E" w14:textId="77777777" w:rsidR="003F093F" w:rsidRPr="001058F3" w:rsidRDefault="003F093F" w:rsidP="001325C1">
      <w:pPr>
        <w:rPr>
          <w:rFonts w:asciiTheme="minorBidi" w:hAnsiTheme="minorBidi"/>
        </w:rPr>
      </w:pPr>
    </w:p>
    <w:p w14:paraId="65292023" w14:textId="7F4CDF25" w:rsidR="00562A71" w:rsidRDefault="002C51C0" w:rsidP="002C51C0">
      <w:pPr>
        <w:jc w:val="center"/>
        <w:rPr>
          <w:rFonts w:asciiTheme="minorBidi" w:hAnsiTheme="minorBidi"/>
          <w:b/>
          <w:bCs/>
          <w:sz w:val="28"/>
          <w:szCs w:val="28"/>
        </w:rPr>
      </w:pPr>
      <w:r>
        <w:rPr>
          <w:noProof/>
        </w:rPr>
        <w:drawing>
          <wp:inline distT="0" distB="0" distL="0" distR="0" wp14:anchorId="302DA005" wp14:editId="5FE2FEED">
            <wp:extent cx="4419600" cy="2910840"/>
            <wp:effectExtent l="0" t="0" r="0" b="3810"/>
            <wp:docPr id="297730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6728" t="5107" r="4587"/>
                    <a:stretch>
                      <a:fillRect/>
                    </a:stretch>
                  </pic:blipFill>
                  <pic:spPr bwMode="auto">
                    <a:xfrm>
                      <a:off x="0" y="0"/>
                      <a:ext cx="4431712" cy="2918817"/>
                    </a:xfrm>
                    <a:prstGeom prst="rect">
                      <a:avLst/>
                    </a:prstGeom>
                    <a:noFill/>
                    <a:ln>
                      <a:noFill/>
                    </a:ln>
                    <a:extLst>
                      <a:ext uri="{53640926-AAD7-44D8-BBD7-CCE9431645EC}">
                        <a14:shadowObscured xmlns:a14="http://schemas.microsoft.com/office/drawing/2010/main"/>
                      </a:ext>
                    </a:extLst>
                  </pic:spPr>
                </pic:pic>
              </a:graphicData>
            </a:graphic>
          </wp:inline>
        </w:drawing>
      </w:r>
    </w:p>
    <w:p w14:paraId="63E0E0BD" w14:textId="042EF493" w:rsidR="00562A71" w:rsidRPr="00562A71" w:rsidRDefault="00562A71" w:rsidP="00562A71">
      <w:pPr>
        <w:rPr>
          <w:rFonts w:asciiTheme="minorBidi" w:hAnsiTheme="minorBidi"/>
          <w:b/>
          <w:bCs/>
          <w:sz w:val="28"/>
          <w:szCs w:val="28"/>
        </w:rPr>
      </w:pPr>
      <w:r w:rsidRPr="00562A71">
        <w:rPr>
          <w:rFonts w:asciiTheme="minorBidi" w:hAnsiTheme="minorBidi"/>
          <w:b/>
          <w:bCs/>
          <w:sz w:val="28"/>
          <w:szCs w:val="28"/>
        </w:rPr>
        <w:lastRenderedPageBreak/>
        <w:t xml:space="preserve">Task 3 – </w:t>
      </w:r>
      <w:r w:rsidR="002579F1">
        <w:rPr>
          <w:rFonts w:asciiTheme="minorBidi" w:hAnsiTheme="minorBidi"/>
          <w:b/>
          <w:bCs/>
          <w:sz w:val="28"/>
          <w:szCs w:val="28"/>
        </w:rPr>
        <w:t>Self-Reflection of Group Activity</w:t>
      </w:r>
    </w:p>
    <w:p w14:paraId="7DEA93AD" w14:textId="6622A41E" w:rsidR="00AE6503" w:rsidRDefault="00AE6503" w:rsidP="00AE6503">
      <w:pPr>
        <w:rPr>
          <w:rFonts w:asciiTheme="minorBidi" w:hAnsiTheme="minorBidi"/>
        </w:rPr>
      </w:pPr>
      <w:r w:rsidRPr="00AE6503">
        <w:rPr>
          <w:rFonts w:asciiTheme="minorBidi" w:hAnsiTheme="minorBidi"/>
        </w:rPr>
        <w:t xml:space="preserve">At the brainstorming stage, where everything was accepted as long as it led to discussion, I had thrown out a range of ideas and encountered my first </w:t>
      </w:r>
      <w:r>
        <w:rPr>
          <w:rFonts w:asciiTheme="minorBidi" w:hAnsiTheme="minorBidi"/>
        </w:rPr>
        <w:t>realisation</w:t>
      </w:r>
      <w:r w:rsidRPr="00AE6503">
        <w:rPr>
          <w:rFonts w:asciiTheme="minorBidi" w:hAnsiTheme="minorBidi"/>
        </w:rPr>
        <w:t xml:space="preserve"> that perhaps </w:t>
      </w:r>
      <w:r>
        <w:rPr>
          <w:rFonts w:asciiTheme="minorBidi" w:hAnsiTheme="minorBidi"/>
        </w:rPr>
        <w:t>my</w:t>
      </w:r>
      <w:r w:rsidRPr="00AE6503">
        <w:rPr>
          <w:rFonts w:asciiTheme="minorBidi" w:hAnsiTheme="minorBidi"/>
        </w:rPr>
        <w:t xml:space="preserve"> being </w:t>
      </w:r>
      <w:r>
        <w:rPr>
          <w:rFonts w:asciiTheme="minorBidi" w:hAnsiTheme="minorBidi"/>
        </w:rPr>
        <w:t>open</w:t>
      </w:r>
      <w:r w:rsidRPr="00AE6503">
        <w:rPr>
          <w:rFonts w:asciiTheme="minorBidi" w:hAnsiTheme="minorBidi"/>
        </w:rPr>
        <w:t xml:space="preserve"> is great</w:t>
      </w:r>
      <w:r>
        <w:rPr>
          <w:rFonts w:asciiTheme="minorBidi" w:hAnsiTheme="minorBidi"/>
        </w:rPr>
        <w:t>,</w:t>
      </w:r>
      <w:r w:rsidRPr="00AE6503">
        <w:rPr>
          <w:rFonts w:asciiTheme="minorBidi" w:hAnsiTheme="minorBidi"/>
        </w:rPr>
        <w:t xml:space="preserve"> but in terms of group dynamics</w:t>
      </w:r>
      <w:r>
        <w:rPr>
          <w:rFonts w:asciiTheme="minorBidi" w:hAnsiTheme="minorBidi"/>
        </w:rPr>
        <w:t>,</w:t>
      </w:r>
      <w:r w:rsidRPr="00AE6503">
        <w:rPr>
          <w:rFonts w:asciiTheme="minorBidi" w:hAnsiTheme="minorBidi"/>
        </w:rPr>
        <w:t xml:space="preserve"> what I tend to do the most is not challenge and push back against popular thought. This reluctance cost me depth and critical discussions. When looking back at this experience, I </w:t>
      </w:r>
      <w:r>
        <w:rPr>
          <w:rFonts w:asciiTheme="minorBidi" w:hAnsiTheme="minorBidi"/>
        </w:rPr>
        <w:t>realise</w:t>
      </w:r>
      <w:r w:rsidRPr="00AE6503">
        <w:rPr>
          <w:rFonts w:asciiTheme="minorBidi" w:hAnsiTheme="minorBidi"/>
        </w:rPr>
        <w:t xml:space="preserve"> that in future </w:t>
      </w:r>
      <w:r>
        <w:rPr>
          <w:rFonts w:asciiTheme="minorBidi" w:hAnsiTheme="minorBidi"/>
        </w:rPr>
        <w:t>models I</w:t>
      </w:r>
      <w:r w:rsidRPr="00AE6503">
        <w:rPr>
          <w:rFonts w:asciiTheme="minorBidi" w:hAnsiTheme="minorBidi"/>
        </w:rPr>
        <w:t xml:space="preserve"> want to develop a stronger sense of self-belief in my ability to challenge and </w:t>
      </w:r>
      <w:r>
        <w:rPr>
          <w:rFonts w:asciiTheme="minorBidi" w:hAnsiTheme="minorBidi"/>
        </w:rPr>
        <w:t>criticise</w:t>
      </w:r>
      <w:r w:rsidRPr="00AE6503">
        <w:rPr>
          <w:rFonts w:asciiTheme="minorBidi" w:hAnsiTheme="minorBidi"/>
        </w:rPr>
        <w:t xml:space="preserve"> ideas. Such a development is crucial not only because of the nature of evidence collection but also to have collaborators in diverse settings</w:t>
      </w:r>
      <w:r>
        <w:rPr>
          <w:rFonts w:asciiTheme="minorBidi" w:hAnsiTheme="minorBidi"/>
        </w:rPr>
        <w:t xml:space="preserve">, </w:t>
      </w:r>
      <w:r w:rsidRPr="00AE6503">
        <w:rPr>
          <w:rFonts w:asciiTheme="minorBidi" w:hAnsiTheme="minorBidi"/>
        </w:rPr>
        <w:t>where conversation, critical dialogue and divergent perspectives drive inquiry toward optimal solutions.</w:t>
      </w:r>
    </w:p>
    <w:p w14:paraId="65C87989" w14:textId="7E5EAE2A" w:rsidR="003501ED" w:rsidRPr="003501ED" w:rsidRDefault="003501ED" w:rsidP="003501ED">
      <w:pPr>
        <w:jc w:val="center"/>
        <w:rPr>
          <w:rFonts w:asciiTheme="minorBidi" w:hAnsiTheme="minorBidi"/>
        </w:rPr>
      </w:pPr>
      <w:r w:rsidRPr="003501ED">
        <w:rPr>
          <w:rFonts w:asciiTheme="minorBidi" w:hAnsiTheme="minorBidi"/>
          <w:noProof/>
        </w:rPr>
        <w:drawing>
          <wp:inline distT="0" distB="0" distL="0" distR="0" wp14:anchorId="1AFC8D61" wp14:editId="06D5F086">
            <wp:extent cx="2476483" cy="3777615"/>
            <wp:effectExtent l="0" t="3175" r="0" b="0"/>
            <wp:docPr id="7875686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0363" t="14751" r="12186" b="3795"/>
                    <a:stretch>
                      <a:fillRect/>
                    </a:stretch>
                  </pic:blipFill>
                  <pic:spPr bwMode="auto">
                    <a:xfrm rot="5400000">
                      <a:off x="0" y="0"/>
                      <a:ext cx="2499853" cy="3813263"/>
                    </a:xfrm>
                    <a:prstGeom prst="rect">
                      <a:avLst/>
                    </a:prstGeom>
                    <a:noFill/>
                    <a:ln>
                      <a:noFill/>
                    </a:ln>
                    <a:extLst>
                      <a:ext uri="{53640926-AAD7-44D8-BBD7-CCE9431645EC}">
                        <a14:shadowObscured xmlns:a14="http://schemas.microsoft.com/office/drawing/2010/main"/>
                      </a:ext>
                    </a:extLst>
                  </pic:spPr>
                </pic:pic>
              </a:graphicData>
            </a:graphic>
          </wp:inline>
        </w:drawing>
      </w:r>
    </w:p>
    <w:p w14:paraId="335695E2" w14:textId="77777777" w:rsidR="003501ED" w:rsidRPr="00AE6503" w:rsidRDefault="003501ED" w:rsidP="00AE6503">
      <w:pPr>
        <w:rPr>
          <w:rFonts w:asciiTheme="minorBidi" w:hAnsiTheme="minorBidi"/>
        </w:rPr>
      </w:pPr>
    </w:p>
    <w:p w14:paraId="23C72B29" w14:textId="500D1348" w:rsidR="00562A71" w:rsidRPr="001058F3" w:rsidRDefault="001325C1" w:rsidP="00562A71">
      <w:pPr>
        <w:rPr>
          <w:rFonts w:asciiTheme="minorBidi" w:hAnsiTheme="minorBidi"/>
          <w:b/>
          <w:bCs/>
          <w:sz w:val="28"/>
          <w:szCs w:val="28"/>
        </w:rPr>
      </w:pPr>
      <w:r w:rsidRPr="001058F3">
        <w:rPr>
          <w:rFonts w:asciiTheme="minorBidi" w:hAnsiTheme="minorBidi"/>
          <w:b/>
          <w:bCs/>
          <w:sz w:val="28"/>
          <w:szCs w:val="28"/>
        </w:rPr>
        <w:t xml:space="preserve">Task 4 – </w:t>
      </w:r>
      <w:r w:rsidR="002579F1">
        <w:rPr>
          <w:rFonts w:asciiTheme="minorBidi" w:hAnsiTheme="minorBidi"/>
          <w:b/>
          <w:bCs/>
          <w:sz w:val="28"/>
          <w:szCs w:val="28"/>
        </w:rPr>
        <w:t>Case Study Analysis of a UK Innovation</w:t>
      </w:r>
    </w:p>
    <w:p w14:paraId="4EC1D676" w14:textId="196F9D1A" w:rsidR="005F39F4" w:rsidRPr="005F39F4" w:rsidRDefault="005F39F4" w:rsidP="005F39F4">
      <w:pPr>
        <w:rPr>
          <w:rFonts w:asciiTheme="minorBidi" w:hAnsiTheme="minorBidi"/>
        </w:rPr>
      </w:pPr>
      <w:r w:rsidRPr="005F39F4">
        <w:rPr>
          <w:rFonts w:asciiTheme="minorBidi" w:hAnsiTheme="minorBidi"/>
        </w:rPr>
        <w:t>One of the NHS innovations that we will explore is Virtual Wards — providing a hospital level of care at home via remote monitoring</w:t>
      </w:r>
      <w:r>
        <w:rPr>
          <w:rFonts w:asciiTheme="minorBidi" w:hAnsiTheme="minorBidi"/>
        </w:rPr>
        <w:t>,</w:t>
      </w:r>
      <w:r w:rsidRPr="005F39F4">
        <w:rPr>
          <w:rFonts w:asciiTheme="minorBidi" w:hAnsiTheme="minorBidi"/>
        </w:rPr>
        <w:t xml:space="preserve"> both enabling pressure to be lifted from our hospitals and saving the time and hassle of waiting in Accident &amp; Emergency rooms for a bed. Shifting towards patient-centred care enables healthcare to be delivered safely as well as of high quality beyond the four walls of hospitals. </w:t>
      </w:r>
      <w:r w:rsidR="00E06A88">
        <w:rPr>
          <w:rFonts w:asciiTheme="minorBidi" w:hAnsiTheme="minorBidi"/>
        </w:rPr>
        <w:t>Using</w:t>
      </w:r>
      <w:r w:rsidRPr="005F39F4">
        <w:rPr>
          <w:rFonts w:asciiTheme="minorBidi" w:hAnsiTheme="minorBidi"/>
        </w:rPr>
        <w:t xml:space="preserve"> digital functionalities on top of current practices improves how we deliver care.</w:t>
      </w:r>
    </w:p>
    <w:p w14:paraId="7D4D3ED6" w14:textId="7A5D98A9" w:rsidR="005F39F4" w:rsidRPr="005F39F4" w:rsidRDefault="005F39F4" w:rsidP="005F39F4">
      <w:pPr>
        <w:rPr>
          <w:rFonts w:asciiTheme="minorBidi" w:hAnsiTheme="minorBidi"/>
        </w:rPr>
      </w:pPr>
      <w:r w:rsidRPr="005F39F4">
        <w:rPr>
          <w:rFonts w:asciiTheme="minorBidi" w:hAnsiTheme="minorBidi"/>
        </w:rPr>
        <w:t xml:space="preserve">Patients recover in familiar surroundings, and health care </w:t>
      </w:r>
      <w:r>
        <w:rPr>
          <w:rFonts w:asciiTheme="minorBidi" w:hAnsiTheme="minorBidi"/>
        </w:rPr>
        <w:t>organisations</w:t>
      </w:r>
      <w:r w:rsidRPr="005F39F4">
        <w:rPr>
          <w:rFonts w:asciiTheme="minorBidi" w:hAnsiTheme="minorBidi"/>
        </w:rPr>
        <w:t xml:space="preserve"> can lower admissions and </w:t>
      </w:r>
      <w:r>
        <w:rPr>
          <w:rFonts w:asciiTheme="minorBidi" w:hAnsiTheme="minorBidi"/>
        </w:rPr>
        <w:t>optimise</w:t>
      </w:r>
      <w:r w:rsidRPr="005F39F4">
        <w:rPr>
          <w:rFonts w:asciiTheme="minorBidi" w:hAnsiTheme="minorBidi"/>
        </w:rPr>
        <w:t xml:space="preserve"> resources. But there is still the risk of digital exclusion, as some patients are not </w:t>
      </w:r>
      <w:r>
        <w:rPr>
          <w:rFonts w:asciiTheme="minorBidi" w:hAnsiTheme="minorBidi"/>
        </w:rPr>
        <w:t>tech-savvy</w:t>
      </w:r>
      <w:r w:rsidRPr="005F39F4">
        <w:rPr>
          <w:rFonts w:asciiTheme="minorBidi" w:hAnsiTheme="minorBidi"/>
        </w:rPr>
        <w:t>.</w:t>
      </w:r>
    </w:p>
    <w:p w14:paraId="17708D02" w14:textId="28082536" w:rsidR="005F39F4" w:rsidRPr="005F39F4" w:rsidRDefault="005F39F4" w:rsidP="005F39F4">
      <w:pPr>
        <w:rPr>
          <w:rFonts w:asciiTheme="minorBidi" w:hAnsiTheme="minorBidi"/>
        </w:rPr>
      </w:pPr>
      <w:r w:rsidRPr="005F39F4">
        <w:rPr>
          <w:rFonts w:asciiTheme="minorBidi" w:hAnsiTheme="minorBidi"/>
        </w:rPr>
        <w:t xml:space="preserve">According to Rogers’ Diffusion of Innovation Theory, innovations are accepted when useful and compatible with existing systems (Rogers, 2003). Virtual wards are </w:t>
      </w:r>
      <w:r w:rsidR="00E06A88" w:rsidRPr="005F39F4">
        <w:rPr>
          <w:rFonts w:asciiTheme="minorBidi" w:hAnsiTheme="minorBidi"/>
        </w:rPr>
        <w:t>a remarkable success</w:t>
      </w:r>
      <w:r w:rsidRPr="005F39F4">
        <w:rPr>
          <w:rFonts w:asciiTheme="minorBidi" w:hAnsiTheme="minorBidi"/>
        </w:rPr>
        <w:t xml:space="preserve"> on this</w:t>
      </w:r>
      <w:r>
        <w:rPr>
          <w:rFonts w:asciiTheme="minorBidi" w:hAnsiTheme="minorBidi"/>
        </w:rPr>
        <w:t>,</w:t>
      </w:r>
      <w:r w:rsidRPr="005F39F4">
        <w:rPr>
          <w:rFonts w:asciiTheme="minorBidi" w:hAnsiTheme="minorBidi"/>
        </w:rPr>
        <w:t xml:space="preserve"> but long-term effectiveness depends on addressing inequalities.</w:t>
      </w:r>
    </w:p>
    <w:p w14:paraId="229FD2AA" w14:textId="2F0FA22E" w:rsidR="003F093F" w:rsidRDefault="002C51C0" w:rsidP="008E4FC0">
      <w:pPr>
        <w:jc w:val="center"/>
        <w:rPr>
          <w:rFonts w:asciiTheme="minorBidi" w:hAnsiTheme="minorBidi"/>
          <w:b/>
          <w:bCs/>
          <w:sz w:val="28"/>
          <w:szCs w:val="28"/>
        </w:rPr>
      </w:pPr>
      <w:r w:rsidRPr="002C51C0">
        <w:rPr>
          <w:rFonts w:asciiTheme="minorBidi" w:hAnsiTheme="minorBidi"/>
          <w:noProof/>
        </w:rPr>
        <w:lastRenderedPageBreak/>
        <w:drawing>
          <wp:inline distT="0" distB="0" distL="0" distR="0" wp14:anchorId="200D4134" wp14:editId="7D39D790">
            <wp:extent cx="4328160" cy="1812774"/>
            <wp:effectExtent l="0" t="0" r="0" b="0"/>
            <wp:docPr id="18013746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1">
                      <a:extLst>
                        <a:ext uri="{BEBA8EAE-BF5A-486C-A8C5-ECC9F3942E4B}">
                          <a14:imgProps xmlns:a14="http://schemas.microsoft.com/office/drawing/2010/main">
                            <a14:imgLayer r:embed="rId12">
                              <a14:imgEffect>
                                <a14:artisticTexturizer scaling="47"/>
                              </a14:imgEffect>
                              <a14:imgEffect>
                                <a14:colorTemperature colorTemp="6707"/>
                              </a14:imgEffect>
                            </a14:imgLayer>
                          </a14:imgProps>
                        </a:ext>
                        <a:ext uri="{28A0092B-C50C-407E-A947-70E740481C1C}">
                          <a14:useLocalDpi xmlns:a14="http://schemas.microsoft.com/office/drawing/2010/main" val="0"/>
                        </a:ext>
                      </a:extLst>
                    </a:blip>
                    <a:srcRect l="2805" t="3320" r="3439" b="17654"/>
                    <a:stretch>
                      <a:fillRect/>
                    </a:stretch>
                  </pic:blipFill>
                  <pic:spPr bwMode="auto">
                    <a:xfrm>
                      <a:off x="0" y="0"/>
                      <a:ext cx="4330551" cy="1813776"/>
                    </a:xfrm>
                    <a:prstGeom prst="rect">
                      <a:avLst/>
                    </a:prstGeom>
                    <a:noFill/>
                    <a:ln>
                      <a:noFill/>
                    </a:ln>
                    <a:effectLst>
                      <a:reflection endPos="0" dir="5400000" sy="-100000" algn="bl" rotWithShape="0"/>
                      <a:softEdge rad="0"/>
                    </a:effectLst>
                    <a:extLst>
                      <a:ext uri="{53640926-AAD7-44D8-BBD7-CCE9431645EC}">
                        <a14:shadowObscured xmlns:a14="http://schemas.microsoft.com/office/drawing/2010/main"/>
                      </a:ext>
                    </a:extLst>
                  </pic:spPr>
                </pic:pic>
              </a:graphicData>
            </a:graphic>
          </wp:inline>
        </w:drawing>
      </w:r>
    </w:p>
    <w:p w14:paraId="38430ED9" w14:textId="77777777" w:rsidR="008E4FC0" w:rsidRDefault="008E4FC0" w:rsidP="008E4FC0">
      <w:pPr>
        <w:jc w:val="center"/>
        <w:rPr>
          <w:rFonts w:asciiTheme="minorBidi" w:hAnsiTheme="minorBidi"/>
          <w:b/>
          <w:bCs/>
          <w:sz w:val="28"/>
          <w:szCs w:val="28"/>
        </w:rPr>
      </w:pPr>
    </w:p>
    <w:p w14:paraId="6A9CF2F5" w14:textId="00112C70" w:rsidR="001325C1" w:rsidRPr="001058F3" w:rsidRDefault="001325C1" w:rsidP="001325C1">
      <w:pPr>
        <w:rPr>
          <w:rFonts w:asciiTheme="minorBidi" w:hAnsiTheme="minorBidi"/>
          <w:b/>
          <w:bCs/>
          <w:sz w:val="28"/>
          <w:szCs w:val="28"/>
        </w:rPr>
      </w:pPr>
      <w:r w:rsidRPr="001058F3">
        <w:rPr>
          <w:rFonts w:asciiTheme="minorBidi" w:hAnsiTheme="minorBidi"/>
          <w:b/>
          <w:bCs/>
          <w:sz w:val="28"/>
          <w:szCs w:val="28"/>
        </w:rPr>
        <w:t>Task 5 – Research Task</w:t>
      </w:r>
    </w:p>
    <w:p w14:paraId="22218B2E" w14:textId="77777777" w:rsidR="001325C1" w:rsidRPr="001058F3" w:rsidRDefault="001325C1" w:rsidP="001325C1">
      <w:pPr>
        <w:rPr>
          <w:rFonts w:asciiTheme="minorBidi" w:hAnsiTheme="minorBidi"/>
        </w:rPr>
      </w:pPr>
      <w:r w:rsidRPr="001058F3">
        <w:rPr>
          <w:rFonts w:asciiTheme="minorBidi" w:hAnsiTheme="minorBidi"/>
        </w:rPr>
        <w:t>A significant challenge currently facing health and social care systems is staff burnout.</w:t>
      </w:r>
    </w:p>
    <w:p w14:paraId="7BE525F2" w14:textId="720FB6C1" w:rsidR="001325C1" w:rsidRPr="001058F3" w:rsidRDefault="001325C1" w:rsidP="001325C1">
      <w:pPr>
        <w:rPr>
          <w:rFonts w:asciiTheme="minorBidi" w:hAnsiTheme="minorBidi"/>
        </w:rPr>
      </w:pPr>
      <w:r w:rsidRPr="001058F3">
        <w:rPr>
          <w:rFonts w:asciiTheme="minorBidi" w:hAnsiTheme="minorBidi"/>
        </w:rPr>
        <w:t>Research by West et al. (2018)</w:t>
      </w:r>
      <w:r w:rsidR="002D71C8">
        <w:rPr>
          <w:rFonts w:asciiTheme="minorBidi" w:hAnsiTheme="minorBidi"/>
        </w:rPr>
        <w:t xml:space="preserve"> found that</w:t>
      </w:r>
      <w:r w:rsidRPr="001058F3">
        <w:rPr>
          <w:rFonts w:asciiTheme="minorBidi" w:hAnsiTheme="minorBidi"/>
        </w:rPr>
        <w:t xml:space="preserve"> high workloads, long working </w:t>
      </w:r>
      <w:r w:rsidR="00E06A88" w:rsidRPr="001058F3">
        <w:rPr>
          <w:rFonts w:asciiTheme="minorBidi" w:hAnsiTheme="minorBidi"/>
        </w:rPr>
        <w:t>hours,</w:t>
      </w:r>
      <w:r w:rsidRPr="001058F3">
        <w:rPr>
          <w:rFonts w:asciiTheme="minorBidi" w:hAnsiTheme="minorBidi"/>
        </w:rPr>
        <w:t xml:space="preserve"> and low staffing levels are the main causes of burnout among healthcare professionals. Burnout can contribute to reduced job satisfaction regarding work, increased employee </w:t>
      </w:r>
      <w:r w:rsidR="00D20BFC" w:rsidRPr="001058F3">
        <w:rPr>
          <w:rFonts w:asciiTheme="minorBidi" w:hAnsiTheme="minorBidi"/>
        </w:rPr>
        <w:t>turnover,</w:t>
      </w:r>
      <w:r w:rsidRPr="001058F3">
        <w:rPr>
          <w:rFonts w:asciiTheme="minorBidi" w:hAnsiTheme="minorBidi"/>
        </w:rPr>
        <w:t xml:space="preserve"> and poorer patient care quality.</w:t>
      </w:r>
    </w:p>
    <w:p w14:paraId="2210C75B" w14:textId="4D84C04B" w:rsidR="001325C1" w:rsidRDefault="001325C1" w:rsidP="00212EE5">
      <w:pPr>
        <w:rPr>
          <w:rFonts w:asciiTheme="minorBidi" w:hAnsiTheme="minorBidi"/>
        </w:rPr>
      </w:pPr>
      <w:r w:rsidRPr="001058F3">
        <w:rPr>
          <w:rFonts w:asciiTheme="minorBidi" w:hAnsiTheme="minorBidi"/>
        </w:rPr>
        <w:t xml:space="preserve">While </w:t>
      </w:r>
      <w:r w:rsidR="00212EE5">
        <w:rPr>
          <w:rFonts w:asciiTheme="minorBidi" w:hAnsiTheme="minorBidi"/>
        </w:rPr>
        <w:t>the</w:t>
      </w:r>
      <w:r w:rsidRPr="001058F3">
        <w:rPr>
          <w:rFonts w:asciiTheme="minorBidi" w:hAnsiTheme="minorBidi"/>
        </w:rPr>
        <w:t xml:space="preserve"> stud</w:t>
      </w:r>
      <w:r w:rsidR="00212EE5">
        <w:rPr>
          <w:rFonts w:asciiTheme="minorBidi" w:hAnsiTheme="minorBidi"/>
        </w:rPr>
        <w:t>y agrees</w:t>
      </w:r>
      <w:r w:rsidRPr="001058F3">
        <w:rPr>
          <w:rFonts w:asciiTheme="minorBidi" w:hAnsiTheme="minorBidi"/>
        </w:rPr>
        <w:t xml:space="preserve"> that aspects of primary care within organisational healthcare environments play a significant role in developing burnout, the differences identified between them are worthy of consideration. The reasons for this are important to understand, not only because burnout amongst healthcare professionals is widely recognised, but also because it threatens patient safety and the quality of the services provided. Combating burnout necessitates structural changes – better staffing levels, supportive </w:t>
      </w:r>
      <w:r w:rsidR="00D20BFC" w:rsidRPr="001058F3">
        <w:rPr>
          <w:rFonts w:asciiTheme="minorBidi" w:hAnsiTheme="minorBidi"/>
        </w:rPr>
        <w:t>leadership,</w:t>
      </w:r>
      <w:r w:rsidRPr="001058F3">
        <w:rPr>
          <w:rFonts w:asciiTheme="minorBidi" w:hAnsiTheme="minorBidi"/>
        </w:rPr>
        <w:t xml:space="preserve"> and access to wellness programmes.</w:t>
      </w:r>
    </w:p>
    <w:p w14:paraId="46845C90" w14:textId="77777777" w:rsidR="008E4FC0" w:rsidRDefault="008E4FC0" w:rsidP="00212EE5">
      <w:pPr>
        <w:rPr>
          <w:rFonts w:asciiTheme="minorBidi" w:hAnsiTheme="minorBidi"/>
        </w:rPr>
      </w:pPr>
    </w:p>
    <w:p w14:paraId="1549E63E" w14:textId="1942BB2E" w:rsidR="002C51C0" w:rsidRPr="001058F3" w:rsidRDefault="002C51C0" w:rsidP="00EC76B6">
      <w:pPr>
        <w:jc w:val="center"/>
        <w:rPr>
          <w:rFonts w:asciiTheme="minorBidi" w:hAnsiTheme="minorBidi"/>
        </w:rPr>
      </w:pPr>
      <w:r w:rsidRPr="002C51C0">
        <w:rPr>
          <w:rFonts w:asciiTheme="minorBidi" w:hAnsiTheme="minorBidi"/>
          <w:noProof/>
        </w:rPr>
        <w:drawing>
          <wp:inline distT="0" distB="0" distL="0" distR="0" wp14:anchorId="365441A3" wp14:editId="65991C37">
            <wp:extent cx="5015230" cy="1920301"/>
            <wp:effectExtent l="0" t="0" r="0" b="3810"/>
            <wp:docPr id="15834987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3">
                      <a:extLst>
                        <a:ext uri="{BEBA8EAE-BF5A-486C-A8C5-ECC9F3942E4B}">
                          <a14:imgProps xmlns:a14="http://schemas.microsoft.com/office/drawing/2010/main">
                            <a14:imgLayer r:embed="rId14">
                              <a14:imgEffect>
                                <a14:colorTemperature colorTemp="7770"/>
                              </a14:imgEffect>
                            </a14:imgLayer>
                          </a14:imgProps>
                        </a:ext>
                        <a:ext uri="{28A0092B-C50C-407E-A947-70E740481C1C}">
                          <a14:useLocalDpi xmlns:a14="http://schemas.microsoft.com/office/drawing/2010/main" val="0"/>
                        </a:ext>
                      </a:extLst>
                    </a:blip>
                    <a:srcRect b="17600"/>
                    <a:stretch>
                      <a:fillRect/>
                    </a:stretch>
                  </pic:blipFill>
                  <pic:spPr bwMode="auto">
                    <a:xfrm>
                      <a:off x="0" y="0"/>
                      <a:ext cx="5029096" cy="1925610"/>
                    </a:xfrm>
                    <a:prstGeom prst="rect">
                      <a:avLst/>
                    </a:prstGeom>
                    <a:noFill/>
                    <a:ln>
                      <a:noFill/>
                    </a:ln>
                    <a:extLst>
                      <a:ext uri="{53640926-AAD7-44D8-BBD7-CCE9431645EC}">
                        <a14:shadowObscured xmlns:a14="http://schemas.microsoft.com/office/drawing/2010/main"/>
                      </a:ext>
                    </a:extLst>
                  </pic:spPr>
                </pic:pic>
              </a:graphicData>
            </a:graphic>
          </wp:inline>
        </w:drawing>
      </w:r>
    </w:p>
    <w:p w14:paraId="19298FEC" w14:textId="77777777" w:rsidR="000158EE" w:rsidRDefault="000158EE" w:rsidP="001325C1">
      <w:pPr>
        <w:rPr>
          <w:rFonts w:asciiTheme="minorBidi" w:hAnsiTheme="minorBidi"/>
          <w:b/>
          <w:bCs/>
          <w:sz w:val="28"/>
          <w:szCs w:val="28"/>
        </w:rPr>
      </w:pPr>
    </w:p>
    <w:p w14:paraId="3FF1D588" w14:textId="77777777" w:rsidR="000158EE" w:rsidRDefault="000158EE" w:rsidP="001325C1">
      <w:pPr>
        <w:rPr>
          <w:rFonts w:asciiTheme="minorBidi" w:hAnsiTheme="minorBidi"/>
          <w:b/>
          <w:bCs/>
          <w:sz w:val="28"/>
          <w:szCs w:val="28"/>
        </w:rPr>
      </w:pPr>
    </w:p>
    <w:p w14:paraId="0C6B4CD3" w14:textId="77777777" w:rsidR="000158EE" w:rsidRDefault="000158EE" w:rsidP="001325C1">
      <w:pPr>
        <w:rPr>
          <w:rFonts w:asciiTheme="minorBidi" w:hAnsiTheme="minorBidi"/>
          <w:b/>
          <w:bCs/>
          <w:sz w:val="28"/>
          <w:szCs w:val="28"/>
        </w:rPr>
      </w:pPr>
    </w:p>
    <w:p w14:paraId="78BCB277" w14:textId="3B998AB6" w:rsidR="001325C1" w:rsidRPr="001058F3" w:rsidRDefault="001325C1" w:rsidP="001325C1">
      <w:pPr>
        <w:rPr>
          <w:rFonts w:asciiTheme="minorBidi" w:hAnsiTheme="minorBidi"/>
          <w:b/>
          <w:bCs/>
          <w:sz w:val="28"/>
          <w:szCs w:val="28"/>
        </w:rPr>
      </w:pPr>
      <w:r w:rsidRPr="001058F3">
        <w:rPr>
          <w:rFonts w:asciiTheme="minorBidi" w:hAnsiTheme="minorBidi"/>
          <w:b/>
          <w:bCs/>
          <w:sz w:val="28"/>
          <w:szCs w:val="28"/>
        </w:rPr>
        <w:lastRenderedPageBreak/>
        <w:t xml:space="preserve">Task 6 – </w:t>
      </w:r>
      <w:r w:rsidR="002579F1">
        <w:rPr>
          <w:rFonts w:asciiTheme="minorBidi" w:hAnsiTheme="minorBidi"/>
          <w:b/>
          <w:bCs/>
          <w:sz w:val="28"/>
          <w:szCs w:val="28"/>
        </w:rPr>
        <w:t>Exploring Digital Innovation in Health and Social Care</w:t>
      </w:r>
    </w:p>
    <w:p w14:paraId="7A177936" w14:textId="77777777" w:rsidR="001325C1" w:rsidRPr="001058F3" w:rsidRDefault="001325C1" w:rsidP="001325C1">
      <w:pPr>
        <w:rPr>
          <w:rFonts w:asciiTheme="minorBidi" w:hAnsiTheme="minorBidi"/>
          <w:b/>
          <w:bCs/>
        </w:rPr>
      </w:pPr>
      <w:r w:rsidRPr="001058F3">
        <w:rPr>
          <w:rFonts w:asciiTheme="minorBidi" w:hAnsiTheme="minorBidi"/>
          <w:b/>
          <w:bCs/>
        </w:rPr>
        <w:t>Wearable Health Technologies</w:t>
      </w:r>
    </w:p>
    <w:p w14:paraId="719201BA" w14:textId="34E66A1D" w:rsidR="001325C1" w:rsidRPr="001058F3" w:rsidRDefault="001325C1" w:rsidP="001325C1">
      <w:pPr>
        <w:rPr>
          <w:rFonts w:asciiTheme="minorBidi" w:hAnsiTheme="minorBidi"/>
        </w:rPr>
      </w:pPr>
      <w:r w:rsidRPr="001058F3">
        <w:rPr>
          <w:rFonts w:asciiTheme="minorBidi" w:hAnsiTheme="minorBidi"/>
        </w:rPr>
        <w:t xml:space="preserve">Wearable health technologies, including smartwatches and fitness trackers, are surging in use to assist patients in managing chronic health conditions. These devices can track a range of health parameters, such as heart rate, physical </w:t>
      </w:r>
      <w:r w:rsidR="00D20BFC" w:rsidRPr="001058F3">
        <w:rPr>
          <w:rFonts w:asciiTheme="minorBidi" w:hAnsiTheme="minorBidi"/>
        </w:rPr>
        <w:t>activity,</w:t>
      </w:r>
      <w:r w:rsidRPr="001058F3">
        <w:rPr>
          <w:rFonts w:asciiTheme="minorBidi" w:hAnsiTheme="minorBidi"/>
        </w:rPr>
        <w:t xml:space="preserve"> and sleep patterns.</w:t>
      </w:r>
    </w:p>
    <w:p w14:paraId="0959392E" w14:textId="4567776C" w:rsidR="001325C1" w:rsidRPr="001058F3" w:rsidRDefault="001325C1" w:rsidP="001325C1">
      <w:pPr>
        <w:rPr>
          <w:rFonts w:asciiTheme="minorBidi" w:hAnsiTheme="minorBidi"/>
        </w:rPr>
      </w:pPr>
      <w:r w:rsidRPr="001058F3">
        <w:rPr>
          <w:rFonts w:asciiTheme="minorBidi" w:hAnsiTheme="minorBidi"/>
        </w:rPr>
        <w:t xml:space="preserve">The most effective advantage of the wearable technology is that it allows patients to </w:t>
      </w:r>
      <w:r w:rsidR="00637C8D" w:rsidRPr="001058F3">
        <w:rPr>
          <w:rFonts w:asciiTheme="minorBidi" w:hAnsiTheme="minorBidi"/>
        </w:rPr>
        <w:t>always check their health status</w:t>
      </w:r>
      <w:r w:rsidRPr="001058F3">
        <w:rPr>
          <w:rFonts w:asciiTheme="minorBidi" w:hAnsiTheme="minorBidi"/>
        </w:rPr>
        <w:t>. People with heart problems, for instance, can wear monitors to spot erratic heartbeats, which could potentially lead to problems, offering a chance of tackling those issues before they become serious health concerns.</w:t>
      </w:r>
    </w:p>
    <w:p w14:paraId="174C7775" w14:textId="77777777" w:rsidR="001325C1" w:rsidRDefault="001325C1" w:rsidP="001325C1">
      <w:pPr>
        <w:rPr>
          <w:rFonts w:asciiTheme="minorBidi" w:hAnsiTheme="minorBidi"/>
        </w:rPr>
      </w:pPr>
      <w:r w:rsidRPr="001058F3">
        <w:rPr>
          <w:rFonts w:asciiTheme="minorBidi" w:hAnsiTheme="minorBidi"/>
        </w:rPr>
        <w:t>The Technology Acceptance Model defines that a person is more likely to adopt the use of digital health technologies if he/she finds it useful and easy to use (Davis,1989).</w:t>
      </w:r>
    </w:p>
    <w:p w14:paraId="6B8F7B9F" w14:textId="77777777" w:rsidR="001325C1" w:rsidRPr="001058F3" w:rsidRDefault="001325C1" w:rsidP="001325C1">
      <w:pPr>
        <w:rPr>
          <w:rFonts w:asciiTheme="minorBidi" w:hAnsiTheme="minorBidi"/>
          <w:b/>
          <w:bCs/>
        </w:rPr>
      </w:pPr>
      <w:r w:rsidRPr="001058F3">
        <w:rPr>
          <w:rFonts w:asciiTheme="minorBidi" w:hAnsiTheme="minorBidi"/>
          <w:b/>
          <w:bCs/>
        </w:rPr>
        <w:t>Electronic Health Records</w:t>
      </w:r>
    </w:p>
    <w:p w14:paraId="15A2EC2C" w14:textId="60AED0EB" w:rsidR="001325C1" w:rsidRPr="001058F3" w:rsidRDefault="001325C1" w:rsidP="001325C1">
      <w:pPr>
        <w:rPr>
          <w:rFonts w:asciiTheme="minorBidi" w:hAnsiTheme="minorBidi"/>
        </w:rPr>
      </w:pPr>
      <w:r w:rsidRPr="001058F3">
        <w:rPr>
          <w:rFonts w:asciiTheme="minorBidi" w:hAnsiTheme="minorBidi"/>
        </w:rPr>
        <w:t xml:space="preserve">By using EHR systems, healthcare providers (such as doctors, </w:t>
      </w:r>
      <w:r w:rsidR="00D20BFC" w:rsidRPr="001058F3">
        <w:rPr>
          <w:rFonts w:asciiTheme="minorBidi" w:hAnsiTheme="minorBidi"/>
        </w:rPr>
        <w:t>nurses,</w:t>
      </w:r>
      <w:r w:rsidRPr="001058F3">
        <w:rPr>
          <w:rFonts w:asciiTheme="minorBidi" w:hAnsiTheme="minorBidi"/>
        </w:rPr>
        <w:t xml:space="preserve"> and specialists) can securely share a patient’s information across </w:t>
      </w:r>
      <w:r w:rsidR="00637C8D" w:rsidRPr="001058F3">
        <w:rPr>
          <w:rFonts w:asciiTheme="minorBidi" w:hAnsiTheme="minorBidi"/>
        </w:rPr>
        <w:t>all</w:t>
      </w:r>
      <w:r w:rsidRPr="001058F3">
        <w:rPr>
          <w:rFonts w:asciiTheme="minorBidi" w:hAnsiTheme="minorBidi"/>
        </w:rPr>
        <w:t xml:space="preserve"> their different healthcare settings. This enhances decision-making and lowers the chance of medical errors.</w:t>
      </w:r>
    </w:p>
    <w:p w14:paraId="264B1327" w14:textId="5CC88096" w:rsidR="001325C1" w:rsidRPr="001058F3" w:rsidRDefault="001325C1" w:rsidP="001325C1">
      <w:pPr>
        <w:rPr>
          <w:rFonts w:asciiTheme="minorBidi" w:hAnsiTheme="minorBidi"/>
        </w:rPr>
      </w:pPr>
      <w:r w:rsidRPr="001058F3">
        <w:rPr>
          <w:rFonts w:asciiTheme="minorBidi" w:hAnsiTheme="minorBidi"/>
        </w:rPr>
        <w:t xml:space="preserve">Within the NHS itself, digital record systems allow hospitals, GP </w:t>
      </w:r>
      <w:r w:rsidR="00D20BFC" w:rsidRPr="001058F3">
        <w:rPr>
          <w:rFonts w:asciiTheme="minorBidi" w:hAnsiTheme="minorBidi"/>
        </w:rPr>
        <w:t>practices,</w:t>
      </w:r>
      <w:r w:rsidRPr="001058F3">
        <w:rPr>
          <w:rFonts w:asciiTheme="minorBidi" w:hAnsiTheme="minorBidi"/>
        </w:rPr>
        <w:t xml:space="preserve"> and community health services to share information better, which helps with coordinated patient care.</w:t>
      </w:r>
    </w:p>
    <w:p w14:paraId="292A775E" w14:textId="77777777" w:rsidR="001325C1" w:rsidRPr="001058F3" w:rsidRDefault="001325C1" w:rsidP="001325C1">
      <w:pPr>
        <w:rPr>
          <w:rFonts w:asciiTheme="minorBidi" w:hAnsiTheme="minorBidi"/>
          <w:b/>
          <w:bCs/>
        </w:rPr>
      </w:pPr>
      <w:r w:rsidRPr="001058F3">
        <w:rPr>
          <w:rFonts w:asciiTheme="minorBidi" w:hAnsiTheme="minorBidi"/>
          <w:b/>
          <w:bCs/>
        </w:rPr>
        <w:t>Digital Technology for Preventative Care</w:t>
      </w:r>
    </w:p>
    <w:p w14:paraId="5D320D77" w14:textId="77777777" w:rsidR="001325C1" w:rsidRPr="001058F3" w:rsidRDefault="001325C1" w:rsidP="001325C1">
      <w:pPr>
        <w:rPr>
          <w:rFonts w:asciiTheme="minorBidi" w:hAnsiTheme="minorBidi"/>
        </w:rPr>
      </w:pPr>
      <w:r w:rsidRPr="001058F3">
        <w:rPr>
          <w:rFonts w:asciiTheme="minorBidi" w:hAnsiTheme="minorBidi"/>
        </w:rPr>
        <w:t>Digital technology is also a big part of facilitating preventative healthcare. Mobile health apps have been shown to help individuals improve their healthier lifestyle choices by tracking exercise levels, macro-nutrient intake and sleeping patterns.</w:t>
      </w:r>
    </w:p>
    <w:p w14:paraId="643B7089" w14:textId="77777777" w:rsidR="001325C1" w:rsidRDefault="001325C1" w:rsidP="001325C1">
      <w:pPr>
        <w:rPr>
          <w:rFonts w:asciiTheme="minorBidi" w:hAnsiTheme="minorBidi"/>
        </w:rPr>
      </w:pPr>
      <w:r w:rsidRPr="001058F3">
        <w:rPr>
          <w:rFonts w:asciiTheme="minorBidi" w:hAnsiTheme="minorBidi"/>
        </w:rPr>
        <w:t>For instance, fitness tracking apps motivate individuals to engage in more physical activities, which can lower the likelihood of medical conditions like obesity and cardiovascular disease.</w:t>
      </w:r>
    </w:p>
    <w:p w14:paraId="6D26007D" w14:textId="65EDB444" w:rsidR="008E4FC0" w:rsidRDefault="008E4FC0" w:rsidP="008E4FC0">
      <w:pPr>
        <w:jc w:val="center"/>
        <w:rPr>
          <w:rFonts w:asciiTheme="minorBidi" w:hAnsiTheme="minorBidi"/>
        </w:rPr>
      </w:pPr>
      <w:r w:rsidRPr="008E4FC0">
        <w:rPr>
          <w:rFonts w:asciiTheme="minorBidi" w:hAnsiTheme="minorBidi"/>
          <w:noProof/>
        </w:rPr>
        <w:drawing>
          <wp:inline distT="0" distB="0" distL="0" distR="0" wp14:anchorId="6B299474" wp14:editId="35311ABB">
            <wp:extent cx="4732020" cy="1652485"/>
            <wp:effectExtent l="0" t="0" r="0" b="5080"/>
            <wp:docPr id="20630086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BEBA8EAE-BF5A-486C-A8C5-ECC9F3942E4B}">
                          <a14:imgProps xmlns:a14="http://schemas.microsoft.com/office/drawing/2010/main">
                            <a14:imgLayer r:embed="rId16">
                              <a14:imgEffect>
                                <a14:artisticTexturizer/>
                              </a14:imgEffect>
                            </a14:imgLayer>
                          </a14:imgProps>
                        </a:ext>
                        <a:ext uri="{28A0092B-C50C-407E-A947-70E740481C1C}">
                          <a14:useLocalDpi xmlns:a14="http://schemas.microsoft.com/office/drawing/2010/main" val="0"/>
                        </a:ext>
                      </a:extLst>
                    </a:blip>
                    <a:srcRect/>
                    <a:stretch>
                      <a:fillRect/>
                    </a:stretch>
                  </pic:blipFill>
                  <pic:spPr bwMode="auto">
                    <a:xfrm>
                      <a:off x="0" y="0"/>
                      <a:ext cx="4758423" cy="1661705"/>
                    </a:xfrm>
                    <a:prstGeom prst="rect">
                      <a:avLst/>
                    </a:prstGeom>
                    <a:noFill/>
                    <a:ln>
                      <a:noFill/>
                    </a:ln>
                  </pic:spPr>
                </pic:pic>
              </a:graphicData>
            </a:graphic>
          </wp:inline>
        </w:drawing>
      </w:r>
    </w:p>
    <w:p w14:paraId="0ED6C443" w14:textId="77777777" w:rsidR="008E4FC0" w:rsidRPr="001058F3" w:rsidRDefault="008E4FC0" w:rsidP="008E4FC0">
      <w:pPr>
        <w:jc w:val="center"/>
        <w:rPr>
          <w:rFonts w:asciiTheme="minorBidi" w:hAnsiTheme="minorBidi"/>
        </w:rPr>
      </w:pPr>
    </w:p>
    <w:p w14:paraId="10D14AA8" w14:textId="22F75E93" w:rsidR="001325C1" w:rsidRPr="001058F3" w:rsidRDefault="001325C1" w:rsidP="001325C1">
      <w:pPr>
        <w:rPr>
          <w:rFonts w:asciiTheme="minorBidi" w:hAnsiTheme="minorBidi"/>
          <w:b/>
          <w:bCs/>
          <w:sz w:val="28"/>
          <w:szCs w:val="28"/>
        </w:rPr>
      </w:pPr>
      <w:r w:rsidRPr="001058F3">
        <w:rPr>
          <w:rFonts w:asciiTheme="minorBidi" w:hAnsiTheme="minorBidi"/>
          <w:b/>
          <w:bCs/>
          <w:sz w:val="28"/>
          <w:szCs w:val="28"/>
        </w:rPr>
        <w:lastRenderedPageBreak/>
        <w:t xml:space="preserve">Task 7 – </w:t>
      </w:r>
      <w:r w:rsidR="002579F1">
        <w:rPr>
          <w:rFonts w:asciiTheme="minorBidi" w:hAnsiTheme="minorBidi"/>
          <w:b/>
          <w:bCs/>
          <w:sz w:val="28"/>
          <w:szCs w:val="28"/>
        </w:rPr>
        <w:t xml:space="preserve">Understanding the </w:t>
      </w:r>
      <w:r w:rsidRPr="001058F3">
        <w:rPr>
          <w:rFonts w:asciiTheme="minorBidi" w:hAnsiTheme="minorBidi"/>
          <w:b/>
          <w:bCs/>
          <w:sz w:val="28"/>
          <w:szCs w:val="28"/>
        </w:rPr>
        <w:t>NHS Leadership Framework</w:t>
      </w:r>
    </w:p>
    <w:p w14:paraId="4829BADD" w14:textId="0283DC65" w:rsidR="001325C1" w:rsidRPr="001058F3" w:rsidRDefault="001325C1" w:rsidP="001325C1">
      <w:pPr>
        <w:rPr>
          <w:rFonts w:asciiTheme="minorBidi" w:hAnsiTheme="minorBidi"/>
        </w:rPr>
      </w:pPr>
      <w:r w:rsidRPr="001058F3">
        <w:rPr>
          <w:rFonts w:asciiTheme="minorBidi" w:hAnsiTheme="minorBidi"/>
        </w:rPr>
        <w:t xml:space="preserve">The NHS Healthcare Leadership Model describes the behaviours needed to lead effectively in NHS organisations. The model emphasises compassion, </w:t>
      </w:r>
      <w:r w:rsidR="00D20BFC" w:rsidRPr="001058F3">
        <w:rPr>
          <w:rFonts w:asciiTheme="minorBidi" w:hAnsiTheme="minorBidi"/>
        </w:rPr>
        <w:t>collaboration,</w:t>
      </w:r>
      <w:r w:rsidRPr="001058F3">
        <w:rPr>
          <w:rFonts w:asciiTheme="minorBidi" w:hAnsiTheme="minorBidi"/>
        </w:rPr>
        <w:t xml:space="preserve"> and continuous improvement as the cornerstones of quality patient care delivery (NHS Leadership Academy, 2013).</w:t>
      </w:r>
    </w:p>
    <w:p w14:paraId="03F29418" w14:textId="1ED6205E" w:rsidR="001325C1" w:rsidRPr="001058F3" w:rsidRDefault="001325C1" w:rsidP="001325C1">
      <w:pPr>
        <w:rPr>
          <w:rFonts w:asciiTheme="minorBidi" w:hAnsiTheme="minorBidi"/>
        </w:rPr>
      </w:pPr>
      <w:r w:rsidRPr="001058F3">
        <w:rPr>
          <w:rFonts w:asciiTheme="minorBidi" w:hAnsiTheme="minorBidi"/>
        </w:rPr>
        <w:t>The framework identifies behaviours for leaders to engage in, including inspire shared purpose, lead with care, build the team and assess information. These behaviours help leaders foster a supportive working environment in which staff feel compelled to enhance services.</w:t>
      </w:r>
    </w:p>
    <w:p w14:paraId="3CAB202E" w14:textId="7BA2C6A9" w:rsidR="00887C8B" w:rsidRDefault="001325C1" w:rsidP="00EC76B6">
      <w:pPr>
        <w:rPr>
          <w:rFonts w:asciiTheme="minorBidi" w:hAnsiTheme="minorBidi"/>
        </w:rPr>
      </w:pPr>
      <w:r w:rsidRPr="001058F3">
        <w:rPr>
          <w:rFonts w:asciiTheme="minorBidi" w:hAnsiTheme="minorBidi"/>
        </w:rPr>
        <w:t>Transformational Leadership Theory states that leaders who motivate. In healthcare settings, transformational leaders support and promote innovative ideas by staff, which facilitate improved patient care and service provision.</w:t>
      </w:r>
    </w:p>
    <w:p w14:paraId="617D9F4A" w14:textId="7505E423" w:rsidR="002B230D" w:rsidRDefault="002B230D" w:rsidP="00EC76B6">
      <w:pPr>
        <w:rPr>
          <w:rFonts w:asciiTheme="minorBidi" w:hAnsiTheme="minorBidi"/>
        </w:rPr>
      </w:pPr>
      <w:r w:rsidRPr="002B230D">
        <w:rPr>
          <w:rFonts w:asciiTheme="minorBidi" w:hAnsiTheme="minorBidi"/>
          <w:noProof/>
        </w:rPr>
        <w:drawing>
          <wp:inline distT="0" distB="0" distL="0" distR="0" wp14:anchorId="743D098C" wp14:editId="52165DDB">
            <wp:extent cx="5731510" cy="1950720"/>
            <wp:effectExtent l="76200" t="76200" r="78740" b="68580"/>
            <wp:docPr id="663810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BEBA8EAE-BF5A-486C-A8C5-ECC9F3942E4B}">
                          <a14:imgProps xmlns:a14="http://schemas.microsoft.com/office/drawing/2010/main">
                            <a14:imgLayer r:embed="rId18">
                              <a14:imgEffect>
                                <a14:artisticPhotocopy/>
                              </a14:imgEffect>
                              <a14:imgEffect>
                                <a14:colorTemperature colorTemp="5900"/>
                              </a14:imgEffect>
                              <a14:imgEffect>
                                <a14:saturation sat="400000"/>
                              </a14:imgEffect>
                            </a14:imgLayer>
                          </a14:imgProps>
                        </a:ext>
                        <a:ext uri="{28A0092B-C50C-407E-A947-70E740481C1C}">
                          <a14:useLocalDpi xmlns:a14="http://schemas.microsoft.com/office/drawing/2010/main" val="0"/>
                        </a:ext>
                      </a:extLst>
                    </a:blip>
                    <a:srcRect t="4509" b="6705"/>
                    <a:stretch>
                      <a:fillRect/>
                    </a:stretch>
                  </pic:blipFill>
                  <pic:spPr bwMode="auto">
                    <a:xfrm>
                      <a:off x="0" y="0"/>
                      <a:ext cx="5731510" cy="1950720"/>
                    </a:xfrm>
                    <a:prstGeom prst="rect">
                      <a:avLst/>
                    </a:prstGeom>
                    <a:solidFill>
                      <a:schemeClr val="bg1">
                        <a:lumMod val="85000"/>
                      </a:schemeClr>
                    </a:solidFill>
                    <a:ln>
                      <a:noFill/>
                    </a:ln>
                    <a:effectLst>
                      <a:glow rad="63500">
                        <a:schemeClr val="bg1">
                          <a:lumMod val="95000"/>
                        </a:schemeClr>
                      </a:glow>
                      <a:reflection endPos="0" dir="5400000" sy="-100000" algn="bl" rotWithShape="0"/>
                    </a:effectLst>
                    <a:extLst>
                      <a:ext uri="{53640926-AAD7-44D8-BBD7-CCE9431645EC}">
                        <a14:shadowObscured xmlns:a14="http://schemas.microsoft.com/office/drawing/2010/main"/>
                      </a:ext>
                    </a:extLst>
                  </pic:spPr>
                </pic:pic>
              </a:graphicData>
            </a:graphic>
          </wp:inline>
        </w:drawing>
      </w:r>
    </w:p>
    <w:p w14:paraId="555CD1B6" w14:textId="77777777" w:rsidR="00AD6697" w:rsidRPr="001058F3" w:rsidRDefault="00AD6697" w:rsidP="00887C8B">
      <w:pPr>
        <w:jc w:val="center"/>
        <w:rPr>
          <w:rFonts w:asciiTheme="minorBidi" w:hAnsiTheme="minorBidi"/>
        </w:rPr>
      </w:pPr>
    </w:p>
    <w:p w14:paraId="3479D6FA" w14:textId="77777777" w:rsidR="001325C1" w:rsidRPr="001058F3" w:rsidRDefault="001325C1" w:rsidP="001325C1">
      <w:pPr>
        <w:rPr>
          <w:rFonts w:asciiTheme="minorBidi" w:hAnsiTheme="minorBidi"/>
          <w:b/>
          <w:bCs/>
          <w:sz w:val="28"/>
          <w:szCs w:val="28"/>
        </w:rPr>
      </w:pPr>
      <w:r w:rsidRPr="001058F3">
        <w:rPr>
          <w:rFonts w:asciiTheme="minorBidi" w:hAnsiTheme="minorBidi"/>
          <w:b/>
          <w:bCs/>
          <w:sz w:val="28"/>
          <w:szCs w:val="28"/>
        </w:rPr>
        <w:t>Task 8 — Self-Reflection Journal Entry</w:t>
      </w:r>
    </w:p>
    <w:p w14:paraId="4138F722" w14:textId="77777777" w:rsidR="001325C1" w:rsidRPr="001058F3" w:rsidRDefault="001325C1" w:rsidP="001325C1">
      <w:pPr>
        <w:rPr>
          <w:rFonts w:asciiTheme="minorBidi" w:hAnsiTheme="minorBidi"/>
        </w:rPr>
      </w:pPr>
      <w:r w:rsidRPr="001058F3">
        <w:rPr>
          <w:rFonts w:asciiTheme="minorBidi" w:hAnsiTheme="minorBidi"/>
        </w:rPr>
        <w:t>Within this module, I have gained valuable insights into creativity, innovation and value creation within health and social care.</w:t>
      </w:r>
    </w:p>
    <w:p w14:paraId="262CF2E6" w14:textId="07127463" w:rsidR="001325C1" w:rsidRPr="001058F3" w:rsidRDefault="001325C1" w:rsidP="001325C1">
      <w:pPr>
        <w:rPr>
          <w:rFonts w:asciiTheme="minorBidi" w:hAnsiTheme="minorBidi"/>
        </w:rPr>
      </w:pPr>
      <w:r w:rsidRPr="001058F3">
        <w:rPr>
          <w:rFonts w:asciiTheme="minorBidi" w:hAnsiTheme="minorBidi"/>
        </w:rPr>
        <w:t>Our group activity on divergent and convergent thinking made me realise how crucial it is to explore</w:t>
      </w:r>
      <w:r w:rsidR="00D20BFC">
        <w:rPr>
          <w:rFonts w:asciiTheme="minorBidi" w:hAnsiTheme="minorBidi"/>
        </w:rPr>
        <w:t xml:space="preserve"> as many ideas as </w:t>
      </w:r>
      <w:r w:rsidRPr="001058F3">
        <w:rPr>
          <w:rFonts w:asciiTheme="minorBidi" w:hAnsiTheme="minorBidi"/>
        </w:rPr>
        <w:t>possible before settling on what could work best. Applying Gibbs first cycle of reflection, I was able to evaluate my contribution towards the activity and how I could better contribute during group discussions in the future.</w:t>
      </w:r>
    </w:p>
    <w:p w14:paraId="256F2D3C" w14:textId="1DA95C67" w:rsidR="001325C1" w:rsidRDefault="001325C1" w:rsidP="001325C1">
      <w:pPr>
        <w:rPr>
          <w:rFonts w:asciiTheme="minorBidi" w:hAnsiTheme="minorBidi"/>
        </w:rPr>
      </w:pPr>
      <w:r w:rsidRPr="001058F3">
        <w:rPr>
          <w:rFonts w:asciiTheme="minorBidi" w:hAnsiTheme="minorBidi"/>
        </w:rPr>
        <w:t xml:space="preserve">What I learnt will shape my future professional practice in that I will continue to ensure an open mind to innovations and strive to promote service improvement through support for reflection. Once able to cut my analogue cords, </w:t>
      </w:r>
      <w:r w:rsidR="00D20BFC" w:rsidRPr="001058F3">
        <w:rPr>
          <w:rFonts w:asciiTheme="minorBidi" w:hAnsiTheme="minorBidi"/>
        </w:rPr>
        <w:t>I will</w:t>
      </w:r>
      <w:r w:rsidRPr="001058F3">
        <w:rPr>
          <w:rFonts w:asciiTheme="minorBidi" w:hAnsiTheme="minorBidi"/>
        </w:rPr>
        <w:t xml:space="preserve"> pave the way for clearer communication through linear innovation that could occur between health and social care settings.</w:t>
      </w:r>
    </w:p>
    <w:p w14:paraId="466E7277" w14:textId="77777777" w:rsidR="008E4FC0" w:rsidRDefault="008E4FC0" w:rsidP="001325C1">
      <w:pPr>
        <w:rPr>
          <w:rFonts w:asciiTheme="minorBidi" w:hAnsiTheme="minorBidi"/>
          <w:b/>
          <w:bCs/>
          <w:sz w:val="28"/>
          <w:szCs w:val="28"/>
        </w:rPr>
      </w:pPr>
    </w:p>
    <w:p w14:paraId="386292D7" w14:textId="60340346" w:rsidR="001325C1" w:rsidRPr="008175FB" w:rsidRDefault="001325C1" w:rsidP="001325C1">
      <w:pPr>
        <w:rPr>
          <w:rFonts w:asciiTheme="minorBidi" w:hAnsiTheme="minorBidi"/>
          <w:b/>
          <w:bCs/>
          <w:sz w:val="28"/>
          <w:szCs w:val="28"/>
        </w:rPr>
      </w:pPr>
      <w:r w:rsidRPr="008175FB">
        <w:rPr>
          <w:rFonts w:asciiTheme="minorBidi" w:hAnsiTheme="minorBidi"/>
          <w:b/>
          <w:bCs/>
          <w:sz w:val="28"/>
          <w:szCs w:val="28"/>
        </w:rPr>
        <w:lastRenderedPageBreak/>
        <w:t>Conclusion</w:t>
      </w:r>
    </w:p>
    <w:p w14:paraId="38A81640" w14:textId="392FA11C" w:rsidR="001325C1" w:rsidRPr="001058F3" w:rsidRDefault="001325C1" w:rsidP="001325C1">
      <w:pPr>
        <w:rPr>
          <w:rFonts w:asciiTheme="minorBidi" w:hAnsiTheme="minorBidi"/>
        </w:rPr>
      </w:pPr>
      <w:r w:rsidRPr="001058F3">
        <w:rPr>
          <w:rFonts w:asciiTheme="minorBidi" w:hAnsiTheme="minorBidi"/>
        </w:rPr>
        <w:t xml:space="preserve">This portfolio has critically explored the concepts of innovation, </w:t>
      </w:r>
      <w:r w:rsidR="00D20BFC" w:rsidRPr="001058F3">
        <w:rPr>
          <w:rFonts w:asciiTheme="minorBidi" w:hAnsiTheme="minorBidi"/>
        </w:rPr>
        <w:t>creativity,</w:t>
      </w:r>
      <w:r w:rsidRPr="001058F3">
        <w:rPr>
          <w:rFonts w:asciiTheme="minorBidi" w:hAnsiTheme="minorBidi"/>
        </w:rPr>
        <w:t xml:space="preserve"> and entrepreneurship within the context of health and social care. It demonstrated how creative thinking contributes to value creation and the common good by enabling organisations to develop innovative solutions that address complex healthcare challenges.</w:t>
      </w:r>
    </w:p>
    <w:p w14:paraId="236A6E6B" w14:textId="77777777" w:rsidR="001325C1" w:rsidRPr="001058F3" w:rsidRDefault="001325C1" w:rsidP="001325C1">
      <w:pPr>
        <w:rPr>
          <w:rFonts w:asciiTheme="minorBidi" w:hAnsiTheme="minorBidi"/>
        </w:rPr>
      </w:pPr>
      <w:r w:rsidRPr="001058F3">
        <w:rPr>
          <w:rFonts w:asciiTheme="minorBidi" w:hAnsiTheme="minorBidi"/>
        </w:rPr>
        <w:t>The analysis examined key theoretical models, including design thinking and the innovation funnel, highlighting their relevance to healthcare innovation while also acknowledging their limitations. The portfolio also applied creative thinking to develop a potential digital solution aimed at addressing social isolation among older adults.</w:t>
      </w:r>
    </w:p>
    <w:p w14:paraId="0F9C4D16" w14:textId="162A1780" w:rsidR="008175FB" w:rsidRPr="001058F3" w:rsidRDefault="001325C1" w:rsidP="008E4FC0">
      <w:pPr>
        <w:rPr>
          <w:rFonts w:asciiTheme="minorBidi" w:hAnsiTheme="minorBidi"/>
        </w:rPr>
      </w:pPr>
      <w:r w:rsidRPr="001058F3">
        <w:rPr>
          <w:rFonts w:asciiTheme="minorBidi" w:hAnsiTheme="minorBidi"/>
        </w:rPr>
        <w:t xml:space="preserve">Ultimately, fostering creativity and an enterprising mindset within healthcare organisations is essential for addressing current and future challenges. By encouraging innovation, healthcare systems can improve service quality, enhance patient </w:t>
      </w:r>
      <w:r w:rsidR="00D20BFC" w:rsidRPr="001058F3">
        <w:rPr>
          <w:rFonts w:asciiTheme="minorBidi" w:hAnsiTheme="minorBidi"/>
        </w:rPr>
        <w:t>outcomes,</w:t>
      </w:r>
      <w:r w:rsidRPr="001058F3">
        <w:rPr>
          <w:rFonts w:asciiTheme="minorBidi" w:hAnsiTheme="minorBidi"/>
        </w:rPr>
        <w:t xml:space="preserve"> and contribute to a more sustainable and equitable healthcare environment.</w:t>
      </w:r>
    </w:p>
    <w:p w14:paraId="37A3AF28" w14:textId="676B7B82" w:rsidR="001325C1" w:rsidRPr="008175FB" w:rsidRDefault="001325C1" w:rsidP="001325C1">
      <w:pPr>
        <w:rPr>
          <w:rFonts w:asciiTheme="minorBidi" w:hAnsiTheme="minorBidi"/>
          <w:b/>
          <w:bCs/>
          <w:sz w:val="28"/>
          <w:szCs w:val="28"/>
        </w:rPr>
      </w:pPr>
      <w:r w:rsidRPr="008175FB">
        <w:rPr>
          <w:rFonts w:asciiTheme="minorBidi" w:hAnsiTheme="minorBidi"/>
          <w:b/>
          <w:bCs/>
          <w:sz w:val="28"/>
          <w:szCs w:val="28"/>
        </w:rPr>
        <w:t>References</w:t>
      </w:r>
      <w:r w:rsidR="008175FB">
        <w:rPr>
          <w:rFonts w:asciiTheme="minorBidi" w:hAnsiTheme="minorBidi"/>
          <w:b/>
          <w:bCs/>
          <w:sz w:val="28"/>
          <w:szCs w:val="28"/>
        </w:rPr>
        <w:t xml:space="preserve">: </w:t>
      </w:r>
    </w:p>
    <w:p w14:paraId="1D835724" w14:textId="77777777" w:rsidR="001325C1" w:rsidRPr="002579F1" w:rsidRDefault="001325C1" w:rsidP="002579F1">
      <w:pPr>
        <w:rPr>
          <w:rFonts w:asciiTheme="minorBidi" w:hAnsiTheme="minorBidi"/>
        </w:rPr>
      </w:pPr>
      <w:r w:rsidRPr="002579F1">
        <w:rPr>
          <w:rFonts w:asciiTheme="minorBidi" w:hAnsiTheme="minorBidi"/>
        </w:rPr>
        <w:t xml:space="preserve">Age UK (2022) </w:t>
      </w:r>
      <w:r w:rsidRPr="002579F1">
        <w:rPr>
          <w:rFonts w:asciiTheme="minorBidi" w:hAnsiTheme="minorBidi"/>
          <w:i/>
          <w:iCs/>
        </w:rPr>
        <w:t>Loneliness and isolation evidence review.</w:t>
      </w:r>
      <w:r w:rsidRPr="002579F1">
        <w:rPr>
          <w:rFonts w:asciiTheme="minorBidi" w:hAnsiTheme="minorBidi"/>
        </w:rPr>
        <w:t xml:space="preserve"> London: Age UK.</w:t>
      </w:r>
    </w:p>
    <w:p w14:paraId="52B2D01A" w14:textId="77777777" w:rsidR="001325C1" w:rsidRPr="002579F1" w:rsidRDefault="001325C1" w:rsidP="002579F1">
      <w:pPr>
        <w:rPr>
          <w:rFonts w:asciiTheme="minorBidi" w:hAnsiTheme="minorBidi"/>
        </w:rPr>
      </w:pPr>
      <w:r w:rsidRPr="002579F1">
        <w:rPr>
          <w:rFonts w:asciiTheme="minorBidi" w:hAnsiTheme="minorBidi"/>
        </w:rPr>
        <w:t xml:space="preserve">Amabile, T. and Pratt, M. (2016) ‘The dynamic componential model of creativity and innovation in organisations’, </w:t>
      </w:r>
      <w:r w:rsidRPr="002579F1">
        <w:rPr>
          <w:rFonts w:asciiTheme="minorBidi" w:hAnsiTheme="minorBidi"/>
          <w:i/>
          <w:iCs/>
        </w:rPr>
        <w:t>Research in Organisational Behaviour</w:t>
      </w:r>
      <w:r w:rsidRPr="002579F1">
        <w:rPr>
          <w:rFonts w:asciiTheme="minorBidi" w:hAnsiTheme="minorBidi"/>
        </w:rPr>
        <w:t>, 36, pp. 157–183.</w:t>
      </w:r>
    </w:p>
    <w:p w14:paraId="30E64EFC" w14:textId="77777777" w:rsidR="001325C1" w:rsidRPr="002579F1" w:rsidRDefault="001325C1" w:rsidP="002579F1">
      <w:pPr>
        <w:rPr>
          <w:rFonts w:asciiTheme="minorBidi" w:hAnsiTheme="minorBidi"/>
        </w:rPr>
      </w:pPr>
      <w:r w:rsidRPr="002579F1">
        <w:rPr>
          <w:rFonts w:asciiTheme="minorBidi" w:hAnsiTheme="minorBidi"/>
        </w:rPr>
        <w:t xml:space="preserve">Brown, T. (2019) </w:t>
      </w:r>
      <w:r w:rsidRPr="002579F1">
        <w:rPr>
          <w:rFonts w:asciiTheme="minorBidi" w:hAnsiTheme="minorBidi"/>
          <w:i/>
          <w:iCs/>
        </w:rPr>
        <w:t>Change by Design: How Design Thinking Creates New Alternatives for Business and Society.</w:t>
      </w:r>
      <w:r w:rsidRPr="002579F1">
        <w:rPr>
          <w:rFonts w:asciiTheme="minorBidi" w:hAnsiTheme="minorBidi"/>
        </w:rPr>
        <w:t xml:space="preserve"> New York: Harper Business.</w:t>
      </w:r>
    </w:p>
    <w:p w14:paraId="0E70F5B6" w14:textId="0932E9CD" w:rsidR="001325C1" w:rsidRPr="002579F1" w:rsidRDefault="001325C1" w:rsidP="002579F1">
      <w:pPr>
        <w:rPr>
          <w:rFonts w:asciiTheme="minorBidi" w:hAnsiTheme="minorBidi"/>
        </w:rPr>
      </w:pPr>
      <w:r w:rsidRPr="002579F1">
        <w:rPr>
          <w:rFonts w:asciiTheme="minorBidi" w:hAnsiTheme="minorBidi"/>
        </w:rPr>
        <w:t xml:space="preserve">Greenhalgh, T., Wherton, J., Shaw, </w:t>
      </w:r>
      <w:r w:rsidR="00D20BFC" w:rsidRPr="002579F1">
        <w:rPr>
          <w:rFonts w:asciiTheme="minorBidi" w:hAnsiTheme="minorBidi"/>
        </w:rPr>
        <w:t>S.,</w:t>
      </w:r>
      <w:r w:rsidRPr="002579F1">
        <w:rPr>
          <w:rFonts w:asciiTheme="minorBidi" w:hAnsiTheme="minorBidi"/>
        </w:rPr>
        <w:t xml:space="preserve"> and Morrison, C. (2020) ‘Video consultations for COVID-19’, </w:t>
      </w:r>
      <w:r w:rsidRPr="002579F1">
        <w:rPr>
          <w:rFonts w:asciiTheme="minorBidi" w:hAnsiTheme="minorBidi"/>
          <w:i/>
          <w:iCs/>
        </w:rPr>
        <w:t>BMJ</w:t>
      </w:r>
      <w:r w:rsidRPr="002579F1">
        <w:rPr>
          <w:rFonts w:asciiTheme="minorBidi" w:hAnsiTheme="minorBidi"/>
        </w:rPr>
        <w:t>, 368, pp. 1–6.</w:t>
      </w:r>
    </w:p>
    <w:p w14:paraId="1E8F0AA1" w14:textId="77777777" w:rsidR="001325C1" w:rsidRPr="002579F1" w:rsidRDefault="001325C1" w:rsidP="002579F1">
      <w:pPr>
        <w:rPr>
          <w:rFonts w:asciiTheme="minorBidi" w:hAnsiTheme="minorBidi"/>
        </w:rPr>
      </w:pPr>
      <w:r w:rsidRPr="002579F1">
        <w:rPr>
          <w:rFonts w:asciiTheme="minorBidi" w:hAnsiTheme="minorBidi"/>
        </w:rPr>
        <w:t xml:space="preserve">NHS England (2023) </w:t>
      </w:r>
      <w:r w:rsidRPr="002579F1">
        <w:rPr>
          <w:rFonts w:asciiTheme="minorBidi" w:hAnsiTheme="minorBidi"/>
          <w:i/>
          <w:iCs/>
        </w:rPr>
        <w:t>Innovation in health and care.</w:t>
      </w:r>
      <w:r w:rsidRPr="002579F1">
        <w:rPr>
          <w:rFonts w:asciiTheme="minorBidi" w:hAnsiTheme="minorBidi"/>
        </w:rPr>
        <w:t xml:space="preserve"> London: NHS England.</w:t>
      </w:r>
    </w:p>
    <w:p w14:paraId="70978F36" w14:textId="77777777" w:rsidR="001325C1" w:rsidRPr="002579F1" w:rsidRDefault="001325C1" w:rsidP="002579F1">
      <w:pPr>
        <w:rPr>
          <w:rFonts w:asciiTheme="minorBidi" w:hAnsiTheme="minorBidi"/>
        </w:rPr>
      </w:pPr>
      <w:r w:rsidRPr="002579F1">
        <w:rPr>
          <w:rFonts w:asciiTheme="minorBidi" w:hAnsiTheme="minorBidi"/>
        </w:rPr>
        <w:t xml:space="preserve">OECD (2021) </w:t>
      </w:r>
      <w:r w:rsidRPr="002579F1">
        <w:rPr>
          <w:rFonts w:asciiTheme="minorBidi" w:hAnsiTheme="minorBidi"/>
          <w:i/>
          <w:iCs/>
        </w:rPr>
        <w:t>Fostering Innovation in the Health Sector.</w:t>
      </w:r>
      <w:r w:rsidRPr="002579F1">
        <w:rPr>
          <w:rFonts w:asciiTheme="minorBidi" w:hAnsiTheme="minorBidi"/>
        </w:rPr>
        <w:t xml:space="preserve"> Paris: OECD Publishing.</w:t>
      </w:r>
    </w:p>
    <w:p w14:paraId="015E0AD3" w14:textId="314B3BB3" w:rsidR="001325C1" w:rsidRPr="002579F1" w:rsidRDefault="001325C1" w:rsidP="002579F1">
      <w:pPr>
        <w:rPr>
          <w:rFonts w:asciiTheme="minorBidi" w:hAnsiTheme="minorBidi"/>
        </w:rPr>
      </w:pPr>
      <w:r w:rsidRPr="002579F1">
        <w:rPr>
          <w:rFonts w:asciiTheme="minorBidi" w:hAnsiTheme="minorBidi"/>
        </w:rPr>
        <w:t xml:space="preserve">Porter, </w:t>
      </w:r>
      <w:r w:rsidR="00D20BFC" w:rsidRPr="002579F1">
        <w:rPr>
          <w:rFonts w:asciiTheme="minorBidi" w:hAnsiTheme="minorBidi"/>
        </w:rPr>
        <w:t>M.,</w:t>
      </w:r>
      <w:r w:rsidRPr="002579F1">
        <w:rPr>
          <w:rFonts w:asciiTheme="minorBidi" w:hAnsiTheme="minorBidi"/>
        </w:rPr>
        <w:t xml:space="preserve"> and Lee, T. (2019) ‘The strategy that will fix healthcare’, </w:t>
      </w:r>
      <w:r w:rsidRPr="002579F1">
        <w:rPr>
          <w:rFonts w:asciiTheme="minorBidi" w:hAnsiTheme="minorBidi"/>
          <w:i/>
          <w:iCs/>
        </w:rPr>
        <w:t>Harvard Business Review</w:t>
      </w:r>
      <w:r w:rsidRPr="002579F1">
        <w:rPr>
          <w:rFonts w:asciiTheme="minorBidi" w:hAnsiTheme="minorBidi"/>
        </w:rPr>
        <w:t>, 97(5), pp. 50-70.</w:t>
      </w:r>
    </w:p>
    <w:p w14:paraId="0FD1EC0A" w14:textId="77777777" w:rsidR="001325C1" w:rsidRPr="002579F1" w:rsidRDefault="001325C1" w:rsidP="002579F1">
      <w:pPr>
        <w:rPr>
          <w:rFonts w:asciiTheme="minorBidi" w:hAnsiTheme="minorBidi"/>
        </w:rPr>
      </w:pPr>
      <w:r w:rsidRPr="002579F1">
        <w:rPr>
          <w:rFonts w:asciiTheme="minorBidi" w:hAnsiTheme="minorBidi"/>
        </w:rPr>
        <w:t xml:space="preserve">Rae, D. (2020) </w:t>
      </w:r>
      <w:r w:rsidRPr="002579F1">
        <w:rPr>
          <w:rFonts w:asciiTheme="minorBidi" w:hAnsiTheme="minorBidi"/>
          <w:i/>
          <w:iCs/>
        </w:rPr>
        <w:t>Entrepreneurship: From Opportunity to Action.</w:t>
      </w:r>
      <w:r w:rsidRPr="002579F1">
        <w:rPr>
          <w:rFonts w:asciiTheme="minorBidi" w:hAnsiTheme="minorBidi"/>
        </w:rPr>
        <w:t xml:space="preserve"> London: Palgrave Macmillan.</w:t>
      </w:r>
    </w:p>
    <w:p w14:paraId="0358F5A2" w14:textId="6720927D" w:rsidR="001325C1" w:rsidRPr="002579F1" w:rsidRDefault="001325C1" w:rsidP="002579F1">
      <w:pPr>
        <w:rPr>
          <w:rFonts w:asciiTheme="minorBidi" w:hAnsiTheme="minorBidi"/>
        </w:rPr>
      </w:pPr>
      <w:r w:rsidRPr="002579F1">
        <w:rPr>
          <w:rFonts w:asciiTheme="minorBidi" w:hAnsiTheme="minorBidi"/>
        </w:rPr>
        <w:t xml:space="preserve">Tidd, </w:t>
      </w:r>
      <w:r w:rsidR="00D20BFC" w:rsidRPr="002579F1">
        <w:rPr>
          <w:rFonts w:asciiTheme="minorBidi" w:hAnsiTheme="minorBidi"/>
        </w:rPr>
        <w:t>J.,</w:t>
      </w:r>
      <w:r w:rsidRPr="002579F1">
        <w:rPr>
          <w:rFonts w:asciiTheme="minorBidi" w:hAnsiTheme="minorBidi"/>
        </w:rPr>
        <w:t xml:space="preserve"> and Bessant, J. (2021) </w:t>
      </w:r>
      <w:r w:rsidRPr="002579F1">
        <w:rPr>
          <w:rFonts w:asciiTheme="minorBidi" w:hAnsiTheme="minorBidi"/>
          <w:i/>
          <w:iCs/>
        </w:rPr>
        <w:t>Managing Innovation: Integrating Technological, Market and Organisational Change.</w:t>
      </w:r>
      <w:r w:rsidRPr="002579F1">
        <w:rPr>
          <w:rFonts w:asciiTheme="minorBidi" w:hAnsiTheme="minorBidi"/>
        </w:rPr>
        <w:t xml:space="preserve"> 7th edn. Chichester: Wiley.</w:t>
      </w:r>
    </w:p>
    <w:p w14:paraId="06D3F719" w14:textId="1FBEB8A0" w:rsidR="001325C1" w:rsidRPr="002579F1" w:rsidRDefault="001325C1" w:rsidP="002579F1">
      <w:pPr>
        <w:rPr>
          <w:rFonts w:asciiTheme="minorBidi" w:hAnsiTheme="minorBidi"/>
        </w:rPr>
      </w:pPr>
      <w:r w:rsidRPr="002579F1">
        <w:rPr>
          <w:rFonts w:asciiTheme="minorBidi" w:hAnsiTheme="minorBidi"/>
        </w:rPr>
        <w:t xml:space="preserve">West, </w:t>
      </w:r>
      <w:r w:rsidR="00D20BFC" w:rsidRPr="002579F1">
        <w:rPr>
          <w:rFonts w:asciiTheme="minorBidi" w:hAnsiTheme="minorBidi"/>
        </w:rPr>
        <w:t>M.,</w:t>
      </w:r>
      <w:r w:rsidRPr="002579F1">
        <w:rPr>
          <w:rFonts w:asciiTheme="minorBidi" w:hAnsiTheme="minorBidi"/>
        </w:rPr>
        <w:t xml:space="preserve"> and Farr, J. (2020) </w:t>
      </w:r>
      <w:r w:rsidRPr="002579F1">
        <w:rPr>
          <w:rFonts w:asciiTheme="minorBidi" w:hAnsiTheme="minorBidi"/>
          <w:i/>
          <w:iCs/>
        </w:rPr>
        <w:t>Innovation at Work: Psychology and Organisational Strategies.</w:t>
      </w:r>
      <w:r w:rsidRPr="002579F1">
        <w:rPr>
          <w:rFonts w:asciiTheme="minorBidi" w:hAnsiTheme="minorBidi"/>
        </w:rPr>
        <w:t xml:space="preserve"> London: Routledge.</w:t>
      </w:r>
    </w:p>
    <w:p w14:paraId="03F38702" w14:textId="67D43BED" w:rsidR="001325C1" w:rsidRPr="001058F3" w:rsidRDefault="001325C1" w:rsidP="008E4FC0">
      <w:pPr>
        <w:rPr>
          <w:rFonts w:asciiTheme="minorBidi" w:hAnsiTheme="minorBidi"/>
        </w:rPr>
      </w:pPr>
      <w:r w:rsidRPr="002579F1">
        <w:rPr>
          <w:rFonts w:asciiTheme="minorBidi" w:hAnsiTheme="minorBidi"/>
        </w:rPr>
        <w:t xml:space="preserve">World Health Organisation (2021) </w:t>
      </w:r>
      <w:r w:rsidRPr="002579F1">
        <w:rPr>
          <w:rFonts w:asciiTheme="minorBidi" w:hAnsiTheme="minorBidi"/>
          <w:i/>
          <w:iCs/>
        </w:rPr>
        <w:t>Global Strategy on Digital Health.</w:t>
      </w:r>
      <w:r w:rsidRPr="002579F1">
        <w:rPr>
          <w:rFonts w:asciiTheme="minorBidi" w:hAnsiTheme="minorBidi"/>
        </w:rPr>
        <w:t xml:space="preserve"> Geneva: WHO.</w:t>
      </w:r>
    </w:p>
    <w:sectPr w:rsidR="001325C1" w:rsidRPr="001058F3" w:rsidSect="002351EA">
      <w:footerReference w:type="defaul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8879CC" w14:textId="77777777" w:rsidR="00AD22A8" w:rsidRDefault="00AD22A8" w:rsidP="002351EA">
      <w:pPr>
        <w:spacing w:after="0" w:line="240" w:lineRule="auto"/>
      </w:pPr>
      <w:r>
        <w:separator/>
      </w:r>
    </w:p>
  </w:endnote>
  <w:endnote w:type="continuationSeparator" w:id="0">
    <w:p w14:paraId="46B47A36" w14:textId="77777777" w:rsidR="00AD22A8" w:rsidRDefault="00AD22A8" w:rsidP="002351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1576291"/>
      <w:docPartObj>
        <w:docPartGallery w:val="Page Numbers (Bottom of Page)"/>
        <w:docPartUnique/>
      </w:docPartObj>
    </w:sdtPr>
    <w:sdtEndPr>
      <w:rPr>
        <w:noProof/>
      </w:rPr>
    </w:sdtEndPr>
    <w:sdtContent>
      <w:p w14:paraId="5DF2EFBB" w14:textId="753830C0" w:rsidR="002351EA" w:rsidRDefault="002351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DF6B94" w14:textId="77777777" w:rsidR="002351EA" w:rsidRDefault="002351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D0D5DB" w14:textId="77777777" w:rsidR="00AD22A8" w:rsidRDefault="00AD22A8" w:rsidP="002351EA">
      <w:pPr>
        <w:spacing w:after="0" w:line="240" w:lineRule="auto"/>
      </w:pPr>
      <w:r>
        <w:separator/>
      </w:r>
    </w:p>
  </w:footnote>
  <w:footnote w:type="continuationSeparator" w:id="0">
    <w:p w14:paraId="3C505699" w14:textId="77777777" w:rsidR="00AD22A8" w:rsidRDefault="00AD22A8" w:rsidP="002351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294FE8"/>
    <w:multiLevelType w:val="hybridMultilevel"/>
    <w:tmpl w:val="EAE2876E"/>
    <w:lvl w:ilvl="0" w:tplc="2D686E2A">
      <w:start w:val="1"/>
      <w:numFmt w:val="decimal"/>
      <w:lvlText w:val="%1."/>
      <w:lvlJc w:val="left"/>
      <w:pPr>
        <w:ind w:left="436" w:hanging="436"/>
      </w:pPr>
      <w:rPr>
        <w:rFonts w:hint="default"/>
      </w:rPr>
    </w:lvl>
    <w:lvl w:ilvl="1" w:tplc="08090019">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4"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A116E5"/>
    <w:multiLevelType w:val="hybridMultilevel"/>
    <w:tmpl w:val="D652B1A6"/>
    <w:lvl w:ilvl="0" w:tplc="4CDCEE34">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CF087F"/>
    <w:multiLevelType w:val="hybridMultilevel"/>
    <w:tmpl w:val="5EC8B1B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8"/>
  </w:num>
  <w:num w:numId="2" w16cid:durableId="1622766073">
    <w:abstractNumId w:val="4"/>
  </w:num>
  <w:num w:numId="3" w16cid:durableId="521866105">
    <w:abstractNumId w:val="0"/>
  </w:num>
  <w:num w:numId="4" w16cid:durableId="1518612884">
    <w:abstractNumId w:val="11"/>
  </w:num>
  <w:num w:numId="5" w16cid:durableId="1113476408">
    <w:abstractNumId w:val="15"/>
  </w:num>
  <w:num w:numId="6" w16cid:durableId="2142140862">
    <w:abstractNumId w:val="14"/>
  </w:num>
  <w:num w:numId="7" w16cid:durableId="2060398449">
    <w:abstractNumId w:val="1"/>
  </w:num>
  <w:num w:numId="8" w16cid:durableId="1191258451">
    <w:abstractNumId w:val="2"/>
  </w:num>
  <w:num w:numId="9" w16cid:durableId="1457792697">
    <w:abstractNumId w:val="10"/>
  </w:num>
  <w:num w:numId="10" w16cid:durableId="78447588">
    <w:abstractNumId w:val="13"/>
  </w:num>
  <w:num w:numId="11" w16cid:durableId="1342471444">
    <w:abstractNumId w:val="6"/>
  </w:num>
  <w:num w:numId="12" w16cid:durableId="521866661">
    <w:abstractNumId w:val="7"/>
  </w:num>
  <w:num w:numId="13" w16cid:durableId="228422474">
    <w:abstractNumId w:val="5"/>
  </w:num>
  <w:num w:numId="14" w16cid:durableId="365520384">
    <w:abstractNumId w:val="12"/>
  </w:num>
  <w:num w:numId="15" w16cid:durableId="144974457">
    <w:abstractNumId w:val="3"/>
  </w:num>
  <w:num w:numId="16" w16cid:durableId="204382528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158EE"/>
    <w:rsid w:val="000442DD"/>
    <w:rsid w:val="0007617F"/>
    <w:rsid w:val="000812B9"/>
    <w:rsid w:val="000B1AFC"/>
    <w:rsid w:val="00114199"/>
    <w:rsid w:val="00114BBA"/>
    <w:rsid w:val="001218ED"/>
    <w:rsid w:val="001325C1"/>
    <w:rsid w:val="00143B6E"/>
    <w:rsid w:val="001605BE"/>
    <w:rsid w:val="001621FA"/>
    <w:rsid w:val="001A775A"/>
    <w:rsid w:val="00212EE5"/>
    <w:rsid w:val="002351EA"/>
    <w:rsid w:val="002579F1"/>
    <w:rsid w:val="002B230D"/>
    <w:rsid w:val="002C51C0"/>
    <w:rsid w:val="002D71C8"/>
    <w:rsid w:val="00307345"/>
    <w:rsid w:val="003501ED"/>
    <w:rsid w:val="00357688"/>
    <w:rsid w:val="003B6457"/>
    <w:rsid w:val="003F093F"/>
    <w:rsid w:val="0040096B"/>
    <w:rsid w:val="004C1296"/>
    <w:rsid w:val="00532C40"/>
    <w:rsid w:val="00562A71"/>
    <w:rsid w:val="00582F93"/>
    <w:rsid w:val="005C0FD7"/>
    <w:rsid w:val="005C1F0D"/>
    <w:rsid w:val="005C28E8"/>
    <w:rsid w:val="005E3CB9"/>
    <w:rsid w:val="005F39F4"/>
    <w:rsid w:val="006016FC"/>
    <w:rsid w:val="00637C8D"/>
    <w:rsid w:val="006867BA"/>
    <w:rsid w:val="00697B4D"/>
    <w:rsid w:val="006D572E"/>
    <w:rsid w:val="00746282"/>
    <w:rsid w:val="007472D0"/>
    <w:rsid w:val="007B17E5"/>
    <w:rsid w:val="00804E06"/>
    <w:rsid w:val="008175FB"/>
    <w:rsid w:val="00830DC0"/>
    <w:rsid w:val="00870B2A"/>
    <w:rsid w:val="00887C8B"/>
    <w:rsid w:val="008C4A27"/>
    <w:rsid w:val="008D5ECA"/>
    <w:rsid w:val="008E4FC0"/>
    <w:rsid w:val="00912C68"/>
    <w:rsid w:val="0094345D"/>
    <w:rsid w:val="009B13F7"/>
    <w:rsid w:val="00A5546E"/>
    <w:rsid w:val="00A711F8"/>
    <w:rsid w:val="00AB0DFB"/>
    <w:rsid w:val="00AD22A8"/>
    <w:rsid w:val="00AD6697"/>
    <w:rsid w:val="00AE6503"/>
    <w:rsid w:val="00B44499"/>
    <w:rsid w:val="00B97965"/>
    <w:rsid w:val="00BA1C97"/>
    <w:rsid w:val="00D20BFC"/>
    <w:rsid w:val="00D44D52"/>
    <w:rsid w:val="00D46920"/>
    <w:rsid w:val="00E059A4"/>
    <w:rsid w:val="00E06A88"/>
    <w:rsid w:val="00E53107"/>
    <w:rsid w:val="00E831D8"/>
    <w:rsid w:val="00EC76B6"/>
    <w:rsid w:val="00FA565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styleId="Header">
    <w:name w:val="header"/>
    <w:basedOn w:val="Normal"/>
    <w:link w:val="HeaderChar"/>
    <w:uiPriority w:val="99"/>
    <w:unhideWhenUsed/>
    <w:rsid w:val="002351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1EA"/>
    <w:rPr>
      <w:rFonts w:ascii="Aptos" w:eastAsia="Aptos" w:hAnsi="Aptos" w:cs="Times New Roman"/>
      <w14:ligatures w14:val="none"/>
    </w:rPr>
  </w:style>
  <w:style w:type="paragraph" w:styleId="Footer">
    <w:name w:val="footer"/>
    <w:basedOn w:val="Normal"/>
    <w:link w:val="FooterChar"/>
    <w:uiPriority w:val="99"/>
    <w:unhideWhenUsed/>
    <w:rsid w:val="002351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1EA"/>
    <w:rPr>
      <w:rFonts w:ascii="Aptos" w:eastAsia="Aptos" w:hAnsi="Aptos" w:cs="Times New Roma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18" Type="http://schemas.microsoft.com/office/2007/relationships/hdphoto" Target="media/hdphoto4.wdp"/><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microsoft.com/office/2007/relationships/hdphoto" Target="media/hdphoto1.wdp"/><Relationship Id="rId17" Type="http://schemas.openxmlformats.org/officeDocument/2006/relationships/image" Target="media/image8.png"/><Relationship Id="rId2" Type="http://schemas.openxmlformats.org/officeDocument/2006/relationships/styles" Target="styles.xml"/><Relationship Id="rId16" Type="http://schemas.microsoft.com/office/2007/relationships/hdphoto" Target="media/hdphoto3.wdp"/><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microsoft.com/office/2007/relationships/hdphoto" Target="media/hdphoto2.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317</TotalTime>
  <Pages>10</Pages>
  <Words>2293</Words>
  <Characters>13074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Zakiullah Storay Khaliqyar (2415597)</cp:lastModifiedBy>
  <cp:revision>38</cp:revision>
  <dcterms:created xsi:type="dcterms:W3CDTF">2026-02-17T21:23:00Z</dcterms:created>
  <dcterms:modified xsi:type="dcterms:W3CDTF">2026-04-06T00:32:00Z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6256fa8c-15b5-4d05-a8ef-05cb10769466</vt:lpwstr>
  </property>
</Properties>
</file>