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B2BE8" w14:textId="77777777" w:rsidR="00F11593" w:rsidRDefault="00000000">
      <w:pPr>
        <w:pStyle w:val="1"/>
        <w:rPr>
          <w:bCs/>
        </w:rPr>
      </w:pPr>
      <w:r>
        <w:rPr>
          <w:bCs/>
          <w:noProof/>
        </w:rPr>
        <w:drawing>
          <wp:inline distT="0" distB="0" distL="0" distR="0" wp14:anchorId="407910B9" wp14:editId="7F834D03">
            <wp:extent cx="5274310" cy="1294130"/>
            <wp:effectExtent l="0" t="0" r="8890" b="1270"/>
            <wp:docPr id="6823466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46637" name="图片 1"/>
                    <pic:cNvPicPr>
                      <a:picLocks noChangeAspect="1"/>
                    </pic:cNvPicPr>
                  </pic:nvPicPr>
                  <pic:blipFill>
                    <a:blip r:embed="rId6"/>
                    <a:stretch>
                      <a:fillRect/>
                    </a:stretch>
                  </pic:blipFill>
                  <pic:spPr>
                    <a:xfrm>
                      <a:off x="0" y="0"/>
                      <a:ext cx="5274310" cy="1294130"/>
                    </a:xfrm>
                    <a:prstGeom prst="rect">
                      <a:avLst/>
                    </a:prstGeom>
                  </pic:spPr>
                </pic:pic>
              </a:graphicData>
            </a:graphic>
          </wp:inline>
        </w:drawing>
      </w:r>
    </w:p>
    <w:p w14:paraId="5FA06222" w14:textId="77777777" w:rsidR="00F11593" w:rsidRDefault="00000000">
      <w:pPr>
        <w:pStyle w:val="4"/>
        <w:jc w:val="right"/>
        <w:rPr>
          <w:sz w:val="44"/>
          <w:szCs w:val="44"/>
        </w:rPr>
      </w:pPr>
      <w:r>
        <w:rPr>
          <w:rFonts w:hint="eastAsia"/>
          <w:sz w:val="24"/>
        </w:rPr>
        <w:t xml:space="preserve">MODULE </w:t>
      </w:r>
      <w:proofErr w:type="gramStart"/>
      <w:r>
        <w:rPr>
          <w:rFonts w:hint="eastAsia"/>
          <w:sz w:val="24"/>
        </w:rPr>
        <w:t>CODE:ECDE</w:t>
      </w:r>
      <w:proofErr w:type="gramEnd"/>
      <w:r>
        <w:rPr>
          <w:rFonts w:hint="eastAsia"/>
          <w:sz w:val="24"/>
        </w:rPr>
        <w:t>7019</w:t>
      </w:r>
      <w:r>
        <w:rPr>
          <w:rFonts w:hint="eastAsia"/>
          <w:sz w:val="24"/>
        </w:rPr>
        <w:br/>
        <w:t>ASSESSMENT COMPONENT:3</w:t>
      </w:r>
      <w:r>
        <w:rPr>
          <w:rFonts w:hint="eastAsia"/>
          <w:sz w:val="24"/>
        </w:rPr>
        <w:br/>
        <w:t>STUDENT NAME: Tao PENG</w:t>
      </w:r>
      <w:r>
        <w:rPr>
          <w:rFonts w:hint="eastAsia"/>
          <w:sz w:val="24"/>
        </w:rPr>
        <w:br/>
        <w:t>STUDENT NUMBER:2411134</w:t>
      </w:r>
      <w:r>
        <w:rPr>
          <w:rFonts w:hint="eastAsia"/>
          <w:sz w:val="21"/>
          <w:szCs w:val="21"/>
        </w:rPr>
        <w:t xml:space="preserve"> </w:t>
      </w:r>
    </w:p>
    <w:p w14:paraId="26E1A020" w14:textId="77777777" w:rsidR="00F11593" w:rsidRDefault="00F11593">
      <w:pPr>
        <w:pStyle w:val="1"/>
        <w:rPr>
          <w:szCs w:val="44"/>
        </w:rPr>
      </w:pPr>
    </w:p>
    <w:p w14:paraId="38C8A313" w14:textId="1BEAB44D" w:rsidR="00F11593" w:rsidRPr="00165F97" w:rsidRDefault="00000000" w:rsidP="00165F97">
      <w:pPr>
        <w:pStyle w:val="a9"/>
        <w:rPr>
          <w:sz w:val="44"/>
          <w:szCs w:val="44"/>
        </w:rPr>
      </w:pPr>
      <w:r w:rsidRPr="00165F97">
        <w:rPr>
          <w:sz w:val="44"/>
          <w:szCs w:val="44"/>
        </w:rPr>
        <w:t xml:space="preserve">Language Proficiency Development </w:t>
      </w:r>
      <w:r w:rsidR="00295FE8" w:rsidRPr="00165F97">
        <w:rPr>
          <w:sz w:val="44"/>
          <w:szCs w:val="44"/>
        </w:rPr>
        <w:t>and Academic</w:t>
      </w:r>
      <w:r w:rsidRPr="00165F97">
        <w:rPr>
          <w:sz w:val="44"/>
          <w:szCs w:val="44"/>
        </w:rPr>
        <w:t xml:space="preserve"> Performance:   </w:t>
      </w:r>
    </w:p>
    <w:p w14:paraId="0424D344" w14:textId="6F1A6261" w:rsidR="00F11593" w:rsidRPr="00165F97" w:rsidRDefault="00000000" w:rsidP="00165F97">
      <w:pPr>
        <w:pStyle w:val="a9"/>
        <w:rPr>
          <w:sz w:val="44"/>
          <w:szCs w:val="44"/>
        </w:rPr>
      </w:pPr>
      <w:r w:rsidRPr="00165F97">
        <w:rPr>
          <w:sz w:val="44"/>
          <w:szCs w:val="44"/>
        </w:rPr>
        <w:t>A Critical L</w:t>
      </w:r>
      <w:r w:rsidRPr="00165F97">
        <w:rPr>
          <w:rFonts w:hint="eastAsia"/>
          <w:sz w:val="44"/>
          <w:szCs w:val="44"/>
        </w:rPr>
        <w:t xml:space="preserve">iterature </w:t>
      </w:r>
      <w:r w:rsidRPr="00165F97">
        <w:rPr>
          <w:sz w:val="44"/>
          <w:szCs w:val="44"/>
        </w:rPr>
        <w:t>R</w:t>
      </w:r>
      <w:r w:rsidRPr="00165F97">
        <w:rPr>
          <w:rFonts w:hint="eastAsia"/>
          <w:sz w:val="44"/>
          <w:szCs w:val="44"/>
        </w:rPr>
        <w:t>eview</w:t>
      </w:r>
      <w:r w:rsidRPr="00165F97">
        <w:rPr>
          <w:sz w:val="44"/>
          <w:szCs w:val="44"/>
        </w:rPr>
        <w:t xml:space="preserve"> on the </w:t>
      </w:r>
      <w:r w:rsidRPr="00165F97">
        <w:rPr>
          <w:rFonts w:hint="eastAsia"/>
          <w:sz w:val="44"/>
          <w:szCs w:val="44"/>
        </w:rPr>
        <w:t>E</w:t>
      </w:r>
      <w:r w:rsidRPr="00165F97">
        <w:rPr>
          <w:sz w:val="44"/>
          <w:szCs w:val="44"/>
        </w:rPr>
        <w:t>ffectiveness of P</w:t>
      </w:r>
      <w:r w:rsidRPr="00165F97">
        <w:rPr>
          <w:rFonts w:hint="eastAsia"/>
          <w:sz w:val="44"/>
          <w:szCs w:val="44"/>
        </w:rPr>
        <w:t>r</w:t>
      </w:r>
      <w:r w:rsidR="00165F97">
        <w:rPr>
          <w:sz w:val="44"/>
          <w:szCs w:val="44"/>
        </w:rPr>
        <w:t>e</w:t>
      </w:r>
      <w:r w:rsidRPr="00165F97">
        <w:rPr>
          <w:rFonts w:hint="eastAsia"/>
          <w:sz w:val="44"/>
          <w:szCs w:val="44"/>
        </w:rPr>
        <w:t xml:space="preserve">-sessional </w:t>
      </w:r>
      <w:r w:rsidRPr="00165F97">
        <w:rPr>
          <w:sz w:val="44"/>
          <w:szCs w:val="44"/>
        </w:rPr>
        <w:t>P</w:t>
      </w:r>
      <w:r w:rsidRPr="00165F97">
        <w:rPr>
          <w:rFonts w:hint="eastAsia"/>
          <w:sz w:val="44"/>
          <w:szCs w:val="44"/>
        </w:rPr>
        <w:t>rogram</w:t>
      </w:r>
    </w:p>
    <w:p w14:paraId="13C9967F" w14:textId="77777777" w:rsidR="00F11593" w:rsidRDefault="00F11593">
      <w:pPr>
        <w:rPr>
          <w:sz w:val="44"/>
          <w:szCs w:val="44"/>
        </w:rPr>
      </w:pPr>
    </w:p>
    <w:p w14:paraId="379F41DB" w14:textId="77777777" w:rsidR="00F11593" w:rsidRDefault="00F11593">
      <w:pPr>
        <w:rPr>
          <w:sz w:val="44"/>
          <w:szCs w:val="44"/>
        </w:rPr>
      </w:pPr>
    </w:p>
    <w:p w14:paraId="73AE3F7A" w14:textId="77777777" w:rsidR="00F11593" w:rsidRDefault="00F11593">
      <w:pPr>
        <w:rPr>
          <w:sz w:val="44"/>
          <w:szCs w:val="44"/>
        </w:rPr>
      </w:pPr>
    </w:p>
    <w:p w14:paraId="5F26708E" w14:textId="77777777" w:rsidR="00165F97" w:rsidRDefault="00165F97">
      <w:pPr>
        <w:rPr>
          <w:sz w:val="44"/>
          <w:szCs w:val="44"/>
        </w:rPr>
      </w:pPr>
    </w:p>
    <w:p w14:paraId="2E2A2A0E" w14:textId="77777777" w:rsidR="00165F97" w:rsidRDefault="00165F97">
      <w:pPr>
        <w:rPr>
          <w:sz w:val="44"/>
          <w:szCs w:val="44"/>
        </w:rPr>
      </w:pPr>
    </w:p>
    <w:p w14:paraId="5ACA3ABF" w14:textId="77777777" w:rsidR="00165F97" w:rsidRPr="00165F97" w:rsidRDefault="00165F97">
      <w:pPr>
        <w:rPr>
          <w:rFonts w:hint="eastAsia"/>
          <w:sz w:val="44"/>
          <w:szCs w:val="44"/>
        </w:rPr>
      </w:pPr>
    </w:p>
    <w:p w14:paraId="7EC6321D" w14:textId="77777777" w:rsidR="00F11593" w:rsidRDefault="00000000">
      <w:pPr>
        <w:pStyle w:val="1"/>
        <w:numPr>
          <w:ilvl w:val="0"/>
          <w:numId w:val="1"/>
        </w:numPr>
      </w:pPr>
      <w:r>
        <w:rPr>
          <w:rFonts w:hint="eastAsia"/>
        </w:rPr>
        <w:lastRenderedPageBreak/>
        <w:t>Introduction</w:t>
      </w:r>
    </w:p>
    <w:p w14:paraId="147D7A0C" w14:textId="77777777" w:rsidR="00F11593" w:rsidRDefault="00000000">
      <w:pPr>
        <w:pStyle w:val="2"/>
        <w:numPr>
          <w:ilvl w:val="1"/>
          <w:numId w:val="2"/>
        </w:numPr>
      </w:pPr>
      <w:r>
        <w:rPr>
          <w:rFonts w:hint="eastAsia"/>
        </w:rPr>
        <w:t>Context</w:t>
      </w:r>
    </w:p>
    <w:p w14:paraId="2CBFED69" w14:textId="65576F78" w:rsidR="00F11593" w:rsidRDefault="00000000">
      <w:r>
        <w:rPr>
          <w:rFonts w:hint="eastAsia"/>
        </w:rPr>
        <w:t xml:space="preserve">The </w:t>
      </w:r>
      <w:r w:rsidRPr="00347ABF">
        <w:rPr>
          <w:rFonts w:hint="eastAsia"/>
        </w:rPr>
        <w:t xml:space="preserve">necessity </w:t>
      </w:r>
      <w:r>
        <w:rPr>
          <w:rFonts w:hint="eastAsia"/>
        </w:rPr>
        <w:t xml:space="preserve">for evaluating the effectiveness of Higher </w:t>
      </w:r>
      <w:r>
        <w:t>E</w:t>
      </w:r>
      <w:r>
        <w:rPr>
          <w:rFonts w:hint="eastAsia"/>
        </w:rPr>
        <w:t xml:space="preserve">ducation </w:t>
      </w:r>
      <w:r>
        <w:t>(HE)</w:t>
      </w:r>
      <w:r>
        <w:rPr>
          <w:rFonts w:hint="eastAsia"/>
        </w:rPr>
        <w:t xml:space="preserve"> </w:t>
      </w:r>
      <w:r>
        <w:t>P</w:t>
      </w:r>
      <w:r>
        <w:rPr>
          <w:rFonts w:hint="eastAsia"/>
        </w:rPr>
        <w:t>rograms stems from their critical role in shaping academic outcomes. From a practical standpoint,</w:t>
      </w:r>
      <w:r>
        <w:t xml:space="preserve"> ‘w</w:t>
      </w:r>
      <w:r>
        <w:rPr>
          <w:rFonts w:hint="eastAsia"/>
        </w:rPr>
        <w:t>here does the urgency of assessment come from</w:t>
      </w:r>
      <w:r w:rsidR="00347ABF">
        <w:t xml:space="preserve"> </w:t>
      </w:r>
      <w:r>
        <w:t>(Saunders et al., 2001)’?</w:t>
      </w:r>
      <w:r>
        <w:rPr>
          <w:rFonts w:hint="eastAsia"/>
        </w:rPr>
        <w:t xml:space="preserve"> </w:t>
      </w:r>
      <w:r>
        <w:t>S</w:t>
      </w:r>
      <w:r>
        <w:rPr>
          <w:rFonts w:hint="eastAsia"/>
        </w:rPr>
        <w:t xml:space="preserve">uch assessments are </w:t>
      </w:r>
      <w:r>
        <w:t>important</w:t>
      </w:r>
      <w:r>
        <w:rPr>
          <w:rFonts w:hint="eastAsia"/>
        </w:rPr>
        <w:t xml:space="preserve"> for ensuring that educational initiatives meet their intended </w:t>
      </w:r>
      <w:r>
        <w:t>demands</w:t>
      </w:r>
      <w:r>
        <w:rPr>
          <w:rFonts w:hint="eastAsia"/>
        </w:rPr>
        <w:t>. For Chinese</w:t>
      </w:r>
      <w:r>
        <w:t xml:space="preserve"> I</w:t>
      </w:r>
      <w:r>
        <w:rPr>
          <w:rFonts w:hint="eastAsia"/>
        </w:rPr>
        <w:t xml:space="preserve">nternational students, this need is particularly pronounced. Their ability to thrive academically hinges on the capacity of preparatory courses, such as </w:t>
      </w:r>
      <w:r>
        <w:t>P</w:t>
      </w:r>
      <w:r>
        <w:rPr>
          <w:rFonts w:hint="eastAsia"/>
        </w:rPr>
        <w:t xml:space="preserve">re-sessional </w:t>
      </w:r>
      <w:r>
        <w:t>P</w:t>
      </w:r>
      <w:r>
        <w:rPr>
          <w:rFonts w:hint="eastAsia"/>
        </w:rPr>
        <w:t xml:space="preserve">rograms (PSPs). As noted by Smith (2020), the success of international students often depends on how well these programs prepare them for the </w:t>
      </w:r>
      <w:r>
        <w:t>goal</w:t>
      </w:r>
      <w:r>
        <w:rPr>
          <w:rFonts w:hint="eastAsia"/>
        </w:rPr>
        <w:t>s of their academic environments. Similarly, Zhao</w:t>
      </w:r>
      <w:r w:rsidR="00347ABF">
        <w:t xml:space="preserve"> </w:t>
      </w:r>
      <w:r>
        <w:rPr>
          <w:rFonts w:hint="eastAsia"/>
        </w:rPr>
        <w:t>and Mohamad (2024) emphasiz</w:t>
      </w:r>
      <w:r>
        <w:t>e</w:t>
      </w:r>
      <w:r>
        <w:rPr>
          <w:rFonts w:hint="eastAsia"/>
        </w:rPr>
        <w:t xml:space="preserve"> that bridging these gaps is crucial for fostering academic achievement</w:t>
      </w:r>
      <w:r w:rsidR="00347ABF">
        <w:rPr>
          <w:rFonts w:hint="eastAsia"/>
        </w:rPr>
        <w:t>，</w:t>
      </w:r>
      <w:r>
        <w:rPr>
          <w:rFonts w:hint="eastAsia"/>
        </w:rPr>
        <w:t xml:space="preserve">long-term integration and satisfaction. Thus, the urgency of assessment lies in its ability to validate and enhance the effectiveness of these preparatory efforts, robust frameworks for academic literacy development have become particularly important, and PSPs have emerged as key transitional interventions. Based on a variety of theories such as Bloom's taxonomy of cognitive scaffolding (Anderson &amp; Krathwohl, 2001), English for Academic Purposes (EAP) has received increasing attention, but significant gaps in the research remain, with empirical evidence on the role of PSP in facilitating long term academic success such as students' progression to a degree </w:t>
      </w:r>
      <w:proofErr w:type="spellStart"/>
      <w:r>
        <w:rPr>
          <w:rFonts w:hint="eastAsia"/>
        </w:rPr>
        <w:t>programme</w:t>
      </w:r>
      <w:proofErr w:type="spellEnd"/>
      <w:r>
        <w:rPr>
          <w:rFonts w:hint="eastAsia"/>
        </w:rPr>
        <w:t xml:space="preserve"> being more sporadic. Thi</w:t>
      </w:r>
      <w:r>
        <w:t>s</w:t>
      </w:r>
      <w:r>
        <w:rPr>
          <w:rFonts w:hint="eastAsia"/>
        </w:rPr>
        <w:t xml:space="preserve"> review provides an overview of seminal theories (Hyland, 2016) and contemporary case studies of PSP, exploring two major paradoxes: the misalignment between curriculum goals and the needs of </w:t>
      </w:r>
      <w:r>
        <w:t xml:space="preserve">EAP </w:t>
      </w:r>
      <w:r>
        <w:rPr>
          <w:rFonts w:hint="eastAsia"/>
        </w:rPr>
        <w:t>teaching, and the lack of longitudinal data tracking student performance after PSP. By combing through different databases</w:t>
      </w:r>
      <w:r>
        <w:t>,</w:t>
      </w:r>
      <w:r>
        <w:rPr>
          <w:rFonts w:hint="eastAsia"/>
        </w:rPr>
        <w:t xml:space="preserve"> it </w:t>
      </w:r>
      <w:proofErr w:type="spellStart"/>
      <w:r>
        <w:rPr>
          <w:rFonts w:hint="eastAsia"/>
        </w:rPr>
        <w:t>prioritises</w:t>
      </w:r>
      <w:proofErr w:type="spellEnd"/>
      <w:r>
        <w:rPr>
          <w:rFonts w:hint="eastAsia"/>
        </w:rPr>
        <w:t xml:space="preserve"> peer-reviewed analyses from Journal</w:t>
      </w:r>
      <w:r>
        <w:t>s</w:t>
      </w:r>
      <w:r>
        <w:rPr>
          <w:rFonts w:hint="eastAsia"/>
        </w:rPr>
        <w:t xml:space="preserve"> </w:t>
      </w:r>
      <w:r>
        <w:t>and</w:t>
      </w:r>
      <w:r>
        <w:rPr>
          <w:rFonts w:hint="eastAsia"/>
        </w:rPr>
        <w:t xml:space="preserve"> </w:t>
      </w:r>
      <w:r>
        <w:t>other resources</w:t>
      </w:r>
      <w:r>
        <w:rPr>
          <w:rFonts w:hint="eastAsia"/>
        </w:rPr>
        <w:t xml:space="preserve"> to critically assess how the PSP</w:t>
      </w:r>
      <w:r>
        <w:t>s</w:t>
      </w:r>
      <w:r w:rsidR="00347ABF">
        <w:t xml:space="preserve"> </w:t>
      </w:r>
      <w:r>
        <w:rPr>
          <w:rFonts w:hint="eastAsia"/>
        </w:rPr>
        <w:t xml:space="preserve">balance between </w:t>
      </w:r>
      <w:r>
        <w:rPr>
          <w:rFonts w:hint="eastAsia"/>
          <w:b/>
          <w:bCs/>
        </w:rPr>
        <w:t>Language Proficiency</w:t>
      </w:r>
      <w:r>
        <w:rPr>
          <w:b/>
          <w:bCs/>
        </w:rPr>
        <w:t xml:space="preserve"> </w:t>
      </w:r>
      <w:r>
        <w:rPr>
          <w:rFonts w:hint="eastAsia"/>
          <w:b/>
          <w:bCs/>
        </w:rPr>
        <w:t>Outcome</w:t>
      </w:r>
      <w:r>
        <w:rPr>
          <w:rFonts w:hint="eastAsia"/>
        </w:rPr>
        <w:t xml:space="preserve"> and </w:t>
      </w:r>
      <w:r>
        <w:rPr>
          <w:rFonts w:hint="eastAsia"/>
          <w:b/>
          <w:bCs/>
        </w:rPr>
        <w:t>Academic Performance Success</w:t>
      </w:r>
      <w:r>
        <w:rPr>
          <w:rFonts w:hint="eastAsia"/>
        </w:rPr>
        <w:t>. The findings aim to shed light on the effectiveness of PSP in response to theoretical gaps and the need of policy makers for accountability in the global education market.</w:t>
      </w:r>
    </w:p>
    <w:p w14:paraId="5A03A0D2" w14:textId="77777777" w:rsidR="00F11593" w:rsidRDefault="00000000">
      <w:pPr>
        <w:pStyle w:val="2"/>
      </w:pPr>
      <w:r>
        <w:rPr>
          <w:rFonts w:hint="eastAsia"/>
        </w:rPr>
        <w:t xml:space="preserve">1.2 Key </w:t>
      </w:r>
      <w:r>
        <w:t>S</w:t>
      </w:r>
      <w:r>
        <w:rPr>
          <w:rFonts w:hint="eastAsia"/>
        </w:rPr>
        <w:t xml:space="preserve">earch </w:t>
      </w:r>
      <w:r>
        <w:t>T</w:t>
      </w:r>
      <w:r>
        <w:rPr>
          <w:rFonts w:hint="eastAsia"/>
        </w:rPr>
        <w:t xml:space="preserve">erms and </w:t>
      </w:r>
      <w:r>
        <w:t>P</w:t>
      </w:r>
      <w:r>
        <w:rPr>
          <w:rFonts w:hint="eastAsia"/>
        </w:rPr>
        <w:t xml:space="preserve">rocess of </w:t>
      </w:r>
      <w:r>
        <w:t>R</w:t>
      </w:r>
      <w:r>
        <w:rPr>
          <w:rFonts w:hint="eastAsia"/>
        </w:rPr>
        <w:t>eview</w:t>
      </w:r>
    </w:p>
    <w:p w14:paraId="583D83A9" w14:textId="77777777" w:rsidR="00F11593" w:rsidRDefault="00000000">
      <w:pPr>
        <w:pStyle w:val="3"/>
      </w:pPr>
      <w:r>
        <w:t xml:space="preserve">1.2.1 </w:t>
      </w:r>
      <w:r>
        <w:rPr>
          <w:rFonts w:hint="eastAsia"/>
        </w:rPr>
        <w:t>Systematic Literature Screening Framework</w:t>
      </w:r>
    </w:p>
    <w:p w14:paraId="4AF0CF66" w14:textId="77777777" w:rsidR="00F11593" w:rsidRDefault="00000000">
      <w:pPr>
        <w:rPr>
          <w:b/>
          <w:sz w:val="32"/>
        </w:rPr>
      </w:pPr>
      <w:r>
        <w:rPr>
          <w:b/>
          <w:sz w:val="32"/>
        </w:rPr>
        <w:t>I</w:t>
      </w:r>
      <w:r>
        <w:rPr>
          <w:rFonts w:hint="eastAsia"/>
          <w:b/>
          <w:sz w:val="32"/>
        </w:rPr>
        <w:t>nclusion &amp; exclusion</w:t>
      </w:r>
    </w:p>
    <w:p w14:paraId="13515034" w14:textId="1E309F88" w:rsidR="00F11593" w:rsidRDefault="00000000">
      <w:pPr>
        <w:pStyle w:val="a3"/>
        <w:widowControl/>
        <w:rPr>
          <w:sz w:val="21"/>
          <w:szCs w:val="21"/>
        </w:rPr>
      </w:pPr>
      <w:r>
        <w:rPr>
          <w:sz w:val="21"/>
          <w:szCs w:val="21"/>
        </w:rPr>
        <w:t xml:space="preserve">Inclusion criteria </w:t>
      </w:r>
      <w:r>
        <w:rPr>
          <w:rFonts w:hint="eastAsia"/>
          <w:sz w:val="21"/>
          <w:szCs w:val="21"/>
        </w:rPr>
        <w:t>are</w:t>
      </w:r>
      <w:r>
        <w:rPr>
          <w:sz w:val="21"/>
          <w:szCs w:val="21"/>
        </w:rPr>
        <w:t xml:space="preserve"> based on the presence of key terms such as </w:t>
      </w:r>
      <w:r>
        <w:rPr>
          <w:b/>
          <w:bCs/>
          <w:sz w:val="21"/>
          <w:szCs w:val="21"/>
        </w:rPr>
        <w:t>"pre-sessional" "framework effectiveness" "language proficiency development " "academic performance" "YKKS C</w:t>
      </w:r>
      <w:r>
        <w:rPr>
          <w:rFonts w:hint="eastAsia"/>
          <w:b/>
          <w:bCs/>
          <w:sz w:val="21"/>
          <w:szCs w:val="21"/>
        </w:rPr>
        <w:t>hinese</w:t>
      </w:r>
      <w:r>
        <w:rPr>
          <w:b/>
          <w:bCs/>
          <w:sz w:val="21"/>
          <w:szCs w:val="21"/>
        </w:rPr>
        <w:t xml:space="preserve"> pre-sessional program" </w:t>
      </w:r>
      <w:r w:rsidR="00347ABF" w:rsidRPr="00347ABF">
        <w:rPr>
          <w:sz w:val="21"/>
          <w:szCs w:val="21"/>
        </w:rPr>
        <w:t>and</w:t>
      </w:r>
      <w:r w:rsidR="00347ABF">
        <w:rPr>
          <w:b/>
          <w:bCs/>
          <w:sz w:val="21"/>
          <w:szCs w:val="21"/>
        </w:rPr>
        <w:t xml:space="preserve"> </w:t>
      </w:r>
      <w:r>
        <w:rPr>
          <w:b/>
          <w:bCs/>
          <w:sz w:val="21"/>
          <w:szCs w:val="21"/>
        </w:rPr>
        <w:t>"</w:t>
      </w:r>
      <w:r>
        <w:rPr>
          <w:rFonts w:hint="eastAsia"/>
          <w:b/>
          <w:bCs/>
          <w:sz w:val="21"/>
          <w:szCs w:val="21"/>
        </w:rPr>
        <w:t>Challenge-Support-Readiness Model</w:t>
      </w:r>
      <w:r>
        <w:rPr>
          <w:b/>
          <w:bCs/>
          <w:sz w:val="21"/>
          <w:szCs w:val="21"/>
        </w:rPr>
        <w:t>"</w:t>
      </w:r>
      <w:r w:rsidR="00347ABF">
        <w:rPr>
          <w:b/>
          <w:bCs/>
          <w:sz w:val="21"/>
          <w:szCs w:val="21"/>
        </w:rPr>
        <w:t xml:space="preserve"> </w:t>
      </w:r>
      <w:r>
        <w:rPr>
          <w:sz w:val="21"/>
          <w:szCs w:val="21"/>
        </w:rPr>
        <w:t xml:space="preserve">in article titles, abstracts, and keywords. Sources from </w:t>
      </w:r>
      <w:r>
        <w:rPr>
          <w:b/>
          <w:bCs/>
          <w:sz w:val="21"/>
          <w:szCs w:val="21"/>
        </w:rPr>
        <w:t>Google Scholar, Scopus</w:t>
      </w:r>
      <w:r w:rsidR="00347ABF">
        <w:rPr>
          <w:sz w:val="21"/>
          <w:szCs w:val="21"/>
        </w:rPr>
        <w:t xml:space="preserve">, </w:t>
      </w:r>
      <w:r>
        <w:rPr>
          <w:sz w:val="21"/>
          <w:szCs w:val="21"/>
        </w:rPr>
        <w:t xml:space="preserve">and </w:t>
      </w:r>
      <w:r>
        <w:rPr>
          <w:b/>
          <w:bCs/>
          <w:sz w:val="21"/>
          <w:szCs w:val="21"/>
        </w:rPr>
        <w:t>CNKI</w:t>
      </w:r>
      <w:r>
        <w:rPr>
          <w:sz w:val="21"/>
          <w:szCs w:val="21"/>
        </w:rPr>
        <w:t xml:space="preserve"> are </w:t>
      </w:r>
      <w:proofErr w:type="spellStart"/>
      <w:r>
        <w:rPr>
          <w:sz w:val="21"/>
          <w:szCs w:val="21"/>
        </w:rPr>
        <w:t>prioritised</w:t>
      </w:r>
      <w:proofErr w:type="spellEnd"/>
      <w:r>
        <w:rPr>
          <w:sz w:val="21"/>
          <w:szCs w:val="21"/>
        </w:rPr>
        <w:t xml:space="preserve"> due to their </w:t>
      </w:r>
      <w:r>
        <w:rPr>
          <w:sz w:val="21"/>
          <w:szCs w:val="21"/>
        </w:rPr>
        <w:lastRenderedPageBreak/>
        <w:t xml:space="preserve">academic credibility. However, studies unrelated to EAP or higher education contexts are excluded. </w:t>
      </w:r>
    </w:p>
    <w:p w14:paraId="317E8DB1" w14:textId="77777777" w:rsidR="00F11593" w:rsidRDefault="00000000">
      <w:pPr>
        <w:pStyle w:val="a3"/>
        <w:widowControl/>
        <w:rPr>
          <w:sz w:val="21"/>
          <w:szCs w:val="21"/>
        </w:rPr>
      </w:pPr>
      <w:r>
        <w:rPr>
          <w:sz w:val="21"/>
          <w:szCs w:val="21"/>
        </w:rPr>
        <w:t>Additionally, fuzzy matching techniques are employed to identify overlapping literature across different searches, ensuring the selection of consistently referenced materials.</w:t>
      </w:r>
    </w:p>
    <w:p w14:paraId="5F0E9EFC" w14:textId="77777777" w:rsidR="00F11593" w:rsidRDefault="00000000">
      <w:pPr>
        <w:pStyle w:val="a3"/>
        <w:widowControl/>
        <w:rPr>
          <w:sz w:val="21"/>
          <w:szCs w:val="21"/>
        </w:rPr>
      </w:pPr>
      <w:r>
        <w:rPr>
          <w:sz w:val="21"/>
          <w:szCs w:val="21"/>
        </w:rPr>
        <w:t>A systematic approach was employed to refine the literature selection for this study. As seen in the search results from ASSESSMENT COMPONENT 1 of ECDE7019, a significant number of studies were published after 2016, reinforcing the validity of this time</w:t>
      </w:r>
      <w:r>
        <w:rPr>
          <w:rFonts w:hint="eastAsia"/>
          <w:sz w:val="21"/>
          <w:szCs w:val="21"/>
        </w:rPr>
        <w:t xml:space="preserve"> </w:t>
      </w:r>
      <w:r>
        <w:rPr>
          <w:sz w:val="21"/>
          <w:szCs w:val="21"/>
        </w:rPr>
        <w:t xml:space="preserve">frame. Given the increasing academic interest in </w:t>
      </w:r>
      <w:r>
        <w:rPr>
          <w:rFonts w:hint="eastAsia"/>
          <w:sz w:val="21"/>
          <w:szCs w:val="21"/>
        </w:rPr>
        <w:t>PSP</w:t>
      </w:r>
      <w:r>
        <w:rPr>
          <w:sz w:val="21"/>
          <w:szCs w:val="21"/>
        </w:rPr>
        <w:t xml:space="preserve">, particularly from 2016 onwards, the search period was adjusted from a twenty-year range to ‘2016–Present’ to ensure relevance. </w:t>
      </w:r>
    </w:p>
    <w:p w14:paraId="4EF601A9" w14:textId="77777777" w:rsidR="00F11593" w:rsidRDefault="00000000">
      <w:pPr>
        <w:pStyle w:val="3"/>
      </w:pPr>
      <w:r>
        <w:rPr>
          <w:rFonts w:hint="eastAsia"/>
        </w:rPr>
        <w:t>C</w:t>
      </w:r>
      <w:r>
        <w:t>onnotation</w:t>
      </w:r>
    </w:p>
    <w:p w14:paraId="4EAAA19C" w14:textId="4A64EB96" w:rsidR="00F11593" w:rsidRDefault="00000000">
      <w:pPr>
        <w:pStyle w:val="a3"/>
        <w:widowControl/>
        <w:rPr>
          <w:sz w:val="21"/>
          <w:szCs w:val="21"/>
        </w:rPr>
      </w:pPr>
      <w:r>
        <w:rPr>
          <w:sz w:val="21"/>
          <w:szCs w:val="21"/>
        </w:rPr>
        <w:t xml:space="preserve">The term </w:t>
      </w:r>
      <w:r>
        <w:rPr>
          <w:b/>
          <w:bCs/>
          <w:sz w:val="21"/>
          <w:szCs w:val="21"/>
        </w:rPr>
        <w:t>“pre-sessional”</w:t>
      </w:r>
      <w:r>
        <w:rPr>
          <w:sz w:val="21"/>
          <w:szCs w:val="21"/>
        </w:rPr>
        <w:t xml:space="preserve"> explicitly refers to academic preparatory </w:t>
      </w:r>
      <w:proofErr w:type="spellStart"/>
      <w:r>
        <w:rPr>
          <w:sz w:val="21"/>
          <w:szCs w:val="21"/>
        </w:rPr>
        <w:t>programmes</w:t>
      </w:r>
      <w:proofErr w:type="spellEnd"/>
      <w:r>
        <w:rPr>
          <w:sz w:val="21"/>
          <w:szCs w:val="21"/>
        </w:rPr>
        <w:t xml:space="preserve"> designed to support students before their main degree courses (Hyland, 2006). However, its connotation varies across different studies. Some researchers </w:t>
      </w:r>
      <w:proofErr w:type="spellStart"/>
      <w:r>
        <w:rPr>
          <w:sz w:val="21"/>
          <w:szCs w:val="21"/>
        </w:rPr>
        <w:t>emphasise</w:t>
      </w:r>
      <w:proofErr w:type="spellEnd"/>
      <w:r>
        <w:rPr>
          <w:sz w:val="21"/>
          <w:szCs w:val="21"/>
        </w:rPr>
        <w:t xml:space="preserve"> </w:t>
      </w:r>
      <w:r>
        <w:rPr>
          <w:b/>
          <w:bCs/>
          <w:sz w:val="21"/>
          <w:szCs w:val="21"/>
        </w:rPr>
        <w:t>linguistic skill development</w:t>
      </w:r>
      <w:r>
        <w:rPr>
          <w:sz w:val="21"/>
          <w:szCs w:val="21"/>
        </w:rPr>
        <w:t xml:space="preserve"> (Jordan, 1997), while others focus on </w:t>
      </w:r>
      <w:r>
        <w:rPr>
          <w:b/>
          <w:bCs/>
          <w:sz w:val="21"/>
          <w:szCs w:val="21"/>
        </w:rPr>
        <w:t xml:space="preserve">academic acculturation </w:t>
      </w:r>
      <w:r>
        <w:rPr>
          <w:sz w:val="21"/>
          <w:szCs w:val="21"/>
        </w:rPr>
        <w:t xml:space="preserve">(Wingate, 2015). This review </w:t>
      </w:r>
      <w:proofErr w:type="spellStart"/>
      <w:r>
        <w:rPr>
          <w:sz w:val="21"/>
          <w:szCs w:val="21"/>
        </w:rPr>
        <w:t>synthesises</w:t>
      </w:r>
      <w:proofErr w:type="spellEnd"/>
      <w:r>
        <w:rPr>
          <w:sz w:val="21"/>
          <w:szCs w:val="21"/>
        </w:rPr>
        <w:t xml:space="preserve"> these perspectives, where diverse keyword combinations yield different literature pools.</w:t>
      </w:r>
    </w:p>
    <w:p w14:paraId="0306C920" w14:textId="4ED0E2DA" w:rsidR="00F11593" w:rsidRDefault="00000000">
      <w:pPr>
        <w:pStyle w:val="a3"/>
        <w:widowControl/>
        <w:rPr>
          <w:sz w:val="21"/>
          <w:szCs w:val="21"/>
        </w:rPr>
      </w:pPr>
      <w:r>
        <w:rPr>
          <w:sz w:val="21"/>
          <w:szCs w:val="21"/>
        </w:rPr>
        <w:t xml:space="preserve">The selection process followed an </w:t>
      </w:r>
      <w:r>
        <w:rPr>
          <w:b/>
          <w:bCs/>
          <w:sz w:val="21"/>
          <w:szCs w:val="21"/>
        </w:rPr>
        <w:t>analysis-synthesis-evaluation</w:t>
      </w:r>
      <w:r>
        <w:rPr>
          <w:sz w:val="21"/>
          <w:szCs w:val="21"/>
        </w:rPr>
        <w:t xml:space="preserve"> model (Bloom, 1956). Breaking down existing research,</w:t>
      </w:r>
      <w:r w:rsidR="00347ABF">
        <w:rPr>
          <w:sz w:val="21"/>
          <w:szCs w:val="21"/>
        </w:rPr>
        <w:t xml:space="preserve"> </w:t>
      </w:r>
      <w:r>
        <w:rPr>
          <w:sz w:val="21"/>
          <w:szCs w:val="21"/>
        </w:rPr>
        <w:t xml:space="preserve">it is found that most of the research on PSP has focused on two areas and also the relation between: </w:t>
      </w:r>
      <w:r w:rsidR="00347ABF">
        <w:rPr>
          <w:sz w:val="21"/>
          <w:szCs w:val="21"/>
        </w:rPr>
        <w:t>‘</w:t>
      </w:r>
      <w:r>
        <w:rPr>
          <w:b/>
          <w:bCs/>
          <w:sz w:val="21"/>
          <w:szCs w:val="21"/>
        </w:rPr>
        <w:t>Language Proficiency &amp; Academic Performance</w:t>
      </w:r>
      <w:r w:rsidR="00347ABF">
        <w:rPr>
          <w:b/>
          <w:bCs/>
          <w:sz w:val="21"/>
          <w:szCs w:val="21"/>
        </w:rPr>
        <w:t>’</w:t>
      </w:r>
      <w:r>
        <w:rPr>
          <w:sz w:val="21"/>
          <w:szCs w:val="21"/>
        </w:rPr>
        <w:t xml:space="preserve">, especially </w:t>
      </w:r>
      <w:r>
        <w:rPr>
          <w:rFonts w:hint="eastAsia"/>
          <w:sz w:val="21"/>
          <w:szCs w:val="21"/>
        </w:rPr>
        <w:t xml:space="preserve">Atherton </w:t>
      </w:r>
      <w:r>
        <w:rPr>
          <w:sz w:val="21"/>
          <w:szCs w:val="21"/>
        </w:rPr>
        <w:t>(2006) and Green (2007)</w:t>
      </w:r>
      <w:r>
        <w:rPr>
          <w:rFonts w:hint="eastAsia"/>
          <w:sz w:val="21"/>
          <w:szCs w:val="21"/>
        </w:rPr>
        <w:t xml:space="preserve"> argue </w:t>
      </w:r>
      <w:r>
        <w:rPr>
          <w:sz w:val="21"/>
          <w:szCs w:val="21"/>
        </w:rPr>
        <w:t>PSP students often experience</w:t>
      </w:r>
      <w:r w:rsidR="00347ABF">
        <w:rPr>
          <w:sz w:val="21"/>
          <w:szCs w:val="21"/>
        </w:rPr>
        <w:t xml:space="preserve"> </w:t>
      </w:r>
      <w:r>
        <w:rPr>
          <w:sz w:val="21"/>
          <w:szCs w:val="21"/>
        </w:rPr>
        <w:t xml:space="preserve">delayed degree completion or lower academic outcomes compared to students who entered degree </w:t>
      </w:r>
      <w:proofErr w:type="spellStart"/>
      <w:r>
        <w:rPr>
          <w:sz w:val="21"/>
          <w:szCs w:val="21"/>
        </w:rPr>
        <w:t>programmes</w:t>
      </w:r>
      <w:proofErr w:type="spellEnd"/>
      <w:r>
        <w:rPr>
          <w:sz w:val="21"/>
          <w:szCs w:val="21"/>
        </w:rPr>
        <w:t xml:space="preserve"> directl</w:t>
      </w:r>
      <w:r w:rsidR="00347ABF">
        <w:rPr>
          <w:sz w:val="21"/>
          <w:szCs w:val="21"/>
        </w:rPr>
        <w:t>y</w:t>
      </w:r>
      <w:r>
        <w:rPr>
          <w:sz w:val="21"/>
          <w:szCs w:val="21"/>
        </w:rPr>
        <w:t>,</w:t>
      </w:r>
      <w:r w:rsidR="00347ABF">
        <w:rPr>
          <w:sz w:val="21"/>
          <w:szCs w:val="21"/>
        </w:rPr>
        <w:t xml:space="preserve"> </w:t>
      </w:r>
      <w:r>
        <w:rPr>
          <w:sz w:val="21"/>
          <w:szCs w:val="21"/>
        </w:rPr>
        <w:t>which is regarded as an important issue in the literature review.</w:t>
      </w:r>
    </w:p>
    <w:p w14:paraId="365E6FDF" w14:textId="77777777" w:rsidR="00F11593" w:rsidRDefault="00000000">
      <w:pPr>
        <w:pStyle w:val="3"/>
        <w:rPr>
          <w:sz w:val="21"/>
          <w:szCs w:val="21"/>
        </w:rPr>
      </w:pPr>
      <w:r w:rsidRPr="00E644A2">
        <w:t>1.2.2 P</w:t>
      </w:r>
      <w:r w:rsidRPr="00E644A2">
        <w:rPr>
          <w:rFonts w:hint="eastAsia"/>
        </w:rPr>
        <w:t xml:space="preserve">rocess of </w:t>
      </w:r>
      <w:r w:rsidRPr="00E644A2">
        <w:t>R</w:t>
      </w:r>
      <w:r w:rsidRPr="00E644A2">
        <w:rPr>
          <w:rFonts w:hint="eastAsia"/>
        </w:rPr>
        <w:t>eview</w:t>
      </w:r>
      <w:r w:rsidRPr="00E644A2">
        <w:t>s</w:t>
      </w:r>
      <w:r>
        <w:rPr>
          <w:sz w:val="21"/>
          <w:szCs w:val="21"/>
        </w:rPr>
        <w:t xml:space="preserve"> </w:t>
      </w:r>
    </w:p>
    <w:p w14:paraId="290FDD00" w14:textId="5BF64E04" w:rsidR="00374092" w:rsidRDefault="00000000" w:rsidP="00374092">
      <w:pPr>
        <w:jc w:val="left"/>
        <w:rPr>
          <w:kern w:val="0"/>
          <w:szCs w:val="21"/>
          <w:lang w:bidi="ar"/>
        </w:rPr>
      </w:pPr>
      <w:r>
        <w:rPr>
          <w:rFonts w:hint="eastAsia"/>
          <w:kern w:val="0"/>
          <w:szCs w:val="21"/>
          <w:lang w:bidi="ar"/>
        </w:rPr>
        <w:t>To conduct a PSP literature review on academic performance and language proficiency using the CRAAP framework, critically assess sources</w:t>
      </w:r>
      <w:r>
        <w:rPr>
          <w:kern w:val="0"/>
          <w:szCs w:val="21"/>
          <w:lang w:bidi="ar"/>
        </w:rPr>
        <w:t xml:space="preserve">’ </w:t>
      </w:r>
      <w:r w:rsidRPr="00347ABF">
        <w:rPr>
          <w:rFonts w:hint="eastAsia"/>
          <w:b/>
          <w:bCs/>
          <w:kern w:val="0"/>
          <w:szCs w:val="21"/>
          <w:lang w:bidi="ar"/>
        </w:rPr>
        <w:t>Currency</w:t>
      </w:r>
      <w:r>
        <w:rPr>
          <w:rFonts w:hint="eastAsia"/>
          <w:kern w:val="0"/>
          <w:szCs w:val="21"/>
          <w:lang w:bidi="ar"/>
        </w:rPr>
        <w:t xml:space="preserve">, </w:t>
      </w:r>
      <w:r w:rsidRPr="00347ABF">
        <w:rPr>
          <w:rFonts w:hint="eastAsia"/>
          <w:b/>
          <w:bCs/>
          <w:kern w:val="0"/>
          <w:szCs w:val="21"/>
          <w:lang w:bidi="ar"/>
        </w:rPr>
        <w:t>Relevance</w:t>
      </w:r>
      <w:r>
        <w:rPr>
          <w:rFonts w:hint="eastAsia"/>
          <w:kern w:val="0"/>
          <w:szCs w:val="21"/>
          <w:lang w:bidi="ar"/>
        </w:rPr>
        <w:t xml:space="preserve">, </w:t>
      </w:r>
      <w:r w:rsidRPr="00347ABF">
        <w:rPr>
          <w:rFonts w:hint="eastAsia"/>
          <w:b/>
          <w:bCs/>
          <w:kern w:val="0"/>
          <w:szCs w:val="21"/>
          <w:lang w:bidi="ar"/>
        </w:rPr>
        <w:t>Authority</w:t>
      </w:r>
      <w:r>
        <w:rPr>
          <w:rFonts w:hint="eastAsia"/>
          <w:kern w:val="0"/>
          <w:szCs w:val="21"/>
          <w:lang w:bidi="ar"/>
        </w:rPr>
        <w:t xml:space="preserve">, </w:t>
      </w:r>
      <w:r w:rsidRPr="00347ABF">
        <w:rPr>
          <w:rFonts w:hint="eastAsia"/>
          <w:b/>
          <w:bCs/>
          <w:kern w:val="0"/>
          <w:szCs w:val="21"/>
          <w:lang w:bidi="ar"/>
        </w:rPr>
        <w:t>Accuracy</w:t>
      </w:r>
      <w:r>
        <w:rPr>
          <w:rFonts w:hint="eastAsia"/>
          <w:kern w:val="0"/>
          <w:szCs w:val="21"/>
          <w:lang w:bidi="ar"/>
        </w:rPr>
        <w:t xml:space="preserve">, and </w:t>
      </w:r>
      <w:r w:rsidRPr="00347ABF">
        <w:rPr>
          <w:rFonts w:hint="eastAsia"/>
          <w:b/>
          <w:bCs/>
          <w:kern w:val="0"/>
          <w:szCs w:val="21"/>
          <w:lang w:bidi="ar"/>
        </w:rPr>
        <w:t>Purpose</w:t>
      </w:r>
      <w:r>
        <w:rPr>
          <w:rFonts w:hint="eastAsia"/>
          <w:kern w:val="0"/>
          <w:szCs w:val="21"/>
          <w:lang w:bidi="ar"/>
        </w:rPr>
        <w:t xml:space="preserve">. </w:t>
      </w:r>
      <w:r w:rsidR="00374092" w:rsidRPr="00374092">
        <w:rPr>
          <w:kern w:val="0"/>
          <w:szCs w:val="21"/>
          <w:lang w:bidi="ar"/>
        </w:rPr>
        <w:t xml:space="preserve">This review analyses recent peer-reviewed studies (Hyland, 2016; Lea &amp; Street, 1998) examining academic writing interventions' impact on pre-sessional students' outcomes, evaluating contextual relevance and methodological </w:t>
      </w:r>
      <w:proofErr w:type="spellStart"/>
      <w:r w:rsidR="00374092" w:rsidRPr="00374092">
        <w:rPr>
          <w:kern w:val="0"/>
          <w:szCs w:val="21"/>
          <w:lang w:bidi="ar"/>
        </w:rPr>
        <w:t>rigour</w:t>
      </w:r>
      <w:proofErr w:type="spellEnd"/>
      <w:r w:rsidR="00374092" w:rsidRPr="00374092">
        <w:rPr>
          <w:kern w:val="0"/>
          <w:szCs w:val="21"/>
          <w:lang w:bidi="ar"/>
        </w:rPr>
        <w:t xml:space="preserve"> to formulate targeted support frameworks while addressing identified research gaps (Li &amp; Storch, 2022)</w:t>
      </w:r>
    </w:p>
    <w:p w14:paraId="2C24755E" w14:textId="77777777" w:rsidR="00374092" w:rsidRDefault="00374092" w:rsidP="00374092">
      <w:pPr>
        <w:jc w:val="left"/>
        <w:rPr>
          <w:kern w:val="0"/>
          <w:szCs w:val="21"/>
          <w:lang w:bidi="ar"/>
        </w:rPr>
      </w:pPr>
    </w:p>
    <w:p w14:paraId="10B3DFD1" w14:textId="609E18A6" w:rsidR="00F11593" w:rsidRDefault="00000000" w:rsidP="00374092">
      <w:pPr>
        <w:jc w:val="left"/>
        <w:rPr>
          <w:szCs w:val="21"/>
        </w:rPr>
      </w:pPr>
      <w:r>
        <w:rPr>
          <w:rFonts w:hint="eastAsia"/>
          <w:szCs w:val="21"/>
        </w:rPr>
        <w:t>After CRAAP</w:t>
      </w:r>
      <w:r w:rsidR="00347ABF">
        <w:rPr>
          <w:szCs w:val="21"/>
        </w:rPr>
        <w:t xml:space="preserve"> </w:t>
      </w:r>
      <w:r>
        <w:rPr>
          <w:rFonts w:hint="eastAsia"/>
          <w:szCs w:val="21"/>
        </w:rPr>
        <w:t>examin</w:t>
      </w:r>
      <w:r w:rsidR="00347ABF">
        <w:rPr>
          <w:szCs w:val="21"/>
        </w:rPr>
        <w:t>ed</w:t>
      </w:r>
      <w:r>
        <w:rPr>
          <w:rFonts w:hint="eastAsia"/>
          <w:szCs w:val="21"/>
        </w:rPr>
        <w:t xml:space="preserve"> the value of the literature, </w:t>
      </w:r>
      <w:r w:rsidRPr="00347ABF">
        <w:rPr>
          <w:rFonts w:hint="eastAsia"/>
          <w:szCs w:val="21"/>
          <w:highlight w:val="yellow"/>
        </w:rPr>
        <w:t>I selected more than 20+ primary literature</w:t>
      </w:r>
      <w:r w:rsidRPr="00347ABF">
        <w:rPr>
          <w:szCs w:val="21"/>
          <w:highlight w:val="yellow"/>
        </w:rPr>
        <w:t>, and</w:t>
      </w:r>
      <w:r w:rsidRPr="00347ABF">
        <w:rPr>
          <w:rFonts w:hint="eastAsia"/>
          <w:szCs w:val="21"/>
          <w:highlight w:val="yellow"/>
        </w:rPr>
        <w:t xml:space="preserve"> </w:t>
      </w:r>
      <w:r w:rsidRPr="00347ABF">
        <w:rPr>
          <w:szCs w:val="21"/>
          <w:highlight w:val="yellow"/>
        </w:rPr>
        <w:t>follow</w:t>
      </w:r>
      <w:r w:rsidR="00347ABF">
        <w:rPr>
          <w:szCs w:val="21"/>
          <w:highlight w:val="yellow"/>
        </w:rPr>
        <w:t>ed</w:t>
      </w:r>
      <w:r w:rsidRPr="00347ABF">
        <w:rPr>
          <w:szCs w:val="21"/>
          <w:highlight w:val="yellow"/>
        </w:rPr>
        <w:t xml:space="preserve"> the process as </w:t>
      </w:r>
      <w:proofErr w:type="spellStart"/>
      <w:r w:rsidRPr="00347ABF">
        <w:rPr>
          <w:szCs w:val="21"/>
          <w:highlight w:val="yellow"/>
        </w:rPr>
        <w:t>belows</w:t>
      </w:r>
      <w:proofErr w:type="spellEnd"/>
      <w:r w:rsidR="00347ABF">
        <w:rPr>
          <w:szCs w:val="21"/>
          <w:highlight w:val="yellow"/>
        </w:rPr>
        <w:t xml:space="preserve">: </w:t>
      </w:r>
      <w:r w:rsidRPr="00347ABF">
        <w:rPr>
          <w:b/>
          <w:bCs/>
          <w:szCs w:val="21"/>
          <w:highlight w:val="yellow"/>
        </w:rPr>
        <w:t>Analysis</w:t>
      </w:r>
      <w:r w:rsidRPr="00347ABF">
        <w:rPr>
          <w:szCs w:val="21"/>
          <w:highlight w:val="yellow"/>
        </w:rPr>
        <w:t xml:space="preserve"> involves breaking down existing research into key themes,</w:t>
      </w:r>
      <w:r>
        <w:rPr>
          <w:szCs w:val="21"/>
        </w:rPr>
        <w:t xml:space="preserve"> such as language proficiency</w:t>
      </w:r>
      <w:r>
        <w:rPr>
          <w:rFonts w:hint="eastAsia"/>
          <w:szCs w:val="21"/>
        </w:rPr>
        <w:t xml:space="preserve"> </w:t>
      </w:r>
      <w:r>
        <w:rPr>
          <w:szCs w:val="21"/>
        </w:rPr>
        <w:t xml:space="preserve">outcomes, academic </w:t>
      </w:r>
      <w:r>
        <w:rPr>
          <w:rFonts w:hint="eastAsia"/>
          <w:szCs w:val="21"/>
        </w:rPr>
        <w:t>development</w:t>
      </w:r>
      <w:r>
        <w:rPr>
          <w:szCs w:val="21"/>
        </w:rPr>
        <w:t xml:space="preserve"> </w:t>
      </w:r>
      <w:proofErr w:type="gramStart"/>
      <w:r>
        <w:rPr>
          <w:szCs w:val="21"/>
        </w:rPr>
        <w:t>feedback ,</w:t>
      </w:r>
      <w:proofErr w:type="gramEnd"/>
      <w:r>
        <w:rPr>
          <w:szCs w:val="21"/>
        </w:rPr>
        <w:t xml:space="preserve"> and student</w:t>
      </w:r>
      <w:r>
        <w:rPr>
          <w:rFonts w:hint="eastAsia"/>
          <w:szCs w:val="21"/>
        </w:rPr>
        <w:t>s'</w:t>
      </w:r>
      <w:r>
        <w:rPr>
          <w:szCs w:val="21"/>
        </w:rPr>
        <w:t xml:space="preserve"> experiences. </w:t>
      </w:r>
      <w:r>
        <w:rPr>
          <w:b/>
          <w:bCs/>
          <w:szCs w:val="21"/>
        </w:rPr>
        <w:t>Synthesis</w:t>
      </w:r>
      <w:r>
        <w:rPr>
          <w:szCs w:val="21"/>
        </w:rPr>
        <w:t xml:space="preserve"> then integrates findings, identifying common patterns and gaps in the literature. Finally, </w:t>
      </w:r>
      <w:r>
        <w:rPr>
          <w:b/>
          <w:bCs/>
          <w:szCs w:val="21"/>
        </w:rPr>
        <w:t>Evaluation</w:t>
      </w:r>
      <w:r>
        <w:rPr>
          <w:szCs w:val="21"/>
        </w:rPr>
        <w:t xml:space="preserve"> critiques methodologies, highlighting strengths and weaknesses, and establishing cause-effect relationships between </w:t>
      </w:r>
      <w:r>
        <w:rPr>
          <w:rFonts w:hint="eastAsia"/>
          <w:szCs w:val="21"/>
        </w:rPr>
        <w:t>PSP</w:t>
      </w:r>
      <w:r>
        <w:rPr>
          <w:szCs w:val="21"/>
        </w:rPr>
        <w:t>s and academic success.</w:t>
      </w:r>
    </w:p>
    <w:p w14:paraId="5F9E01A8" w14:textId="77777777" w:rsidR="00F11593" w:rsidRDefault="00000000">
      <w:pPr>
        <w:pStyle w:val="a3"/>
        <w:widowControl/>
      </w:pPr>
      <w:r>
        <w:rPr>
          <w:noProof/>
        </w:rPr>
        <w:lastRenderedPageBreak/>
        <w:drawing>
          <wp:inline distT="0" distB="0" distL="114300" distR="114300" wp14:anchorId="6B2E7B0D" wp14:editId="71339170">
            <wp:extent cx="5461635" cy="1925320"/>
            <wp:effectExtent l="0" t="0" r="24765" b="5080"/>
            <wp:docPr id="1026" name="Picture 2" descr="Diagram with the words analysis, synthesis and evaluation. Under analysis it says taking a process or thing and breaking it down. Under synthesis it says combining elements of separate material and under evaluation it says critiquing a product or process"/>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with the words analysis, synthesis and evaluation. Under analysis it says taking a process or thing and breaking it down. Under synthesis it says combining elements of separate material and under evaluation it says critiquing a product or process"/>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5461635" cy="1925320"/>
                    </a:xfrm>
                    <a:prstGeom prst="rect">
                      <a:avLst/>
                    </a:prstGeom>
                    <a:noFill/>
                  </pic:spPr>
                </pic:pic>
              </a:graphicData>
            </a:graphic>
          </wp:inline>
        </w:drawing>
      </w:r>
    </w:p>
    <w:p w14:paraId="4BB274BB" w14:textId="70B2E8EB" w:rsidR="00F11593" w:rsidRPr="006368D8" w:rsidRDefault="00000000" w:rsidP="006368D8">
      <w:pPr>
        <w:widowControl/>
        <w:ind w:firstLineChars="850" w:firstLine="1560"/>
        <w:jc w:val="left"/>
        <w:rPr>
          <w:rFonts w:asciiTheme="minorHAnsi" w:eastAsia="Helvetica" w:hAnsiTheme="minorHAnsi" w:cstheme="minorHAnsi"/>
          <w:i/>
          <w:iCs/>
          <w:kern w:val="0"/>
          <w:sz w:val="18"/>
          <w:szCs w:val="18"/>
          <w:shd w:val="clear" w:color="auto" w:fill="FFFFFF"/>
          <w:lang w:bidi="ar"/>
        </w:rPr>
      </w:pPr>
      <w:r w:rsidRPr="006368D8">
        <w:rPr>
          <w:rStyle w:val="a4"/>
          <w:rFonts w:asciiTheme="minorHAnsi" w:eastAsia="Helvetica" w:hAnsiTheme="minorHAnsi" w:cstheme="minorHAnsi"/>
          <w:bCs/>
          <w:i/>
          <w:iCs/>
          <w:kern w:val="0"/>
          <w:sz w:val="18"/>
          <w:szCs w:val="18"/>
          <w:shd w:val="clear" w:color="auto" w:fill="FFFFFF"/>
          <w:lang w:bidi="ar"/>
        </w:rPr>
        <w:t>Figure</w:t>
      </w:r>
      <w:r w:rsidR="006368D8" w:rsidRPr="006368D8">
        <w:rPr>
          <w:rStyle w:val="a4"/>
          <w:rFonts w:asciiTheme="minorHAnsi" w:eastAsia="Helvetica" w:hAnsiTheme="minorHAnsi" w:cstheme="minorHAnsi"/>
          <w:bCs/>
          <w:i/>
          <w:iCs/>
          <w:kern w:val="0"/>
          <w:sz w:val="18"/>
          <w:szCs w:val="18"/>
          <w:shd w:val="clear" w:color="auto" w:fill="FFFFFF"/>
          <w:lang w:bidi="ar"/>
        </w:rPr>
        <w:t xml:space="preserve"> 1</w:t>
      </w:r>
      <w:r w:rsidRPr="006368D8">
        <w:rPr>
          <w:rStyle w:val="a4"/>
          <w:rFonts w:asciiTheme="minorHAnsi" w:eastAsia="Helvetica" w:hAnsiTheme="minorHAnsi" w:cstheme="minorHAnsi"/>
          <w:bCs/>
          <w:i/>
          <w:iCs/>
          <w:kern w:val="0"/>
          <w:sz w:val="18"/>
          <w:szCs w:val="18"/>
          <w:shd w:val="clear" w:color="auto" w:fill="FFFFFF"/>
          <w:lang w:bidi="ar"/>
        </w:rPr>
        <w:t xml:space="preserve"> </w:t>
      </w:r>
      <w:r w:rsidRPr="006368D8">
        <w:rPr>
          <w:rFonts w:asciiTheme="minorHAnsi" w:eastAsia="Helvetica" w:hAnsiTheme="minorHAnsi" w:cstheme="minorHAnsi"/>
          <w:i/>
          <w:iCs/>
          <w:kern w:val="0"/>
          <w:sz w:val="18"/>
          <w:szCs w:val="18"/>
          <w:shd w:val="clear" w:color="auto" w:fill="FFFFFF"/>
          <w:lang w:bidi="ar"/>
        </w:rPr>
        <w:t>Cognitive skills required for writing a literature review. </w:t>
      </w:r>
    </w:p>
    <w:p w14:paraId="42E4AB5D" w14:textId="3239DBD3" w:rsidR="00F11593" w:rsidRPr="00E644A2" w:rsidRDefault="00000000" w:rsidP="006368D8">
      <w:pPr>
        <w:widowControl/>
        <w:ind w:firstLineChars="700" w:firstLine="1285"/>
        <w:jc w:val="left"/>
        <w:rPr>
          <w:rFonts w:asciiTheme="minorHAnsi" w:hAnsiTheme="minorHAnsi" w:cstheme="minorHAnsi" w:hint="eastAsia"/>
          <w:sz w:val="18"/>
          <w:szCs w:val="18"/>
        </w:rPr>
      </w:pPr>
      <w:r w:rsidRPr="00E644A2">
        <w:rPr>
          <w:rStyle w:val="a4"/>
          <w:rFonts w:asciiTheme="minorHAnsi" w:eastAsia="Helvetica" w:hAnsiTheme="minorHAnsi" w:cstheme="minorHAnsi"/>
          <w:bCs/>
          <w:i/>
          <w:iCs/>
          <w:kern w:val="0"/>
          <w:sz w:val="18"/>
          <w:szCs w:val="18"/>
          <w:shd w:val="clear" w:color="auto" w:fill="FFFFFF"/>
          <w:lang w:bidi="ar"/>
        </w:rPr>
        <w:t>Source:</w:t>
      </w:r>
      <w:r w:rsidRPr="00E644A2">
        <w:rPr>
          <w:rFonts w:asciiTheme="minorHAnsi" w:eastAsia="Helvetica" w:hAnsiTheme="minorHAnsi" w:cstheme="minorHAnsi"/>
          <w:i/>
          <w:iCs/>
          <w:kern w:val="0"/>
          <w:sz w:val="18"/>
          <w:szCs w:val="18"/>
          <w:shd w:val="clear" w:color="auto" w:fill="FFFFFF"/>
          <w:lang w:bidi="ar"/>
        </w:rPr>
        <w:t> Image by </w:t>
      </w:r>
      <w:hyperlink r:id="rId8" w:tgtFrame="/Users/victor/Documents\x/_blank" w:history="1">
        <w:r w:rsidRPr="00E644A2">
          <w:rPr>
            <w:rStyle w:val="a6"/>
            <w:rFonts w:asciiTheme="minorHAnsi" w:eastAsia="Helvetica" w:hAnsiTheme="minorHAnsi" w:cstheme="minorHAnsi"/>
            <w:i/>
            <w:iCs/>
            <w:color w:val="auto"/>
            <w:sz w:val="18"/>
            <w:szCs w:val="18"/>
            <w:u w:val="none"/>
            <w:shd w:val="clear" w:color="auto" w:fill="FFFFFF"/>
          </w:rPr>
          <w:t>La Trobe University</w:t>
        </w:r>
      </w:hyperlink>
      <w:r w:rsidRPr="00E644A2">
        <w:rPr>
          <w:rFonts w:asciiTheme="minorHAnsi" w:eastAsia="Helvetica" w:hAnsiTheme="minorHAnsi" w:cstheme="minorHAnsi"/>
          <w:i/>
          <w:iCs/>
          <w:kern w:val="0"/>
          <w:sz w:val="18"/>
          <w:szCs w:val="18"/>
          <w:shd w:val="clear" w:color="auto" w:fill="FFFFFF"/>
          <w:lang w:bidi="ar"/>
        </w:rPr>
        <w:t> used under a </w:t>
      </w:r>
      <w:r w:rsidRPr="00E644A2">
        <w:rPr>
          <w:rFonts w:asciiTheme="minorHAnsi" w:eastAsia="Helvetica" w:hAnsiTheme="minorHAnsi" w:cstheme="minorHAnsi"/>
          <w:i/>
          <w:iCs/>
          <w:sz w:val="18"/>
          <w:szCs w:val="18"/>
          <w:shd w:val="clear" w:color="auto" w:fill="FFFFFF"/>
        </w:rPr>
        <w:t xml:space="preserve">CC-BY-NC-SA 4.0 </w:t>
      </w:r>
      <w:proofErr w:type="spellStart"/>
      <w:r w:rsidRPr="00E644A2">
        <w:rPr>
          <w:rFonts w:asciiTheme="minorHAnsi" w:eastAsia="Helvetica" w:hAnsiTheme="minorHAnsi" w:cstheme="minorHAnsi"/>
          <w:i/>
          <w:iCs/>
          <w:sz w:val="18"/>
          <w:szCs w:val="18"/>
          <w:shd w:val="clear" w:color="auto" w:fill="FFFFFF"/>
        </w:rPr>
        <w:t>licen</w:t>
      </w:r>
      <w:r w:rsidR="00E644A2">
        <w:rPr>
          <w:rFonts w:asciiTheme="minorHAnsi" w:eastAsia="Helvetica" w:hAnsiTheme="minorHAnsi" w:cstheme="minorHAnsi" w:hint="eastAsia"/>
          <w:i/>
          <w:iCs/>
          <w:sz w:val="18"/>
          <w:szCs w:val="18"/>
          <w:shd w:val="clear" w:color="auto" w:fill="FFFFFF"/>
        </w:rPr>
        <w:t>c</w:t>
      </w:r>
      <w:r w:rsidRPr="00E644A2">
        <w:rPr>
          <w:rFonts w:asciiTheme="minorHAnsi" w:eastAsia="Helvetica" w:hAnsiTheme="minorHAnsi" w:cstheme="minorHAnsi"/>
          <w:i/>
          <w:iCs/>
          <w:sz w:val="18"/>
          <w:szCs w:val="18"/>
          <w:shd w:val="clear" w:color="auto" w:fill="FFFFFF"/>
        </w:rPr>
        <w:t>e</w:t>
      </w:r>
      <w:proofErr w:type="spellEnd"/>
      <w:r w:rsidRPr="00E644A2">
        <w:rPr>
          <w:rFonts w:asciiTheme="minorHAnsi" w:eastAsia="Helvetica" w:hAnsiTheme="minorHAnsi" w:cstheme="minorHAnsi"/>
          <w:i/>
          <w:iCs/>
          <w:sz w:val="18"/>
          <w:szCs w:val="18"/>
          <w:shd w:val="clear" w:color="auto" w:fill="FFFFFF"/>
        </w:rPr>
        <w:t>. </w:t>
      </w:r>
    </w:p>
    <w:p w14:paraId="598EE494" w14:textId="1473AA05" w:rsidR="00F11593" w:rsidRDefault="00000000">
      <w:pPr>
        <w:pStyle w:val="a3"/>
        <w:widowControl/>
        <w:spacing w:beforeAutospacing="0" w:afterAutospacing="0"/>
        <w:jc w:val="both"/>
        <w:textAlignment w:val="baseline"/>
        <w:rPr>
          <w:rFonts w:ascii="Arial" w:eastAsia="黑体" w:hAnsi="Arial"/>
          <w:b/>
          <w:kern w:val="2"/>
          <w:sz w:val="32"/>
        </w:rPr>
      </w:pPr>
      <w:r>
        <w:rPr>
          <w:rFonts w:ascii="Arial" w:eastAsia="黑体" w:hAnsi="Arial"/>
          <w:b/>
          <w:kern w:val="2"/>
          <w:sz w:val="32"/>
        </w:rPr>
        <w:t xml:space="preserve">1.3 </w:t>
      </w:r>
      <w:r>
        <w:rPr>
          <w:rFonts w:ascii="Arial" w:eastAsia="黑体" w:hAnsi="Arial" w:hint="eastAsia"/>
          <w:b/>
          <w:kern w:val="2"/>
          <w:sz w:val="32"/>
        </w:rPr>
        <w:t xml:space="preserve">Research </w:t>
      </w:r>
      <w:r w:rsidR="00A15E29">
        <w:rPr>
          <w:rFonts w:ascii="Arial" w:eastAsia="黑体" w:hAnsi="Arial"/>
          <w:b/>
          <w:kern w:val="2"/>
          <w:sz w:val="32"/>
        </w:rPr>
        <w:t>O</w:t>
      </w:r>
      <w:r>
        <w:rPr>
          <w:rFonts w:ascii="Arial" w:eastAsia="黑体" w:hAnsi="Arial" w:hint="eastAsia"/>
          <w:b/>
          <w:kern w:val="2"/>
          <w:sz w:val="32"/>
        </w:rPr>
        <w:t xml:space="preserve">bjectives and </w:t>
      </w:r>
      <w:r w:rsidR="00077C28">
        <w:rPr>
          <w:rFonts w:ascii="Arial" w:eastAsia="黑体" w:hAnsi="Arial"/>
          <w:b/>
          <w:kern w:val="2"/>
          <w:sz w:val="32"/>
        </w:rPr>
        <w:t>D</w:t>
      </w:r>
      <w:r>
        <w:rPr>
          <w:rFonts w:ascii="Arial" w:eastAsia="黑体" w:hAnsi="Arial" w:hint="eastAsia"/>
          <w:b/>
          <w:kern w:val="2"/>
          <w:sz w:val="32"/>
        </w:rPr>
        <w:t xml:space="preserve">raft </w:t>
      </w:r>
      <w:r w:rsidR="00077C28">
        <w:rPr>
          <w:rFonts w:ascii="Arial" w:eastAsia="黑体" w:hAnsi="Arial"/>
          <w:b/>
          <w:kern w:val="2"/>
          <w:sz w:val="32"/>
        </w:rPr>
        <w:t>R</w:t>
      </w:r>
      <w:r>
        <w:rPr>
          <w:rFonts w:ascii="Arial" w:eastAsia="黑体" w:hAnsi="Arial" w:hint="eastAsia"/>
          <w:b/>
          <w:kern w:val="2"/>
          <w:sz w:val="32"/>
        </w:rPr>
        <w:t xml:space="preserve">esearch </w:t>
      </w:r>
      <w:r w:rsidR="00077C28">
        <w:rPr>
          <w:rFonts w:ascii="Arial" w:eastAsia="黑体" w:hAnsi="Arial"/>
          <w:b/>
          <w:kern w:val="2"/>
          <w:sz w:val="32"/>
        </w:rPr>
        <w:t>Q</w:t>
      </w:r>
      <w:r>
        <w:rPr>
          <w:rFonts w:ascii="Arial" w:eastAsia="黑体" w:hAnsi="Arial" w:hint="eastAsia"/>
          <w:b/>
          <w:kern w:val="2"/>
          <w:sz w:val="32"/>
        </w:rPr>
        <w:t>uestions</w:t>
      </w:r>
    </w:p>
    <w:p w14:paraId="59E3DAC7" w14:textId="77777777" w:rsidR="00F11593" w:rsidRDefault="00000000">
      <w:pPr>
        <w:pStyle w:val="a3"/>
        <w:widowControl/>
        <w:spacing w:beforeAutospacing="0" w:afterAutospacing="0"/>
        <w:jc w:val="both"/>
        <w:textAlignment w:val="baseline"/>
        <w:rPr>
          <w:rFonts w:ascii="sans-serif" w:eastAsia="sans-serif" w:hAnsi="sans-serif" w:cs="sans-serif"/>
          <w:sz w:val="40"/>
          <w:szCs w:val="40"/>
          <w:shd w:val="clear" w:color="auto" w:fill="FFFFFF"/>
        </w:rPr>
      </w:pPr>
      <w:r>
        <w:rPr>
          <w:rFonts w:ascii="sans-serif" w:eastAsia="sans-serif" w:hAnsi="sans-serif" w:cs="sans-serif"/>
          <w:sz w:val="40"/>
          <w:szCs w:val="40"/>
          <w:shd w:val="clear" w:color="auto" w:fill="FFFFFF"/>
        </w:rPr>
        <w:t>How to Evaluate the Effectiveness of a PSP in the University of Southampton? The key question and objective were be</w:t>
      </w:r>
      <w:r>
        <w:rPr>
          <w:rFonts w:ascii="sans-serif" w:eastAsia="sans-serif" w:hAnsi="sans-serif" w:cs="sans-serif" w:hint="eastAsia"/>
          <w:sz w:val="40"/>
          <w:szCs w:val="40"/>
          <w:shd w:val="clear" w:color="auto" w:fill="FFFFFF"/>
        </w:rPr>
        <w:t xml:space="preserve"> checked</w:t>
      </w:r>
      <w:r>
        <w:rPr>
          <w:rFonts w:ascii="sans-serif" w:eastAsia="sans-serif" w:hAnsi="sans-serif" w:cs="sans-serif"/>
          <w:sz w:val="40"/>
          <w:szCs w:val="40"/>
          <w:shd w:val="clear" w:color="auto" w:fill="FFFFFF"/>
        </w:rPr>
        <w:t xml:space="preserve"> whether the findings were </w:t>
      </w:r>
      <w:proofErr w:type="spellStart"/>
      <w:r>
        <w:rPr>
          <w:rFonts w:ascii="sans-serif" w:eastAsia="sans-serif" w:hAnsi="sans-serif" w:cs="sans-serif"/>
          <w:sz w:val="40"/>
          <w:szCs w:val="40"/>
          <w:shd w:val="clear" w:color="auto" w:fill="FFFFFF"/>
        </w:rPr>
        <w:t>generalisable</w:t>
      </w:r>
      <w:proofErr w:type="spellEnd"/>
      <w:r>
        <w:rPr>
          <w:rFonts w:ascii="sans-serif" w:eastAsia="sans-serif" w:hAnsi="sans-serif" w:cs="sans-serif"/>
          <w:sz w:val="40"/>
          <w:szCs w:val="40"/>
          <w:shd w:val="clear" w:color="auto" w:fill="FFFFFF"/>
        </w:rPr>
        <w:t xml:space="preserve"> across PSP student groups and to test If the short-term effect still works in the long term.</w:t>
      </w:r>
    </w:p>
    <w:p w14:paraId="154CFC68" w14:textId="77777777" w:rsidR="00F11593" w:rsidRDefault="00F11593">
      <w:pPr>
        <w:pStyle w:val="a3"/>
        <w:widowControl/>
        <w:spacing w:beforeAutospacing="0" w:afterAutospacing="0"/>
        <w:jc w:val="both"/>
        <w:textAlignment w:val="baseline"/>
        <w:rPr>
          <w:color w:val="AECDE7"/>
        </w:rPr>
      </w:pPr>
    </w:p>
    <w:p w14:paraId="457BDBC7" w14:textId="77777777" w:rsidR="00F11593" w:rsidRDefault="00000000">
      <w:pPr>
        <w:pStyle w:val="a3"/>
        <w:widowControl/>
        <w:spacing w:beforeAutospacing="0" w:afterAutospacing="0"/>
        <w:jc w:val="both"/>
        <w:textAlignment w:val="baseline"/>
        <w:rPr>
          <w:color w:val="AECDE7"/>
        </w:rPr>
      </w:pPr>
      <w:r>
        <w:rPr>
          <w:rFonts w:ascii="sans-serif" w:eastAsia="sans-serif" w:hAnsi="sans-serif" w:cs="sans-serif"/>
          <w:color w:val="AECDE7"/>
          <w:sz w:val="40"/>
          <w:szCs w:val="40"/>
          <w:shd w:val="clear" w:color="auto" w:fill="FFFFFF"/>
        </w:rPr>
        <w:t>1.4 Summary of Section 1 and link sentences to next section </w:t>
      </w:r>
    </w:p>
    <w:p w14:paraId="3BAB2B66" w14:textId="77777777" w:rsidR="00F11593" w:rsidRDefault="00F11593">
      <w:pPr>
        <w:pStyle w:val="a3"/>
        <w:widowControl/>
      </w:pPr>
    </w:p>
    <w:p w14:paraId="30ACB42F" w14:textId="77777777" w:rsidR="00F11593" w:rsidRDefault="00F11593">
      <w:pPr>
        <w:pStyle w:val="a3"/>
        <w:widowControl/>
      </w:pPr>
    </w:p>
    <w:p w14:paraId="0CC06C73" w14:textId="77777777" w:rsidR="00295FE8" w:rsidRDefault="00295FE8">
      <w:pPr>
        <w:pStyle w:val="a3"/>
        <w:widowControl/>
        <w:rPr>
          <w:rFonts w:hint="eastAsia"/>
        </w:rPr>
      </w:pPr>
    </w:p>
    <w:p w14:paraId="672428AE" w14:textId="6D8C84BE" w:rsidR="00F11593" w:rsidRDefault="00000000" w:rsidP="006368D8">
      <w:pPr>
        <w:pStyle w:val="1"/>
        <w:numPr>
          <w:ilvl w:val="0"/>
          <w:numId w:val="3"/>
        </w:numPr>
        <w:rPr>
          <w:rFonts w:hint="eastAsia"/>
        </w:rPr>
      </w:pPr>
      <w:r>
        <w:lastRenderedPageBreak/>
        <w:t>L</w:t>
      </w:r>
      <w:r>
        <w:rPr>
          <w:rFonts w:hint="eastAsia"/>
        </w:rPr>
        <w:t>iter</w:t>
      </w:r>
      <w:r>
        <w:t>ature R</w:t>
      </w:r>
      <w:r>
        <w:rPr>
          <w:rFonts w:hint="eastAsia"/>
        </w:rPr>
        <w:t>eview</w:t>
      </w:r>
    </w:p>
    <w:p w14:paraId="713997F7" w14:textId="77777777" w:rsidR="00F11593" w:rsidRDefault="00000000">
      <w:pPr>
        <w:pStyle w:val="2"/>
      </w:pPr>
      <w:r>
        <w:t xml:space="preserve">2.1 </w:t>
      </w:r>
      <w:r>
        <w:rPr>
          <w:rFonts w:hint="eastAsia"/>
        </w:rPr>
        <w:t>I</w:t>
      </w:r>
      <w:r>
        <w:t>ntroduction</w:t>
      </w:r>
    </w:p>
    <w:p w14:paraId="4987C921" w14:textId="159FD544" w:rsidR="00F11593" w:rsidRDefault="00A15E29">
      <w:r>
        <w:t>B</w:t>
      </w:r>
      <w:r>
        <w:t xml:space="preserve">ecause </w:t>
      </w:r>
      <w:r>
        <w:rPr>
          <w:rFonts w:hint="eastAsia"/>
        </w:rPr>
        <w:t xml:space="preserve">of </w:t>
      </w:r>
      <w:r>
        <w:t>globalization,</w:t>
      </w:r>
      <w:r>
        <w:rPr>
          <w:rFonts w:hint="eastAsia"/>
        </w:rPr>
        <w:t xml:space="preserve"> </w:t>
      </w:r>
      <w:r>
        <w:t>c</w:t>
      </w:r>
      <w:r w:rsidR="00000000">
        <w:rPr>
          <w:rFonts w:hint="eastAsia"/>
        </w:rPr>
        <w:t xml:space="preserve">hanges in language policy are reshaping research paradigms in the field of </w:t>
      </w:r>
      <w:r w:rsidR="00000000">
        <w:t>PSP</w:t>
      </w:r>
      <w:r w:rsidR="00000000">
        <w:rPr>
          <w:rFonts w:hint="eastAsia"/>
        </w:rPr>
        <w:t xml:space="preserve"> research, with a central debate focusing on the synergy between language proficiency and academic development goals. While early research reduced language proficiency to </w:t>
      </w:r>
      <w:proofErr w:type="spellStart"/>
      <w:r w:rsidR="00000000">
        <w:rPr>
          <w:rFonts w:hint="eastAsia"/>
        </w:rPr>
        <w:t>standardised</w:t>
      </w:r>
      <w:proofErr w:type="spellEnd"/>
      <w:r w:rsidR="00000000">
        <w:rPr>
          <w:rFonts w:hint="eastAsia"/>
        </w:rPr>
        <w:t xml:space="preserve"> test scores (Graham</w:t>
      </w:r>
      <w:r w:rsidR="00000000">
        <w:t>,</w:t>
      </w:r>
      <w:r w:rsidR="00000000">
        <w:rPr>
          <w:rFonts w:hint="eastAsia"/>
        </w:rPr>
        <w:t xml:space="preserve">1987), contemporary scholarship has shifted towards a multidimensional notion of </w:t>
      </w:r>
      <w:r w:rsidR="00295FE8">
        <w:t>‘M</w:t>
      </w:r>
      <w:r w:rsidR="00000000">
        <w:rPr>
          <w:rFonts w:hint="eastAsia"/>
        </w:rPr>
        <w:t>astery</w:t>
      </w:r>
      <w:r w:rsidR="00295FE8">
        <w:t xml:space="preserve"> Goals’</w:t>
      </w:r>
      <w:r w:rsidR="00000000">
        <w:rPr>
          <w:rFonts w:hint="eastAsia"/>
        </w:rPr>
        <w:t xml:space="preserve"> that </w:t>
      </w:r>
      <w:proofErr w:type="spellStart"/>
      <w:r w:rsidR="00000000">
        <w:rPr>
          <w:rFonts w:hint="eastAsia"/>
        </w:rPr>
        <w:t>emphasises</w:t>
      </w:r>
      <w:proofErr w:type="spellEnd"/>
      <w:r w:rsidR="00000000">
        <w:rPr>
          <w:rFonts w:hint="eastAsia"/>
        </w:rPr>
        <w:t xml:space="preserve"> the interplay of cognitive, socio-cultural</w:t>
      </w:r>
      <w:r>
        <w:t>,</w:t>
      </w:r>
      <w:r w:rsidR="00000000">
        <w:rPr>
          <w:rFonts w:hint="eastAsia"/>
        </w:rPr>
        <w:t xml:space="preserve"> and academic contexts (Douglas</w:t>
      </w:r>
      <w:r w:rsidR="00000000">
        <w:t>,</w:t>
      </w:r>
      <w:r w:rsidR="00000000">
        <w:rPr>
          <w:rFonts w:hint="eastAsia"/>
        </w:rPr>
        <w:t>2000; Bachman and Palmer</w:t>
      </w:r>
      <w:r w:rsidR="00000000">
        <w:t>,</w:t>
      </w:r>
      <w:r w:rsidR="00000000">
        <w:rPr>
          <w:rFonts w:hint="eastAsia"/>
        </w:rPr>
        <w:t xml:space="preserve"> 2010). Through the theoretical lens of the</w:t>
      </w:r>
      <w:r w:rsidR="00000000">
        <w:t xml:space="preserve"> Challenge-Support-Readiness Model</w:t>
      </w:r>
      <w:r w:rsidR="00000000">
        <w:rPr>
          <w:rFonts w:hint="eastAsia"/>
        </w:rPr>
        <w:t xml:space="preserve"> </w:t>
      </w:r>
      <w:r w:rsidR="00000000">
        <w:t>(</w:t>
      </w:r>
      <w:r w:rsidR="00000000">
        <w:rPr>
          <w:rFonts w:hint="eastAsia"/>
        </w:rPr>
        <w:t>CSR</w:t>
      </w:r>
      <w:r w:rsidR="00000000">
        <w:t>)</w:t>
      </w:r>
      <w:r w:rsidR="00000000">
        <w:rPr>
          <w:rFonts w:hint="eastAsia"/>
        </w:rPr>
        <w:t>, this</w:t>
      </w:r>
      <w:r w:rsidR="00000000">
        <w:t xml:space="preserve"> review</w:t>
      </w:r>
      <w:r w:rsidR="00000000">
        <w:rPr>
          <w:rFonts w:hint="eastAsia"/>
        </w:rPr>
        <w:t xml:space="preserve"> systematically examines how the multidimensional construction of language proficiency dynamically balances</w:t>
      </w:r>
      <w:r w:rsidR="00000000">
        <w:t xml:space="preserve"> the factors above,</w:t>
      </w:r>
      <w:r w:rsidR="00000000">
        <w:rPr>
          <w:rFonts w:hint="eastAsia"/>
        </w:rPr>
        <w:t xml:space="preserve"> ultimately influencing the path to academic </w:t>
      </w:r>
      <w:proofErr w:type="gramStart"/>
      <w:r w:rsidR="00000000">
        <w:rPr>
          <w:rFonts w:hint="eastAsia"/>
        </w:rPr>
        <w:t>performance</w:t>
      </w:r>
      <w:r w:rsidR="00295FE8">
        <w:rPr>
          <w:rFonts w:hint="eastAsia"/>
        </w:rPr>
        <w:t>(</w:t>
      </w:r>
      <w:proofErr w:type="gramEnd"/>
      <w:r w:rsidR="00295FE8">
        <w:rPr>
          <w:rFonts w:hint="eastAsia"/>
        </w:rPr>
        <w:t>Cummins</w:t>
      </w:r>
      <w:r w:rsidR="00295FE8">
        <w:t>,</w:t>
      </w:r>
      <w:r w:rsidR="00295FE8">
        <w:rPr>
          <w:rFonts w:hint="eastAsia"/>
        </w:rPr>
        <w:t>2008)</w:t>
      </w:r>
      <w:r w:rsidR="00000000">
        <w:rPr>
          <w:rFonts w:hint="eastAsia"/>
        </w:rPr>
        <w:t>.</w:t>
      </w:r>
    </w:p>
    <w:p w14:paraId="793BCE20" w14:textId="77777777" w:rsidR="00F11593" w:rsidRDefault="00F11593"/>
    <w:p w14:paraId="077EA872" w14:textId="450D0EE9" w:rsidR="00F11593" w:rsidRDefault="00000000">
      <w:pPr>
        <w:rPr>
          <w:rFonts w:hint="eastAsia"/>
        </w:rPr>
      </w:pPr>
      <w:r>
        <w:rPr>
          <w:rFonts w:hint="eastAsia"/>
        </w:rPr>
        <w:t xml:space="preserve">The paradigm shift from </w:t>
      </w:r>
      <w:proofErr w:type="spellStart"/>
      <w:r>
        <w:rPr>
          <w:rFonts w:hint="eastAsia"/>
        </w:rPr>
        <w:t>Canale</w:t>
      </w:r>
      <w:proofErr w:type="spellEnd"/>
      <w:r>
        <w:rPr>
          <w:rFonts w:hint="eastAsia"/>
        </w:rPr>
        <w:t xml:space="preserve"> and Swain (1980)</w:t>
      </w:r>
      <w:r>
        <w:t xml:space="preserve"> ’s</w:t>
      </w:r>
      <w:r>
        <w:rPr>
          <w:rFonts w:hint="eastAsia"/>
        </w:rPr>
        <w:t>‘</w:t>
      </w:r>
      <w:r>
        <w:rPr>
          <w:rFonts w:hint="eastAsia"/>
        </w:rPr>
        <w:t>skill-based</w:t>
      </w:r>
      <w:r>
        <w:rPr>
          <w:rFonts w:hint="eastAsia"/>
        </w:rPr>
        <w:t>’</w:t>
      </w:r>
      <w:r>
        <w:rPr>
          <w:rFonts w:hint="eastAsia"/>
        </w:rPr>
        <w:t>to</w:t>
      </w:r>
      <w:r>
        <w:rPr>
          <w:rFonts w:hint="eastAsia"/>
        </w:rPr>
        <w:t>‘</w:t>
      </w:r>
      <w:r>
        <w:rPr>
          <w:rFonts w:hint="eastAsia"/>
        </w:rPr>
        <w:t>function-based</w:t>
      </w:r>
      <w:r>
        <w:rPr>
          <w:rFonts w:hint="eastAsia"/>
        </w:rPr>
        <w:t>’</w:t>
      </w:r>
      <w:r>
        <w:rPr>
          <w:rFonts w:hint="eastAsia"/>
        </w:rPr>
        <w:t xml:space="preserve"> language proficiency research has </w:t>
      </w:r>
      <w:proofErr w:type="spellStart"/>
      <w:r>
        <w:rPr>
          <w:rFonts w:hint="eastAsia"/>
        </w:rPr>
        <w:t>revolutionised</w:t>
      </w:r>
      <w:proofErr w:type="spellEnd"/>
      <w:r>
        <w:rPr>
          <w:rFonts w:hint="eastAsia"/>
        </w:rPr>
        <w:t xml:space="preserve"> the understanding of academic</w:t>
      </w:r>
      <w:r w:rsidR="00295FE8">
        <w:t xml:space="preserve"> success</w:t>
      </w:r>
      <w:r>
        <w:t>.</w:t>
      </w:r>
      <w:r w:rsidR="00A15E29">
        <w:t xml:space="preserve"> </w:t>
      </w:r>
      <w:r>
        <w:rPr>
          <w:rFonts w:hint="eastAsia"/>
        </w:rPr>
        <w:t>Subsequent research has linked language proficiency to disciplinary thinking patterns by introducing the concept of Cognitive Academic Language Proficiency (CALP) (Cummins</w:t>
      </w:r>
      <w:r>
        <w:t xml:space="preserve">, </w:t>
      </w:r>
      <w:r>
        <w:rPr>
          <w:rFonts w:hint="eastAsia"/>
        </w:rPr>
        <w:t xml:space="preserve">2008). This linkage is manifested in </w:t>
      </w:r>
      <w:r w:rsidR="00295FE8">
        <w:t xml:space="preserve">PSP </w:t>
      </w:r>
      <w:r>
        <w:rPr>
          <w:rFonts w:hint="eastAsia"/>
        </w:rPr>
        <w:t>contexts as a dual challenge: the need to develop generic academic language skills (</w:t>
      </w:r>
      <w:proofErr w:type="gramStart"/>
      <w:r>
        <w:rPr>
          <w:rFonts w:hint="eastAsia"/>
        </w:rPr>
        <w:t>e.g.</w:t>
      </w:r>
      <w:proofErr w:type="gramEnd"/>
      <w:r>
        <w:rPr>
          <w:rFonts w:hint="eastAsia"/>
        </w:rPr>
        <w:t xml:space="preserve"> argument structure, literature review writing) and the need to adapt to discipline-specific discursive conventions (Hyland</w:t>
      </w:r>
      <w:r>
        <w:t>,</w:t>
      </w:r>
      <w:r>
        <w:rPr>
          <w:rFonts w:hint="eastAsia"/>
        </w:rPr>
        <w:t>2016)</w:t>
      </w:r>
      <w:r>
        <w:t>.</w:t>
      </w:r>
      <w:r w:rsidR="00A15E29">
        <w:t xml:space="preserve"> </w:t>
      </w:r>
      <w:proofErr w:type="gramStart"/>
      <w:r>
        <w:rPr>
          <w:rFonts w:hint="eastAsia"/>
        </w:rPr>
        <w:t>Bloom</w:t>
      </w:r>
      <w:r>
        <w:t>(</w:t>
      </w:r>
      <w:proofErr w:type="gramEnd"/>
      <w:r>
        <w:t>2001)</w:t>
      </w:r>
      <w:r w:rsidR="00A15E29">
        <w:t>’</w:t>
      </w:r>
      <w:r>
        <w:rPr>
          <w:rFonts w:hint="eastAsia"/>
        </w:rPr>
        <w:t xml:space="preserve">s Taxonomy demonstrates when curriculum challenges exceed learner readiness, even when institutional support (e.g. teaching and learning resources) exists, this can lead to a </w:t>
      </w:r>
      <w:r>
        <w:rPr>
          <w:rFonts w:hint="eastAsia"/>
        </w:rPr>
        <w:t>‘</w:t>
      </w:r>
      <w:r>
        <w:rPr>
          <w:rFonts w:hint="eastAsia"/>
        </w:rPr>
        <w:t>paradox of academic language acquisition</w:t>
      </w:r>
      <w:r>
        <w:rPr>
          <w:rFonts w:hint="eastAsia"/>
        </w:rPr>
        <w:t>’</w:t>
      </w:r>
      <w:r>
        <w:rPr>
          <w:rFonts w:hint="eastAsia"/>
        </w:rPr>
        <w:t xml:space="preserve"> (Larson-Hall</w:t>
      </w:r>
      <w:r>
        <w:t xml:space="preserve">, </w:t>
      </w:r>
      <w:r>
        <w:rPr>
          <w:rFonts w:hint="eastAsia"/>
        </w:rPr>
        <w:t>2008).</w:t>
      </w:r>
    </w:p>
    <w:p w14:paraId="2110CE7F" w14:textId="77777777" w:rsidR="00F11593" w:rsidRDefault="00000000">
      <w:pPr>
        <w:pStyle w:val="2"/>
      </w:pPr>
      <w:r>
        <w:t xml:space="preserve">2.2 </w:t>
      </w:r>
      <w:r>
        <w:rPr>
          <w:rFonts w:hint="eastAsia"/>
        </w:rPr>
        <w:t>K</w:t>
      </w:r>
      <w:r>
        <w:t>ey terms</w:t>
      </w:r>
    </w:p>
    <w:p w14:paraId="1CCE90A4" w14:textId="5FB5AF82" w:rsidR="00F11593" w:rsidRDefault="00000000">
      <w:pPr>
        <w:pStyle w:val="3"/>
      </w:pPr>
      <w:r>
        <w:t>2.2.1 P</w:t>
      </w:r>
      <w:r>
        <w:rPr>
          <w:rFonts w:hint="eastAsia"/>
        </w:rPr>
        <w:t>re-sessional Program (</w:t>
      </w:r>
      <w:r>
        <w:t>PSP</w:t>
      </w:r>
      <w:r>
        <w:rPr>
          <w:rFonts w:hint="eastAsia"/>
        </w:rPr>
        <w:t>)</w:t>
      </w:r>
    </w:p>
    <w:p w14:paraId="3B8FA764" w14:textId="77777777" w:rsidR="00F11593" w:rsidRDefault="00000000">
      <w:r>
        <w:rPr>
          <w:rFonts w:hint="eastAsia"/>
        </w:rPr>
        <w:t xml:space="preserve">UK universities have strategically adopted condensed preparatory courses emphasizing academic English proficiency development, </w:t>
      </w:r>
      <w:r>
        <w:t>which</w:t>
      </w:r>
      <w:r>
        <w:rPr>
          <w:rFonts w:hint="eastAsia"/>
        </w:rPr>
        <w:t xml:space="preserve"> has significantly enhanced their competitive positioning within the international education sector by accommodating overseas applicants requiring linguistic skill enhancement prior to commencing degree studies</w:t>
      </w:r>
      <w:r>
        <w:rPr>
          <w:rFonts w:hint="eastAsia"/>
        </w:rPr>
        <w:t>（</w:t>
      </w:r>
      <w:r>
        <w:rPr>
          <w:rFonts w:hint="eastAsia"/>
        </w:rPr>
        <w:t>Pearson</w:t>
      </w:r>
      <w:r>
        <w:rPr>
          <w:rFonts w:hint="eastAsia"/>
        </w:rPr>
        <w:t>，</w:t>
      </w:r>
      <w:r>
        <w:rPr>
          <w:rFonts w:hint="eastAsia"/>
        </w:rPr>
        <w:t>2020</w:t>
      </w:r>
      <w:r>
        <w:t>).</w:t>
      </w:r>
      <w:r>
        <w:rPr>
          <w:rFonts w:hint="eastAsia"/>
        </w:rPr>
        <w:t xml:space="preserve"> Pre-sessional </w:t>
      </w:r>
      <w:proofErr w:type="spellStart"/>
      <w:r>
        <w:rPr>
          <w:rFonts w:hint="eastAsia"/>
        </w:rPr>
        <w:t>programme</w:t>
      </w:r>
      <w:proofErr w:type="spellEnd"/>
      <w:r>
        <w:rPr>
          <w:rFonts w:hint="eastAsia"/>
        </w:rPr>
        <w:t xml:space="preserve"> (PSP), </w:t>
      </w:r>
      <w:proofErr w:type="spellStart"/>
      <w:r>
        <w:rPr>
          <w:rFonts w:hint="eastAsia"/>
        </w:rPr>
        <w:t>recognised</w:t>
      </w:r>
      <w:proofErr w:type="spellEnd"/>
      <w:r>
        <w:rPr>
          <w:rFonts w:hint="eastAsia"/>
        </w:rPr>
        <w:t xml:space="preserve"> for fostering high standards of English linguistic proficiency and intercultural awareness, </w:t>
      </w:r>
      <w:r>
        <w:t>was</w:t>
      </w:r>
      <w:r>
        <w:rPr>
          <w:rFonts w:hint="eastAsia"/>
        </w:rPr>
        <w:t xml:space="preserve"> first established as an academic research priority following the Higher Education Seminar convened by the Group for Special English Language Materials for Overseas University Students (SELMOUS) at the University of Manchester in April 1978. This seminar outlined the pedagogical objectives of PSPs, asserting their capacity to enable students to: </w:t>
      </w:r>
    </w:p>
    <w:p w14:paraId="11156991" w14:textId="77777777" w:rsidR="00F11593" w:rsidRDefault="00000000">
      <w:pPr>
        <w:ind w:leftChars="200" w:left="420"/>
        <w:jc w:val="left"/>
      </w:pPr>
      <w:r>
        <w:rPr>
          <w:rFonts w:hint="eastAsia"/>
          <w:i/>
          <w:iCs/>
        </w:rPr>
        <w:t>1. comprehend lectures and produce structured notes; 2. compose academic essays, undertake examinations, and eventually draft a thesis; 3. critically engage with voluminous academic literature; and 4. actively participate in seminars and collaborative discourse</w:t>
      </w:r>
      <w:r>
        <w:rPr>
          <w:rFonts w:hint="eastAsia"/>
          <w:i/>
          <w:iCs/>
        </w:rPr>
        <w:t>’</w:t>
      </w:r>
      <w:r>
        <w:rPr>
          <w:rFonts w:hint="eastAsia"/>
          <w:i/>
          <w:iCs/>
        </w:rPr>
        <w:t xml:space="preserve"> </w:t>
      </w:r>
      <w:r>
        <w:rPr>
          <w:rFonts w:hint="eastAsia"/>
          <w:i/>
          <w:iCs/>
        </w:rPr>
        <w:lastRenderedPageBreak/>
        <w:t>(The British Council, 1978, p. 8).</w:t>
      </w:r>
      <w:r>
        <w:rPr>
          <w:rFonts w:hint="eastAsia"/>
        </w:rPr>
        <w:t xml:space="preserve"> </w:t>
      </w:r>
    </w:p>
    <w:p w14:paraId="7D7FA907" w14:textId="77777777" w:rsidR="00F11593" w:rsidRDefault="00000000">
      <w:r>
        <w:rPr>
          <w:rFonts w:hint="eastAsia"/>
        </w:rPr>
        <w:t>These aims underscored the foundational emphasis on integrating linguistic mastery with intercultural competence. A seminal illustration of this approach was the PSP courses (1972</w:t>
      </w:r>
      <w:r>
        <w:rPr>
          <w:rFonts w:hint="eastAsia"/>
        </w:rPr>
        <w:t>–</w:t>
      </w:r>
      <w:r>
        <w:rPr>
          <w:rFonts w:hint="eastAsia"/>
        </w:rPr>
        <w:t>1977) administered by the University of Manchester</w:t>
      </w:r>
      <w:r>
        <w:rPr>
          <w:rFonts w:hint="eastAsia"/>
        </w:rPr>
        <w:t>’</w:t>
      </w:r>
      <w:r>
        <w:rPr>
          <w:rFonts w:hint="eastAsia"/>
        </w:rPr>
        <w:t>s Department of Education, which emerged as an early exemplar of such initiatives (The British Council, 1978).</w:t>
      </w:r>
    </w:p>
    <w:p w14:paraId="204D6BE9" w14:textId="77777777" w:rsidR="006368D8" w:rsidRDefault="006368D8"/>
    <w:p w14:paraId="25846B14" w14:textId="581B09A2" w:rsidR="00F11593" w:rsidRDefault="00000000">
      <w:r>
        <w:rPr>
          <w:rFonts w:hint="eastAsia"/>
        </w:rPr>
        <w:t>By 2024, PSP delivery mechanisms h</w:t>
      </w:r>
      <w:r>
        <w:t>ave</w:t>
      </w:r>
      <w:r>
        <w:rPr>
          <w:rFonts w:hint="eastAsia"/>
        </w:rPr>
        <w:t xml:space="preserve"> expanded to incorporate online modalities, exemplified by institutions such as the University of Southampton. Their virtual PSP model employs a Blended Teaching</w:t>
      </w:r>
      <w:r>
        <w:rPr>
          <w:rFonts w:hint="eastAsia"/>
        </w:rPr>
        <w:t>（</w:t>
      </w:r>
      <w:r>
        <w:rPr>
          <w:rFonts w:hint="eastAsia"/>
        </w:rPr>
        <w:t>BT</w:t>
      </w:r>
      <w:r>
        <w:rPr>
          <w:rFonts w:hint="eastAsia"/>
        </w:rPr>
        <w:t>）</w:t>
      </w:r>
      <w:r>
        <w:rPr>
          <w:rFonts w:hint="eastAsia"/>
        </w:rPr>
        <w:t xml:space="preserve">framework, enabling international learners to acclimate to the intellectual demands of UK </w:t>
      </w:r>
      <w:r>
        <w:t>HE</w:t>
      </w:r>
      <w:r>
        <w:rPr>
          <w:rFonts w:hint="eastAsia"/>
        </w:rPr>
        <w:t xml:space="preserve"> while residing in their home countries. Participants undertake self-directed study via curated materials, execute tasks across writing, reading, listening, and speaking domains, and engage in synchronous virtual seminars, peer collaboration forums, and pre-recorded instructional content (University of Southampton, 2024). Competency is evaluated through diverse methods, including time-constrained digital assessments and iterative coursework submissions, ensuring alignment with rigorous academic benchmarks (University of Southampton, 2024).</w:t>
      </w:r>
    </w:p>
    <w:p w14:paraId="640CA991" w14:textId="77777777" w:rsidR="00F11593" w:rsidRDefault="00F11593"/>
    <w:p w14:paraId="54D20E92" w14:textId="43EF82C4" w:rsidR="00F11593" w:rsidRDefault="00000000">
      <w:r>
        <w:rPr>
          <w:rFonts w:hint="eastAsia"/>
        </w:rPr>
        <w:t>In conclusion</w:t>
      </w:r>
      <w:r>
        <w:t xml:space="preserve">, </w:t>
      </w:r>
      <w:r>
        <w:rPr>
          <w:rFonts w:hint="eastAsia"/>
        </w:rPr>
        <w:t>PSP is a short-term academic English course designed to enhance international students' language proficiency, particularly in academic writing, reading, listening, and speaking, to meet UK university entry requirements (Hyland, 2016; Murray, 2010; Ding &amp; Bruce, 2017).</w:t>
      </w:r>
      <w:r w:rsidR="00295FE8">
        <w:t xml:space="preserve"> </w:t>
      </w:r>
      <w:r>
        <w:rPr>
          <w:rFonts w:hint="eastAsia"/>
        </w:rPr>
        <w:t>Th</w:t>
      </w:r>
      <w:r>
        <w:t>e</w:t>
      </w:r>
      <w:r w:rsidR="00295FE8">
        <w:t>y</w:t>
      </w:r>
      <w:r>
        <w:t xml:space="preserve"> </w:t>
      </w:r>
      <w:r>
        <w:rPr>
          <w:rFonts w:hint="eastAsia"/>
        </w:rPr>
        <w:t xml:space="preserve">clarify the PSP </w:t>
      </w:r>
      <w:proofErr w:type="spellStart"/>
      <w:r>
        <w:rPr>
          <w:rFonts w:hint="eastAsia"/>
        </w:rPr>
        <w:t>programme</w:t>
      </w:r>
      <w:proofErr w:type="spellEnd"/>
      <w:r>
        <w:rPr>
          <w:rFonts w:hint="eastAsia"/>
        </w:rPr>
        <w:t xml:space="preserve"> using a process of elimination</w:t>
      </w:r>
      <w:r>
        <w:t>:</w:t>
      </w:r>
    </w:p>
    <w:p w14:paraId="1985CA49" w14:textId="77777777" w:rsidR="00F11593" w:rsidRDefault="00F11593"/>
    <w:p w14:paraId="0A3B2592" w14:textId="6B7D1347" w:rsidR="003C4BBD" w:rsidRPr="003C4BBD" w:rsidRDefault="003C4BBD" w:rsidP="003C4BBD">
      <w:pPr>
        <w:rPr>
          <w:b/>
          <w:bCs/>
        </w:rPr>
      </w:pPr>
      <w:r w:rsidRPr="003C4BBD">
        <w:t xml:space="preserve">English as a Second Language (ESL) </w:t>
      </w:r>
      <w:proofErr w:type="spellStart"/>
      <w:r w:rsidRPr="003C4BBD">
        <w:t>programmes</w:t>
      </w:r>
      <w:proofErr w:type="spellEnd"/>
      <w:r w:rsidRPr="003C4BBD">
        <w:t xml:space="preserve"> that focus only on single-skill training (e.g., academic writing) are </w:t>
      </w:r>
      <w:r w:rsidRPr="00BA5D4C">
        <w:rPr>
          <w:b/>
          <w:bCs/>
        </w:rPr>
        <w:t>excluded</w:t>
      </w:r>
      <w:r w:rsidRPr="003C4BBD">
        <w:t xml:space="preserve"> because the core goal of PSP is to develop the academic literacy of second-language learners and equip them with the ability to cope with complex academic discourses </w:t>
      </w:r>
      <w:proofErr w:type="gramStart"/>
      <w:r w:rsidRPr="003C4BBD">
        <w:t>in order to</w:t>
      </w:r>
      <w:proofErr w:type="gramEnd"/>
      <w:r w:rsidRPr="003C4BBD">
        <w:t xml:space="preserve"> succeed in higher education (Lee &amp; </w:t>
      </w:r>
      <w:proofErr w:type="spellStart"/>
      <w:r w:rsidRPr="003C4BBD">
        <w:t>Subtirelu</w:t>
      </w:r>
      <w:proofErr w:type="spellEnd"/>
      <w:r w:rsidRPr="003C4BBD">
        <w:t>, 2015).</w:t>
      </w:r>
    </w:p>
    <w:p w14:paraId="1A1D1208" w14:textId="77777777" w:rsidR="003C4BBD" w:rsidRPr="003C4BBD" w:rsidRDefault="003C4BBD" w:rsidP="003C4BBD">
      <w:pPr>
        <w:rPr>
          <w:b/>
          <w:bCs/>
        </w:rPr>
      </w:pPr>
    </w:p>
    <w:p w14:paraId="68497507" w14:textId="31D0F735" w:rsidR="003C4BBD" w:rsidRPr="003C4BBD" w:rsidRDefault="00BA5D4C" w:rsidP="003C4BBD">
      <w:r>
        <w:rPr>
          <w:rFonts w:hint="eastAsia"/>
        </w:rPr>
        <w:t>I</w:t>
      </w:r>
      <w:r w:rsidR="003C4BBD" w:rsidRPr="003C4BBD">
        <w:t xml:space="preserve">nclusion in the study had to be </w:t>
      </w:r>
      <w:proofErr w:type="spellStart"/>
      <w:r w:rsidR="003C4BBD" w:rsidRPr="003C4BBD">
        <w:t>programmes</w:t>
      </w:r>
      <w:proofErr w:type="spellEnd"/>
      <w:r w:rsidR="003C4BBD" w:rsidRPr="003C4BBD">
        <w:t xml:space="preserve"> offered by HEIs for students with conditional offers of admission, thus </w:t>
      </w:r>
      <w:r w:rsidR="003C4BBD" w:rsidRPr="00BA5D4C">
        <w:rPr>
          <w:b/>
          <w:bCs/>
        </w:rPr>
        <w:t>excluding</w:t>
      </w:r>
      <w:r w:rsidR="003C4BBD" w:rsidRPr="003C4BBD">
        <w:t xml:space="preserve"> general English language development </w:t>
      </w:r>
      <w:proofErr w:type="spellStart"/>
      <w:r w:rsidR="003C4BBD" w:rsidRPr="003C4BBD">
        <w:t>programmes</w:t>
      </w:r>
      <w:proofErr w:type="spellEnd"/>
      <w:r w:rsidR="003C4BBD" w:rsidRPr="003C4BBD">
        <w:t xml:space="preserve"> offered by private language schools.</w:t>
      </w:r>
    </w:p>
    <w:p w14:paraId="651B6941" w14:textId="77777777" w:rsidR="003C4BBD" w:rsidRPr="003C4BBD" w:rsidRDefault="003C4BBD" w:rsidP="003C4BBD">
      <w:pPr>
        <w:rPr>
          <w:b/>
          <w:bCs/>
        </w:rPr>
      </w:pPr>
    </w:p>
    <w:p w14:paraId="67A1C90A" w14:textId="77777777" w:rsidR="003C4BBD" w:rsidRPr="003C4BBD" w:rsidRDefault="003C4BBD" w:rsidP="003C4BBD">
      <w:r w:rsidRPr="003C4BBD">
        <w:t xml:space="preserve">Only </w:t>
      </w:r>
      <w:proofErr w:type="spellStart"/>
      <w:r w:rsidRPr="003C4BBD">
        <w:t>programmes</w:t>
      </w:r>
      <w:proofErr w:type="spellEnd"/>
      <w:r w:rsidRPr="003C4BBD">
        <w:t xml:space="preserve"> that are intensive to English for Academic Purposes (EAP), which have the following characteristics, were</w:t>
      </w:r>
      <w:r w:rsidRPr="00BA5D4C">
        <w:rPr>
          <w:b/>
          <w:bCs/>
        </w:rPr>
        <w:t xml:space="preserve"> included:</w:t>
      </w:r>
      <w:r w:rsidRPr="003C4BBD">
        <w:t xml:space="preserve"> full-time mode of class delivery, fixed </w:t>
      </w:r>
      <w:proofErr w:type="spellStart"/>
      <w:r w:rsidRPr="003C4BBD">
        <w:t>programme</w:t>
      </w:r>
      <w:proofErr w:type="spellEnd"/>
      <w:r w:rsidRPr="003C4BBD">
        <w:t xml:space="preserve"> cycles and articulated degree </w:t>
      </w:r>
      <w:proofErr w:type="spellStart"/>
      <w:r w:rsidRPr="003C4BBD">
        <w:t>programme</w:t>
      </w:r>
      <w:proofErr w:type="spellEnd"/>
      <w:r w:rsidRPr="003C4BBD">
        <w:t xml:space="preserve"> start dates.</w:t>
      </w:r>
    </w:p>
    <w:p w14:paraId="44AA6A16" w14:textId="77777777" w:rsidR="003C4BBD" w:rsidRPr="003C4BBD" w:rsidRDefault="003C4BBD" w:rsidP="003C4BBD">
      <w:pPr>
        <w:rPr>
          <w:b/>
          <w:bCs/>
        </w:rPr>
      </w:pPr>
    </w:p>
    <w:p w14:paraId="57C2B785" w14:textId="77777777" w:rsidR="00F11593" w:rsidRDefault="00000000">
      <w:pPr>
        <w:rPr>
          <w:b/>
          <w:bCs/>
        </w:rPr>
      </w:pPr>
      <w:r>
        <w:rPr>
          <w:b/>
          <w:bCs/>
        </w:rPr>
        <w:t>However, the following two types of studies were excluded:</w:t>
      </w:r>
    </w:p>
    <w:p w14:paraId="64074BEC" w14:textId="4F30515D" w:rsidR="00F11593" w:rsidRDefault="00000000">
      <w:r>
        <w:t>Studies that required students to take credit/non-credit EAP courses as a condition for college progression or graduation (e.g., Clark and Ishida, 2005)</w:t>
      </w:r>
      <w:r w:rsidR="00A15E29">
        <w:t>.</w:t>
      </w:r>
    </w:p>
    <w:p w14:paraId="06F87813" w14:textId="77777777" w:rsidR="00F11593" w:rsidRDefault="00000000">
      <w:r>
        <w:t>Studies that required students to take EAP courses in conjunction with their major (e.g., Storch &amp; Tapper, 2009).</w:t>
      </w:r>
    </w:p>
    <w:p w14:paraId="0523347E" w14:textId="77777777" w:rsidR="00F11593" w:rsidRDefault="00F11593">
      <w:pPr>
        <w:rPr>
          <w:b/>
          <w:bCs/>
          <w:highlight w:val="yellow"/>
        </w:rPr>
      </w:pPr>
    </w:p>
    <w:p w14:paraId="32A1731B" w14:textId="0366ACBD" w:rsidR="00F11593" w:rsidRPr="006E67E7" w:rsidRDefault="002B1ACE">
      <w:pPr>
        <w:rPr>
          <w:rFonts w:hint="eastAsia"/>
          <w:b/>
          <w:sz w:val="32"/>
        </w:rPr>
      </w:pPr>
      <w:r w:rsidRPr="006E67E7">
        <w:t>Compared to PSP</w:t>
      </w:r>
      <w:r w:rsidRPr="006E67E7">
        <w:rPr>
          <w:rFonts w:hint="eastAsia"/>
        </w:rPr>
        <w:t>s</w:t>
      </w:r>
      <w:r w:rsidRPr="006E67E7">
        <w:t xml:space="preserve"> in </w:t>
      </w:r>
      <w:r w:rsidRPr="006E67E7">
        <w:rPr>
          <w:rFonts w:hint="eastAsia"/>
        </w:rPr>
        <w:t>the</w:t>
      </w:r>
      <w:r w:rsidRPr="006E67E7">
        <w:t xml:space="preserve"> </w:t>
      </w:r>
      <w:r w:rsidRPr="006E67E7">
        <w:rPr>
          <w:rFonts w:hint="eastAsia"/>
        </w:rPr>
        <w:t>UK</w:t>
      </w:r>
      <w:r w:rsidRPr="006E67E7">
        <w:t>, the</w:t>
      </w:r>
      <w:r w:rsidRPr="006E67E7">
        <w:t xml:space="preserve"> Chinese pre-sessional </w:t>
      </w:r>
      <w:proofErr w:type="spellStart"/>
      <w:r w:rsidRPr="006E67E7">
        <w:t>programme</w:t>
      </w:r>
      <w:proofErr w:type="spellEnd"/>
      <w:r w:rsidRPr="006E67E7">
        <w:t xml:space="preserve"> (</w:t>
      </w:r>
      <w:r w:rsidRPr="006E67E7">
        <w:rPr>
          <w:rFonts w:hint="eastAsia"/>
        </w:rPr>
        <w:t>YKKS</w:t>
      </w:r>
      <w:r w:rsidRPr="006E67E7">
        <w:t>)</w:t>
      </w:r>
      <w:r w:rsidRPr="006E67E7">
        <w:t xml:space="preserve"> is a short-term academic C</w:t>
      </w:r>
      <w:r w:rsidRPr="006E67E7">
        <w:rPr>
          <w:rFonts w:hint="eastAsia"/>
        </w:rPr>
        <w:t>hinese</w:t>
      </w:r>
      <w:r w:rsidRPr="006E67E7">
        <w:t xml:space="preserve"> language course designed to prepare non-native learners for Chinese </w:t>
      </w:r>
      <w:r w:rsidRPr="006E67E7">
        <w:t xml:space="preserve">HE </w:t>
      </w:r>
      <w:r w:rsidRPr="006E67E7">
        <w:t>through academic language immersion, discipline-specific skills development, and cross-cultural adaptation</w:t>
      </w:r>
      <w:r w:rsidRPr="006E67E7">
        <w:t xml:space="preserve"> </w:t>
      </w:r>
      <w:r w:rsidRPr="006E67E7">
        <w:t>(Coxhead, 2000; Li &amp; Yang, 2020)</w:t>
      </w:r>
      <w:r w:rsidRPr="006E67E7">
        <w:t xml:space="preserve"> </w:t>
      </w:r>
      <w:r w:rsidR="006E67E7">
        <w:t xml:space="preserve">which </w:t>
      </w:r>
      <w:r w:rsidRPr="006E67E7">
        <w:t xml:space="preserve">enhance international students' language proficiency, particularly in </w:t>
      </w:r>
      <w:r w:rsidRPr="006E67E7">
        <w:lastRenderedPageBreak/>
        <w:t>academic writing, reading, listening, and speaking, to meet Chinese university entry requirements</w:t>
      </w:r>
      <w:r w:rsidR="006E67E7">
        <w:t>.</w:t>
      </w:r>
      <w:r w:rsidRPr="006E67E7">
        <w:rPr>
          <w:b/>
          <w:sz w:val="32"/>
        </w:rPr>
        <w:t xml:space="preserve"> </w:t>
      </w:r>
    </w:p>
    <w:p w14:paraId="76C9A886" w14:textId="77777777" w:rsidR="00F11593" w:rsidRDefault="00000000">
      <w:pPr>
        <w:pStyle w:val="3"/>
      </w:pPr>
      <w:r>
        <w:t>2.2.2 Theory</w:t>
      </w:r>
    </w:p>
    <w:p w14:paraId="31531517" w14:textId="77777777" w:rsidR="00F11593" w:rsidRDefault="00000000">
      <w:pPr>
        <w:pStyle w:val="5"/>
      </w:pPr>
      <w:r>
        <w:t xml:space="preserve">2.2.2.1 </w:t>
      </w:r>
      <w:r>
        <w:rPr>
          <w:rFonts w:hint="eastAsia"/>
        </w:rPr>
        <w:t>Challenge-Support-Readiness Model</w:t>
      </w:r>
    </w:p>
    <w:p w14:paraId="5B5CE94C" w14:textId="77777777" w:rsidR="00F11593" w:rsidRDefault="00000000">
      <w:pPr>
        <w:widowControl/>
        <w:jc w:val="left"/>
      </w:pPr>
      <w:r>
        <w:rPr>
          <w:rFonts w:ascii="宋体" w:hAnsi="宋体" w:cs="宋体"/>
          <w:noProof/>
          <w:kern w:val="0"/>
          <w:sz w:val="24"/>
          <w:lang w:bidi="ar"/>
        </w:rPr>
        <w:drawing>
          <wp:inline distT="0" distB="0" distL="114300" distR="114300" wp14:anchorId="625F6F4B" wp14:editId="023D88F6">
            <wp:extent cx="5585460" cy="2960370"/>
            <wp:effectExtent l="0" t="0" r="2540" b="1143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9"/>
                    <a:stretch>
                      <a:fillRect/>
                    </a:stretch>
                  </pic:blipFill>
                  <pic:spPr>
                    <a:xfrm>
                      <a:off x="0" y="0"/>
                      <a:ext cx="5585460" cy="2960370"/>
                    </a:xfrm>
                    <a:prstGeom prst="rect">
                      <a:avLst/>
                    </a:prstGeom>
                    <a:noFill/>
                    <a:ln w="9525">
                      <a:noFill/>
                    </a:ln>
                  </pic:spPr>
                </pic:pic>
              </a:graphicData>
            </a:graphic>
          </wp:inline>
        </w:drawing>
      </w:r>
    </w:p>
    <w:p w14:paraId="6502A308" w14:textId="6F7B9E23" w:rsidR="00F11593" w:rsidRPr="00E644A2" w:rsidRDefault="00000000" w:rsidP="00E644A2">
      <w:pPr>
        <w:widowControl/>
        <w:ind w:firstLineChars="850" w:firstLine="1560"/>
        <w:jc w:val="left"/>
        <w:rPr>
          <w:rFonts w:asciiTheme="minorHAnsi" w:eastAsia="Helvetica" w:hAnsiTheme="minorHAnsi" w:cstheme="minorHAnsi" w:hint="eastAsia"/>
          <w:b/>
          <w:bCs/>
          <w:i/>
          <w:iCs/>
          <w:kern w:val="0"/>
          <w:sz w:val="18"/>
          <w:szCs w:val="18"/>
          <w:shd w:val="clear" w:color="auto" w:fill="FFFFFF"/>
          <w:lang w:bidi="ar"/>
        </w:rPr>
      </w:pPr>
      <w:r w:rsidRPr="00E644A2">
        <w:rPr>
          <w:rStyle w:val="a4"/>
          <w:rFonts w:asciiTheme="minorHAnsi" w:eastAsia="Helvetica" w:hAnsiTheme="minorHAnsi" w:cstheme="minorHAnsi"/>
          <w:bCs/>
          <w:i/>
          <w:iCs/>
          <w:kern w:val="0"/>
          <w:sz w:val="18"/>
          <w:szCs w:val="18"/>
          <w:shd w:val="clear" w:color="auto" w:fill="FFFFFF"/>
          <w:lang w:bidi="ar"/>
        </w:rPr>
        <w:t>Figure</w:t>
      </w:r>
      <w:r w:rsidR="00E644A2">
        <w:rPr>
          <w:rStyle w:val="a4"/>
          <w:rFonts w:asciiTheme="minorHAnsi" w:eastAsia="Helvetica" w:hAnsiTheme="minorHAnsi" w:cstheme="minorHAnsi"/>
          <w:bCs/>
          <w:i/>
          <w:iCs/>
          <w:kern w:val="0"/>
          <w:sz w:val="18"/>
          <w:szCs w:val="18"/>
          <w:shd w:val="clear" w:color="auto" w:fill="FFFFFF"/>
          <w:lang w:bidi="ar"/>
        </w:rPr>
        <w:t xml:space="preserve"> </w:t>
      </w:r>
      <w:r w:rsidR="006368D8" w:rsidRPr="00E644A2">
        <w:rPr>
          <w:rStyle w:val="a4"/>
          <w:rFonts w:asciiTheme="minorHAnsi" w:eastAsia="Helvetica" w:hAnsiTheme="minorHAnsi" w:cstheme="minorHAnsi"/>
          <w:bCs/>
          <w:i/>
          <w:iCs/>
          <w:kern w:val="0"/>
          <w:sz w:val="18"/>
          <w:szCs w:val="18"/>
          <w:shd w:val="clear" w:color="auto" w:fill="FFFFFF"/>
          <w:lang w:bidi="ar"/>
        </w:rPr>
        <w:t>2</w:t>
      </w:r>
      <w:r w:rsidRPr="00E644A2">
        <w:rPr>
          <w:rStyle w:val="a4"/>
          <w:rFonts w:asciiTheme="minorHAnsi" w:eastAsia="Helvetica" w:hAnsiTheme="minorHAnsi" w:cstheme="minorHAnsi"/>
          <w:bCs/>
          <w:i/>
          <w:iCs/>
          <w:kern w:val="0"/>
          <w:sz w:val="18"/>
          <w:szCs w:val="18"/>
          <w:shd w:val="clear" w:color="auto" w:fill="FFFFFF"/>
          <w:lang w:bidi="ar"/>
        </w:rPr>
        <w:t>:</w:t>
      </w:r>
      <w:r w:rsidR="00E644A2">
        <w:rPr>
          <w:rStyle w:val="a4"/>
          <w:rFonts w:asciiTheme="minorHAnsi" w:eastAsia="Helvetica" w:hAnsiTheme="minorHAnsi" w:cstheme="minorHAnsi"/>
          <w:bCs/>
          <w:i/>
          <w:iCs/>
          <w:kern w:val="0"/>
          <w:sz w:val="18"/>
          <w:szCs w:val="18"/>
          <w:shd w:val="clear" w:color="auto" w:fill="FFFFFF"/>
          <w:lang w:bidi="ar"/>
        </w:rPr>
        <w:t xml:space="preserve"> </w:t>
      </w:r>
      <w:r w:rsidRPr="00E644A2">
        <w:rPr>
          <w:rStyle w:val="a4"/>
          <w:rFonts w:asciiTheme="minorHAnsi" w:eastAsia="Helvetica" w:hAnsiTheme="minorHAnsi" w:cstheme="minorHAnsi"/>
          <w:b w:val="0"/>
          <w:i/>
          <w:iCs/>
          <w:kern w:val="0"/>
          <w:sz w:val="18"/>
          <w:szCs w:val="18"/>
          <w:shd w:val="clear" w:color="auto" w:fill="FFFFFF"/>
          <w:lang w:bidi="ar"/>
        </w:rPr>
        <w:t>Challenge-Support-Readiness Model</w:t>
      </w:r>
      <w:r w:rsidR="00A15E29">
        <w:rPr>
          <w:rStyle w:val="a4"/>
          <w:rFonts w:asciiTheme="minorHAnsi" w:eastAsia="Helvetica" w:hAnsiTheme="minorHAnsi" w:cstheme="minorHAnsi"/>
          <w:b w:val="0"/>
          <w:i/>
          <w:iCs/>
          <w:kern w:val="0"/>
          <w:sz w:val="18"/>
          <w:szCs w:val="18"/>
          <w:shd w:val="clear" w:color="auto" w:fill="FFFFFF"/>
          <w:lang w:bidi="ar"/>
        </w:rPr>
        <w:t xml:space="preserve"> </w:t>
      </w:r>
      <w:r w:rsidRPr="00E644A2">
        <w:rPr>
          <w:rStyle w:val="a4"/>
          <w:rFonts w:asciiTheme="minorHAnsi" w:eastAsia="Helvetica" w:hAnsiTheme="minorHAnsi" w:cstheme="minorHAnsi"/>
          <w:b w:val="0"/>
          <w:i/>
          <w:iCs/>
          <w:kern w:val="0"/>
          <w:sz w:val="18"/>
          <w:szCs w:val="18"/>
          <w:shd w:val="clear" w:color="auto" w:fill="FFFFFF"/>
          <w:lang w:bidi="ar"/>
        </w:rPr>
        <w:t>(Sanford, 1967)</w:t>
      </w:r>
    </w:p>
    <w:p w14:paraId="65CAAD28" w14:textId="2354D17C" w:rsidR="00F11593" w:rsidRPr="00A15E29" w:rsidRDefault="00000000">
      <w:pPr>
        <w:rPr>
          <w:rFonts w:hint="eastAsia"/>
        </w:rPr>
      </w:pPr>
      <w:r>
        <w:rPr>
          <w:rFonts w:hint="eastAsia"/>
        </w:rPr>
        <w:t>Sanford</w:t>
      </w:r>
      <w:r>
        <w:t>’</w:t>
      </w:r>
      <w:r>
        <w:rPr>
          <w:rFonts w:hint="eastAsia"/>
        </w:rPr>
        <w:t xml:space="preserve">s (1968) </w:t>
      </w:r>
      <w:r>
        <w:t>‘</w:t>
      </w:r>
      <w:r>
        <w:rPr>
          <w:rFonts w:hint="eastAsia"/>
        </w:rPr>
        <w:t>Challenge-Support-Readiness Model</w:t>
      </w:r>
      <w:r>
        <w:t>’</w:t>
      </w:r>
      <w:r>
        <w:rPr>
          <w:rFonts w:hint="eastAsia"/>
        </w:rPr>
        <w:t xml:space="preserve"> is primarily used to explore how learners achieve personal growth and development in an environment that balances appropriate challenges and </w:t>
      </w:r>
      <w:proofErr w:type="gramStart"/>
      <w:r>
        <w:rPr>
          <w:rFonts w:hint="eastAsia"/>
        </w:rPr>
        <w:t>support(</w:t>
      </w:r>
      <w:proofErr w:type="gramEnd"/>
      <w:r>
        <w:rPr>
          <w:rFonts w:hint="eastAsia"/>
        </w:rPr>
        <w:t>Sanford, 1967)</w:t>
      </w:r>
      <w:r>
        <w:t>.</w:t>
      </w:r>
      <w:r>
        <w:rPr>
          <w:rFonts w:hint="eastAsia"/>
        </w:rPr>
        <w:t xml:space="preserve">In the context of PSPs, this model can help students transition smoothly into formal academic courses, enhancing their adaptability and academic success. </w:t>
      </w:r>
    </w:p>
    <w:p w14:paraId="2B61CA19" w14:textId="77777777" w:rsidR="00F11593" w:rsidRPr="00E644A2" w:rsidRDefault="00000000">
      <w:pPr>
        <w:rPr>
          <w:b/>
          <w:sz w:val="32"/>
        </w:rPr>
      </w:pPr>
      <w:r w:rsidRPr="00E644A2">
        <w:rPr>
          <w:rFonts w:hint="eastAsia"/>
          <w:b/>
          <w:sz w:val="32"/>
        </w:rPr>
        <w:t>Challenge</w:t>
      </w:r>
    </w:p>
    <w:p w14:paraId="6192F081" w14:textId="77777777" w:rsidR="00F11593" w:rsidRDefault="00000000">
      <w:r>
        <w:rPr>
          <w:rFonts w:hint="eastAsia"/>
          <w:b/>
          <w:bCs/>
        </w:rPr>
        <w:t>Academic English proficiency:</w:t>
      </w:r>
      <w:r>
        <w:rPr>
          <w:rFonts w:hint="eastAsia"/>
        </w:rPr>
        <w:t xml:space="preserve"> Guiding students in adapting to academic writing, critical reading, and listening requirements (Wingate, 2015).</w:t>
      </w:r>
    </w:p>
    <w:p w14:paraId="5D217362" w14:textId="77777777" w:rsidR="00F11593" w:rsidRDefault="00000000">
      <w:r>
        <w:rPr>
          <w:rFonts w:hint="eastAsia"/>
          <w:b/>
          <w:bCs/>
        </w:rPr>
        <w:t xml:space="preserve">Research skills: </w:t>
      </w:r>
      <w:r>
        <w:rPr>
          <w:rFonts w:hint="eastAsia"/>
        </w:rPr>
        <w:t xml:space="preserve">Encouraging students to engage in independent research, literature reviews, and data analysis </w:t>
      </w:r>
      <w:r>
        <w:rPr>
          <w:rFonts w:hint="eastAsia"/>
        </w:rPr>
        <w:t>（</w:t>
      </w:r>
      <w:r>
        <w:rPr>
          <w:rFonts w:hint="eastAsia"/>
        </w:rPr>
        <w:t>Norton</w:t>
      </w:r>
      <w:r>
        <w:t xml:space="preserve">, </w:t>
      </w:r>
      <w:r>
        <w:rPr>
          <w:rFonts w:hint="eastAsia"/>
        </w:rPr>
        <w:t>2009).</w:t>
      </w:r>
    </w:p>
    <w:p w14:paraId="67544D5E" w14:textId="77777777" w:rsidR="00F11593" w:rsidRDefault="00000000">
      <w:r>
        <w:rPr>
          <w:rFonts w:hint="eastAsia"/>
          <w:b/>
          <w:bCs/>
        </w:rPr>
        <w:t xml:space="preserve">Classroom participation: </w:t>
      </w:r>
      <w:r>
        <w:rPr>
          <w:rFonts w:hint="eastAsia"/>
        </w:rPr>
        <w:t>Enhancing students</w:t>
      </w:r>
      <w:r>
        <w:t>’</w:t>
      </w:r>
      <w:r>
        <w:rPr>
          <w:rFonts w:hint="eastAsia"/>
        </w:rPr>
        <w:t xml:space="preserve"> performance in academic discussions, presentations, and group work (</w:t>
      </w:r>
      <w:proofErr w:type="spellStart"/>
      <w:r>
        <w:rPr>
          <w:rFonts w:hint="eastAsia"/>
        </w:rPr>
        <w:t>Arkoudis</w:t>
      </w:r>
      <w:proofErr w:type="spellEnd"/>
      <w:r>
        <w:rPr>
          <w:rFonts w:hint="eastAsia"/>
        </w:rPr>
        <w:t xml:space="preserve">, </w:t>
      </w:r>
      <w:proofErr w:type="spellStart"/>
      <w:r>
        <w:rPr>
          <w:rFonts w:hint="eastAsia"/>
        </w:rPr>
        <w:t>Baik</w:t>
      </w:r>
      <w:proofErr w:type="spellEnd"/>
      <w:r>
        <w:rPr>
          <w:rFonts w:hint="eastAsia"/>
        </w:rPr>
        <w:t>, &amp; Richardson, 2012).</w:t>
      </w:r>
    </w:p>
    <w:p w14:paraId="46732D14" w14:textId="5678604F" w:rsidR="00F11593" w:rsidRDefault="00000000">
      <w:pPr>
        <w:rPr>
          <w:rFonts w:hint="eastAsia"/>
        </w:rPr>
      </w:pPr>
      <w:r>
        <w:rPr>
          <w:rFonts w:hint="eastAsia"/>
        </w:rPr>
        <w:t>These challenges help students develop independent learning skills and prepare for formal coursework (Tinto, 1993).</w:t>
      </w:r>
    </w:p>
    <w:p w14:paraId="4B953D7E" w14:textId="77777777" w:rsidR="00F11593" w:rsidRPr="00E644A2" w:rsidRDefault="00000000">
      <w:pPr>
        <w:rPr>
          <w:b/>
          <w:sz w:val="32"/>
        </w:rPr>
      </w:pPr>
      <w:r w:rsidRPr="00E644A2">
        <w:rPr>
          <w:rFonts w:hint="eastAsia"/>
          <w:b/>
          <w:sz w:val="32"/>
        </w:rPr>
        <w:t>Support</w:t>
      </w:r>
    </w:p>
    <w:p w14:paraId="3764F3D3" w14:textId="77777777" w:rsidR="00F11593" w:rsidRDefault="00000000">
      <w:r>
        <w:rPr>
          <w:b/>
          <w:bCs/>
        </w:rPr>
        <w:t>I</w:t>
      </w:r>
      <w:r>
        <w:rPr>
          <w:rFonts w:hint="eastAsia"/>
          <w:b/>
          <w:bCs/>
        </w:rPr>
        <w:t>nstructor guidance:</w:t>
      </w:r>
      <w:r>
        <w:rPr>
          <w:rFonts w:hint="eastAsia"/>
        </w:rPr>
        <w:t xml:space="preserve"> Regular feedback, one-on-one tutoring, and academic advising to help students adapt (</w:t>
      </w:r>
      <w:proofErr w:type="spellStart"/>
      <w:r>
        <w:rPr>
          <w:rFonts w:hint="eastAsia"/>
        </w:rPr>
        <w:t>Kuh</w:t>
      </w:r>
      <w:proofErr w:type="spellEnd"/>
      <w:r>
        <w:rPr>
          <w:rFonts w:hint="eastAsia"/>
        </w:rPr>
        <w:t>, Kinzie, Schuh, &amp; Whitt, 2011).</w:t>
      </w:r>
    </w:p>
    <w:p w14:paraId="36EAB274" w14:textId="77777777" w:rsidR="00F11593" w:rsidRDefault="00000000">
      <w:r>
        <w:rPr>
          <w:rFonts w:hint="eastAsia"/>
          <w:b/>
          <w:bCs/>
        </w:rPr>
        <w:t>Peer support:</w:t>
      </w:r>
      <w:r>
        <w:rPr>
          <w:rFonts w:hint="eastAsia"/>
        </w:rPr>
        <w:t xml:space="preserve"> Creating study groups and interactive classrooms to foster collaborative learning (Bailey, Jaggers, &amp; Jenkins, 2015).</w:t>
      </w:r>
    </w:p>
    <w:p w14:paraId="64CCECF2" w14:textId="77777777" w:rsidR="00F11593" w:rsidRDefault="00000000">
      <w:r>
        <w:rPr>
          <w:rFonts w:hint="eastAsia"/>
          <w:b/>
          <w:bCs/>
        </w:rPr>
        <w:lastRenderedPageBreak/>
        <w:t>Resource support:</w:t>
      </w:r>
      <w:r>
        <w:rPr>
          <w:rFonts w:hint="eastAsia"/>
        </w:rPr>
        <w:t xml:space="preserve"> Providing online learning platforms, writing centers, and language support services to help students tackle academic challenges (Norton, </w:t>
      </w:r>
      <w:proofErr w:type="spellStart"/>
      <w:r>
        <w:rPr>
          <w:rFonts w:hint="eastAsia"/>
        </w:rPr>
        <w:t>Scantlebury</w:t>
      </w:r>
      <w:proofErr w:type="spellEnd"/>
      <w:r>
        <w:rPr>
          <w:rFonts w:hint="eastAsia"/>
        </w:rPr>
        <w:t>, &amp; Tan, 2018).</w:t>
      </w:r>
    </w:p>
    <w:p w14:paraId="4D58E5C7" w14:textId="63139EFF" w:rsidR="00F11593" w:rsidRDefault="00000000">
      <w:pPr>
        <w:rPr>
          <w:rFonts w:hint="eastAsia"/>
        </w:rPr>
      </w:pPr>
      <w:r>
        <w:rPr>
          <w:rFonts w:hint="eastAsia"/>
        </w:rPr>
        <w:t>Such support systems enhance students</w:t>
      </w:r>
      <w:r>
        <w:t xml:space="preserve">’ </w:t>
      </w:r>
      <w:r>
        <w:rPr>
          <w:rFonts w:hint="eastAsia"/>
        </w:rPr>
        <w:t>confidence and enable them to better meet university academic expectations (Sanford, 1968).</w:t>
      </w:r>
    </w:p>
    <w:p w14:paraId="6673F45C" w14:textId="77777777" w:rsidR="00F11593" w:rsidRPr="00E644A2" w:rsidRDefault="00000000">
      <w:pPr>
        <w:rPr>
          <w:b/>
          <w:sz w:val="32"/>
        </w:rPr>
      </w:pPr>
      <w:r w:rsidRPr="00E644A2">
        <w:rPr>
          <w:rFonts w:hint="eastAsia"/>
          <w:b/>
          <w:sz w:val="32"/>
        </w:rPr>
        <w:t>Readiness</w:t>
      </w:r>
    </w:p>
    <w:p w14:paraId="09724AF0" w14:textId="77777777" w:rsidR="00F11593" w:rsidRDefault="00000000">
      <w:r>
        <w:rPr>
          <w:rFonts w:hint="eastAsia"/>
        </w:rPr>
        <w:t>Readiness refers to whether students are prepared to take on challenges and effectively utilize the support available. PSPs should assess students</w:t>
      </w:r>
      <w:r>
        <w:rPr>
          <w:rFonts w:hint="eastAsia"/>
        </w:rPr>
        <w:t>’</w:t>
      </w:r>
      <w:r>
        <w:rPr>
          <w:rFonts w:hint="eastAsia"/>
        </w:rPr>
        <w:t xml:space="preserve"> readiness and implement targeted strategies:</w:t>
      </w:r>
    </w:p>
    <w:p w14:paraId="00B180AE" w14:textId="77777777" w:rsidR="00F11593" w:rsidRDefault="00000000">
      <w:r>
        <w:rPr>
          <w:rFonts w:hint="eastAsia"/>
          <w:b/>
          <w:bCs/>
        </w:rPr>
        <w:t xml:space="preserve">Initial assessment: </w:t>
      </w:r>
      <w:r>
        <w:rPr>
          <w:rFonts w:hint="eastAsia"/>
        </w:rPr>
        <w:t>Evaluating students</w:t>
      </w:r>
      <w:r>
        <w:t xml:space="preserve">’ </w:t>
      </w:r>
      <w:r>
        <w:rPr>
          <w:rFonts w:hint="eastAsia"/>
        </w:rPr>
        <w:t>starting levels through language tests and learning goal analysis (</w:t>
      </w:r>
      <w:proofErr w:type="spellStart"/>
      <w:r>
        <w:rPr>
          <w:rFonts w:hint="eastAsia"/>
        </w:rPr>
        <w:t>Arkoudis</w:t>
      </w:r>
      <w:proofErr w:type="spellEnd"/>
      <w:r>
        <w:rPr>
          <w:rFonts w:hint="eastAsia"/>
        </w:rPr>
        <w:t xml:space="preserve"> et al., 2012).</w:t>
      </w:r>
    </w:p>
    <w:p w14:paraId="34A23C1F" w14:textId="77777777" w:rsidR="00F11593" w:rsidRDefault="00000000">
      <w:r>
        <w:rPr>
          <w:rFonts w:hint="eastAsia"/>
          <w:b/>
          <w:bCs/>
        </w:rPr>
        <w:t>Personalized learning plans:</w:t>
      </w:r>
      <w:r>
        <w:rPr>
          <w:rFonts w:hint="eastAsia"/>
        </w:rPr>
        <w:t xml:space="preserve"> Designing individualized learning pathways based on students</w:t>
      </w:r>
      <w:r>
        <w:rPr>
          <w:rFonts w:hint="eastAsia"/>
        </w:rPr>
        <w:t>’</w:t>
      </w:r>
      <w:r>
        <w:rPr>
          <w:rFonts w:hint="eastAsia"/>
        </w:rPr>
        <w:t xml:space="preserve"> proficiency (Tinto, 1993).</w:t>
      </w:r>
    </w:p>
    <w:p w14:paraId="67F5B5FA" w14:textId="7D11ACCF" w:rsidR="00F11593" w:rsidRDefault="00000000">
      <w:pPr>
        <w:rPr>
          <w:rFonts w:hint="eastAsia"/>
        </w:rPr>
      </w:pPr>
      <w:r>
        <w:rPr>
          <w:rFonts w:hint="eastAsia"/>
          <w:b/>
          <w:bCs/>
        </w:rPr>
        <w:t>Developing independent learning skills:</w:t>
      </w:r>
      <w:r>
        <w:rPr>
          <w:rFonts w:hint="eastAsia"/>
        </w:rPr>
        <w:t xml:space="preserve"> Using reflective journals and study strategy training to enhance students</w:t>
      </w:r>
      <w:r>
        <w:rPr>
          <w:rFonts w:hint="eastAsia"/>
        </w:rPr>
        <w:t>’</w:t>
      </w:r>
      <w:r>
        <w:rPr>
          <w:rFonts w:hint="eastAsia"/>
        </w:rPr>
        <w:t>self-regulation (Wingate, 2015).</w:t>
      </w:r>
    </w:p>
    <w:p w14:paraId="58532CA2" w14:textId="77777777" w:rsidR="00F11593" w:rsidRDefault="00000000">
      <w:pPr>
        <w:pStyle w:val="5"/>
        <w:rPr>
          <w:bCs/>
          <w:szCs w:val="32"/>
        </w:rPr>
      </w:pPr>
      <w:r>
        <w:rPr>
          <w:rFonts w:hint="eastAsia"/>
        </w:rPr>
        <w:t>2.2.</w:t>
      </w:r>
      <w:r>
        <w:t>2</w:t>
      </w:r>
      <w:r>
        <w:rPr>
          <w:rFonts w:hint="eastAsia"/>
        </w:rPr>
        <w:t>.</w:t>
      </w:r>
      <w:r>
        <w:t>2</w:t>
      </w:r>
      <w:r>
        <w:rPr>
          <w:rFonts w:hint="eastAsia"/>
        </w:rPr>
        <w:t xml:space="preserve"> </w:t>
      </w:r>
      <w:r>
        <w:t>PSP B</w:t>
      </w:r>
      <w:r>
        <w:rPr>
          <w:rFonts w:hint="eastAsia"/>
        </w:rPr>
        <w:t>as</w:t>
      </w:r>
      <w:r>
        <w:t>ed</w:t>
      </w:r>
      <w:r>
        <w:rPr>
          <w:rFonts w:hint="eastAsia"/>
        </w:rPr>
        <w:t xml:space="preserve"> on</w:t>
      </w:r>
      <w:r>
        <w:t xml:space="preserve"> </w:t>
      </w:r>
      <w:r>
        <w:rPr>
          <w:rFonts w:hint="eastAsia"/>
        </w:rPr>
        <w:t>T</w:t>
      </w:r>
      <w:r>
        <w:t xml:space="preserve">heory </w:t>
      </w:r>
      <w:r>
        <w:rPr>
          <w:rFonts w:hint="eastAsia"/>
        </w:rPr>
        <w:t>of</w:t>
      </w:r>
      <w:r>
        <w:t xml:space="preserve"> </w:t>
      </w:r>
      <w:r>
        <w:rPr>
          <w:rFonts w:hint="eastAsia"/>
        </w:rPr>
        <w:t>Mastery</w:t>
      </w:r>
      <w:r>
        <w:t xml:space="preserve"> and </w:t>
      </w:r>
      <w:r>
        <w:rPr>
          <w:rFonts w:hint="eastAsia"/>
        </w:rPr>
        <w:t>Taxonomy</w:t>
      </w:r>
    </w:p>
    <w:p w14:paraId="09E42383" w14:textId="1DFE58BD" w:rsidR="00F11593" w:rsidRDefault="00A31D62">
      <w:r w:rsidRPr="00A31D62">
        <w:t xml:space="preserve">The original concept of Mastery was developed by John B. Carroll (1963), and </w:t>
      </w:r>
      <w:proofErr w:type="gramStart"/>
      <w:r w:rsidRPr="00A31D62">
        <w:t>Bloom</w:t>
      </w:r>
      <w:r w:rsidR="00B0398D">
        <w:t>(</w:t>
      </w:r>
      <w:proofErr w:type="gramEnd"/>
      <w:r w:rsidR="00B0398D">
        <w:t>1968)</w:t>
      </w:r>
      <w:r>
        <w:t xml:space="preserve"> </w:t>
      </w:r>
      <w:r w:rsidRPr="00A31D62">
        <w:t xml:space="preserve">further developed and </w:t>
      </w:r>
      <w:proofErr w:type="spellStart"/>
      <w:r w:rsidRPr="00A31D62">
        <w:t>popularised</w:t>
      </w:r>
      <w:proofErr w:type="spellEnd"/>
      <w:r w:rsidRPr="00A31D62">
        <w:t xml:space="preserve"> ‘Learning for Mastery’</w:t>
      </w:r>
      <w:r w:rsidR="00B0398D">
        <w:t xml:space="preserve"> .</w:t>
      </w:r>
      <w:r w:rsidR="00000000">
        <w:t>M</w:t>
      </w:r>
      <w:r w:rsidR="00000000">
        <w:rPr>
          <w:rFonts w:hint="eastAsia"/>
        </w:rPr>
        <w:t>astery</w:t>
      </w:r>
      <w:r w:rsidR="00000000">
        <w:t xml:space="preserve"> learning suggests that PSPs should ensure students achieve full competence in foundational linguistic skills before progressing to more advanced academic tasks. However, there remains a challenge in designing PSPs that both scaffold language development effectively and align with real academic demands, requiring continual refinement of assessment strategies.</w:t>
      </w:r>
    </w:p>
    <w:p w14:paraId="10331835" w14:textId="77777777" w:rsidR="00F11593" w:rsidRDefault="00000000">
      <w:r>
        <w:rPr>
          <w:noProof/>
        </w:rPr>
        <w:drawing>
          <wp:inline distT="0" distB="0" distL="114300" distR="114300" wp14:anchorId="0DBBEA63" wp14:editId="7D1B8119">
            <wp:extent cx="5270500" cy="2812415"/>
            <wp:effectExtent l="0" t="0" r="12700" b="6985"/>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10"/>
                    <a:stretch>
                      <a:fillRect/>
                    </a:stretch>
                  </pic:blipFill>
                  <pic:spPr>
                    <a:xfrm>
                      <a:off x="0" y="0"/>
                      <a:ext cx="5270500" cy="2812415"/>
                    </a:xfrm>
                    <a:prstGeom prst="rect">
                      <a:avLst/>
                    </a:prstGeom>
                    <a:noFill/>
                    <a:ln>
                      <a:noFill/>
                    </a:ln>
                  </pic:spPr>
                </pic:pic>
              </a:graphicData>
            </a:graphic>
          </wp:inline>
        </w:drawing>
      </w:r>
    </w:p>
    <w:p w14:paraId="5C0F9582" w14:textId="4A40EFD5" w:rsidR="00F11593" w:rsidRPr="00423167" w:rsidRDefault="00000000" w:rsidP="00423167">
      <w:pPr>
        <w:widowControl/>
        <w:ind w:firstLineChars="900" w:firstLine="1652"/>
        <w:jc w:val="left"/>
        <w:rPr>
          <w:rStyle w:val="a4"/>
          <w:rFonts w:asciiTheme="minorHAnsi" w:hAnsiTheme="minorHAnsi" w:cstheme="minorHAnsi"/>
          <w:b w:val="0"/>
          <w:sz w:val="18"/>
          <w:szCs w:val="18"/>
          <w:lang w:bidi="ar"/>
        </w:rPr>
      </w:pPr>
      <w:r w:rsidRPr="00423167">
        <w:rPr>
          <w:rStyle w:val="a4"/>
          <w:rFonts w:asciiTheme="minorHAnsi" w:eastAsia="Helvetica" w:hAnsiTheme="minorHAnsi" w:cstheme="minorHAnsi" w:hint="eastAsia"/>
          <w:bCs/>
          <w:i/>
          <w:iCs/>
          <w:kern w:val="0"/>
          <w:sz w:val="18"/>
          <w:szCs w:val="18"/>
          <w:shd w:val="clear" w:color="auto" w:fill="FFFFFF"/>
          <w:lang w:bidi="ar"/>
        </w:rPr>
        <w:t>Figure</w:t>
      </w:r>
      <w:r w:rsidR="00423167">
        <w:rPr>
          <w:rStyle w:val="a4"/>
          <w:rFonts w:asciiTheme="minorHAnsi" w:eastAsia="Helvetica" w:hAnsiTheme="minorHAnsi" w:cstheme="minorHAnsi"/>
          <w:bCs/>
          <w:i/>
          <w:iCs/>
          <w:kern w:val="0"/>
          <w:sz w:val="18"/>
          <w:szCs w:val="18"/>
          <w:shd w:val="clear" w:color="auto" w:fill="FFFFFF"/>
          <w:lang w:bidi="ar"/>
        </w:rPr>
        <w:t>3</w:t>
      </w:r>
      <w:r w:rsidRPr="00423167">
        <w:rPr>
          <w:rStyle w:val="a4"/>
          <w:rFonts w:asciiTheme="minorHAnsi" w:eastAsia="Helvetica" w:hAnsiTheme="minorHAnsi" w:cstheme="minorHAnsi"/>
          <w:bCs/>
          <w:i/>
          <w:iCs/>
          <w:kern w:val="0"/>
          <w:sz w:val="18"/>
          <w:szCs w:val="18"/>
          <w:shd w:val="clear" w:color="auto" w:fill="FFFFFF"/>
          <w:lang w:bidi="ar"/>
        </w:rPr>
        <w:t>:</w:t>
      </w:r>
      <w:r w:rsidR="00423167">
        <w:rPr>
          <w:rStyle w:val="a4"/>
          <w:rFonts w:asciiTheme="minorHAnsi" w:eastAsia="Helvetica" w:hAnsiTheme="minorHAnsi" w:cstheme="minorHAnsi"/>
          <w:bCs/>
          <w:i/>
          <w:iCs/>
          <w:kern w:val="0"/>
          <w:sz w:val="18"/>
          <w:szCs w:val="18"/>
          <w:shd w:val="clear" w:color="auto" w:fill="FFFFFF"/>
          <w:lang w:bidi="ar"/>
        </w:rPr>
        <w:t xml:space="preserve"> </w:t>
      </w:r>
      <w:r w:rsidRPr="00423167">
        <w:rPr>
          <w:rStyle w:val="a4"/>
          <w:rFonts w:asciiTheme="minorHAnsi" w:eastAsia="Helvetica" w:hAnsiTheme="minorHAnsi" w:cstheme="minorHAnsi"/>
          <w:b w:val="0"/>
          <w:i/>
          <w:iCs/>
          <w:kern w:val="0"/>
          <w:sz w:val="18"/>
          <w:szCs w:val="18"/>
          <w:shd w:val="clear" w:color="auto" w:fill="FFFFFF"/>
          <w:lang w:bidi="ar"/>
        </w:rPr>
        <w:t xml:space="preserve">the model of </w:t>
      </w:r>
      <w:r w:rsidR="00423167">
        <w:rPr>
          <w:rStyle w:val="a4"/>
          <w:rFonts w:asciiTheme="minorHAnsi" w:eastAsia="Helvetica" w:hAnsiTheme="minorHAnsi" w:cstheme="minorHAnsi" w:hint="eastAsia"/>
          <w:b w:val="0"/>
          <w:i/>
          <w:iCs/>
          <w:kern w:val="0"/>
          <w:sz w:val="18"/>
          <w:szCs w:val="18"/>
          <w:shd w:val="clear" w:color="auto" w:fill="FFFFFF"/>
          <w:lang w:bidi="ar"/>
        </w:rPr>
        <w:t>the</w:t>
      </w:r>
      <w:r w:rsidR="00423167">
        <w:rPr>
          <w:rStyle w:val="a4"/>
          <w:rFonts w:asciiTheme="minorHAnsi" w:eastAsia="Helvetica" w:hAnsiTheme="minorHAnsi" w:cstheme="minorHAnsi"/>
          <w:b w:val="0"/>
          <w:i/>
          <w:iCs/>
          <w:kern w:val="0"/>
          <w:sz w:val="18"/>
          <w:szCs w:val="18"/>
          <w:shd w:val="clear" w:color="auto" w:fill="FFFFFF"/>
          <w:lang w:bidi="ar"/>
        </w:rPr>
        <w:t xml:space="preserve"> </w:t>
      </w:r>
      <w:r w:rsidRPr="00423167">
        <w:rPr>
          <w:rStyle w:val="a4"/>
          <w:rFonts w:asciiTheme="minorHAnsi" w:eastAsia="Helvetica" w:hAnsiTheme="minorHAnsi" w:cstheme="minorHAnsi"/>
          <w:b w:val="0"/>
          <w:i/>
          <w:iCs/>
          <w:kern w:val="0"/>
          <w:sz w:val="18"/>
          <w:szCs w:val="18"/>
          <w:shd w:val="clear" w:color="auto" w:fill="FFFFFF"/>
          <w:lang w:bidi="ar"/>
        </w:rPr>
        <w:t>theory of Mastery (</w:t>
      </w:r>
      <w:proofErr w:type="spellStart"/>
      <w:r w:rsidRPr="00423167">
        <w:rPr>
          <w:rStyle w:val="a4"/>
          <w:rFonts w:asciiTheme="minorHAnsi" w:eastAsia="Helvetica" w:hAnsiTheme="minorHAnsi" w:cstheme="minorHAnsi"/>
          <w:b w:val="0"/>
          <w:i/>
          <w:iCs/>
          <w:kern w:val="0"/>
          <w:sz w:val="18"/>
          <w:szCs w:val="18"/>
          <w:shd w:val="clear" w:color="auto" w:fill="FFFFFF"/>
          <w:lang w:bidi="ar"/>
        </w:rPr>
        <w:t>Bouchrika</w:t>
      </w:r>
      <w:proofErr w:type="spellEnd"/>
      <w:r w:rsidRPr="00423167">
        <w:rPr>
          <w:rStyle w:val="a4"/>
          <w:rFonts w:asciiTheme="minorHAnsi" w:eastAsia="Helvetica" w:hAnsiTheme="minorHAnsi" w:cstheme="minorHAnsi"/>
          <w:b w:val="0"/>
          <w:i/>
          <w:iCs/>
          <w:kern w:val="0"/>
          <w:sz w:val="18"/>
          <w:szCs w:val="18"/>
          <w:shd w:val="clear" w:color="auto" w:fill="FFFFFF"/>
          <w:lang w:bidi="ar"/>
        </w:rPr>
        <w:t xml:space="preserve"> ,2025)</w:t>
      </w:r>
    </w:p>
    <w:p w14:paraId="2EBEF396" w14:textId="0453EF61" w:rsidR="00F11593" w:rsidRDefault="00000000">
      <w:r>
        <w:rPr>
          <w:rFonts w:hint="eastAsia"/>
        </w:rPr>
        <w:t xml:space="preserve">Contemporary educational research </w:t>
      </w:r>
      <w:proofErr w:type="spellStart"/>
      <w:r>
        <w:rPr>
          <w:rFonts w:hint="eastAsia"/>
        </w:rPr>
        <w:t>emphasises</w:t>
      </w:r>
      <w:proofErr w:type="spellEnd"/>
      <w:r>
        <w:rPr>
          <w:rFonts w:hint="eastAsia"/>
        </w:rPr>
        <w:t xml:space="preserve"> the utility of </w:t>
      </w:r>
      <w:proofErr w:type="spellStart"/>
      <w:r>
        <w:rPr>
          <w:rFonts w:hint="eastAsia"/>
        </w:rPr>
        <w:t>categorising</w:t>
      </w:r>
      <w:proofErr w:type="spellEnd"/>
      <w:r>
        <w:rPr>
          <w:rFonts w:hint="eastAsia"/>
        </w:rPr>
        <w:t xml:space="preserve"> instructional objectives through multi-level models that assess learning outcomes through complexity and contextual relevance (Stapleton-Corcoran, 2022). This framework extends to cover interrelated dimensions: theoretical knowledge of the mechanisms of bilingual development, teaching strategies for diverse </w:t>
      </w:r>
      <w:r>
        <w:rPr>
          <w:rFonts w:hint="eastAsia"/>
        </w:rPr>
        <w:lastRenderedPageBreak/>
        <w:t>learning environments, curriculum planning expertise, intercultural communicative awareness, higher-order target language mastery, and meta-linguistic analysis skills (</w:t>
      </w:r>
      <w:proofErr w:type="spellStart"/>
      <w:r>
        <w:rPr>
          <w:rFonts w:hint="eastAsia"/>
        </w:rPr>
        <w:t>Pachler</w:t>
      </w:r>
      <w:proofErr w:type="spellEnd"/>
      <w:r>
        <w:rPr>
          <w:rFonts w:hint="eastAsia"/>
        </w:rPr>
        <w:t xml:space="preserve"> et al., 2007). These competencies are particularly important in</w:t>
      </w:r>
      <w:r w:rsidR="00423167">
        <w:t xml:space="preserve"> PSP </w:t>
      </w:r>
      <w:r>
        <w:rPr>
          <w:rFonts w:hint="eastAsia"/>
        </w:rPr>
        <w:t>because teachers need to quickly help students acquire general language competence along with discipline-specific academic literacy.</w:t>
      </w:r>
    </w:p>
    <w:p w14:paraId="6E939EED" w14:textId="77777777" w:rsidR="00F11593" w:rsidRDefault="00000000" w:rsidP="00423167">
      <w:pPr>
        <w:ind w:firstLineChars="300" w:firstLine="630"/>
      </w:pPr>
      <w:r>
        <w:rPr>
          <w:noProof/>
        </w:rPr>
        <w:drawing>
          <wp:inline distT="0" distB="0" distL="0" distR="0" wp14:anchorId="2334A893" wp14:editId="3633D90F">
            <wp:extent cx="4342765" cy="2242820"/>
            <wp:effectExtent l="0" t="0" r="0" b="0"/>
            <wp:docPr id="3" name="Picture 2" descr="Questioning Mastery Learning and Growth Mindset | tulti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Questioning Mastery Learning and Growth Mindset | tultican"/>
                    <pic:cNvPicPr>
                      <a:picLocks noChangeAspect="1" noChangeArrowheads="1"/>
                    </pic:cNvPicPr>
                  </pic:nvPicPr>
                  <pic:blipFill>
                    <a:blip r:embed="rId11">
                      <a:extLst>
                        <a:ext uri="{28A0092B-C50C-407E-A947-70E740481C1C}">
                          <a14:useLocalDpi xmlns:a14="http://schemas.microsoft.com/office/drawing/2010/main" val="0"/>
                        </a:ext>
                      </a:extLst>
                    </a:blip>
                    <a:srcRect b="11634"/>
                    <a:stretch>
                      <a:fillRect/>
                    </a:stretch>
                  </pic:blipFill>
                  <pic:spPr>
                    <a:xfrm>
                      <a:off x="0" y="0"/>
                      <a:ext cx="4357012" cy="2242820"/>
                    </a:xfrm>
                    <a:prstGeom prst="rect">
                      <a:avLst/>
                    </a:prstGeom>
                    <a:noFill/>
                  </pic:spPr>
                </pic:pic>
              </a:graphicData>
            </a:graphic>
          </wp:inline>
        </w:drawing>
      </w:r>
    </w:p>
    <w:p w14:paraId="5C061E5D" w14:textId="6CC14095" w:rsidR="00F11593" w:rsidRPr="00423167" w:rsidRDefault="00000000" w:rsidP="00423167">
      <w:pPr>
        <w:widowControl/>
        <w:ind w:firstLineChars="550" w:firstLine="1009"/>
        <w:jc w:val="left"/>
        <w:rPr>
          <w:rFonts w:ascii="HELVETICA OBLIQUE" w:eastAsia="Helvetica" w:hAnsi="HELVETICA OBLIQUE" w:cs="HELVETICA OBLIQUE" w:hint="eastAsia"/>
          <w:i/>
          <w:iCs/>
          <w:kern w:val="0"/>
          <w:sz w:val="24"/>
          <w:shd w:val="clear" w:color="auto" w:fill="FFFFFF"/>
          <w:lang w:bidi="ar"/>
        </w:rPr>
      </w:pPr>
      <w:r w:rsidRPr="00423167">
        <w:rPr>
          <w:rStyle w:val="a4"/>
          <w:rFonts w:asciiTheme="minorHAnsi" w:eastAsia="Helvetica" w:hAnsiTheme="minorHAnsi" w:cstheme="minorHAnsi" w:hint="eastAsia"/>
          <w:bCs/>
          <w:i/>
          <w:iCs/>
          <w:kern w:val="0"/>
          <w:sz w:val="18"/>
          <w:szCs w:val="18"/>
          <w:shd w:val="clear" w:color="auto" w:fill="FFFFFF"/>
          <w:lang w:bidi="ar"/>
        </w:rPr>
        <w:t xml:space="preserve">Figure </w:t>
      </w:r>
      <w:r w:rsidR="00423167">
        <w:rPr>
          <w:rStyle w:val="a4"/>
          <w:rFonts w:asciiTheme="minorHAnsi" w:eastAsia="Helvetica" w:hAnsiTheme="minorHAnsi" w:cstheme="minorHAnsi"/>
          <w:bCs/>
          <w:i/>
          <w:iCs/>
          <w:kern w:val="0"/>
          <w:sz w:val="18"/>
          <w:szCs w:val="18"/>
          <w:shd w:val="clear" w:color="auto" w:fill="FFFFFF"/>
          <w:lang w:bidi="ar"/>
        </w:rPr>
        <w:t>4</w:t>
      </w:r>
      <w:r w:rsidRPr="00423167">
        <w:rPr>
          <w:rStyle w:val="a4"/>
          <w:rFonts w:asciiTheme="minorHAnsi" w:eastAsia="Helvetica" w:hAnsiTheme="minorHAnsi" w:cstheme="minorHAnsi" w:hint="eastAsia"/>
          <w:bCs/>
          <w:i/>
          <w:iCs/>
          <w:kern w:val="0"/>
          <w:sz w:val="18"/>
          <w:szCs w:val="18"/>
          <w:shd w:val="clear" w:color="auto" w:fill="FFFFFF"/>
          <w:lang w:bidi="ar"/>
        </w:rPr>
        <w:t xml:space="preserve">: </w:t>
      </w:r>
      <w:r w:rsidRPr="00423167">
        <w:rPr>
          <w:rStyle w:val="a4"/>
          <w:rFonts w:asciiTheme="minorHAnsi" w:eastAsia="Helvetica" w:hAnsiTheme="minorHAnsi" w:cstheme="minorHAnsi"/>
          <w:b w:val="0"/>
          <w:i/>
          <w:iCs/>
          <w:kern w:val="0"/>
          <w:sz w:val="18"/>
          <w:szCs w:val="18"/>
          <w:shd w:val="clear" w:color="auto" w:fill="FFFFFF"/>
          <w:lang w:bidi="ar"/>
        </w:rPr>
        <w:t>Bloom’s Taxonomy</w:t>
      </w:r>
      <w:r w:rsidR="00423167" w:rsidRPr="00423167">
        <w:rPr>
          <w:rStyle w:val="a4"/>
          <w:rFonts w:asciiTheme="minorHAnsi" w:eastAsia="Helvetica" w:hAnsiTheme="minorHAnsi" w:cstheme="minorHAnsi"/>
          <w:b w:val="0"/>
          <w:i/>
          <w:iCs/>
          <w:kern w:val="0"/>
          <w:sz w:val="18"/>
          <w:szCs w:val="18"/>
          <w:shd w:val="clear" w:color="auto" w:fill="FFFFFF"/>
          <w:lang w:bidi="ar"/>
        </w:rPr>
        <w:t xml:space="preserve"> </w:t>
      </w:r>
      <w:r w:rsidRPr="00423167">
        <w:rPr>
          <w:rStyle w:val="a4"/>
          <w:rFonts w:asciiTheme="minorHAnsi" w:eastAsia="Helvetica" w:hAnsiTheme="minorHAnsi" w:cstheme="minorHAnsi"/>
          <w:b w:val="0"/>
          <w:i/>
          <w:iCs/>
          <w:kern w:val="0"/>
          <w:sz w:val="18"/>
          <w:szCs w:val="18"/>
          <w:shd w:val="clear" w:color="auto" w:fill="FFFFFF"/>
          <w:lang w:bidi="ar"/>
        </w:rPr>
        <w:t>(Vanderbilt University Center for Teaching</w:t>
      </w:r>
      <w:r w:rsidR="00423167" w:rsidRPr="00423167">
        <w:rPr>
          <w:rStyle w:val="a4"/>
          <w:rFonts w:ascii="宋体" w:hAnsi="宋体" w:cs="宋体" w:hint="eastAsia"/>
          <w:b w:val="0"/>
          <w:i/>
          <w:iCs/>
          <w:kern w:val="0"/>
          <w:sz w:val="18"/>
          <w:szCs w:val="18"/>
          <w:shd w:val="clear" w:color="auto" w:fill="FFFFFF"/>
          <w:lang w:bidi="ar"/>
        </w:rPr>
        <w:t>，</w:t>
      </w:r>
      <w:r w:rsidR="00423167" w:rsidRPr="00423167">
        <w:rPr>
          <w:rStyle w:val="a4"/>
          <w:rFonts w:asciiTheme="minorHAnsi" w:eastAsia="Helvetica" w:hAnsiTheme="minorHAnsi" w:cstheme="minorHAnsi" w:hint="eastAsia"/>
          <w:b w:val="0"/>
          <w:i/>
          <w:iCs/>
          <w:kern w:val="0"/>
          <w:sz w:val="18"/>
          <w:szCs w:val="18"/>
          <w:shd w:val="clear" w:color="auto" w:fill="FFFFFF"/>
          <w:lang w:bidi="ar"/>
        </w:rPr>
        <w:t>2</w:t>
      </w:r>
      <w:r w:rsidR="00423167" w:rsidRPr="00423167">
        <w:rPr>
          <w:rStyle w:val="a4"/>
          <w:rFonts w:asciiTheme="minorHAnsi" w:eastAsia="Helvetica" w:hAnsiTheme="minorHAnsi" w:cstheme="minorHAnsi"/>
          <w:b w:val="0"/>
          <w:i/>
          <w:iCs/>
          <w:kern w:val="0"/>
          <w:sz w:val="18"/>
          <w:szCs w:val="18"/>
          <w:shd w:val="clear" w:color="auto" w:fill="FFFFFF"/>
          <w:lang w:bidi="ar"/>
        </w:rPr>
        <w:t>001</w:t>
      </w:r>
      <w:r w:rsidR="00423167" w:rsidRPr="00423167">
        <w:rPr>
          <w:rStyle w:val="a4"/>
          <w:rFonts w:asciiTheme="minorHAnsi" w:eastAsia="Helvetica" w:hAnsiTheme="minorHAnsi" w:cstheme="minorHAnsi" w:hint="eastAsia"/>
          <w:b w:val="0"/>
          <w:i/>
          <w:iCs/>
          <w:kern w:val="0"/>
          <w:sz w:val="18"/>
          <w:szCs w:val="18"/>
          <w:shd w:val="clear" w:color="auto" w:fill="FFFFFF"/>
          <w:lang w:bidi="ar"/>
        </w:rPr>
        <w:t>)</w:t>
      </w:r>
    </w:p>
    <w:p w14:paraId="71C7B5FE" w14:textId="40C10A1B" w:rsidR="00F11593" w:rsidRDefault="00B0398D">
      <w:r w:rsidRPr="00B0398D">
        <w:t>Based on Mastery's theory, Bloom's (1956) theory of Taxonomy will provide the theoretical basis for the study</w:t>
      </w:r>
      <w:r>
        <w:t xml:space="preserve">. </w:t>
      </w:r>
      <w:r w:rsidR="00000000">
        <w:rPr>
          <w:rFonts w:hint="eastAsia"/>
        </w:rPr>
        <w:t>This</w:t>
      </w:r>
      <w:r w:rsidR="00A31D62">
        <w:t xml:space="preserve"> </w:t>
      </w:r>
      <w:r w:rsidR="00000000">
        <w:rPr>
          <w:rFonts w:hint="eastAsia"/>
        </w:rPr>
        <w:t xml:space="preserve">multidimensional professional competence is specifically demonstrated in the implementation of the </w:t>
      </w:r>
      <w:r>
        <w:t>PSP</w:t>
      </w:r>
      <w:r w:rsidR="00000000">
        <w:rPr>
          <w:rFonts w:hint="eastAsia"/>
        </w:rPr>
        <w:t xml:space="preserve"> curriculum:</w:t>
      </w:r>
    </w:p>
    <w:p w14:paraId="159DB3CF" w14:textId="40C4008B" w:rsidR="00F11593" w:rsidRDefault="00000000">
      <w:r>
        <w:rPr>
          <w:rFonts w:hint="eastAsia"/>
          <w:b/>
          <w:bCs/>
        </w:rPr>
        <w:t xml:space="preserve">Cognitive </w:t>
      </w:r>
      <w:r>
        <w:rPr>
          <w:b/>
          <w:bCs/>
        </w:rPr>
        <w:t>S</w:t>
      </w:r>
      <w:r>
        <w:rPr>
          <w:rFonts w:hint="eastAsia"/>
          <w:b/>
          <w:bCs/>
        </w:rPr>
        <w:t>caffolding:</w:t>
      </w:r>
      <w:r>
        <w:rPr>
          <w:rFonts w:hint="eastAsia"/>
        </w:rPr>
        <w:t xml:space="preserve"> progressive development of analytical/evaluative skills in academic writing tasks using Bloom's Theory</w:t>
      </w:r>
      <w:r>
        <w:rPr>
          <w:rFonts w:hint="eastAsia"/>
        </w:rPr>
        <w:t>（</w:t>
      </w:r>
      <w:r>
        <w:rPr>
          <w:rFonts w:hint="eastAsia"/>
        </w:rPr>
        <w:t>Hyland, 2016</w:t>
      </w:r>
      <w:r>
        <w:t>).</w:t>
      </w:r>
    </w:p>
    <w:p w14:paraId="5E07BA47" w14:textId="77777777" w:rsidR="00F11593" w:rsidRDefault="00000000">
      <w:r>
        <w:rPr>
          <w:rFonts w:hint="eastAsia"/>
          <w:b/>
          <w:bCs/>
        </w:rPr>
        <w:t xml:space="preserve">Cultural </w:t>
      </w:r>
      <w:r>
        <w:rPr>
          <w:b/>
          <w:bCs/>
        </w:rPr>
        <w:t>B</w:t>
      </w:r>
      <w:r>
        <w:rPr>
          <w:rFonts w:hint="eastAsia"/>
          <w:b/>
          <w:bCs/>
        </w:rPr>
        <w:t>ridging:</w:t>
      </w:r>
      <w:r>
        <w:rPr>
          <w:rFonts w:hint="eastAsia"/>
        </w:rPr>
        <w:t xml:space="preserve"> integrating professional discourse conventions through discipline-tailored materials</w:t>
      </w:r>
      <w:r>
        <w:rPr>
          <w:rFonts w:hint="eastAsia"/>
        </w:rPr>
        <w:t>（</w:t>
      </w:r>
      <w:r>
        <w:rPr>
          <w:rFonts w:hint="eastAsia"/>
        </w:rPr>
        <w:t>Coyle &amp; Marsh</w:t>
      </w:r>
      <w:r>
        <w:t>, 2</w:t>
      </w:r>
      <w:r>
        <w:rPr>
          <w:rFonts w:hint="eastAsia"/>
        </w:rPr>
        <w:t>010</w:t>
      </w:r>
      <w:r>
        <w:rPr>
          <w:rFonts w:hint="eastAsia"/>
        </w:rPr>
        <w:t>）</w:t>
      </w:r>
    </w:p>
    <w:p w14:paraId="64339361" w14:textId="42CD6954" w:rsidR="00F11593" w:rsidRDefault="00000000">
      <w:r>
        <w:rPr>
          <w:rFonts w:hint="eastAsia"/>
          <w:b/>
          <w:bCs/>
        </w:rPr>
        <w:t>Strategic Assessment:</w:t>
      </w:r>
      <w:r>
        <w:rPr>
          <w:rFonts w:hint="eastAsia"/>
        </w:rPr>
        <w:t xml:space="preserve"> designing staged assessments that reflect college-level requirements and monitor language development</w:t>
      </w:r>
      <w:r>
        <w:t xml:space="preserve"> (Alderson &amp; Nieminen, 2016)</w:t>
      </w:r>
    </w:p>
    <w:p w14:paraId="2CBE7EF8" w14:textId="77777777" w:rsidR="006368D8" w:rsidRDefault="006368D8">
      <w:pPr>
        <w:rPr>
          <w:rFonts w:hint="eastAsia"/>
        </w:rPr>
      </w:pPr>
    </w:p>
    <w:p w14:paraId="29A9D35F" w14:textId="77777777" w:rsidR="00F11593" w:rsidRDefault="00000000">
      <w:r>
        <w:rPr>
          <w:rFonts w:hint="eastAsia"/>
        </w:rPr>
        <w:t>The theoretical framework of Bloom</w:t>
      </w:r>
      <w:r>
        <w:t>’</w:t>
      </w:r>
      <w:r>
        <w:rPr>
          <w:rFonts w:hint="eastAsia"/>
        </w:rPr>
        <w:t xml:space="preserve">s Taxonomy can be applied here to assess how PSPs structure learning progression from lower-order cognitive skills (e.g., remembering and understanding language rules) to higher-order skills (e.g., applying, </w:t>
      </w:r>
      <w:proofErr w:type="spellStart"/>
      <w:r>
        <w:rPr>
          <w:rFonts w:hint="eastAsia"/>
        </w:rPr>
        <w:t>analysing</w:t>
      </w:r>
      <w:proofErr w:type="spellEnd"/>
      <w:r>
        <w:rPr>
          <w:rFonts w:hint="eastAsia"/>
        </w:rPr>
        <w:t xml:space="preserve">, and evaluating academic discourse).The combination of strong pedagogical knowledge and deep linguistic understanding enables teachers to construct learning trajectories that simultaneously address immediate language needs and long-term academic survival skills. </w:t>
      </w:r>
    </w:p>
    <w:p w14:paraId="731EA2E6" w14:textId="63684786" w:rsidR="00F11593" w:rsidRDefault="00000000">
      <w:pPr>
        <w:pStyle w:val="3"/>
        <w:rPr>
          <w:rFonts w:cs="Calibri" w:hint="eastAsia"/>
          <w:color w:val="000000" w:themeColor="text1"/>
          <w:szCs w:val="32"/>
        </w:rPr>
      </w:pPr>
      <w:r>
        <w:t xml:space="preserve">2.2.3 </w:t>
      </w:r>
      <w:r>
        <w:rPr>
          <w:rFonts w:eastAsia="Calibri" w:cs="Calibri"/>
          <w:color w:val="000000" w:themeColor="text1"/>
          <w:szCs w:val="32"/>
        </w:rPr>
        <w:t xml:space="preserve">Language Proficiency </w:t>
      </w:r>
      <w:r>
        <w:rPr>
          <w:rFonts w:cs="Calibri" w:hint="eastAsia"/>
          <w:color w:val="000000" w:themeColor="text1"/>
          <w:szCs w:val="32"/>
        </w:rPr>
        <w:t>in</w:t>
      </w:r>
      <w:r>
        <w:rPr>
          <w:rFonts w:cs="Calibri"/>
          <w:color w:val="000000" w:themeColor="text1"/>
          <w:szCs w:val="32"/>
        </w:rPr>
        <w:t xml:space="preserve"> PSP</w:t>
      </w:r>
    </w:p>
    <w:p w14:paraId="0D5C6BAF" w14:textId="45E43AA2" w:rsidR="00F11593" w:rsidRDefault="00D628E9">
      <w:r w:rsidRPr="00D628E9">
        <w:t>Combined with the first two stages of Bloom's taxonomy, the definition considers cognitive development and critical thinking as core dimensions of language mastery.</w:t>
      </w:r>
    </w:p>
    <w:p w14:paraId="36B97A1B" w14:textId="77777777" w:rsidR="00D628E9" w:rsidRDefault="00D628E9"/>
    <w:p w14:paraId="3E07FD96" w14:textId="7707F56F" w:rsidR="00D628E9" w:rsidRPr="004D72BD" w:rsidRDefault="00D628E9" w:rsidP="00D628E9">
      <w:pPr>
        <w:rPr>
          <w:b/>
          <w:bCs/>
        </w:rPr>
      </w:pPr>
      <w:r w:rsidRPr="004D72BD">
        <w:rPr>
          <w:b/>
          <w:bCs/>
        </w:rPr>
        <w:t xml:space="preserve">Enhancing Engagement and Deep Learning (Phases </w:t>
      </w:r>
      <w:r w:rsidRPr="004D72BD">
        <w:rPr>
          <w:b/>
          <w:bCs/>
        </w:rPr>
        <w:t>1-REMEMBER-</w:t>
      </w:r>
      <w:r w:rsidRPr="004D72BD">
        <w:rPr>
          <w:b/>
          <w:bCs/>
        </w:rPr>
        <w:t>Cognitive Goals)</w:t>
      </w:r>
    </w:p>
    <w:p w14:paraId="539828BA" w14:textId="2D0EE8FE" w:rsidR="00D628E9" w:rsidRDefault="00D628E9" w:rsidP="00D628E9">
      <w:r>
        <w:t xml:space="preserve">Bloom's underlying cognitive goal fits with the requirement for structured language acquisition in the </w:t>
      </w:r>
      <w:r w:rsidR="004D72BD">
        <w:t>PSP</w:t>
      </w:r>
      <w:r>
        <w:t xml:space="preserve">, which </w:t>
      </w:r>
      <w:proofErr w:type="gramStart"/>
      <w:r>
        <w:t>Banerjee</w:t>
      </w:r>
      <w:proofErr w:type="gramEnd"/>
      <w:r>
        <w:t xml:space="preserve"> and Wall (2006) define as ‘the ability to use language effectively in academic tasks’, such as integrating documentary sources or engaging in discipline-specific discussions</w:t>
      </w:r>
      <w:r w:rsidR="004D72BD">
        <w:t xml:space="preserve">. </w:t>
      </w:r>
      <w:r>
        <w:t xml:space="preserve">This requires going beyond surface language use to promote deeper learning - </w:t>
      </w:r>
      <w:r>
        <w:lastRenderedPageBreak/>
        <w:t>Pearson's (2020) research suggests that modular training (</w:t>
      </w:r>
      <w:proofErr w:type="gramStart"/>
      <w:r>
        <w:t>e.g.</w:t>
      </w:r>
      <w:proofErr w:type="gramEnd"/>
      <w:r>
        <w:t xml:space="preserve"> academic writing workshops) can enhance grammatical accuracy and genre awareness. For example, the Foundation </w:t>
      </w:r>
      <w:proofErr w:type="spellStart"/>
      <w:r>
        <w:t>Programme</w:t>
      </w:r>
      <w:proofErr w:type="spellEnd"/>
      <w:r>
        <w:t xml:space="preserve"> designs reading comprehension tasks through guided analysis (</w:t>
      </w:r>
      <w:proofErr w:type="gramStart"/>
      <w:r>
        <w:t>e.g.</w:t>
      </w:r>
      <w:proofErr w:type="gramEnd"/>
      <w:r>
        <w:t xml:space="preserve"> dissecting journal articles), in line with Bloom's goals of ‘knowledge retention’ and ‘comprehension’, to help students </w:t>
      </w:r>
      <w:proofErr w:type="spellStart"/>
      <w:r>
        <w:t>internalise</w:t>
      </w:r>
      <w:proofErr w:type="spellEnd"/>
      <w:r>
        <w:t xml:space="preserve"> academic norms.</w:t>
      </w:r>
    </w:p>
    <w:p w14:paraId="0F5F3B1E" w14:textId="77777777" w:rsidR="00D628E9" w:rsidRDefault="00D628E9" w:rsidP="00D628E9"/>
    <w:p w14:paraId="536BB5AE" w14:textId="1C388CB4" w:rsidR="00D628E9" w:rsidRPr="004D72BD" w:rsidRDefault="00D628E9" w:rsidP="00D628E9">
      <w:pPr>
        <w:rPr>
          <w:b/>
          <w:bCs/>
        </w:rPr>
      </w:pPr>
      <w:r w:rsidRPr="004D72BD">
        <w:rPr>
          <w:b/>
          <w:bCs/>
        </w:rPr>
        <w:t xml:space="preserve">Developing Critical Thinking and Creative Skills (Phases </w:t>
      </w:r>
      <w:r w:rsidRPr="004D72BD">
        <w:rPr>
          <w:b/>
          <w:bCs/>
        </w:rPr>
        <w:t>2</w:t>
      </w:r>
      <w:r w:rsidRPr="004D72BD">
        <w:rPr>
          <w:b/>
          <w:bCs/>
        </w:rPr>
        <w:t>-</w:t>
      </w:r>
      <w:r w:rsidRPr="004D72BD">
        <w:rPr>
          <w:b/>
          <w:bCs/>
        </w:rPr>
        <w:t>UNDERSTAND-</w:t>
      </w:r>
      <w:r w:rsidRPr="004D72BD">
        <w:rPr>
          <w:b/>
          <w:bCs/>
        </w:rPr>
        <w:t>Intellectual Goals)</w:t>
      </w:r>
    </w:p>
    <w:p w14:paraId="6625AE7F" w14:textId="4B6BE8DD" w:rsidR="00D628E9" w:rsidRDefault="00D628E9" w:rsidP="00D628E9">
      <w:r>
        <w:t xml:space="preserve">Bloom's higher-order intellectual goals </w:t>
      </w:r>
      <w:proofErr w:type="spellStart"/>
      <w:r>
        <w:t>emphasise</w:t>
      </w:r>
      <w:proofErr w:type="spellEnd"/>
      <w:r>
        <w:t xml:space="preserve"> ‘application’ and ‘analysis’, echoing the role of critical thinking in language proficiency, and Hyatt (2013) </w:t>
      </w:r>
      <w:proofErr w:type="spellStart"/>
      <w:r>
        <w:t>criticises</w:t>
      </w:r>
      <w:proofErr w:type="spellEnd"/>
      <w:r>
        <w:t xml:space="preserve"> </w:t>
      </w:r>
      <w:proofErr w:type="spellStart"/>
      <w:r>
        <w:t>standardised</w:t>
      </w:r>
      <w:proofErr w:type="spellEnd"/>
      <w:r>
        <w:t xml:space="preserve"> tests such as IELTS for neglecting ‘authentic academic problem solving’. problem solving’, arguing that matriculation </w:t>
      </w:r>
      <w:proofErr w:type="spellStart"/>
      <w:r>
        <w:t>programmes</w:t>
      </w:r>
      <w:proofErr w:type="spellEnd"/>
      <w:r>
        <w:t xml:space="preserve"> should </w:t>
      </w:r>
      <w:proofErr w:type="spellStart"/>
      <w:r>
        <w:t>prioritise</w:t>
      </w:r>
      <w:proofErr w:type="spellEnd"/>
      <w:r>
        <w:t xml:space="preserve"> the design of tasks that require students to evaluate arguments, propose solutions and express original ideas. This is in line with </w:t>
      </w:r>
      <w:proofErr w:type="spellStart"/>
      <w:r>
        <w:t>Seviour's</w:t>
      </w:r>
      <w:proofErr w:type="spellEnd"/>
      <w:r>
        <w:t xml:space="preserve"> (2015) assessment framework: language proficiency is not only measured by linguistic accuracy, but also by the ability to ‘construct logically coherent arguments based on evidence’ (p. 86). Classroom activities such as debates on disciplinary issues or peer review of essays reflect Bloom's emphasis on ‘</w:t>
      </w:r>
      <w:proofErr w:type="gramStart"/>
      <w:r>
        <w:t>synthesis’</w:t>
      </w:r>
      <w:proofErr w:type="gramEnd"/>
      <w:r>
        <w:t xml:space="preserve"> and ‘evaluation’ to stimulate creativity while bridging language skills and academic needs.</w:t>
      </w:r>
    </w:p>
    <w:p w14:paraId="4EA4399E" w14:textId="77777777" w:rsidR="00D628E9" w:rsidRDefault="00D628E9" w:rsidP="00D628E9"/>
    <w:p w14:paraId="2D9BD172" w14:textId="42CAEAE5" w:rsidR="00F11593" w:rsidRDefault="00000000" w:rsidP="00165F97">
      <w:pPr>
        <w:pStyle w:val="3"/>
      </w:pPr>
      <w:r>
        <w:t xml:space="preserve">2.2.4 Academic Performance in </w:t>
      </w:r>
      <w:r w:rsidR="00E54710">
        <w:t xml:space="preserve">the </w:t>
      </w:r>
      <w:r>
        <w:t>PSP</w:t>
      </w:r>
    </w:p>
    <w:p w14:paraId="0AD4F9D8" w14:textId="18F074F7" w:rsidR="00E54710" w:rsidRDefault="00E54710" w:rsidP="00E54710">
      <w:r>
        <w:t>Academic performance in</w:t>
      </w:r>
      <w:r>
        <w:t xml:space="preserve"> the</w:t>
      </w:r>
      <w:r>
        <w:t xml:space="preserve"> </w:t>
      </w:r>
      <w:r>
        <w:t>P</w:t>
      </w:r>
      <w:r>
        <w:rPr>
          <w:rFonts w:hint="eastAsia"/>
        </w:rPr>
        <w:t>SP</w:t>
      </w:r>
      <w:r>
        <w:t>, defined as a combination of language proficiency, academic skills</w:t>
      </w:r>
      <w:r>
        <w:t xml:space="preserve">, </w:t>
      </w:r>
      <w:r>
        <w:t>and disciplinary readiness (Banerjee &amp; Wall</w:t>
      </w:r>
      <w:r w:rsidR="00DA3E4B">
        <w:t>,</w:t>
      </w:r>
      <w:r>
        <w:t xml:space="preserve"> 2006; </w:t>
      </w:r>
      <w:r w:rsidR="00B868E8" w:rsidRPr="00B868E8">
        <w:t>Hyatt</w:t>
      </w:r>
      <w:r w:rsidR="00DA3E4B">
        <w:t>,</w:t>
      </w:r>
      <w:r w:rsidR="00B868E8" w:rsidRPr="00B868E8">
        <w:t xml:space="preserve"> </w:t>
      </w:r>
      <w:r>
        <w:t>201</w:t>
      </w:r>
      <w:r w:rsidR="00B868E8">
        <w:t>3</w:t>
      </w:r>
      <w:r>
        <w:t xml:space="preserve">), can be further parsed through the lens of Bloom's Taxonomy in terms of the cognitive and affective dimensions of learning objectives. Bloom's theoretical framework provides a structured perspective for </w:t>
      </w:r>
      <w:proofErr w:type="spellStart"/>
      <w:r>
        <w:t>analysing</w:t>
      </w:r>
      <w:proofErr w:type="spellEnd"/>
      <w:r>
        <w:t xml:space="preserve"> how teaching strategies can enhance students' resilience to higher education.</w:t>
      </w:r>
    </w:p>
    <w:p w14:paraId="2E89688E" w14:textId="77777777" w:rsidR="00E54710" w:rsidRDefault="00E54710" w:rsidP="00E54710">
      <w:pPr>
        <w:rPr>
          <w:rFonts w:hint="eastAsia"/>
        </w:rPr>
      </w:pPr>
    </w:p>
    <w:p w14:paraId="19815E61" w14:textId="26D642E2" w:rsidR="00E54710" w:rsidRPr="00E54710" w:rsidRDefault="00E54710" w:rsidP="00E54710">
      <w:pPr>
        <w:rPr>
          <w:rFonts w:hint="eastAsia"/>
          <w:b/>
          <w:bCs/>
        </w:rPr>
      </w:pPr>
      <w:proofErr w:type="spellStart"/>
      <w:r>
        <w:t>P</w:t>
      </w:r>
      <w:r w:rsidRPr="00E54710">
        <w:rPr>
          <w:b/>
          <w:bCs/>
        </w:rPr>
        <w:t>ersonalised</w:t>
      </w:r>
      <w:proofErr w:type="spellEnd"/>
      <w:r w:rsidRPr="00E54710">
        <w:rPr>
          <w:b/>
          <w:bCs/>
        </w:rPr>
        <w:t xml:space="preserve"> Learning (</w:t>
      </w:r>
      <w:r>
        <w:rPr>
          <w:b/>
          <w:bCs/>
        </w:rPr>
        <w:t>P</w:t>
      </w:r>
      <w:r w:rsidRPr="00E54710">
        <w:rPr>
          <w:b/>
          <w:bCs/>
        </w:rPr>
        <w:t>hases 3</w:t>
      </w:r>
      <w:r w:rsidR="00D628E9">
        <w:rPr>
          <w:b/>
          <w:bCs/>
        </w:rPr>
        <w:t xml:space="preserve">- </w:t>
      </w:r>
      <w:r w:rsidR="00D628E9">
        <w:rPr>
          <w:rFonts w:hint="eastAsia"/>
          <w:b/>
          <w:bCs/>
        </w:rPr>
        <w:t>A</w:t>
      </w:r>
      <w:r w:rsidR="00D628E9">
        <w:rPr>
          <w:b/>
          <w:bCs/>
        </w:rPr>
        <w:t>P</w:t>
      </w:r>
      <w:r w:rsidR="00D628E9">
        <w:rPr>
          <w:rFonts w:hint="eastAsia"/>
          <w:b/>
          <w:bCs/>
        </w:rPr>
        <w:t>PLY</w:t>
      </w:r>
      <w:r w:rsidRPr="00E54710">
        <w:rPr>
          <w:b/>
          <w:bCs/>
        </w:rPr>
        <w:t>):</w:t>
      </w:r>
    </w:p>
    <w:p w14:paraId="130E63C4" w14:textId="6F43EA76" w:rsidR="00E54710" w:rsidRDefault="00E54710" w:rsidP="00E54710">
      <w:r>
        <w:t xml:space="preserve">Bloom's affective goal of ‘demonstrating individuality’ </w:t>
      </w:r>
      <w:proofErr w:type="spellStart"/>
      <w:r>
        <w:t>emphasises</w:t>
      </w:r>
      <w:proofErr w:type="spellEnd"/>
      <w:r>
        <w:t xml:space="preserve"> attention to students' emotional needs and individual differences, echoing </w:t>
      </w:r>
      <w:r w:rsidR="00B868E8" w:rsidRPr="00B868E8">
        <w:t>Hyatt</w:t>
      </w:r>
      <w:r>
        <w:t xml:space="preserve"> (201</w:t>
      </w:r>
      <w:r w:rsidR="00B868E8">
        <w:t>3</w:t>
      </w:r>
      <w:r>
        <w:t>) argument that academic success is dependent on learner adaptability and prior knowledge. By tailoring teaching to different linguistic and cultural contexts (</w:t>
      </w:r>
      <w:proofErr w:type="spellStart"/>
      <w:r w:rsidR="00B868E8">
        <w:t>Seviour</w:t>
      </w:r>
      <w:proofErr w:type="spellEnd"/>
      <w:r w:rsidR="00DA3E4B">
        <w:t>,</w:t>
      </w:r>
      <w:r w:rsidR="00B868E8">
        <w:t xml:space="preserve"> 2015</w:t>
      </w:r>
      <w:r>
        <w:t xml:space="preserve">), the Foundation </w:t>
      </w:r>
      <w:proofErr w:type="spellStart"/>
      <w:r>
        <w:t>Programme</w:t>
      </w:r>
      <w:proofErr w:type="spellEnd"/>
      <w:r>
        <w:t xml:space="preserve"> enhances student engagement and self-confidence, which is essential for long-term academic performance.</w:t>
      </w:r>
    </w:p>
    <w:p w14:paraId="11958404" w14:textId="77777777" w:rsidR="00E54710" w:rsidRPr="00E54710" w:rsidRDefault="00E54710" w:rsidP="00E54710">
      <w:pPr>
        <w:rPr>
          <w:rFonts w:hint="eastAsia"/>
          <w:b/>
          <w:bCs/>
        </w:rPr>
      </w:pPr>
    </w:p>
    <w:p w14:paraId="1725651E" w14:textId="300D26BA" w:rsidR="00E54710" w:rsidRPr="00E54710" w:rsidRDefault="00E54710" w:rsidP="00E54710">
      <w:pPr>
        <w:rPr>
          <w:rFonts w:hint="eastAsia"/>
          <w:b/>
          <w:bCs/>
        </w:rPr>
      </w:pPr>
      <w:proofErr w:type="spellStart"/>
      <w:r w:rsidRPr="00E54710">
        <w:rPr>
          <w:b/>
          <w:bCs/>
        </w:rPr>
        <w:t>Reorganisation</w:t>
      </w:r>
      <w:proofErr w:type="spellEnd"/>
      <w:r w:rsidRPr="00E54710">
        <w:rPr>
          <w:b/>
          <w:bCs/>
        </w:rPr>
        <w:t xml:space="preserve"> of classroom time (</w:t>
      </w:r>
      <w:r>
        <w:rPr>
          <w:b/>
          <w:bCs/>
        </w:rPr>
        <w:t>P</w:t>
      </w:r>
      <w:r w:rsidRPr="00E54710">
        <w:rPr>
          <w:b/>
          <w:bCs/>
        </w:rPr>
        <w:t>hases 4 and 5</w:t>
      </w:r>
      <w:r w:rsidR="00D628E9">
        <w:rPr>
          <w:b/>
          <w:bCs/>
        </w:rPr>
        <w:t>-ANALYSE &amp; EVALUATE</w:t>
      </w:r>
      <w:r w:rsidRPr="00E54710">
        <w:rPr>
          <w:b/>
          <w:bCs/>
        </w:rPr>
        <w:t>):</w:t>
      </w:r>
    </w:p>
    <w:p w14:paraId="10A4DE48" w14:textId="736550AD" w:rsidR="00E54710" w:rsidRDefault="00E54710" w:rsidP="00E54710">
      <w:r>
        <w:t xml:space="preserve">Bloom's focus on academic skills development aligns with the </w:t>
      </w:r>
      <w:proofErr w:type="spellStart"/>
      <w:r>
        <w:t>reorganisation</w:t>
      </w:r>
      <w:proofErr w:type="spellEnd"/>
      <w:r>
        <w:t xml:space="preserve"> of classroom activities, for example </w:t>
      </w:r>
      <w:proofErr w:type="spellStart"/>
      <w:r>
        <w:t>prioritising</w:t>
      </w:r>
      <w:proofErr w:type="spellEnd"/>
      <w:r>
        <w:t xml:space="preserve"> the development of academic writing (</w:t>
      </w:r>
      <w:proofErr w:type="spellStart"/>
      <w:r>
        <w:t>Seviour</w:t>
      </w:r>
      <w:proofErr w:type="spellEnd"/>
      <w:r w:rsidR="00DA3E4B">
        <w:t>,</w:t>
      </w:r>
      <w:r>
        <w:t xml:space="preserve"> 2015)</w:t>
      </w:r>
      <w:r w:rsidR="00B868E8">
        <w:t xml:space="preserve">. </w:t>
      </w:r>
      <w:r>
        <w:t xml:space="preserve">The approach enhances motivation (Bloom's affective domains of ‘acceptance’ and ‘response’) and effectiveness, directly supporting the acquisition of skills such as argumentation and </w:t>
      </w:r>
      <w:proofErr w:type="gramStart"/>
      <w:r>
        <w:t>citation</w:t>
      </w:r>
      <w:r w:rsidR="00DA3E4B">
        <w:t>(</w:t>
      </w:r>
      <w:r>
        <w:t xml:space="preserve"> Banerjee</w:t>
      </w:r>
      <w:proofErr w:type="gramEnd"/>
      <w:r>
        <w:t xml:space="preserve"> and Wall</w:t>
      </w:r>
      <w:r w:rsidR="00DA3E4B">
        <w:t xml:space="preserve">, </w:t>
      </w:r>
      <w:r>
        <w:t>2006).</w:t>
      </w:r>
    </w:p>
    <w:p w14:paraId="02E35EB1" w14:textId="77777777" w:rsidR="00E54710" w:rsidRDefault="00E54710" w:rsidP="00E54710">
      <w:pPr>
        <w:rPr>
          <w:rFonts w:hint="eastAsia"/>
        </w:rPr>
      </w:pPr>
    </w:p>
    <w:p w14:paraId="0D132F3F" w14:textId="525063BE" w:rsidR="00E54710" w:rsidRPr="00E54710" w:rsidRDefault="00E54710" w:rsidP="00E54710">
      <w:pPr>
        <w:rPr>
          <w:rFonts w:hint="eastAsia"/>
          <w:b/>
          <w:bCs/>
        </w:rPr>
      </w:pPr>
      <w:r w:rsidRPr="00E54710">
        <w:rPr>
          <w:b/>
          <w:bCs/>
        </w:rPr>
        <w:t xml:space="preserve">Filling the Research Gap (Phase </w:t>
      </w:r>
      <w:r w:rsidRPr="00E54710">
        <w:rPr>
          <w:b/>
          <w:bCs/>
        </w:rPr>
        <w:t>6</w:t>
      </w:r>
      <w:r w:rsidR="00D628E9">
        <w:rPr>
          <w:b/>
          <w:bCs/>
        </w:rPr>
        <w:t>- CREATE</w:t>
      </w:r>
      <w:r w:rsidRPr="00E54710">
        <w:rPr>
          <w:b/>
          <w:bCs/>
        </w:rPr>
        <w:t>):</w:t>
      </w:r>
    </w:p>
    <w:p w14:paraId="154BCDA6" w14:textId="77777777" w:rsidR="009F4337" w:rsidRDefault="00E54710" w:rsidP="00E54710">
      <w:r>
        <w:t xml:space="preserve">Bloom's higher-order cognitive goal of ‘creation’ intersects with </w:t>
      </w:r>
      <w:r w:rsidR="00751B92">
        <w:t>P</w:t>
      </w:r>
      <w:r w:rsidR="00751B92">
        <w:rPr>
          <w:rFonts w:hint="eastAsia"/>
        </w:rPr>
        <w:t>e</w:t>
      </w:r>
      <w:r w:rsidR="00751B92">
        <w:t>a</w:t>
      </w:r>
      <w:r w:rsidR="00751B92">
        <w:rPr>
          <w:rFonts w:hint="eastAsia"/>
        </w:rPr>
        <w:t>rson</w:t>
      </w:r>
      <w:r>
        <w:rPr>
          <w:rFonts w:hint="eastAsia"/>
        </w:rPr>
        <w:t xml:space="preserve"> </w:t>
      </w:r>
      <w:r>
        <w:t>(20</w:t>
      </w:r>
      <w:r w:rsidR="00751B92">
        <w:t>20</w:t>
      </w:r>
      <w:r>
        <w:t xml:space="preserve">) focus on differences in institutional language proficiency standards. By encouraging students to identify and connect to research gaps within their disciplines, the matriculation </w:t>
      </w:r>
      <w:proofErr w:type="spellStart"/>
      <w:r>
        <w:t>programme</w:t>
      </w:r>
      <w:proofErr w:type="spellEnd"/>
      <w:r>
        <w:t xml:space="preserve"> fosters analytical </w:t>
      </w:r>
      <w:r>
        <w:lastRenderedPageBreak/>
        <w:t>thinking and originality, thereby bridging preparatory training with academic success.</w:t>
      </w:r>
    </w:p>
    <w:p w14:paraId="2DC80319" w14:textId="77777777" w:rsidR="009F4337" w:rsidRDefault="009F4337" w:rsidP="00E54710"/>
    <w:p w14:paraId="5B0A3A4D" w14:textId="781A9ED0" w:rsidR="00F11593" w:rsidRDefault="009F4337" w:rsidP="00E54710">
      <w:pPr>
        <w:rPr>
          <w:b/>
          <w:bCs/>
        </w:rPr>
      </w:pPr>
      <w:r w:rsidRPr="009F4337">
        <w:t xml:space="preserve">In summary, academic performance in </w:t>
      </w:r>
      <w:r>
        <w:t>PSPs</w:t>
      </w:r>
      <w:r w:rsidRPr="009F4337">
        <w:rPr>
          <w:rFonts w:hint="eastAsia"/>
        </w:rPr>
        <w:t xml:space="preserve"> </w:t>
      </w:r>
      <w:r w:rsidRPr="009F4337">
        <w:t xml:space="preserve">is defined through a combination of process-oriented indicators (e.g., skill development during </w:t>
      </w:r>
      <w:r>
        <w:rPr>
          <w:rFonts w:hint="eastAsia"/>
        </w:rPr>
        <w:t>PSP</w:t>
      </w:r>
      <w:r w:rsidRPr="009F4337">
        <w:t>) and outcome-oriented measures (e.g., post-</w:t>
      </w:r>
      <w:proofErr w:type="spellStart"/>
      <w:r w:rsidRPr="009F4337">
        <w:t>programme</w:t>
      </w:r>
      <w:proofErr w:type="spellEnd"/>
      <w:r w:rsidRPr="009F4337">
        <w:t xml:space="preserve"> academic achievement), and is </w:t>
      </w:r>
      <w:proofErr w:type="spellStart"/>
      <w:r w:rsidRPr="009F4337">
        <w:t>centred</w:t>
      </w:r>
      <w:proofErr w:type="spellEnd"/>
      <w:r w:rsidRPr="009F4337">
        <w:t xml:space="preserve"> on bridging language proficiency and academic preparation.</w:t>
      </w:r>
      <w:r w:rsidR="00E54710">
        <w:t xml:space="preserve"> </w:t>
      </w:r>
    </w:p>
    <w:p w14:paraId="326B90A3" w14:textId="77777777" w:rsidR="00F11593" w:rsidRDefault="00000000">
      <w:pPr>
        <w:pStyle w:val="2"/>
      </w:pPr>
      <w:r>
        <w:t>2.3 Main themes</w:t>
      </w:r>
    </w:p>
    <w:p w14:paraId="63988FEF" w14:textId="77777777" w:rsidR="00F11593" w:rsidRDefault="00000000">
      <w:pPr>
        <w:pStyle w:val="3"/>
      </w:pPr>
      <w:r>
        <w:t>2.3.1 Student Perceptions on E</w:t>
      </w:r>
      <w:r>
        <w:rPr>
          <w:rFonts w:hint="eastAsia"/>
        </w:rPr>
        <w:t>ff</w:t>
      </w:r>
      <w:r>
        <w:t>ectiveness of PSP</w:t>
      </w:r>
    </w:p>
    <w:p w14:paraId="10A01C45" w14:textId="624ED725" w:rsidR="006552B9" w:rsidRDefault="00000000" w:rsidP="006552B9">
      <w:pPr>
        <w:pStyle w:val="4"/>
        <w:jc w:val="left"/>
      </w:pPr>
      <w:r>
        <w:t xml:space="preserve">2.3.1.1 Surface </w:t>
      </w:r>
      <w:r w:rsidR="003A0BBF">
        <w:rPr>
          <w:rFonts w:hint="eastAsia"/>
        </w:rPr>
        <w:t>V</w:t>
      </w:r>
      <w:r>
        <w:t xml:space="preserve">alidity of </w:t>
      </w:r>
      <w:r w:rsidR="003A0BBF">
        <w:rPr>
          <w:rFonts w:hint="eastAsia"/>
        </w:rPr>
        <w:t>C</w:t>
      </w:r>
      <w:r>
        <w:t xml:space="preserve">ourses </w:t>
      </w:r>
      <w:r w:rsidR="003A0BBF">
        <w:rPr>
          <w:rFonts w:hint="eastAsia"/>
        </w:rPr>
        <w:t>V</w:t>
      </w:r>
      <w:r>
        <w:t xml:space="preserve">ersus </w:t>
      </w:r>
      <w:r w:rsidR="003A0BBF">
        <w:rPr>
          <w:rFonts w:hint="eastAsia"/>
        </w:rPr>
        <w:t>D</w:t>
      </w:r>
      <w:r>
        <w:t xml:space="preserve">eeper </w:t>
      </w:r>
      <w:r w:rsidR="003A0BBF">
        <w:rPr>
          <w:rFonts w:hint="eastAsia"/>
        </w:rPr>
        <w:t>C</w:t>
      </w:r>
      <w:r>
        <w:t xml:space="preserve">ontradictions </w:t>
      </w:r>
    </w:p>
    <w:p w14:paraId="3D793141" w14:textId="13F279C5" w:rsidR="00F11593" w:rsidRPr="006552B9" w:rsidRDefault="00000000" w:rsidP="00730387">
      <w:pPr>
        <w:rPr>
          <w:rFonts w:ascii="Arial" w:hAnsi="Arial"/>
          <w:b/>
          <w:sz w:val="28"/>
        </w:rPr>
      </w:pPr>
      <w:r>
        <w:t xml:space="preserve">Thorpe </w:t>
      </w:r>
      <w:proofErr w:type="gramStart"/>
      <w:r>
        <w:t>et al.(</w:t>
      </w:r>
      <w:proofErr w:type="gramEnd"/>
      <w:r>
        <w:t xml:space="preserve">2017)’s </w:t>
      </w:r>
      <w:r>
        <w:rPr>
          <w:rFonts w:hint="eastAsia"/>
        </w:rPr>
        <w:t>q</w:t>
      </w:r>
      <w:r>
        <w:t xml:space="preserve">uantitative data shows a case of PSP </w:t>
      </w:r>
      <w:r>
        <w:rPr>
          <w:rFonts w:hint="eastAsia"/>
        </w:rPr>
        <w:t>in</w:t>
      </w:r>
      <w:r>
        <w:t xml:space="preserve"> one </w:t>
      </w:r>
      <w:r>
        <w:rPr>
          <w:rFonts w:hint="eastAsia"/>
        </w:rPr>
        <w:t>university</w:t>
      </w:r>
      <w:r>
        <w:t xml:space="preserve"> in </w:t>
      </w:r>
      <w:r>
        <w:rPr>
          <w:rFonts w:hint="eastAsia"/>
        </w:rPr>
        <w:t>the</w:t>
      </w:r>
      <w:r>
        <w:t xml:space="preserve"> UK, </w:t>
      </w:r>
      <w:r>
        <w:rPr>
          <w:rFonts w:hint="eastAsia"/>
        </w:rPr>
        <w:t>with</w:t>
      </w:r>
      <w:r>
        <w:t xml:space="preserve"> 84-96% course pass rates, but with a large ‘borderline pass’ group. 49-54% of alumni required degree extensions or dissertation retakes and had an average GPA 3-7 points lower than directly admitted international students </w:t>
      </w:r>
      <w:proofErr w:type="gramStart"/>
      <w:r w:rsidRPr="00730387">
        <w:rPr>
          <w:highlight w:val="magenta"/>
        </w:rPr>
        <w:t>(</w:t>
      </w:r>
      <w:r w:rsidR="00730387" w:rsidRPr="00730387">
        <w:rPr>
          <w:b/>
          <w:highlight w:val="magenta"/>
        </w:rPr>
        <w:t xml:space="preserve"> more</w:t>
      </w:r>
      <w:proofErr w:type="gramEnd"/>
      <w:r w:rsidR="00730387" w:rsidRPr="00730387">
        <w:rPr>
          <w:b/>
          <w:highlight w:val="magenta"/>
        </w:rPr>
        <w:t xml:space="preserve"> details please see </w:t>
      </w:r>
      <w:r w:rsidRPr="00730387">
        <w:rPr>
          <w:highlight w:val="magenta"/>
        </w:rPr>
        <w:t>Thorpe et al., 2017).</w:t>
      </w:r>
    </w:p>
    <w:p w14:paraId="47020274" w14:textId="77777777" w:rsidR="00730387" w:rsidRDefault="00730387" w:rsidP="00730387"/>
    <w:p w14:paraId="6D635B9C" w14:textId="11ECDDB4" w:rsidR="00F11593" w:rsidRDefault="00000000" w:rsidP="00730387">
      <w:pPr>
        <w:rPr>
          <w:b/>
        </w:rPr>
      </w:pPr>
      <w:r>
        <w:t xml:space="preserve">In terms of short-term progress in language proficiency, students report that writing skills are underdeveloped in terms of disciplinary appropriateness, although they have improved in dimensions such as lexical complexity (+10%) and </w:t>
      </w:r>
      <w:proofErr w:type="spellStart"/>
      <w:r>
        <w:t>nominalisation</w:t>
      </w:r>
      <w:proofErr w:type="spellEnd"/>
      <w:r>
        <w:t xml:space="preserve"> (+23%) (Green, 2007).</w:t>
      </w:r>
    </w:p>
    <w:p w14:paraId="0D037FDF" w14:textId="77777777" w:rsidR="00730387" w:rsidRDefault="00000000">
      <w:pPr>
        <w:pStyle w:val="3"/>
        <w:rPr>
          <w:rFonts w:ascii="Arial" w:eastAsia="黑体" w:hAnsi="Arial"/>
          <w:sz w:val="28"/>
        </w:rPr>
      </w:pPr>
      <w:r>
        <w:rPr>
          <w:rFonts w:ascii="Arial" w:eastAsia="黑体" w:hAnsi="Arial"/>
          <w:sz w:val="28"/>
        </w:rPr>
        <w:t xml:space="preserve">2.3.1.2 Student </w:t>
      </w:r>
      <w:r w:rsidR="003A0BBF">
        <w:rPr>
          <w:rFonts w:ascii="Arial" w:eastAsia="黑体" w:hAnsi="Arial" w:hint="eastAsia"/>
          <w:sz w:val="28"/>
        </w:rPr>
        <w:t>P</w:t>
      </w:r>
      <w:r>
        <w:rPr>
          <w:rFonts w:ascii="Arial" w:eastAsia="黑体" w:hAnsi="Arial"/>
          <w:sz w:val="28"/>
        </w:rPr>
        <w:t xml:space="preserve">erception and </w:t>
      </w:r>
      <w:r w:rsidR="003A0BBF">
        <w:rPr>
          <w:rFonts w:ascii="Arial" w:eastAsia="黑体" w:hAnsi="Arial" w:hint="eastAsia"/>
          <w:sz w:val="28"/>
        </w:rPr>
        <w:t>R</w:t>
      </w:r>
      <w:r>
        <w:rPr>
          <w:rFonts w:ascii="Arial" w:eastAsia="黑体" w:hAnsi="Arial"/>
          <w:sz w:val="28"/>
        </w:rPr>
        <w:t xml:space="preserve">eality </w:t>
      </w:r>
      <w:r w:rsidR="003A0BBF">
        <w:rPr>
          <w:rFonts w:ascii="Arial" w:eastAsia="黑体" w:hAnsi="Arial" w:hint="eastAsia"/>
          <w:sz w:val="28"/>
        </w:rPr>
        <w:t>G</w:t>
      </w:r>
      <w:r>
        <w:rPr>
          <w:rFonts w:ascii="Arial" w:eastAsia="黑体" w:hAnsi="Arial"/>
          <w:sz w:val="28"/>
        </w:rPr>
        <w:t>ap</w:t>
      </w:r>
    </w:p>
    <w:p w14:paraId="7C1F40DA" w14:textId="5B029463" w:rsidR="00F11593" w:rsidRPr="00730387" w:rsidRDefault="00000000" w:rsidP="00730387">
      <w:pPr>
        <w:rPr>
          <w:rFonts w:ascii="Arial" w:eastAsia="黑体" w:hAnsi="Arial"/>
          <w:b/>
          <w:sz w:val="28"/>
        </w:rPr>
      </w:pPr>
      <w:r>
        <w:rPr>
          <w:highlight w:val="yellow"/>
        </w:rPr>
        <w:t xml:space="preserve">78% of students </w:t>
      </w:r>
      <w:proofErr w:type="spellStart"/>
      <w:r>
        <w:rPr>
          <w:highlight w:val="yellow"/>
        </w:rPr>
        <w:t>recognise</w:t>
      </w:r>
      <w:proofErr w:type="spellEnd"/>
      <w:r>
        <w:rPr>
          <w:highlight w:val="yellow"/>
        </w:rPr>
        <w:t xml:space="preserve"> the course as helpful for academic adaptation (</w:t>
      </w:r>
      <w:proofErr w:type="gramStart"/>
      <w:r>
        <w:rPr>
          <w:highlight w:val="yellow"/>
        </w:rPr>
        <w:t>e.g.</w:t>
      </w:r>
      <w:proofErr w:type="gramEnd"/>
      <w:r>
        <w:rPr>
          <w:highlight w:val="yellow"/>
        </w:rPr>
        <w:t xml:space="preserve"> literature reading, ICT system use); 47% of Chinese students over-rely on templated writing, 61% of postgraduate students retreat to their native social circles in cross-cultural discussions</w:t>
      </w:r>
      <w:r>
        <w:rPr>
          <w:rFonts w:hint="eastAsia"/>
          <w:highlight w:val="yellow"/>
        </w:rPr>
        <w:t>（</w:t>
      </w:r>
      <w:r>
        <w:rPr>
          <w:highlight w:val="yellow"/>
        </w:rPr>
        <w:t>Copland</w:t>
      </w:r>
      <w:r>
        <w:rPr>
          <w:rFonts w:hint="eastAsia"/>
          <w:highlight w:val="yellow"/>
        </w:rPr>
        <w:t xml:space="preserve"> </w:t>
      </w:r>
      <w:r>
        <w:rPr>
          <w:highlight w:val="yellow"/>
        </w:rPr>
        <w:t>et al.</w:t>
      </w:r>
      <w:r>
        <w:rPr>
          <w:rFonts w:hint="eastAsia"/>
          <w:highlight w:val="yellow"/>
        </w:rPr>
        <w:t>，</w:t>
      </w:r>
      <w:r>
        <w:rPr>
          <w:highlight w:val="yellow"/>
        </w:rPr>
        <w:t>2011)</w:t>
      </w:r>
    </w:p>
    <w:p w14:paraId="5607D9F0" w14:textId="39B4A938" w:rsidR="00F11593" w:rsidRPr="003A0BBF" w:rsidRDefault="003A0BBF">
      <w:pPr>
        <w:pStyle w:val="3"/>
        <w:rPr>
          <w:rFonts w:ascii="Arial" w:eastAsia="黑体" w:hAnsi="Arial"/>
          <w:sz w:val="28"/>
        </w:rPr>
      </w:pPr>
      <w:r>
        <w:rPr>
          <w:rFonts w:ascii="Arial" w:eastAsia="黑体" w:hAnsi="Arial"/>
          <w:sz w:val="28"/>
        </w:rPr>
        <w:t>2.3.1.</w:t>
      </w:r>
      <w:r w:rsidR="00000000" w:rsidRPr="003A0BBF">
        <w:rPr>
          <w:rFonts w:ascii="Arial" w:eastAsia="黑体" w:hAnsi="Arial"/>
          <w:sz w:val="28"/>
        </w:rPr>
        <w:t xml:space="preserve">3 Structural </w:t>
      </w:r>
      <w:r>
        <w:rPr>
          <w:rFonts w:ascii="Arial" w:eastAsia="黑体" w:hAnsi="Arial" w:hint="eastAsia"/>
          <w:sz w:val="28"/>
        </w:rPr>
        <w:t>F</w:t>
      </w:r>
      <w:r w:rsidR="00000000" w:rsidRPr="003A0BBF">
        <w:rPr>
          <w:rFonts w:ascii="Arial" w:eastAsia="黑体" w:hAnsi="Arial"/>
          <w:sz w:val="28"/>
        </w:rPr>
        <w:t xml:space="preserve">laws in </w:t>
      </w:r>
      <w:r>
        <w:rPr>
          <w:rFonts w:ascii="Arial" w:eastAsia="黑体" w:hAnsi="Arial" w:hint="eastAsia"/>
          <w:sz w:val="28"/>
        </w:rPr>
        <w:t>C</w:t>
      </w:r>
      <w:r w:rsidR="00000000" w:rsidRPr="003A0BBF">
        <w:rPr>
          <w:rFonts w:ascii="Arial" w:eastAsia="黑体" w:hAnsi="Arial"/>
          <w:sz w:val="28"/>
        </w:rPr>
        <w:t xml:space="preserve">ourse </w:t>
      </w:r>
      <w:r>
        <w:rPr>
          <w:rFonts w:ascii="Arial" w:eastAsia="黑体" w:hAnsi="Arial" w:hint="eastAsia"/>
          <w:sz w:val="28"/>
        </w:rPr>
        <w:t>D</w:t>
      </w:r>
      <w:r w:rsidR="00000000" w:rsidRPr="003A0BBF">
        <w:rPr>
          <w:rFonts w:ascii="Arial" w:eastAsia="黑体" w:hAnsi="Arial"/>
          <w:sz w:val="28"/>
        </w:rPr>
        <w:t>esign</w:t>
      </w:r>
    </w:p>
    <w:p w14:paraId="7BDA4D6F" w14:textId="55D6BF7E" w:rsidR="00F11593" w:rsidRPr="00730387" w:rsidRDefault="00000000">
      <w:pPr>
        <w:rPr>
          <w:rFonts w:hint="eastAsia"/>
          <w:b/>
        </w:rPr>
      </w:pPr>
      <w:r>
        <w:t>Short-term intensive model leads to a lack of authenticity in writing tasks (83% use generic questions instead of disciplinary writing) Mixed-level grouping leads 23% of students to perceive the pace of learning as inappropriate (Dooey, 2010)</w:t>
      </w:r>
      <w:r w:rsidR="00730387">
        <w:rPr>
          <w:rFonts w:hint="eastAsia"/>
          <w:b/>
        </w:rPr>
        <w:t>.</w:t>
      </w:r>
    </w:p>
    <w:p w14:paraId="00D9855A" w14:textId="77777777" w:rsidR="00F11593" w:rsidRDefault="00000000">
      <w:pPr>
        <w:pStyle w:val="3"/>
      </w:pPr>
      <w:r>
        <w:t>2.3.2 Language Proficiency D</w:t>
      </w:r>
      <w:r>
        <w:rPr>
          <w:rFonts w:hint="eastAsia"/>
        </w:rPr>
        <w:t>eve</w:t>
      </w:r>
      <w:r>
        <w:t>lopment</w:t>
      </w:r>
    </w:p>
    <w:p w14:paraId="33DD8212" w14:textId="378BC35C" w:rsidR="00F11593" w:rsidRDefault="00000000">
      <w:r>
        <w:rPr>
          <w:rFonts w:hint="eastAsia"/>
        </w:rPr>
        <w:t xml:space="preserve">Language proficiency development has been a key area of inquiry in applied linguistics, particularly in the context of academic performance and language acquisition. This literature review </w:t>
      </w:r>
      <w:proofErr w:type="spellStart"/>
      <w:r>
        <w:rPr>
          <w:rFonts w:hint="eastAsia"/>
        </w:rPr>
        <w:lastRenderedPageBreak/>
        <w:t>synthesises</w:t>
      </w:r>
      <w:proofErr w:type="spellEnd"/>
      <w:r>
        <w:rPr>
          <w:rFonts w:hint="eastAsia"/>
        </w:rPr>
        <w:t xml:space="preserve"> significant contributions to the field, critically engaging with perspectives on language assessment, writing development, corrective feedback, and academic vocabulary. Additionally, theoretical frameworks such as Bloom</w:t>
      </w:r>
      <w:r>
        <w:rPr>
          <w:rFonts w:hint="eastAsia"/>
        </w:rPr>
        <w:t>’</w:t>
      </w:r>
      <w:r>
        <w:rPr>
          <w:rFonts w:hint="eastAsia"/>
        </w:rPr>
        <w:t>s Taxonomy, M</w:t>
      </w:r>
      <w:r>
        <w:t>astery</w:t>
      </w:r>
      <w:r>
        <w:rPr>
          <w:rFonts w:hint="eastAsia"/>
        </w:rPr>
        <w:t xml:space="preserve"> </w:t>
      </w:r>
      <w:r>
        <w:t>teach</w:t>
      </w:r>
      <w:r>
        <w:rPr>
          <w:rFonts w:hint="eastAsia"/>
        </w:rPr>
        <w:t xml:space="preserve">ing, and the </w:t>
      </w:r>
      <w:r w:rsidR="000B5B12">
        <w:t>M</w:t>
      </w:r>
      <w:r w:rsidR="000B5B12">
        <w:rPr>
          <w:rFonts w:hint="eastAsia"/>
        </w:rPr>
        <w:t>odel</w:t>
      </w:r>
      <w:r>
        <w:rPr>
          <w:rFonts w:hint="eastAsia"/>
        </w:rPr>
        <w:t xml:space="preserve"> of Readiness, Challenges, and Supports in determining </w:t>
      </w:r>
      <w:r w:rsidR="000B5B12">
        <w:rPr>
          <w:rFonts w:hint="eastAsia"/>
        </w:rPr>
        <w:t>a</w:t>
      </w:r>
      <w:r>
        <w:rPr>
          <w:rFonts w:hint="eastAsia"/>
        </w:rPr>
        <w:t xml:space="preserve">cademic </w:t>
      </w:r>
      <w:r w:rsidR="000B5B12">
        <w:t>a</w:t>
      </w:r>
      <w:r>
        <w:rPr>
          <w:rFonts w:hint="eastAsia"/>
        </w:rPr>
        <w:t xml:space="preserve">daptation </w:t>
      </w:r>
      <w:r w:rsidR="000B5B12">
        <w:t>o</w:t>
      </w:r>
      <w:r>
        <w:rPr>
          <w:rFonts w:hint="eastAsia"/>
        </w:rPr>
        <w:t>utcomes provide further insights into how PSPs facilitate language development.</w:t>
      </w:r>
    </w:p>
    <w:p w14:paraId="53D3C51B" w14:textId="77777777" w:rsidR="00F11593" w:rsidRDefault="00000000">
      <w:pPr>
        <w:pStyle w:val="4"/>
      </w:pPr>
      <w:r>
        <w:t xml:space="preserve">2.3.2.1 </w:t>
      </w:r>
      <w:r>
        <w:rPr>
          <w:rFonts w:hint="eastAsia"/>
        </w:rPr>
        <w:t>Language Standards and Assessment</w:t>
      </w:r>
    </w:p>
    <w:p w14:paraId="7E3D769B" w14:textId="77777777" w:rsidR="00F11593" w:rsidRDefault="00000000">
      <w:proofErr w:type="spellStart"/>
      <w:r>
        <w:rPr>
          <w:rFonts w:hint="eastAsia"/>
        </w:rPr>
        <w:t>Allwright</w:t>
      </w:r>
      <w:proofErr w:type="spellEnd"/>
      <w:r>
        <w:rPr>
          <w:rFonts w:hint="eastAsia"/>
        </w:rPr>
        <w:t xml:space="preserve"> and Banerjee (1997), Archibald (2001), and van </w:t>
      </w:r>
      <w:proofErr w:type="spellStart"/>
      <w:r>
        <w:rPr>
          <w:rFonts w:hint="eastAsia"/>
        </w:rPr>
        <w:t>Beuningen</w:t>
      </w:r>
      <w:proofErr w:type="spellEnd"/>
      <w:r>
        <w:rPr>
          <w:rFonts w:hint="eastAsia"/>
        </w:rPr>
        <w:t xml:space="preserve">, de Jong, and </w:t>
      </w:r>
      <w:proofErr w:type="spellStart"/>
      <w:r>
        <w:rPr>
          <w:rFonts w:hint="eastAsia"/>
        </w:rPr>
        <w:t>Kuiken</w:t>
      </w:r>
      <w:proofErr w:type="spellEnd"/>
      <w:r>
        <w:rPr>
          <w:rFonts w:hint="eastAsia"/>
        </w:rPr>
        <w:t xml:space="preserve"> (2012) explore different dimensions of language assessment and development, particularly in the context of university admissions and second language writing. </w:t>
      </w:r>
      <w:proofErr w:type="spellStart"/>
      <w:r>
        <w:rPr>
          <w:rFonts w:hint="eastAsia"/>
        </w:rPr>
        <w:t>Allwright</w:t>
      </w:r>
      <w:proofErr w:type="spellEnd"/>
      <w:r>
        <w:rPr>
          <w:rFonts w:hint="eastAsia"/>
        </w:rPr>
        <w:t xml:space="preserve"> and Banerjee (1997) critique the reliability of </w:t>
      </w:r>
      <w:proofErr w:type="spellStart"/>
      <w:r>
        <w:rPr>
          <w:rFonts w:hint="eastAsia"/>
        </w:rPr>
        <w:t>standardised</w:t>
      </w:r>
      <w:proofErr w:type="spellEnd"/>
      <w:r>
        <w:rPr>
          <w:rFonts w:hint="eastAsia"/>
        </w:rPr>
        <w:t xml:space="preserve"> language tests in predicting students</w:t>
      </w:r>
      <w:r>
        <w:rPr>
          <w:rFonts w:hint="eastAsia"/>
        </w:rPr>
        <w:t>’</w:t>
      </w:r>
      <w:r>
        <w:rPr>
          <w:rFonts w:hint="eastAsia"/>
        </w:rPr>
        <w:t xml:space="preserve"> academic success, pointing out that these tests often fail to measure the nuanced competencies required in academic settings. Archibald (2001) extends this discussion by </w:t>
      </w:r>
      <w:proofErr w:type="spellStart"/>
      <w:r>
        <w:rPr>
          <w:rFonts w:hint="eastAsia"/>
        </w:rPr>
        <w:t>analysing</w:t>
      </w:r>
      <w:proofErr w:type="spellEnd"/>
      <w:r>
        <w:rPr>
          <w:rFonts w:hint="eastAsia"/>
        </w:rPr>
        <w:t xml:space="preserve"> the long-term development of second language (L2) writing proficiency, revealing that while structural and </w:t>
      </w:r>
      <w:proofErr w:type="spellStart"/>
      <w:r>
        <w:rPr>
          <w:rFonts w:hint="eastAsia"/>
        </w:rPr>
        <w:t>organisational</w:t>
      </w:r>
      <w:proofErr w:type="spellEnd"/>
      <w:r>
        <w:rPr>
          <w:rFonts w:hint="eastAsia"/>
        </w:rPr>
        <w:t xml:space="preserve"> improvements occur over time, grammatical accuracy remains a persistent issue. Complementing this, van </w:t>
      </w:r>
      <w:proofErr w:type="spellStart"/>
      <w:r>
        <w:rPr>
          <w:rFonts w:hint="eastAsia"/>
        </w:rPr>
        <w:t>Beuningen</w:t>
      </w:r>
      <w:proofErr w:type="spellEnd"/>
      <w:r>
        <w:rPr>
          <w:rFonts w:hint="eastAsia"/>
        </w:rPr>
        <w:t xml:space="preserve"> et al. (2012) investigate the role of corrective feedback in second language writing, finding that while direct error correction improves linguistic accuracy, its long-term effects remain uncertain. Taken together, these studies highlight the limitations of conventional assessment methods and instructional strategies in fully preparing students for the linguistic demands of academic study. PSPs may serve as a more adaptive solution, offering structured support beyond traditional testing and feedback models. However, the effectiveness of PSPs in addressing these long-term challenges remains an open question, necessitating further research on how these </w:t>
      </w:r>
      <w:proofErr w:type="spellStart"/>
      <w:r>
        <w:rPr>
          <w:rFonts w:hint="eastAsia"/>
        </w:rPr>
        <w:t>programmes</w:t>
      </w:r>
      <w:proofErr w:type="spellEnd"/>
      <w:r>
        <w:rPr>
          <w:rFonts w:hint="eastAsia"/>
        </w:rPr>
        <w:t xml:space="preserve"> can enhance both immediate and sustained language development.</w:t>
      </w:r>
    </w:p>
    <w:p w14:paraId="16FC2015" w14:textId="77777777" w:rsidR="00F11593" w:rsidRDefault="00000000">
      <w:pPr>
        <w:pStyle w:val="4"/>
      </w:pPr>
      <w:r>
        <w:t xml:space="preserve">2.3.2.2 </w:t>
      </w:r>
      <w:r>
        <w:rPr>
          <w:rFonts w:hint="eastAsia"/>
        </w:rPr>
        <w:t>Second Language Writing Development</w:t>
      </w:r>
    </w:p>
    <w:p w14:paraId="61677E33" w14:textId="77777777" w:rsidR="00F11593" w:rsidRDefault="00000000">
      <w:r>
        <w:rPr>
          <w:rFonts w:hint="eastAsia"/>
        </w:rPr>
        <w:t>Archibald (2001) investigates the long-term evolution of second language (L2) writing proficiency, highlighting the role of sustained practice and targeted intervention. The research indicates that while students exhibit gradual improvements in coherence and structure, grammatical accuracy remains a persistent challenge.</w:t>
      </w:r>
    </w:p>
    <w:p w14:paraId="5A6149AF" w14:textId="77777777" w:rsidR="00F11593" w:rsidRDefault="00F11593"/>
    <w:p w14:paraId="6154B2A3" w14:textId="63FE81F1" w:rsidR="00F11593" w:rsidRDefault="00000000">
      <w:r>
        <w:rPr>
          <w:rFonts w:hint="eastAsia"/>
        </w:rPr>
        <w:t xml:space="preserve">While this study provides valuable insights into L2 writing progression, it does not fully address how different instructional methods impact development. PSPs often incorporate academic writing components to help students transition into university writing expectations. However, further research is needed to determine whether these short-term interventions lead to sustained improvements in writing proficiency beyond the </w:t>
      </w:r>
      <w:proofErr w:type="spellStart"/>
      <w:r>
        <w:rPr>
          <w:rFonts w:hint="eastAsia"/>
        </w:rPr>
        <w:t>programme</w:t>
      </w:r>
      <w:r w:rsidR="00E547C3">
        <w:t>’</w:t>
      </w:r>
      <w:r>
        <w:rPr>
          <w:rFonts w:hint="eastAsia"/>
        </w:rPr>
        <w:t>s</w:t>
      </w:r>
      <w:proofErr w:type="spellEnd"/>
      <w:r>
        <w:rPr>
          <w:rFonts w:hint="eastAsia"/>
        </w:rPr>
        <w:t xml:space="preserve"> duration.</w:t>
      </w:r>
    </w:p>
    <w:p w14:paraId="0955FEEB" w14:textId="77777777" w:rsidR="00F11593" w:rsidRDefault="00F11593"/>
    <w:p w14:paraId="43213FD5" w14:textId="4BF913B9" w:rsidR="00F11593" w:rsidRDefault="00F036B0">
      <w:r>
        <w:rPr>
          <w:rFonts w:hint="eastAsia"/>
        </w:rPr>
        <w:t>V</w:t>
      </w:r>
      <w:r w:rsidR="00000000">
        <w:rPr>
          <w:rFonts w:hint="eastAsia"/>
        </w:rPr>
        <w:t xml:space="preserve">an </w:t>
      </w:r>
      <w:proofErr w:type="spellStart"/>
      <w:r w:rsidR="00000000">
        <w:rPr>
          <w:rFonts w:hint="eastAsia"/>
        </w:rPr>
        <w:t>Beuningen</w:t>
      </w:r>
      <w:proofErr w:type="spellEnd"/>
      <w:r w:rsidR="00000000">
        <w:rPr>
          <w:rFonts w:hint="eastAsia"/>
        </w:rPr>
        <w:t xml:space="preserve">, de Jong, and </w:t>
      </w:r>
      <w:proofErr w:type="spellStart"/>
      <w:r w:rsidR="00000000">
        <w:rPr>
          <w:rFonts w:hint="eastAsia"/>
        </w:rPr>
        <w:t>Kuiken</w:t>
      </w:r>
      <w:proofErr w:type="spellEnd"/>
      <w:r w:rsidR="00000000">
        <w:rPr>
          <w:rFonts w:hint="eastAsia"/>
        </w:rPr>
        <w:t xml:space="preserve"> (2012) delve into the impact of comprehensive corrective feedback on L2 writing. Their findings reveal that while direct error correction enhances linguistic accuracy, its long-term effectiveness is debatable.</w:t>
      </w:r>
    </w:p>
    <w:p w14:paraId="6D9AACA3" w14:textId="77777777" w:rsidR="00F11593" w:rsidRDefault="00F11593"/>
    <w:p w14:paraId="61DDD662" w14:textId="77777777" w:rsidR="00F11593" w:rsidRDefault="00000000">
      <w:r>
        <w:rPr>
          <w:rFonts w:hint="eastAsia"/>
        </w:rPr>
        <w:t xml:space="preserve">This study raises important questions about the sustainability of corrective feedback effects. Many </w:t>
      </w:r>
      <w:r>
        <w:rPr>
          <w:rFonts w:hint="eastAsia"/>
        </w:rPr>
        <w:lastRenderedPageBreak/>
        <w:t xml:space="preserve">PSPs </w:t>
      </w:r>
      <w:proofErr w:type="spellStart"/>
      <w:r>
        <w:rPr>
          <w:rFonts w:hint="eastAsia"/>
        </w:rPr>
        <w:t>emphasise</w:t>
      </w:r>
      <w:proofErr w:type="spellEnd"/>
      <w:r>
        <w:rPr>
          <w:rFonts w:hint="eastAsia"/>
        </w:rPr>
        <w:t xml:space="preserve"> feedback-driven writing development, but whether students retain these improvements post-</w:t>
      </w:r>
      <w:proofErr w:type="spellStart"/>
      <w:r>
        <w:rPr>
          <w:rFonts w:hint="eastAsia"/>
        </w:rPr>
        <w:t>programme</w:t>
      </w:r>
      <w:proofErr w:type="spellEnd"/>
      <w:r>
        <w:rPr>
          <w:rFonts w:hint="eastAsia"/>
        </w:rPr>
        <w:t xml:space="preserve"> is unclear. Future research should examine how feedback processing differs among PSP students and whether metacognitive training can enhance retention of corrections.</w:t>
      </w:r>
    </w:p>
    <w:p w14:paraId="16766078" w14:textId="77777777" w:rsidR="00F11593" w:rsidRDefault="00F11593"/>
    <w:p w14:paraId="565FA087" w14:textId="70161FA1" w:rsidR="00F11593" w:rsidRDefault="00000000">
      <w:r>
        <w:rPr>
          <w:rFonts w:hint="eastAsia"/>
        </w:rPr>
        <w:t>Liu and Brown</w:t>
      </w:r>
      <w:r w:rsidR="00DA3E4B">
        <w:t>’</w:t>
      </w:r>
      <w:r>
        <w:rPr>
          <w:rFonts w:hint="eastAsia"/>
        </w:rPr>
        <w:t>s (2015) meta-analysis suggests that the efficacy of feedback varies depending on learners</w:t>
      </w:r>
      <w:r w:rsidR="00DA3E4B">
        <w:t>’</w:t>
      </w:r>
      <w:r>
        <w:rPr>
          <w:rFonts w:hint="eastAsia"/>
        </w:rPr>
        <w:t xml:space="preserve"> cognitive engagement and instructional context.</w:t>
      </w:r>
    </w:p>
    <w:p w14:paraId="2D9E3914" w14:textId="77777777" w:rsidR="00F11593" w:rsidRDefault="00F11593"/>
    <w:p w14:paraId="2A008C88" w14:textId="77777777" w:rsidR="00F11593" w:rsidRDefault="00000000">
      <w:r>
        <w:rPr>
          <w:rFonts w:hint="eastAsia"/>
        </w:rPr>
        <w:t>While the meta-analysis provides a broad overview, it does not account for socio-cultural differences that may affect feedback reception. PSPs cater to diverse student populations, and understanding how feedback is interpreted across different educational contexts could provide more actionable insights for refining PSP curricula.</w:t>
      </w:r>
    </w:p>
    <w:p w14:paraId="721C1632" w14:textId="77777777" w:rsidR="00F11593" w:rsidRDefault="00000000">
      <w:pPr>
        <w:pStyle w:val="4"/>
      </w:pPr>
      <w:r>
        <w:t xml:space="preserve">2.3.2.3 </w:t>
      </w:r>
      <w:r>
        <w:rPr>
          <w:rFonts w:hint="eastAsia"/>
        </w:rPr>
        <w:t>Academic Vocabulary and Disciplinary Writing</w:t>
      </w:r>
    </w:p>
    <w:p w14:paraId="3A8C5F5F" w14:textId="261D54FF" w:rsidR="00F11593" w:rsidRDefault="00000000">
      <w:r>
        <w:rPr>
          <w:rFonts w:hint="eastAsia"/>
        </w:rPr>
        <w:t xml:space="preserve">Clark and Ishida (2005) explore lexical variations among </w:t>
      </w:r>
      <w:r w:rsidR="00F036B0">
        <w:t xml:space="preserve">PSP </w:t>
      </w:r>
      <w:r>
        <w:rPr>
          <w:rFonts w:hint="eastAsia"/>
        </w:rPr>
        <w:t>students, demonstrating significant disparities in vocabulary breadth and depth. These differences affect students</w:t>
      </w:r>
      <w:r>
        <w:rPr>
          <w:rFonts w:hint="eastAsia"/>
        </w:rPr>
        <w:t>’</w:t>
      </w:r>
      <w:r>
        <w:rPr>
          <w:rFonts w:hint="eastAsia"/>
        </w:rPr>
        <w:t>ability to engage with academic texts and produce discipline-specific writing.</w:t>
      </w:r>
    </w:p>
    <w:p w14:paraId="363385DF" w14:textId="77777777" w:rsidR="00F11593" w:rsidRDefault="00F11593"/>
    <w:p w14:paraId="71A384FD" w14:textId="33FBC5E8" w:rsidR="00F11593" w:rsidRDefault="00000000">
      <w:r>
        <w:rPr>
          <w:rFonts w:hint="eastAsia"/>
        </w:rPr>
        <w:t xml:space="preserve">This study highlights an essential challenge in </w:t>
      </w:r>
      <w:r w:rsidR="00F036B0">
        <w:rPr>
          <w:rFonts w:hint="eastAsia"/>
        </w:rPr>
        <w:t>PSP</w:t>
      </w:r>
      <w:r>
        <w:rPr>
          <w:rFonts w:hint="eastAsia"/>
        </w:rPr>
        <w:t xml:space="preserve"> instruction</w:t>
      </w:r>
      <w:r>
        <w:rPr>
          <w:rFonts w:hint="eastAsia"/>
        </w:rPr>
        <w:t>—</w:t>
      </w:r>
      <w:r>
        <w:rPr>
          <w:rFonts w:hint="eastAsia"/>
        </w:rPr>
        <w:t>how to bridge the lexical gap effectively. PSPs often integrate vocabulary-building activities, but there is limited research on how well these interventions translate into independent academic success. Further exploration of autonomous vocabulary learning strategies within PSPs could significantly enhance students</w:t>
      </w:r>
      <w:r>
        <w:rPr>
          <w:rFonts w:hint="eastAsia"/>
        </w:rPr>
        <w:t>’</w:t>
      </w:r>
      <w:r>
        <w:rPr>
          <w:rFonts w:hint="eastAsia"/>
        </w:rPr>
        <w:t xml:space="preserve"> lexical development beyond classroom instruction.</w:t>
      </w:r>
    </w:p>
    <w:p w14:paraId="2931DAF8" w14:textId="77777777" w:rsidR="00F11593" w:rsidRDefault="00F11593"/>
    <w:p w14:paraId="78AA15B6" w14:textId="77777777" w:rsidR="00F11593" w:rsidRDefault="00000000">
      <w:r>
        <w:rPr>
          <w:rFonts w:hint="eastAsia"/>
        </w:rPr>
        <w:t>Hyland (2008) expands on this by examining discourse features of academic writing, particularly focusing on disciplinary variations in vocabulary use. The study argues for a more genre-sensitive approach to EAP instruction, advocating for explicit teaching of discipline-specific conventions.</w:t>
      </w:r>
    </w:p>
    <w:p w14:paraId="300FDB1C" w14:textId="77777777" w:rsidR="00F11593" w:rsidRDefault="00F11593"/>
    <w:p w14:paraId="6B557B8A" w14:textId="77777777" w:rsidR="00F11593" w:rsidRDefault="00000000">
      <w:r>
        <w:rPr>
          <w:rFonts w:hint="eastAsia"/>
        </w:rPr>
        <w:t>While the study effectively illustrates the necessity of genre-based instruction, it does not offer a practical framework for integrating these insights into curricula. Many PSPs attempt to address disciplinary writing needs, yet a one-size-fits-all approach may not be effective. More applied research on PSP pedagogical implementation is necessary to ensure students are adequately prepared for writing within their respective disciplines.</w:t>
      </w:r>
    </w:p>
    <w:p w14:paraId="49714A14" w14:textId="77777777" w:rsidR="00F11593" w:rsidRDefault="00F11593"/>
    <w:p w14:paraId="1A33BF27" w14:textId="77777777" w:rsidR="00F11593" w:rsidRDefault="00000000">
      <w:pPr>
        <w:pStyle w:val="4"/>
      </w:pPr>
      <w:r>
        <w:t>2.3.2.4 Writing Development and Corrective Feedback</w:t>
      </w:r>
    </w:p>
    <w:p w14:paraId="7C94BA2A" w14:textId="4A64CE3E" w:rsidR="00F11593" w:rsidRPr="00F036B0" w:rsidRDefault="00000000" w:rsidP="00F036B0">
      <w:pPr>
        <w:pStyle w:val="a3"/>
        <w:widowControl/>
        <w:rPr>
          <w:rFonts w:hint="eastAsia"/>
          <w:color w:val="000000"/>
        </w:rPr>
      </w:pPr>
      <w:r>
        <w:rPr>
          <w:color w:val="000000"/>
          <w:highlight w:val="yellow"/>
        </w:rPr>
        <w:t xml:space="preserve">Liu and Brown (2015), Clark and Ishida (2005), and Hyland (2008) contribute to the discourse on academic writing and corrective feedback, particularly in relation to vocabulary acquisition and disciplinary writing. Liu and Brown (2015) conduct a meta-analysis on corrective feedback strategies, concluding that effectiveness depends heavily on learners’ cognitive engagement and the instructional context. </w:t>
      </w:r>
      <w:r>
        <w:rPr>
          <w:color w:val="000000"/>
          <w:highlight w:val="yellow"/>
        </w:rPr>
        <w:lastRenderedPageBreak/>
        <w:t xml:space="preserve">Clark and Ishida (2005) focus on lexical development, identifying significant disparities in vocabulary breadth among English for </w:t>
      </w:r>
      <w:r w:rsidR="00F036B0">
        <w:rPr>
          <w:color w:val="000000"/>
          <w:highlight w:val="yellow"/>
        </w:rPr>
        <w:t>PSP</w:t>
      </w:r>
      <w:r>
        <w:rPr>
          <w:color w:val="000000"/>
          <w:highlight w:val="yellow"/>
        </w:rPr>
        <w:t xml:space="preserve"> students, which in turn affects their ability to engage with academic texts. </w:t>
      </w:r>
      <w:r w:rsidR="00F036B0">
        <w:rPr>
          <w:color w:val="000000"/>
          <w:highlight w:val="yellow"/>
        </w:rPr>
        <w:t>I</w:t>
      </w:r>
      <w:r w:rsidR="00F036B0">
        <w:rPr>
          <w:rFonts w:hint="eastAsia"/>
          <w:color w:val="000000"/>
          <w:highlight w:val="yellow"/>
        </w:rPr>
        <w:t>n</w:t>
      </w:r>
      <w:r w:rsidR="00F036B0">
        <w:rPr>
          <w:color w:val="000000"/>
          <w:highlight w:val="yellow"/>
        </w:rPr>
        <w:t xml:space="preserve"> conclusion</w:t>
      </w:r>
      <w:r>
        <w:rPr>
          <w:color w:val="000000"/>
          <w:highlight w:val="yellow"/>
        </w:rPr>
        <w:t>, these studies suggest that writing development is a comp</w:t>
      </w:r>
      <w:r>
        <w:rPr>
          <w:color w:val="000000"/>
        </w:rPr>
        <w:t>lex, multifaceted process that requires more than just surface-level corrections. PSPs attempt to address these issues by integrating corrective feedback with structured vocabulary and discourse instruction. However, a critical challenge remains—while PSPs provide intensive short-term training, students may struggle to transfer these skills into their specific academic disciplines. Future research should explore how PSP curricula can be tailored to facilitate long-term retention and application of writing skills in varied disciplinary contexts.</w:t>
      </w:r>
    </w:p>
    <w:p w14:paraId="70B6E613" w14:textId="58395515" w:rsidR="00F11593" w:rsidRDefault="00000000">
      <w:proofErr w:type="spellStart"/>
      <w:r>
        <w:rPr>
          <w:rFonts w:hint="eastAsia"/>
        </w:rPr>
        <w:t>Mazgutova</w:t>
      </w:r>
      <w:proofErr w:type="spellEnd"/>
      <w:r>
        <w:rPr>
          <w:rFonts w:hint="eastAsia"/>
        </w:rPr>
        <w:t xml:space="preserve"> (2015) investigates cognitive and linguistic growth in </w:t>
      </w:r>
      <w:r w:rsidR="00F036B0">
        <w:rPr>
          <w:rFonts w:hint="eastAsia"/>
        </w:rPr>
        <w:t>PSP</w:t>
      </w:r>
      <w:r>
        <w:rPr>
          <w:rFonts w:hint="eastAsia"/>
        </w:rPr>
        <w:t xml:space="preserve"> students, linking curriculum design to academic writing development. The study highlights that while </w:t>
      </w:r>
      <w:r w:rsidR="00F036B0">
        <w:t>PSP</w:t>
      </w:r>
      <w:r>
        <w:rPr>
          <w:rFonts w:hint="eastAsia"/>
        </w:rPr>
        <w:t xml:space="preserve"> courses improve structural proficiency, deeper cognitive engagement with texts is necessary for long-term success.</w:t>
      </w:r>
    </w:p>
    <w:p w14:paraId="33A55AAB" w14:textId="77777777" w:rsidR="00F11593" w:rsidRDefault="00F11593"/>
    <w:p w14:paraId="06BA01C5" w14:textId="6218C21D" w:rsidR="00F11593" w:rsidRDefault="00000000">
      <w:pPr>
        <w:rPr>
          <w:rFonts w:hint="eastAsia"/>
        </w:rPr>
      </w:pPr>
      <w:r>
        <w:t xml:space="preserve">This aligns with </w:t>
      </w:r>
      <w:r w:rsidR="00F036B0">
        <w:t>the</w:t>
      </w:r>
      <w:r w:rsidR="00F036B0">
        <w:rPr>
          <w:rFonts w:hint="eastAsia"/>
        </w:rPr>
        <w:t xml:space="preserve"> </w:t>
      </w:r>
      <w:r w:rsidR="00F036B0">
        <w:t>theory</w:t>
      </w:r>
      <w:r w:rsidR="00F036B0">
        <w:rPr>
          <w:rFonts w:hint="eastAsia"/>
        </w:rPr>
        <w:t xml:space="preserve"> of</w:t>
      </w:r>
      <w:r w:rsidR="00F036B0">
        <w:t xml:space="preserve"> </w:t>
      </w:r>
      <w:r w:rsidR="00F036B0">
        <w:rPr>
          <w:rFonts w:hint="eastAsia"/>
        </w:rPr>
        <w:t>Mastery</w:t>
      </w:r>
      <w:r>
        <w:t>, where students should be given the time and resources to fully grasp and integrate feedback before progressing to more complex writing tasks.</w:t>
      </w:r>
    </w:p>
    <w:p w14:paraId="28E291C6" w14:textId="77777777" w:rsidR="00F11593" w:rsidRDefault="00000000">
      <w:pPr>
        <w:pStyle w:val="3"/>
      </w:pPr>
      <w:r>
        <w:t>2.3.3 Academic Performance</w:t>
      </w:r>
      <w:r>
        <w:rPr>
          <w:rFonts w:hint="eastAsia"/>
        </w:rPr>
        <w:t xml:space="preserve"> Midway</w:t>
      </w:r>
      <w:r>
        <w:t xml:space="preserve"> &amp; P</w:t>
      </w:r>
      <w:r>
        <w:rPr>
          <w:rFonts w:hint="eastAsia"/>
        </w:rPr>
        <w:t>ost</w:t>
      </w:r>
      <w:r>
        <w:t xml:space="preserve"> PSP</w:t>
      </w:r>
    </w:p>
    <w:p w14:paraId="5409E6BE" w14:textId="04252A23" w:rsidR="00F11593" w:rsidRDefault="00000000">
      <w:pPr>
        <w:rPr>
          <w:rFonts w:hint="eastAsia"/>
        </w:rPr>
      </w:pPr>
      <w:r>
        <w:rPr>
          <w:rFonts w:hint="eastAsia"/>
        </w:rPr>
        <w:t>The impact of PSPs on students</w:t>
      </w:r>
      <w:r w:rsidR="000B5B12">
        <w:t xml:space="preserve">’ </w:t>
      </w:r>
      <w:r>
        <w:rPr>
          <w:rFonts w:hint="eastAsia"/>
        </w:rPr>
        <w:t>academic performance has been studied</w:t>
      </w:r>
      <w:r w:rsidR="000B5B12">
        <w:t xml:space="preserve"> but</w:t>
      </w:r>
      <w:r>
        <w:rPr>
          <w:rFonts w:hint="eastAsia"/>
        </w:rPr>
        <w:t xml:space="preserve"> </w:t>
      </w:r>
      <w:r w:rsidR="000B5B12">
        <w:t>more</w:t>
      </w:r>
      <w:r>
        <w:rPr>
          <w:rFonts w:hint="eastAsia"/>
        </w:rPr>
        <w:t xml:space="preserve"> focus</w:t>
      </w:r>
      <w:r w:rsidR="000B5B12">
        <w:t xml:space="preserve"> should be </w:t>
      </w:r>
      <w:r>
        <w:rPr>
          <w:rFonts w:hint="eastAsia"/>
        </w:rPr>
        <w:t>on</w:t>
      </w:r>
      <w:r w:rsidR="000B5B12">
        <w:t xml:space="preserve"> the issues of</w:t>
      </w:r>
      <w:r>
        <w:rPr>
          <w:rFonts w:hint="eastAsia"/>
        </w:rPr>
        <w:t xml:space="preserve"> </w:t>
      </w:r>
      <w:proofErr w:type="spellStart"/>
      <w:r>
        <w:rPr>
          <w:rFonts w:hint="eastAsia"/>
        </w:rPr>
        <w:t>programme</w:t>
      </w:r>
      <w:proofErr w:type="spellEnd"/>
      <w:r>
        <w:rPr>
          <w:rFonts w:hint="eastAsia"/>
        </w:rPr>
        <w:t xml:space="preserve"> effectiveness, skill transferability, and long-term academic success. This review critically evaluates key contributions to this domain.</w:t>
      </w:r>
    </w:p>
    <w:p w14:paraId="00BF46A6" w14:textId="20CE426E" w:rsidR="00F11593" w:rsidRDefault="00000000" w:rsidP="000B5B12">
      <w:pPr>
        <w:pStyle w:val="4"/>
        <w:rPr>
          <w:rFonts w:hint="eastAsia"/>
        </w:rPr>
      </w:pPr>
      <w:r>
        <w:t xml:space="preserve">2.3.3.1 </w:t>
      </w:r>
      <w:r>
        <w:rPr>
          <w:rFonts w:hint="eastAsia"/>
        </w:rPr>
        <w:t>PSP Design and Assessment</w:t>
      </w:r>
    </w:p>
    <w:p w14:paraId="45060B85" w14:textId="1848FBCA" w:rsidR="00F11593" w:rsidRDefault="00000000">
      <w:r>
        <w:rPr>
          <w:rFonts w:hint="eastAsia"/>
        </w:rPr>
        <w:t xml:space="preserve">Atherton (2006), Banerjee and Wall (2006), and Bradshaw (2004) explore different aspects of PSP design, focusing on balancing </w:t>
      </w:r>
      <w:proofErr w:type="spellStart"/>
      <w:r>
        <w:rPr>
          <w:rFonts w:hint="eastAsia"/>
        </w:rPr>
        <w:t>programme</w:t>
      </w:r>
      <w:proofErr w:type="spellEnd"/>
      <w:r>
        <w:rPr>
          <w:rFonts w:hint="eastAsia"/>
        </w:rPr>
        <w:t xml:space="preserve"> demands, evaluating assessment validity, and understanding the impact on international students. Atherton (2006) highlights the risks of overloading students with linguistic and academic demands, while Banerjee and Wall (2006) point out inconsistencies in PSP evaluation tools that may not align with real academic challenges. Bradshaw (2004) underscores the variability in students</w:t>
      </w:r>
      <w:r w:rsidR="000D4C0E">
        <w:t xml:space="preserve">’ </w:t>
      </w:r>
      <w:r>
        <w:rPr>
          <w:rFonts w:hint="eastAsia"/>
        </w:rPr>
        <w:t>ability to transfer skills gained in PSPs to postgraduate study. Collectively, these studies suggest that while PSPs are essential for academic preparation, their effectiveness is highly dependent on curriculum design, assessment alignment, and students</w:t>
      </w:r>
      <w:r w:rsidR="000D4C0E">
        <w:t>’</w:t>
      </w:r>
      <w:r>
        <w:rPr>
          <w:rFonts w:hint="eastAsia"/>
        </w:rPr>
        <w:t xml:space="preserve"> adaptability. Future research should investigate how PSP structures can be </w:t>
      </w:r>
      <w:proofErr w:type="spellStart"/>
      <w:r>
        <w:rPr>
          <w:rFonts w:hint="eastAsia"/>
        </w:rPr>
        <w:t>optimised</w:t>
      </w:r>
      <w:proofErr w:type="spellEnd"/>
      <w:r>
        <w:rPr>
          <w:rFonts w:hint="eastAsia"/>
        </w:rPr>
        <w:t xml:space="preserve"> to balance workload while ensuring long-term skill retention.</w:t>
      </w:r>
    </w:p>
    <w:p w14:paraId="13F4D685" w14:textId="77777777" w:rsidR="00F11593" w:rsidRDefault="00000000">
      <w:pPr>
        <w:pStyle w:val="4"/>
      </w:pPr>
      <w:r>
        <w:t xml:space="preserve">2.3.3.2 </w:t>
      </w:r>
      <w:r>
        <w:rPr>
          <w:rFonts w:hint="eastAsia"/>
        </w:rPr>
        <w:t>Impact on Academic Performance</w:t>
      </w:r>
    </w:p>
    <w:p w14:paraId="32D66C28" w14:textId="77777777" w:rsidR="00F11593" w:rsidRDefault="00000000">
      <w:r>
        <w:rPr>
          <w:rFonts w:hint="eastAsia"/>
        </w:rPr>
        <w:t>Storch and Tapper (2009), Crosthwaite (2016), and Thorpe et al. (2017) examine PSPs</w:t>
      </w:r>
      <w:r>
        <w:rPr>
          <w:rFonts w:hint="eastAsia"/>
        </w:rPr>
        <w:t>’</w:t>
      </w:r>
      <w:r>
        <w:rPr>
          <w:rFonts w:hint="eastAsia"/>
        </w:rPr>
        <w:t xml:space="preserve"> impact on students</w:t>
      </w:r>
      <w:r>
        <w:rPr>
          <w:rFonts w:hint="eastAsia"/>
        </w:rPr>
        <w:t>’</w:t>
      </w:r>
      <w:r>
        <w:rPr>
          <w:rFonts w:hint="eastAsia"/>
        </w:rPr>
        <w:t xml:space="preserve"> academic writing and overall performance. Storch and Tapper (2009) argue that </w:t>
      </w:r>
      <w:r>
        <w:rPr>
          <w:rFonts w:hint="eastAsia"/>
        </w:rPr>
        <w:lastRenderedPageBreak/>
        <w:t>collaborative writing tasks enhance students</w:t>
      </w:r>
      <w:r>
        <w:rPr>
          <w:rFonts w:hint="eastAsia"/>
        </w:rPr>
        <w:t>’</w:t>
      </w:r>
      <w:r>
        <w:rPr>
          <w:rFonts w:hint="eastAsia"/>
        </w:rPr>
        <w:t xml:space="preserve"> ability to construct arguments, while Crosthwaite (2016) finds that PSP writing courses improve coherence but do not always lead to sustained long-term improvement. Thorpe et al. (2017) reinforce the idea that while PSPs benefit non-native speakers, long-term success is contingent on continued language support. These studies collectively highlight a crucial issue</w:t>
      </w:r>
      <w:r>
        <w:rPr>
          <w:rFonts w:hint="eastAsia"/>
        </w:rPr>
        <w:t>—</w:t>
      </w:r>
      <w:r>
        <w:rPr>
          <w:rFonts w:hint="eastAsia"/>
        </w:rPr>
        <w:t>PSPs provide an initial foundation, but without ongoing reinforcement, students may struggle to maintain their academic language proficiency. Institutions must consider embedding continued language support mechanisms to ensure long-term academic success for PSP graduates.</w:t>
      </w:r>
    </w:p>
    <w:p w14:paraId="67000B14" w14:textId="77777777" w:rsidR="00F11593" w:rsidRDefault="00F11593"/>
    <w:p w14:paraId="07B5E239" w14:textId="77777777" w:rsidR="00F11593" w:rsidRDefault="00000000">
      <w:r>
        <w:t xml:space="preserve">2.3.3.3 </w:t>
      </w:r>
    </w:p>
    <w:p w14:paraId="67B46405" w14:textId="77777777" w:rsidR="00F11593" w:rsidRDefault="00F11593"/>
    <w:p w14:paraId="0E6E0051" w14:textId="77777777" w:rsidR="00F11593" w:rsidRDefault="00000000">
      <w:r>
        <w:rPr>
          <w:rFonts w:ascii="sans-serif" w:eastAsia="sans-serif" w:hAnsi="sans-serif" w:cs="sans-serif"/>
          <w:color w:val="AECDE7"/>
          <w:sz w:val="40"/>
          <w:szCs w:val="40"/>
          <w:shd w:val="clear" w:color="auto" w:fill="FFFFFF"/>
        </w:rPr>
        <w:t>2.6 Summary of Section 2 and link sentences to next section </w:t>
      </w:r>
    </w:p>
    <w:p w14:paraId="2D0ED781" w14:textId="77777777" w:rsidR="00F11593" w:rsidRDefault="00000000">
      <w:pPr>
        <w:pStyle w:val="1"/>
      </w:pPr>
      <w:r>
        <w:rPr>
          <w:rFonts w:hint="eastAsia"/>
        </w:rPr>
        <w:t>3.conclusion</w:t>
      </w:r>
    </w:p>
    <w:p w14:paraId="2D6E2C8F" w14:textId="77777777" w:rsidR="00F11593" w:rsidRDefault="00000000">
      <w:r>
        <w:rPr>
          <w:rFonts w:hint="eastAsia"/>
        </w:rPr>
        <w:t xml:space="preserve">Through the analysis of more than 20 pieces of primary literature and aided by nearly 30 other pieces of classic theoretical literature, quantitative studies showed that </w:t>
      </w:r>
      <w:proofErr w:type="gramStart"/>
      <w:r>
        <w:rPr>
          <w:rFonts w:hint="eastAsia"/>
        </w:rPr>
        <w:t>the majority of</w:t>
      </w:r>
      <w:proofErr w:type="gramEnd"/>
      <w:r>
        <w:rPr>
          <w:rFonts w:hint="eastAsia"/>
        </w:rPr>
        <w:t xml:space="preserve"> students were able to complete the matriculation </w:t>
      </w:r>
      <w:proofErr w:type="spellStart"/>
      <w:r>
        <w:rPr>
          <w:rFonts w:hint="eastAsia"/>
        </w:rPr>
        <w:t>programme</w:t>
      </w:r>
      <w:proofErr w:type="spellEnd"/>
      <w:r>
        <w:rPr>
          <w:rFonts w:hint="eastAsia"/>
        </w:rPr>
        <w:t xml:space="preserve"> with an improvement in language proficiency, but not to a significant extent (Archibald, 2001; Green, 2007). At the same time, many students entered their degree </w:t>
      </w:r>
      <w:proofErr w:type="spellStart"/>
      <w:r>
        <w:rPr>
          <w:rFonts w:hint="eastAsia"/>
        </w:rPr>
        <w:t>programmes</w:t>
      </w:r>
      <w:proofErr w:type="spellEnd"/>
      <w:r>
        <w:rPr>
          <w:rFonts w:hint="eastAsia"/>
        </w:rPr>
        <w:t xml:space="preserve"> still at the borderline of language proficiency, resulting in degree deferment, lower </w:t>
      </w:r>
      <w:proofErr w:type="gramStart"/>
      <w:r>
        <w:rPr>
          <w:rFonts w:hint="eastAsia"/>
        </w:rPr>
        <w:t>grades</w:t>
      </w:r>
      <w:proofErr w:type="gramEnd"/>
      <w:r>
        <w:rPr>
          <w:rFonts w:hint="eastAsia"/>
        </w:rPr>
        <w:t xml:space="preserve"> or failure (Atherton, 2006; Ridley, 2006). Qualitative studies, on the other hand, have shown that students generally perceive matriculation </w:t>
      </w:r>
      <w:proofErr w:type="spellStart"/>
      <w:r>
        <w:rPr>
          <w:rFonts w:hint="eastAsia"/>
        </w:rPr>
        <w:t>programmes</w:t>
      </w:r>
      <w:proofErr w:type="spellEnd"/>
      <w:r>
        <w:rPr>
          <w:rFonts w:hint="eastAsia"/>
        </w:rPr>
        <w:t xml:space="preserve"> as valuable, boosting self-confidence but not significantly improving academic performance (Dooey, 2010; </w:t>
      </w:r>
      <w:proofErr w:type="spellStart"/>
      <w:r>
        <w:rPr>
          <w:rFonts w:hint="eastAsia"/>
        </w:rPr>
        <w:t>Terraschke</w:t>
      </w:r>
      <w:proofErr w:type="spellEnd"/>
      <w:r>
        <w:rPr>
          <w:rFonts w:hint="eastAsia"/>
        </w:rPr>
        <w:t xml:space="preserve"> &amp;amp; Wahid, 2011). Mixed-methods studies have found that improved writing skills are associated with increased self-efficacy, but follow-up is lacking (</w:t>
      </w:r>
      <w:proofErr w:type="spellStart"/>
      <w:r>
        <w:rPr>
          <w:rFonts w:hint="eastAsia"/>
        </w:rPr>
        <w:t>Mazgutova</w:t>
      </w:r>
      <w:proofErr w:type="spellEnd"/>
      <w:r>
        <w:rPr>
          <w:rFonts w:hint="eastAsia"/>
        </w:rPr>
        <w:t>, 2015).</w:t>
      </w:r>
    </w:p>
    <w:p w14:paraId="76B0225E" w14:textId="3D967C37" w:rsidR="00F11593" w:rsidRDefault="00000000">
      <w:r>
        <w:rPr>
          <w:rFonts w:hint="eastAsia"/>
        </w:rPr>
        <w:t xml:space="preserve">Methodologically, the authors point out limitations of the study design, such as lack of longitudinal follow-up studies and insufficient control groups of non-English speaking students (Thorpe et al., 2017) Among the policy recommendations, much of the scholars </w:t>
      </w:r>
      <w:proofErr w:type="spellStart"/>
      <w:r>
        <w:rPr>
          <w:rFonts w:hint="eastAsia"/>
        </w:rPr>
        <w:t>emphasises</w:t>
      </w:r>
      <w:proofErr w:type="spellEnd"/>
      <w:r>
        <w:rPr>
          <w:rFonts w:hint="eastAsia"/>
        </w:rPr>
        <w:t xml:space="preserve"> that marketing of the </w:t>
      </w:r>
      <w:proofErr w:type="spellStart"/>
      <w:r>
        <w:rPr>
          <w:rFonts w:hint="eastAsia"/>
        </w:rPr>
        <w:t>programme</w:t>
      </w:r>
      <w:proofErr w:type="spellEnd"/>
      <w:r>
        <w:rPr>
          <w:rFonts w:hint="eastAsia"/>
        </w:rPr>
        <w:t xml:space="preserve"> should be transparent to avoid equating matriculation with direct entry</w:t>
      </w:r>
      <w:r w:rsidR="000D4C0E">
        <w:t xml:space="preserve"> </w:t>
      </w:r>
      <w:r>
        <w:rPr>
          <w:rFonts w:hint="eastAsia"/>
        </w:rPr>
        <w:t>and proposes enhanced academic support and implementation of more rigorous assessment systems (</w:t>
      </w:r>
      <w:proofErr w:type="spellStart"/>
      <w:r>
        <w:rPr>
          <w:rFonts w:hint="eastAsia"/>
        </w:rPr>
        <w:t>Seviour</w:t>
      </w:r>
      <w:proofErr w:type="spellEnd"/>
      <w:r>
        <w:rPr>
          <w:rFonts w:hint="eastAsia"/>
        </w:rPr>
        <w:t>, 2015).</w:t>
      </w:r>
    </w:p>
    <w:p w14:paraId="5E2367BC" w14:textId="77777777" w:rsidR="00F11593" w:rsidRDefault="00000000">
      <w:r>
        <w:rPr>
          <w:rFonts w:hint="eastAsia"/>
        </w:rPr>
        <w:t xml:space="preserve">My study hopes to do some future research on the long-term effects of the PSP </w:t>
      </w:r>
      <w:proofErr w:type="spellStart"/>
      <w:r>
        <w:rPr>
          <w:rFonts w:hint="eastAsia"/>
        </w:rPr>
        <w:t>programme</w:t>
      </w:r>
      <w:proofErr w:type="spellEnd"/>
      <w:r>
        <w:rPr>
          <w:rFonts w:hint="eastAsia"/>
        </w:rPr>
        <w:t xml:space="preserve"> for GAP. For example, in the selected literature, 0 studies tracked the career development of matriculation graduates after 3 years, only 1 study explored the migration of writing skills for scientific papers (Storch and Tapper, 2009), and the research on language proficiency in PSP </w:t>
      </w:r>
      <w:proofErr w:type="spellStart"/>
      <w:r>
        <w:rPr>
          <w:rFonts w:hint="eastAsia"/>
        </w:rPr>
        <w:t>programmes</w:t>
      </w:r>
      <w:proofErr w:type="spellEnd"/>
      <w:r>
        <w:rPr>
          <w:rFonts w:hint="eastAsia"/>
        </w:rPr>
        <w:t xml:space="preserve"> needs to be refined; also, in the future, I would like to have a more in-depth understanding of the various types of PSP </w:t>
      </w:r>
      <w:proofErr w:type="spellStart"/>
      <w:r>
        <w:rPr>
          <w:rFonts w:hint="eastAsia"/>
        </w:rPr>
        <w:t>programmes</w:t>
      </w:r>
      <w:proofErr w:type="spellEnd"/>
      <w:r>
        <w:rPr>
          <w:rFonts w:hint="eastAsia"/>
        </w:rPr>
        <w:t xml:space="preserve">, for example, exploring whether the distance matriculation module development from the theoretical stage (Harker &amp; </w:t>
      </w:r>
      <w:proofErr w:type="spellStart"/>
      <w:r>
        <w:rPr>
          <w:rFonts w:hint="eastAsia"/>
        </w:rPr>
        <w:t>Koutsantoni</w:t>
      </w:r>
      <w:proofErr w:type="spellEnd"/>
      <w:r>
        <w:rPr>
          <w:rFonts w:hint="eastAsia"/>
        </w:rPr>
        <w:t>, 2005) to the new theories, changes and challenges that will occur in the age of AI, as well as the validity of PSP in different geographic regions (Welsh and Scottish PSPs) and durations (e.g., a 1-</w:t>
      </w:r>
      <w:r>
        <w:rPr>
          <w:rFonts w:hint="eastAsia"/>
        </w:rPr>
        <w:lastRenderedPageBreak/>
        <w:t xml:space="preserve">year foundation </w:t>
      </w:r>
      <w:proofErr w:type="spellStart"/>
      <w:r>
        <w:rPr>
          <w:rFonts w:hint="eastAsia"/>
        </w:rPr>
        <w:t>programme</w:t>
      </w:r>
      <w:proofErr w:type="spellEnd"/>
      <w:r>
        <w:rPr>
          <w:rFonts w:hint="eastAsia"/>
        </w:rPr>
        <w:t xml:space="preserve"> with an </w:t>
      </w:r>
      <w:r>
        <w:t xml:space="preserve">IELTS </w:t>
      </w:r>
      <w:r>
        <w:rPr>
          <w:rFonts w:hint="eastAsia"/>
        </w:rPr>
        <w:t>4.0 entry point)</w:t>
      </w:r>
      <w:r>
        <w:t>.</w:t>
      </w:r>
    </w:p>
    <w:p w14:paraId="0F4F6D3E" w14:textId="6E6E9ABA" w:rsidR="00F11593" w:rsidRDefault="00000000">
      <w:r>
        <w:t>Fr</w:t>
      </w:r>
      <w:r>
        <w:rPr>
          <w:rFonts w:hint="eastAsia"/>
        </w:rPr>
        <w:t>ankly</w:t>
      </w:r>
      <w:r>
        <w:t xml:space="preserve">, </w:t>
      </w:r>
      <w:r>
        <w:rPr>
          <w:rFonts w:hint="eastAsia"/>
        </w:rPr>
        <w:t xml:space="preserve">the paradox of the matriculation </w:t>
      </w:r>
      <w:proofErr w:type="spellStart"/>
      <w:r>
        <w:rPr>
          <w:rFonts w:hint="eastAsia"/>
        </w:rPr>
        <w:t>programme</w:t>
      </w:r>
      <w:proofErr w:type="spellEnd"/>
      <w:r>
        <w:rPr>
          <w:rFonts w:hint="eastAsia"/>
        </w:rPr>
        <w:t xml:space="preserve"> between short-term language indicators and long-term academic competence development</w:t>
      </w:r>
      <w:r>
        <w:t xml:space="preserve"> is revealed</w:t>
      </w:r>
      <w:r>
        <w:rPr>
          <w:rFonts w:hint="eastAsia"/>
        </w:rPr>
        <w:t xml:space="preserve">, and that fundamental changes in its measurement systems and curriculum design still require cross-institutional big data support and systematic responses at the policy level (Pearson, 2020[1]:439-441). </w:t>
      </w:r>
      <w:proofErr w:type="gramStart"/>
      <w:r>
        <w:rPr>
          <w:rFonts w:hint="eastAsia"/>
        </w:rPr>
        <w:t>Thus, reflecting on the initial research question, it</w:t>
      </w:r>
      <w:proofErr w:type="gramEnd"/>
      <w:r>
        <w:rPr>
          <w:rFonts w:hint="eastAsia"/>
        </w:rPr>
        <w:t xml:space="preserve"> seems to me that how language proficiency improvement and academic achievement play a role in PSP </w:t>
      </w:r>
      <w:proofErr w:type="spellStart"/>
      <w:r>
        <w:rPr>
          <w:rFonts w:hint="eastAsia"/>
        </w:rPr>
        <w:t>programmes</w:t>
      </w:r>
      <w:proofErr w:type="spellEnd"/>
      <w:r>
        <w:rPr>
          <w:rFonts w:hint="eastAsia"/>
        </w:rPr>
        <w:t xml:space="preserve"> can be deepened in terms of students' perceptions of the value of PSP, such as</w:t>
      </w:r>
    </w:p>
    <w:p w14:paraId="751EA41C" w14:textId="77777777" w:rsidR="00F11593" w:rsidRDefault="00000000">
      <w:r w:rsidRPr="000D4C0E">
        <w:rPr>
          <w:highlight w:val="yellow"/>
        </w:rPr>
        <w:t>H</w:t>
      </w:r>
      <w:r w:rsidRPr="000D4C0E">
        <w:rPr>
          <w:rFonts w:hint="eastAsia"/>
          <w:highlight w:val="yellow"/>
        </w:rPr>
        <w:t xml:space="preserve">ow </w:t>
      </w:r>
      <w:r w:rsidRPr="000D4C0E">
        <w:rPr>
          <w:highlight w:val="yellow"/>
        </w:rPr>
        <w:t xml:space="preserve">could language proficiency gained in PSP </w:t>
      </w:r>
      <w:r w:rsidRPr="000D4C0E">
        <w:rPr>
          <w:rFonts w:hint="eastAsia"/>
          <w:highlight w:val="yellow"/>
        </w:rPr>
        <w:t>con</w:t>
      </w:r>
      <w:r w:rsidRPr="000D4C0E">
        <w:rPr>
          <w:highlight w:val="yellow"/>
        </w:rPr>
        <w:t>tribute</w:t>
      </w:r>
      <w:r w:rsidRPr="000D4C0E">
        <w:rPr>
          <w:rFonts w:hint="eastAsia"/>
          <w:highlight w:val="yellow"/>
        </w:rPr>
        <w:t xml:space="preserve"> to</w:t>
      </w:r>
      <w:r w:rsidRPr="000D4C0E">
        <w:rPr>
          <w:highlight w:val="yellow"/>
        </w:rPr>
        <w:t xml:space="preserve"> academic success </w:t>
      </w:r>
      <w:r w:rsidRPr="000D4C0E">
        <w:rPr>
          <w:rFonts w:hint="eastAsia"/>
          <w:highlight w:val="yellow"/>
        </w:rPr>
        <w:t xml:space="preserve">in </w:t>
      </w:r>
      <w:r w:rsidRPr="000D4C0E">
        <w:rPr>
          <w:highlight w:val="yellow"/>
        </w:rPr>
        <w:t>degree program and post PSP</w:t>
      </w:r>
      <w:r w:rsidRPr="000D4C0E">
        <w:rPr>
          <w:rFonts w:hint="eastAsia"/>
          <w:highlight w:val="yellow"/>
        </w:rPr>
        <w:t xml:space="preserve"> period</w:t>
      </w:r>
      <w:r w:rsidRPr="000D4C0E">
        <w:rPr>
          <w:highlight w:val="yellow"/>
        </w:rPr>
        <w:t>?</w:t>
      </w:r>
    </w:p>
    <w:p w14:paraId="338AB60A" w14:textId="77777777" w:rsidR="00F11593" w:rsidRDefault="00F11593"/>
    <w:p w14:paraId="6B767ED0" w14:textId="77777777" w:rsidR="00F11593" w:rsidRDefault="00000000">
      <w:proofErr w:type="gramStart"/>
      <w:r w:rsidRPr="000D4C0E">
        <w:rPr>
          <w:highlight w:val="yellow"/>
        </w:rPr>
        <w:t>I</w:t>
      </w:r>
      <w:r w:rsidRPr="000D4C0E">
        <w:rPr>
          <w:rFonts w:hint="eastAsia"/>
          <w:highlight w:val="yellow"/>
        </w:rPr>
        <w:t>n order to</w:t>
      </w:r>
      <w:proofErr w:type="gramEnd"/>
      <w:r w:rsidRPr="000D4C0E">
        <w:rPr>
          <w:rFonts w:hint="eastAsia"/>
          <w:highlight w:val="yellow"/>
        </w:rPr>
        <w:t xml:space="preserve"> have a more holistic view to </w:t>
      </w:r>
      <w:r w:rsidRPr="000D4C0E">
        <w:rPr>
          <w:highlight w:val="yellow"/>
        </w:rPr>
        <w:t>compare and be more critical to research question and s</w:t>
      </w:r>
      <w:r w:rsidRPr="000D4C0E">
        <w:rPr>
          <w:rFonts w:hint="eastAsia"/>
          <w:highlight w:val="yellow"/>
        </w:rPr>
        <w:t>ub</w:t>
      </w:r>
      <w:r w:rsidRPr="000D4C0E">
        <w:rPr>
          <w:highlight w:val="yellow"/>
        </w:rPr>
        <w:t>-questions with</w:t>
      </w:r>
      <w:r w:rsidRPr="000D4C0E">
        <w:rPr>
          <w:rFonts w:hint="eastAsia"/>
          <w:highlight w:val="yellow"/>
        </w:rPr>
        <w:t xml:space="preserve">in the creation of a UK-wide matriculation effectiveness tracking database, </w:t>
      </w:r>
      <w:proofErr w:type="spellStart"/>
      <w:r w:rsidRPr="000D4C0E">
        <w:rPr>
          <w:rFonts w:hint="eastAsia"/>
          <w:highlight w:val="yellow"/>
        </w:rPr>
        <w:t>prioritising</w:t>
      </w:r>
      <w:proofErr w:type="spellEnd"/>
      <w:r w:rsidRPr="000D4C0E">
        <w:rPr>
          <w:rFonts w:hint="eastAsia"/>
          <w:highlight w:val="yellow"/>
        </w:rPr>
        <w:t xml:space="preserve"> comparative studies of foundation and blended </w:t>
      </w:r>
      <w:r w:rsidRPr="000D4C0E">
        <w:rPr>
          <w:highlight w:val="yellow"/>
        </w:rPr>
        <w:t>teaching?</w:t>
      </w:r>
    </w:p>
    <w:p w14:paraId="3BEBE1F5" w14:textId="77777777" w:rsidR="00F11593" w:rsidRDefault="00F11593"/>
    <w:p w14:paraId="63483929" w14:textId="77777777" w:rsidR="00F11593" w:rsidRDefault="00F11593"/>
    <w:p w14:paraId="64C5CCD5" w14:textId="77777777" w:rsidR="00F11593" w:rsidRDefault="00F11593"/>
    <w:p w14:paraId="130683E0" w14:textId="77777777" w:rsidR="00F11593" w:rsidRDefault="00000000">
      <w:pPr>
        <w:pStyle w:val="a3"/>
        <w:widowControl/>
        <w:spacing w:beforeAutospacing="0" w:afterAutospacing="0"/>
        <w:jc w:val="both"/>
        <w:textAlignment w:val="baseline"/>
        <w:rPr>
          <w:color w:val="F5F5F5"/>
        </w:rPr>
      </w:pPr>
      <w:r>
        <w:rPr>
          <w:rFonts w:ascii="sans-serif" w:eastAsia="sans-serif" w:hAnsi="sans-serif" w:cs="sans-serif"/>
          <w:color w:val="F5F5F5"/>
          <w:sz w:val="22"/>
          <w:szCs w:val="22"/>
          <w:shd w:val="clear" w:color="auto" w:fill="FFFFFF"/>
        </w:rPr>
        <w:t> </w:t>
      </w:r>
    </w:p>
    <w:p w14:paraId="7BFDD794" w14:textId="77777777" w:rsidR="00F11593" w:rsidRDefault="00F11593"/>
    <w:p w14:paraId="5444333D" w14:textId="77777777" w:rsidR="00F11593" w:rsidRDefault="00F11593"/>
    <w:p w14:paraId="576E8958" w14:textId="77777777" w:rsidR="00F11593" w:rsidRDefault="00F11593"/>
    <w:p w14:paraId="4697DB2C" w14:textId="77777777" w:rsidR="00F11593" w:rsidRDefault="00000000" w:rsidP="00F036B0">
      <w:pPr>
        <w:pStyle w:val="1"/>
      </w:pPr>
      <w:r>
        <w:rPr>
          <w:rFonts w:hint="eastAsia"/>
        </w:rPr>
        <w:t>Reference</w:t>
      </w:r>
      <w:r>
        <w:rPr>
          <w:rFonts w:hint="eastAsia"/>
        </w:rPr>
        <w:t>：</w:t>
      </w:r>
    </w:p>
    <w:p w14:paraId="1BB31BEE"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Alderson, J.C. and Nieminen, L. (2016) ‘Diagnostic assessment of academic writing in university entrance tests’,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Language Testing</w:t>
      </w:r>
      <w:r w:rsidRPr="00F036B0">
        <w:rPr>
          <w:rFonts w:ascii="Segoe UI" w:hAnsi="Segoe UI" w:cs="Segoe UI"/>
          <w:color w:val="000000" w:themeColor="text1"/>
        </w:rPr>
        <w:t>, 33(2), pp. 229–249.</w:t>
      </w:r>
      <w:r w:rsidRPr="00F036B0">
        <w:rPr>
          <w:rStyle w:val="apple-converted-space"/>
          <w:rFonts w:ascii="Segoe UI" w:hAnsi="Segoe UI" w:cs="Segoe UI"/>
          <w:color w:val="000000" w:themeColor="text1"/>
        </w:rPr>
        <w:t> </w:t>
      </w:r>
      <w:hyperlink r:id="rId12" w:tgtFrame="_blank" w:history="1">
        <w:r w:rsidRPr="00F036B0">
          <w:rPr>
            <w:rStyle w:val="a6"/>
            <w:rFonts w:ascii="Segoe UI" w:hAnsi="Segoe UI" w:cs="Segoe UI"/>
            <w:color w:val="000000" w:themeColor="text1"/>
          </w:rPr>
          <w:t>https://doi.org/10.1177/0265532215625983</w:t>
        </w:r>
      </w:hyperlink>
    </w:p>
    <w:p w14:paraId="41434C08"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Allwright</w:t>
      </w:r>
      <w:proofErr w:type="spellEnd"/>
      <w:r w:rsidRPr="00F036B0">
        <w:rPr>
          <w:rFonts w:ascii="Segoe UI" w:hAnsi="Segoe UI" w:cs="Segoe UI"/>
          <w:color w:val="000000" w:themeColor="text1"/>
        </w:rPr>
        <w:t>, J. and Banerjee, J. (1997) ‘Investigating the accuracy of admissions criteria: A case study in a British university’,</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Language Testing Update</w:t>
      </w:r>
      <w:r w:rsidRPr="00F036B0">
        <w:rPr>
          <w:rFonts w:ascii="Segoe UI" w:hAnsi="Segoe UI" w:cs="Segoe UI"/>
          <w:color w:val="000000" w:themeColor="text1"/>
        </w:rPr>
        <w:t>, 22. Lancaster: International Language Testing Association.</w:t>
      </w:r>
    </w:p>
    <w:p w14:paraId="4DC8AF30"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Archibald, A. (2001) ‘Targeting L2 writing proficiencies: Instruction and areas of change in students’ writing over time’,</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International Journal of English Studies</w:t>
      </w:r>
      <w:r w:rsidRPr="00F036B0">
        <w:rPr>
          <w:rFonts w:ascii="Segoe UI" w:hAnsi="Segoe UI" w:cs="Segoe UI"/>
          <w:color w:val="000000" w:themeColor="text1"/>
        </w:rPr>
        <w:t xml:space="preserve">, </w:t>
      </w:r>
      <w:r w:rsidRPr="00F036B0">
        <w:rPr>
          <w:rFonts w:ascii="Segoe UI" w:hAnsi="Segoe UI" w:cs="Segoe UI"/>
          <w:color w:val="000000" w:themeColor="text1"/>
        </w:rPr>
        <w:lastRenderedPageBreak/>
        <w:t>1(2), pp. 153–174. Available at:</w:t>
      </w:r>
      <w:r w:rsidRPr="00F036B0">
        <w:rPr>
          <w:rStyle w:val="apple-converted-space"/>
          <w:rFonts w:ascii="Segoe UI" w:hAnsi="Segoe UI" w:cs="Segoe UI"/>
          <w:color w:val="000000" w:themeColor="text1"/>
        </w:rPr>
        <w:t> </w:t>
      </w:r>
      <w:hyperlink r:id="rId13" w:tgtFrame="_blank" w:history="1">
        <w:r w:rsidRPr="00F036B0">
          <w:rPr>
            <w:rStyle w:val="a6"/>
            <w:rFonts w:ascii="Segoe UI" w:hAnsi="Segoe UI" w:cs="Segoe UI"/>
            <w:color w:val="000000" w:themeColor="text1"/>
          </w:rPr>
          <w:t>http://revistas.um.es/ijes/article/view/48251</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26F5ADF0"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Arkoudis</w:t>
      </w:r>
      <w:proofErr w:type="spellEnd"/>
      <w:r w:rsidRPr="00F036B0">
        <w:rPr>
          <w:rFonts w:ascii="Segoe UI" w:hAnsi="Segoe UI" w:cs="Segoe UI"/>
          <w:color w:val="000000" w:themeColor="text1"/>
        </w:rPr>
        <w:t xml:space="preserve">, S., </w:t>
      </w:r>
      <w:proofErr w:type="spellStart"/>
      <w:r w:rsidRPr="00F036B0">
        <w:rPr>
          <w:rFonts w:ascii="Segoe UI" w:hAnsi="Segoe UI" w:cs="Segoe UI"/>
          <w:color w:val="000000" w:themeColor="text1"/>
        </w:rPr>
        <w:t>Baik</w:t>
      </w:r>
      <w:proofErr w:type="spellEnd"/>
      <w:r w:rsidRPr="00F036B0">
        <w:rPr>
          <w:rFonts w:ascii="Segoe UI" w:hAnsi="Segoe UI" w:cs="Segoe UI"/>
          <w:color w:val="000000" w:themeColor="text1"/>
        </w:rPr>
        <w:t>, C. and Richardson, S. (2012)</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English language standards in higher education: From entry to exit</w:t>
      </w:r>
      <w:r w:rsidRPr="00F036B0">
        <w:rPr>
          <w:rFonts w:ascii="Segoe UI" w:hAnsi="Segoe UI" w:cs="Segoe UI"/>
          <w:color w:val="000000" w:themeColor="text1"/>
        </w:rPr>
        <w:t>. Melbourne: University of Melbourne Centre for the Study of Higher Education.</w:t>
      </w:r>
    </w:p>
    <w:p w14:paraId="3A1EA070"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Atherton, B. (2006) ‘Balancing needs: How successful can a pre-sessional course be?’, in Gillett, A. and Wray, L. (eds.)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 xml:space="preserve">Assessing the effectiveness of EAP </w:t>
      </w:r>
      <w:proofErr w:type="spellStart"/>
      <w:r w:rsidRPr="00F036B0">
        <w:rPr>
          <w:rStyle w:val="a5"/>
          <w:rFonts w:ascii="Segoe UI" w:hAnsi="Segoe UI" w:cs="Segoe UI"/>
          <w:color w:val="000000" w:themeColor="text1"/>
        </w:rPr>
        <w:t>programmes</w:t>
      </w:r>
      <w:proofErr w:type="spellEnd"/>
      <w:r w:rsidRPr="00F036B0">
        <w:rPr>
          <w:rFonts w:ascii="Segoe UI" w:hAnsi="Segoe UI" w:cs="Segoe UI"/>
          <w:color w:val="000000" w:themeColor="text1"/>
        </w:rPr>
        <w:t>. London: BALEAP, pp. 14–23.</w:t>
      </w:r>
    </w:p>
    <w:p w14:paraId="43FDB0C5"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Banerjee, J. and Wall, D. (2006) ‘Assessing and reporting performances on pre-sessional EAP courses’,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English for Academic Purposes</w:t>
      </w:r>
      <w:r w:rsidRPr="00F036B0">
        <w:rPr>
          <w:rFonts w:ascii="Segoe UI" w:hAnsi="Segoe UI" w:cs="Segoe UI"/>
          <w:color w:val="000000" w:themeColor="text1"/>
        </w:rPr>
        <w:t>, 5(1), pp. 50–69.</w:t>
      </w:r>
      <w:r w:rsidRPr="00F036B0">
        <w:rPr>
          <w:rStyle w:val="apple-converted-space"/>
          <w:rFonts w:ascii="Segoe UI" w:hAnsi="Segoe UI" w:cs="Segoe UI"/>
          <w:color w:val="000000" w:themeColor="text1"/>
        </w:rPr>
        <w:t> </w:t>
      </w:r>
      <w:hyperlink r:id="rId14" w:tgtFrame="_blank" w:history="1">
        <w:r w:rsidRPr="00F036B0">
          <w:rPr>
            <w:rStyle w:val="a6"/>
            <w:rFonts w:ascii="Segoe UI" w:hAnsi="Segoe UI" w:cs="Segoe UI"/>
            <w:color w:val="000000" w:themeColor="text1"/>
          </w:rPr>
          <w:t>https://doi.org/10.1016/j.jeap.2005.12.001</w:t>
        </w:r>
      </w:hyperlink>
    </w:p>
    <w:p w14:paraId="7673455D"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Bloom, B.S. (1956)</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Taxonomy of Educational Objectives: The Classification of Educational Goals</w:t>
      </w:r>
      <w:r w:rsidRPr="00F036B0">
        <w:rPr>
          <w:rFonts w:ascii="Segoe UI" w:hAnsi="Segoe UI" w:cs="Segoe UI"/>
          <w:color w:val="000000" w:themeColor="text1"/>
        </w:rPr>
        <w:t>. New York: Longmans.</w:t>
      </w:r>
    </w:p>
    <w:p w14:paraId="3F38EBC8"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Bloom, B.S. (1968) ‘Learning for mastery’,</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Evaluation Comment</w:t>
      </w:r>
      <w:r w:rsidRPr="00F036B0">
        <w:rPr>
          <w:rFonts w:ascii="Segoe UI" w:hAnsi="Segoe UI" w:cs="Segoe UI"/>
          <w:color w:val="000000" w:themeColor="text1"/>
        </w:rPr>
        <w:t>, 1(2), pp. 1–12.</w:t>
      </w:r>
    </w:p>
    <w:p w14:paraId="05BA402F"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Bradshaw, C. (2004) ‘Student success in a pre-sessional course for postgraduate international students’,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Investigations in University Teaching and Learning</w:t>
      </w:r>
      <w:r w:rsidRPr="00F036B0">
        <w:rPr>
          <w:rFonts w:ascii="Segoe UI" w:hAnsi="Segoe UI" w:cs="Segoe UI"/>
          <w:color w:val="000000" w:themeColor="text1"/>
        </w:rPr>
        <w:t>, 2(1), pp. 5–11. Available at:</w:t>
      </w:r>
      <w:r w:rsidRPr="00F036B0">
        <w:rPr>
          <w:rStyle w:val="apple-converted-space"/>
          <w:rFonts w:ascii="Segoe UI" w:hAnsi="Segoe UI" w:cs="Segoe UI"/>
          <w:color w:val="000000" w:themeColor="text1"/>
        </w:rPr>
        <w:t> </w:t>
      </w:r>
      <w:hyperlink r:id="rId15" w:tgtFrame="_blank" w:history="1">
        <w:r w:rsidRPr="00F036B0">
          <w:rPr>
            <w:rStyle w:val="a6"/>
            <w:rFonts w:ascii="Segoe UI" w:hAnsi="Segoe UI" w:cs="Segoe UI"/>
            <w:color w:val="000000" w:themeColor="text1"/>
          </w:rPr>
          <w:t>http://repository.londonmet.ac.uk/156/</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553D0D76"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Canale</w:t>
      </w:r>
      <w:proofErr w:type="spellEnd"/>
      <w:r w:rsidRPr="00F036B0">
        <w:rPr>
          <w:rFonts w:ascii="Segoe UI" w:hAnsi="Segoe UI" w:cs="Segoe UI"/>
          <w:color w:val="000000" w:themeColor="text1"/>
        </w:rPr>
        <w:t xml:space="preserve">, M. and Swain, M. (1980) ‘Theoretical bases of communicative </w:t>
      </w:r>
      <w:r w:rsidRPr="00F036B0">
        <w:rPr>
          <w:rFonts w:ascii="Segoe UI" w:hAnsi="Segoe UI" w:cs="Segoe UI"/>
          <w:color w:val="000000" w:themeColor="text1"/>
        </w:rPr>
        <w:lastRenderedPageBreak/>
        <w:t>approaches to second language teaching and testing’,</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Applied Linguistics</w:t>
      </w:r>
      <w:r w:rsidRPr="00F036B0">
        <w:rPr>
          <w:rFonts w:ascii="Segoe UI" w:hAnsi="Segoe UI" w:cs="Segoe UI"/>
          <w:color w:val="000000" w:themeColor="text1"/>
        </w:rPr>
        <w:t>, 1(1), pp. 1–47.</w:t>
      </w:r>
      <w:r w:rsidRPr="00F036B0">
        <w:rPr>
          <w:rStyle w:val="apple-converted-space"/>
          <w:rFonts w:ascii="Segoe UI" w:hAnsi="Segoe UI" w:cs="Segoe UI"/>
          <w:color w:val="000000" w:themeColor="text1"/>
        </w:rPr>
        <w:t> </w:t>
      </w:r>
      <w:hyperlink r:id="rId16" w:tgtFrame="_blank" w:history="1">
        <w:r w:rsidRPr="00F036B0">
          <w:rPr>
            <w:rStyle w:val="a6"/>
            <w:rFonts w:ascii="Segoe UI" w:hAnsi="Segoe UI" w:cs="Segoe UI"/>
            <w:color w:val="000000" w:themeColor="text1"/>
          </w:rPr>
          <w:t>https://doi.org/10.1093/applin/1.1.1</w:t>
        </w:r>
      </w:hyperlink>
    </w:p>
    <w:p w14:paraId="223A3F29"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Coxhead, A. (2000) ‘A new academic word list’,</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TESOL Quarterly</w:t>
      </w:r>
      <w:r w:rsidRPr="00F036B0">
        <w:rPr>
          <w:rFonts w:ascii="Segoe UI" w:hAnsi="Segoe UI" w:cs="Segoe UI"/>
          <w:color w:val="000000" w:themeColor="text1"/>
        </w:rPr>
        <w:t>, 34(2), pp. 213–238.</w:t>
      </w:r>
      <w:r w:rsidRPr="00F036B0">
        <w:rPr>
          <w:rStyle w:val="apple-converted-space"/>
          <w:rFonts w:ascii="Segoe UI" w:hAnsi="Segoe UI" w:cs="Segoe UI"/>
          <w:color w:val="000000" w:themeColor="text1"/>
        </w:rPr>
        <w:t> </w:t>
      </w:r>
      <w:hyperlink r:id="rId17" w:tgtFrame="_blank" w:history="1">
        <w:r w:rsidRPr="00F036B0">
          <w:rPr>
            <w:rStyle w:val="a6"/>
            <w:rFonts w:ascii="Segoe UI" w:hAnsi="Segoe UI" w:cs="Segoe UI"/>
            <w:color w:val="000000" w:themeColor="text1"/>
          </w:rPr>
          <w:t>https://doi.org/10.2307/3587951</w:t>
        </w:r>
      </w:hyperlink>
    </w:p>
    <w:p w14:paraId="2F95D2D3"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Coyle, D. and Marsh, D. (2010)</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CLIL: Content and language integrated learning</w:t>
      </w:r>
      <w:r w:rsidRPr="00F036B0">
        <w:rPr>
          <w:rFonts w:ascii="Segoe UI" w:hAnsi="Segoe UI" w:cs="Segoe UI"/>
          <w:color w:val="000000" w:themeColor="text1"/>
        </w:rPr>
        <w:t>. Cambridge: Cambridge University Press.</w:t>
      </w:r>
    </w:p>
    <w:p w14:paraId="21C5B4B5"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Cummins, J. (2008) ‘BICS and CALP: Empirical and theoretical status of the distinction’, in Hornberger, N.H. (ed.)</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Encyclopedia of language and education</w:t>
      </w:r>
      <w:r w:rsidRPr="00F036B0">
        <w:rPr>
          <w:rFonts w:ascii="Segoe UI" w:hAnsi="Segoe UI" w:cs="Segoe UI"/>
          <w:color w:val="000000" w:themeColor="text1"/>
        </w:rPr>
        <w:t>. New York: Springer, pp. 487–499.</w:t>
      </w:r>
    </w:p>
    <w:p w14:paraId="38B2453E"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Douglas, D. (2000)</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Assessing languages for specific purposes</w:t>
      </w:r>
      <w:r w:rsidRPr="00F036B0">
        <w:rPr>
          <w:rFonts w:ascii="Segoe UI" w:hAnsi="Segoe UI" w:cs="Segoe UI"/>
          <w:color w:val="000000" w:themeColor="text1"/>
        </w:rPr>
        <w:t>. Cambridge: Cambridge University Press.</w:t>
      </w:r>
    </w:p>
    <w:p w14:paraId="2A172BEC"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Dooey, P. (2010) ‘Students’ perspectives of an EAP pathway program’,</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English for Academic Purposes</w:t>
      </w:r>
      <w:r w:rsidRPr="00F036B0">
        <w:rPr>
          <w:rFonts w:ascii="Segoe UI" w:hAnsi="Segoe UI" w:cs="Segoe UI"/>
          <w:color w:val="000000" w:themeColor="text1"/>
        </w:rPr>
        <w:t>, 9(3), pp. 184–197.</w:t>
      </w:r>
      <w:r w:rsidRPr="00F036B0">
        <w:rPr>
          <w:rStyle w:val="apple-converted-space"/>
          <w:rFonts w:ascii="Segoe UI" w:hAnsi="Segoe UI" w:cs="Segoe UI"/>
          <w:color w:val="000000" w:themeColor="text1"/>
        </w:rPr>
        <w:t> </w:t>
      </w:r>
      <w:hyperlink r:id="rId18" w:tgtFrame="_blank" w:history="1">
        <w:r w:rsidRPr="00F036B0">
          <w:rPr>
            <w:rStyle w:val="a6"/>
            <w:rFonts w:ascii="Segoe UI" w:hAnsi="Segoe UI" w:cs="Segoe UI"/>
            <w:color w:val="000000" w:themeColor="text1"/>
          </w:rPr>
          <w:t>https://doi.org/10.1016/j.jeap.2010.02.013</w:t>
        </w:r>
      </w:hyperlink>
    </w:p>
    <w:p w14:paraId="55FCD2C0"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Garton, S., Copland, F. and Burns, A. (n.d.)</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Investigating global practices in teaching English to young learners</w:t>
      </w:r>
      <w:r w:rsidRPr="00F036B0">
        <w:rPr>
          <w:rFonts w:ascii="Segoe UI" w:hAnsi="Segoe UI" w:cs="Segoe UI"/>
          <w:color w:val="000000" w:themeColor="text1"/>
        </w:rPr>
        <w:t>. Available at:</w:t>
      </w:r>
      <w:r w:rsidRPr="00F036B0">
        <w:rPr>
          <w:rStyle w:val="apple-converted-space"/>
          <w:rFonts w:ascii="Segoe UI" w:hAnsi="Segoe UI" w:cs="Segoe UI"/>
          <w:color w:val="000000" w:themeColor="text1"/>
        </w:rPr>
        <w:t> </w:t>
      </w:r>
      <w:hyperlink r:id="rId19" w:tgtFrame="_blank" w:history="1">
        <w:r w:rsidRPr="00F036B0">
          <w:rPr>
            <w:rStyle w:val="a6"/>
            <w:rFonts w:ascii="Segoe UI" w:hAnsi="Segoe UI" w:cs="Segoe UI"/>
            <w:color w:val="000000" w:themeColor="text1"/>
          </w:rPr>
          <w:t>https://www.teachingenglish.org.uk</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5F2DFDAB"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Graham, J.G. (1987) ‘English language proficiency and the prediction of academic success’,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TESOL Quarterly</w:t>
      </w:r>
      <w:r w:rsidRPr="00F036B0">
        <w:rPr>
          <w:rFonts w:ascii="Segoe UI" w:hAnsi="Segoe UI" w:cs="Segoe UI"/>
          <w:color w:val="000000" w:themeColor="text1"/>
        </w:rPr>
        <w:t>, 21(3), pp. 505–</w:t>
      </w:r>
      <w:r w:rsidRPr="00F036B0">
        <w:rPr>
          <w:rFonts w:ascii="Segoe UI" w:hAnsi="Segoe UI" w:cs="Segoe UI"/>
          <w:color w:val="000000" w:themeColor="text1"/>
        </w:rPr>
        <w:lastRenderedPageBreak/>
        <w:t>521.</w:t>
      </w:r>
      <w:r w:rsidRPr="00F036B0">
        <w:rPr>
          <w:rStyle w:val="apple-converted-space"/>
          <w:rFonts w:ascii="Segoe UI" w:hAnsi="Segoe UI" w:cs="Segoe UI"/>
          <w:color w:val="000000" w:themeColor="text1"/>
        </w:rPr>
        <w:t> </w:t>
      </w:r>
      <w:hyperlink r:id="rId20" w:tgtFrame="_blank" w:history="1">
        <w:r w:rsidRPr="00F036B0">
          <w:rPr>
            <w:rStyle w:val="a6"/>
            <w:rFonts w:ascii="Segoe UI" w:hAnsi="Segoe UI" w:cs="Segoe UI"/>
            <w:color w:val="000000" w:themeColor="text1"/>
          </w:rPr>
          <w:t>https://doi.org/10.2307/3586500</w:t>
        </w:r>
      </w:hyperlink>
    </w:p>
    <w:p w14:paraId="026974DF"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Green, A. (2007) ‘Washback to learning outcomes’,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Assessment in Education</w:t>
      </w:r>
      <w:r w:rsidRPr="00F036B0">
        <w:rPr>
          <w:rFonts w:ascii="Segoe UI" w:hAnsi="Segoe UI" w:cs="Segoe UI"/>
          <w:color w:val="000000" w:themeColor="text1"/>
        </w:rPr>
        <w:t>, 14(1), pp. 75–97.</w:t>
      </w:r>
      <w:r w:rsidRPr="00F036B0">
        <w:rPr>
          <w:rStyle w:val="apple-converted-space"/>
          <w:rFonts w:ascii="Segoe UI" w:hAnsi="Segoe UI" w:cs="Segoe UI"/>
          <w:color w:val="000000" w:themeColor="text1"/>
        </w:rPr>
        <w:t> </w:t>
      </w:r>
      <w:hyperlink r:id="rId21" w:tgtFrame="_blank" w:history="1">
        <w:r w:rsidRPr="00F036B0">
          <w:rPr>
            <w:rStyle w:val="a6"/>
            <w:rFonts w:ascii="Segoe UI" w:hAnsi="Segoe UI" w:cs="Segoe UI"/>
            <w:color w:val="000000" w:themeColor="text1"/>
          </w:rPr>
          <w:t>https://doi.org/10.1080/09695940701272880</w:t>
        </w:r>
      </w:hyperlink>
    </w:p>
    <w:p w14:paraId="22B54A22"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Green, R. (2000) ‘Life after the pre-sessional course’, in Blue, G.M.</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et al.</w:t>
      </w:r>
      <w:r w:rsidRPr="00F036B0">
        <w:rPr>
          <w:rStyle w:val="apple-converted-space"/>
          <w:rFonts w:ascii="Segoe UI" w:hAnsi="Segoe UI" w:cs="Segoe UI"/>
          <w:color w:val="000000" w:themeColor="text1"/>
        </w:rPr>
        <w:t> </w:t>
      </w:r>
      <w:r w:rsidRPr="00F036B0">
        <w:rPr>
          <w:rFonts w:ascii="Segoe UI" w:hAnsi="Segoe UI" w:cs="Segoe UI"/>
          <w:color w:val="000000" w:themeColor="text1"/>
        </w:rPr>
        <w:t>(eds.)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Assessing English for academic purposes</w:t>
      </w:r>
      <w:r w:rsidRPr="00F036B0">
        <w:rPr>
          <w:rFonts w:ascii="Segoe UI" w:hAnsi="Segoe UI" w:cs="Segoe UI"/>
          <w:color w:val="000000" w:themeColor="text1"/>
        </w:rPr>
        <w:t>. Bern: Peter Lang, pp. 131–145.</w:t>
      </w:r>
    </w:p>
    <w:p w14:paraId="1FE9B9E5"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Hyatt, D. (2013) ‘Stakeholders’ perceptions of IELTS’,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Further and Higher Education</w:t>
      </w:r>
      <w:r w:rsidRPr="00F036B0">
        <w:rPr>
          <w:rFonts w:ascii="Segoe UI" w:hAnsi="Segoe UI" w:cs="Segoe UI"/>
          <w:color w:val="000000" w:themeColor="text1"/>
        </w:rPr>
        <w:t>, 37(6), pp. 763–780.</w:t>
      </w:r>
      <w:r w:rsidRPr="00F036B0">
        <w:rPr>
          <w:rStyle w:val="apple-converted-space"/>
          <w:rFonts w:ascii="Segoe UI" w:hAnsi="Segoe UI" w:cs="Segoe UI"/>
          <w:color w:val="000000" w:themeColor="text1"/>
        </w:rPr>
        <w:t> </w:t>
      </w:r>
      <w:hyperlink r:id="rId22" w:tgtFrame="_blank" w:history="1">
        <w:r w:rsidRPr="00F036B0">
          <w:rPr>
            <w:rStyle w:val="a6"/>
            <w:rFonts w:ascii="Segoe UI" w:hAnsi="Segoe UI" w:cs="Segoe UI"/>
            <w:color w:val="000000" w:themeColor="text1"/>
          </w:rPr>
          <w:t>https://doi.org/10.1080/0309877X.2012.684036</w:t>
        </w:r>
      </w:hyperlink>
    </w:p>
    <w:p w14:paraId="648D51DE"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Hyland, K. (2006)</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English for Academic Purposes: An advanced resource book</w:t>
      </w:r>
      <w:r w:rsidRPr="00F036B0">
        <w:rPr>
          <w:rFonts w:ascii="Segoe UI" w:hAnsi="Segoe UI" w:cs="Segoe UI"/>
          <w:color w:val="000000" w:themeColor="text1"/>
        </w:rPr>
        <w:t>. London: Routledge.</w:t>
      </w:r>
    </w:p>
    <w:p w14:paraId="1C8A9D06"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Hyland, K. (2016)</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Teaching and researching writing</w:t>
      </w:r>
      <w:r w:rsidRPr="00F036B0">
        <w:rPr>
          <w:rFonts w:ascii="Segoe UI" w:hAnsi="Segoe UI" w:cs="Segoe UI"/>
          <w:color w:val="000000" w:themeColor="text1"/>
        </w:rPr>
        <w:t xml:space="preserve">. 3rd </w:t>
      </w:r>
      <w:proofErr w:type="spellStart"/>
      <w:r w:rsidRPr="00F036B0">
        <w:rPr>
          <w:rFonts w:ascii="Segoe UI" w:hAnsi="Segoe UI" w:cs="Segoe UI"/>
          <w:color w:val="000000" w:themeColor="text1"/>
        </w:rPr>
        <w:t>edn</w:t>
      </w:r>
      <w:proofErr w:type="spellEnd"/>
      <w:r w:rsidRPr="00F036B0">
        <w:rPr>
          <w:rFonts w:ascii="Segoe UI" w:hAnsi="Segoe UI" w:cs="Segoe UI"/>
          <w:color w:val="000000" w:themeColor="text1"/>
        </w:rPr>
        <w:t>. New York: Routledge.</w:t>
      </w:r>
    </w:p>
    <w:p w14:paraId="0CB6ADD3"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Hyland, K. (2016) ‘Academic publishing and the myth of linguistic injustice’,</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Second Language Writing</w:t>
      </w:r>
      <w:r w:rsidRPr="00F036B0">
        <w:rPr>
          <w:rFonts w:ascii="Segoe UI" w:hAnsi="Segoe UI" w:cs="Segoe UI"/>
          <w:color w:val="000000" w:themeColor="text1"/>
        </w:rPr>
        <w:t>, 31, pp. 58–69.</w:t>
      </w:r>
      <w:r w:rsidRPr="00F036B0">
        <w:rPr>
          <w:rStyle w:val="apple-converted-space"/>
          <w:rFonts w:ascii="Segoe UI" w:hAnsi="Segoe UI" w:cs="Segoe UI"/>
          <w:color w:val="000000" w:themeColor="text1"/>
        </w:rPr>
        <w:t> </w:t>
      </w:r>
      <w:hyperlink r:id="rId23" w:tgtFrame="_blank" w:history="1">
        <w:r w:rsidRPr="00F036B0">
          <w:rPr>
            <w:rStyle w:val="a6"/>
            <w:rFonts w:ascii="Segoe UI" w:hAnsi="Segoe UI" w:cs="Segoe UI"/>
            <w:color w:val="000000" w:themeColor="text1"/>
          </w:rPr>
          <w:t>https://doi.org/10.1016/j.jslw.2016.01.005</w:t>
        </w:r>
      </w:hyperlink>
    </w:p>
    <w:p w14:paraId="5737256F"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Issitt</w:t>
      </w:r>
      <w:proofErr w:type="spellEnd"/>
      <w:r w:rsidRPr="00F036B0">
        <w:rPr>
          <w:rFonts w:ascii="Segoe UI" w:hAnsi="Segoe UI" w:cs="Segoe UI"/>
          <w:color w:val="000000" w:themeColor="text1"/>
        </w:rPr>
        <w:t>, S. (2016)</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 xml:space="preserve">Evaluating the impact of a </w:t>
      </w:r>
      <w:proofErr w:type="spellStart"/>
      <w:r w:rsidRPr="00F036B0">
        <w:rPr>
          <w:rStyle w:val="a5"/>
          <w:rFonts w:ascii="Segoe UI" w:hAnsi="Segoe UI" w:cs="Segoe UI"/>
          <w:color w:val="000000" w:themeColor="text1"/>
        </w:rPr>
        <w:t>presessional</w:t>
      </w:r>
      <w:proofErr w:type="spellEnd"/>
      <w:r w:rsidRPr="00F036B0">
        <w:rPr>
          <w:rStyle w:val="a5"/>
          <w:rFonts w:ascii="Segoe UI" w:hAnsi="Segoe UI" w:cs="Segoe UI"/>
          <w:color w:val="000000" w:themeColor="text1"/>
        </w:rPr>
        <w:t xml:space="preserve"> English for academic purposes </w:t>
      </w:r>
      <w:proofErr w:type="spellStart"/>
      <w:r w:rsidRPr="00F036B0">
        <w:rPr>
          <w:rStyle w:val="a5"/>
          <w:rFonts w:ascii="Segoe UI" w:hAnsi="Segoe UI" w:cs="Segoe UI"/>
          <w:color w:val="000000" w:themeColor="text1"/>
        </w:rPr>
        <w:t>programme</w:t>
      </w:r>
      <w:proofErr w:type="spellEnd"/>
      <w:r w:rsidRPr="00F036B0">
        <w:rPr>
          <w:rFonts w:ascii="Segoe UI" w:hAnsi="Segoe UI" w:cs="Segoe UI"/>
          <w:color w:val="000000" w:themeColor="text1"/>
        </w:rPr>
        <w:t>. PhD thesis. University of Birmingham. Available at:</w:t>
      </w:r>
      <w:r w:rsidRPr="00F036B0">
        <w:rPr>
          <w:rStyle w:val="apple-converted-space"/>
          <w:rFonts w:ascii="Segoe UI" w:hAnsi="Segoe UI" w:cs="Segoe UI"/>
          <w:color w:val="000000" w:themeColor="text1"/>
        </w:rPr>
        <w:t> </w:t>
      </w:r>
      <w:hyperlink r:id="rId24" w:tgtFrame="_blank" w:history="1">
        <w:r w:rsidRPr="00F036B0">
          <w:rPr>
            <w:rStyle w:val="a6"/>
            <w:rFonts w:ascii="Segoe UI" w:hAnsi="Segoe UI" w:cs="Segoe UI"/>
            <w:color w:val="000000" w:themeColor="text1"/>
          </w:rPr>
          <w:t>https://etheses.bham.ac.uk/7080/</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79A3EC7C"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lastRenderedPageBreak/>
        <w:t xml:space="preserve">Jarvis, H. and </w:t>
      </w:r>
      <w:proofErr w:type="spellStart"/>
      <w:r w:rsidRPr="00F036B0">
        <w:rPr>
          <w:rFonts w:ascii="Segoe UI" w:hAnsi="Segoe UI" w:cs="Segoe UI"/>
          <w:color w:val="000000" w:themeColor="text1"/>
        </w:rPr>
        <w:t>Stakounis</w:t>
      </w:r>
      <w:proofErr w:type="spellEnd"/>
      <w:r w:rsidRPr="00F036B0">
        <w:rPr>
          <w:rFonts w:ascii="Segoe UI" w:hAnsi="Segoe UI" w:cs="Segoe UI"/>
          <w:color w:val="000000" w:themeColor="text1"/>
        </w:rPr>
        <w:t>, H. (2010) ‘Speaking in social contexts’,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TESL-EJ</w:t>
      </w:r>
      <w:r w:rsidRPr="00F036B0">
        <w:rPr>
          <w:rFonts w:ascii="Segoe UI" w:hAnsi="Segoe UI" w:cs="Segoe UI"/>
          <w:color w:val="000000" w:themeColor="text1"/>
        </w:rPr>
        <w:t>, 14(3). Available at:</w:t>
      </w:r>
      <w:r w:rsidRPr="00F036B0">
        <w:rPr>
          <w:rStyle w:val="apple-converted-space"/>
          <w:rFonts w:ascii="Segoe UI" w:hAnsi="Segoe UI" w:cs="Segoe UI"/>
          <w:color w:val="000000" w:themeColor="text1"/>
        </w:rPr>
        <w:t> </w:t>
      </w:r>
      <w:hyperlink r:id="rId25" w:tgtFrame="_blank" w:history="1">
        <w:r w:rsidRPr="00F036B0">
          <w:rPr>
            <w:rStyle w:val="a6"/>
            <w:rFonts w:ascii="Segoe UI" w:hAnsi="Segoe UI" w:cs="Segoe UI"/>
            <w:color w:val="000000" w:themeColor="text1"/>
          </w:rPr>
          <w:t>http://www.tesl-ej.org/</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20B45719"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Jordan, R.R. (1997)</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English for academic purposes: A guide and resource book for teachers</w:t>
      </w:r>
      <w:r w:rsidRPr="00F036B0">
        <w:rPr>
          <w:rFonts w:ascii="Segoe UI" w:hAnsi="Segoe UI" w:cs="Segoe UI"/>
          <w:color w:val="000000" w:themeColor="text1"/>
        </w:rPr>
        <w:t>. Cambridge: Cambridge University Press.</w:t>
      </w:r>
    </w:p>
    <w:p w14:paraId="417E0BE9"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Kuh</w:t>
      </w:r>
      <w:proofErr w:type="spellEnd"/>
      <w:r w:rsidRPr="00F036B0">
        <w:rPr>
          <w:rFonts w:ascii="Segoe UI" w:hAnsi="Segoe UI" w:cs="Segoe UI"/>
          <w:color w:val="000000" w:themeColor="text1"/>
        </w:rPr>
        <w:t>, G.D.</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et al.</w:t>
      </w:r>
      <w:r w:rsidRPr="00F036B0">
        <w:rPr>
          <w:rStyle w:val="apple-converted-space"/>
          <w:rFonts w:ascii="Segoe UI" w:hAnsi="Segoe UI" w:cs="Segoe UI"/>
          <w:color w:val="000000" w:themeColor="text1"/>
        </w:rPr>
        <w:t> </w:t>
      </w:r>
      <w:r w:rsidRPr="00F036B0">
        <w:rPr>
          <w:rFonts w:ascii="Segoe UI" w:hAnsi="Segoe UI" w:cs="Segoe UI"/>
          <w:color w:val="000000" w:themeColor="text1"/>
        </w:rPr>
        <w:t>(2011)</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Student success in college: Creating conditions that matter</w:t>
      </w:r>
      <w:r w:rsidRPr="00F036B0">
        <w:rPr>
          <w:rFonts w:ascii="Segoe UI" w:hAnsi="Segoe UI" w:cs="Segoe UI"/>
          <w:color w:val="000000" w:themeColor="text1"/>
        </w:rPr>
        <w:t xml:space="preserve">. 2nd </w:t>
      </w:r>
      <w:proofErr w:type="spellStart"/>
      <w:r w:rsidRPr="00F036B0">
        <w:rPr>
          <w:rFonts w:ascii="Segoe UI" w:hAnsi="Segoe UI" w:cs="Segoe UI"/>
          <w:color w:val="000000" w:themeColor="text1"/>
        </w:rPr>
        <w:t>edn</w:t>
      </w:r>
      <w:proofErr w:type="spellEnd"/>
      <w:r w:rsidRPr="00F036B0">
        <w:rPr>
          <w:rFonts w:ascii="Segoe UI" w:hAnsi="Segoe UI" w:cs="Segoe UI"/>
          <w:color w:val="000000" w:themeColor="text1"/>
        </w:rPr>
        <w:t>. San Francisco: Jossey-Bass.</w:t>
      </w:r>
    </w:p>
    <w:p w14:paraId="1B9BBB78"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Lage, M.J., Platt, G.J. and Treglia, M. (2000) ‘Inverting the classroom’,</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Economic Education</w:t>
      </w:r>
      <w:r w:rsidRPr="00F036B0">
        <w:rPr>
          <w:rFonts w:ascii="Segoe UI" w:hAnsi="Segoe UI" w:cs="Segoe UI"/>
          <w:color w:val="000000" w:themeColor="text1"/>
        </w:rPr>
        <w:t>, 31(1), pp. 30–43.</w:t>
      </w:r>
    </w:p>
    <w:p w14:paraId="4073AB8F"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Lea, M.R. and Street, B.V. (1998) ‘Student writing in higher education’,</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Studies in Higher Education</w:t>
      </w:r>
      <w:r w:rsidRPr="00F036B0">
        <w:rPr>
          <w:rFonts w:ascii="Segoe UI" w:hAnsi="Segoe UI" w:cs="Segoe UI"/>
          <w:color w:val="000000" w:themeColor="text1"/>
        </w:rPr>
        <w:t>, 23(2), pp. 157–172.</w:t>
      </w:r>
      <w:r w:rsidRPr="00F036B0">
        <w:rPr>
          <w:rStyle w:val="apple-converted-space"/>
          <w:rFonts w:ascii="Segoe UI" w:hAnsi="Segoe UI" w:cs="Segoe UI"/>
          <w:color w:val="000000" w:themeColor="text1"/>
        </w:rPr>
        <w:t> </w:t>
      </w:r>
      <w:hyperlink r:id="rId26" w:tgtFrame="_blank" w:history="1">
        <w:r w:rsidRPr="00F036B0">
          <w:rPr>
            <w:rStyle w:val="a6"/>
            <w:rFonts w:ascii="Segoe UI" w:hAnsi="Segoe UI" w:cs="Segoe UI"/>
            <w:color w:val="000000" w:themeColor="text1"/>
          </w:rPr>
          <w:t>https://doi.org/10.1080/03075079812331380364</w:t>
        </w:r>
      </w:hyperlink>
    </w:p>
    <w:p w14:paraId="308952EF"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 xml:space="preserve">Lee, J. and </w:t>
      </w:r>
      <w:proofErr w:type="spellStart"/>
      <w:r w:rsidRPr="00F036B0">
        <w:rPr>
          <w:rFonts w:ascii="Segoe UI" w:hAnsi="Segoe UI" w:cs="Segoe UI"/>
          <w:color w:val="000000" w:themeColor="text1"/>
        </w:rPr>
        <w:t>Subtirelu</w:t>
      </w:r>
      <w:proofErr w:type="spellEnd"/>
      <w:r w:rsidRPr="00F036B0">
        <w:rPr>
          <w:rFonts w:ascii="Segoe UI" w:hAnsi="Segoe UI" w:cs="Segoe UI"/>
          <w:color w:val="000000" w:themeColor="text1"/>
        </w:rPr>
        <w:t>, N. (2015) ‘Cognitively demanding tasks in EAP writing instruction’,</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English for Academic Purposes</w:t>
      </w:r>
      <w:r w:rsidRPr="00F036B0">
        <w:rPr>
          <w:rFonts w:ascii="Segoe UI" w:hAnsi="Segoe UI" w:cs="Segoe UI"/>
          <w:color w:val="000000" w:themeColor="text1"/>
        </w:rPr>
        <w:t>, 20, pp. 40–52.</w:t>
      </w:r>
      <w:r w:rsidRPr="00F036B0">
        <w:rPr>
          <w:rStyle w:val="apple-converted-space"/>
          <w:rFonts w:ascii="Segoe UI" w:hAnsi="Segoe UI" w:cs="Segoe UI"/>
          <w:color w:val="000000" w:themeColor="text1"/>
        </w:rPr>
        <w:t> </w:t>
      </w:r>
      <w:hyperlink r:id="rId27" w:tgtFrame="_blank" w:history="1">
        <w:r w:rsidRPr="00F036B0">
          <w:rPr>
            <w:rStyle w:val="a6"/>
            <w:rFonts w:ascii="Segoe UI" w:hAnsi="Segoe UI" w:cs="Segoe UI"/>
            <w:color w:val="000000" w:themeColor="text1"/>
          </w:rPr>
          <w:t>https://doi.org/10.1016/j.jeap.2015.05.002</w:t>
        </w:r>
      </w:hyperlink>
    </w:p>
    <w:p w14:paraId="1F3F6754"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Li, X. and Yang, L. (2020) ‘Co-teaching in Chinese EMI programs’,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Asia TEFL</w:t>
      </w:r>
      <w:r w:rsidRPr="00F036B0">
        <w:rPr>
          <w:rFonts w:ascii="Segoe UI" w:hAnsi="Segoe UI" w:cs="Segoe UI"/>
          <w:color w:val="000000" w:themeColor="text1"/>
        </w:rPr>
        <w:t>, 17(3), pp. 1021–1038.</w:t>
      </w:r>
    </w:p>
    <w:p w14:paraId="5E6BC673"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Li, Y. and Storch, N. (2022) ‘Pedagogical dilemmas in hybrid EAP classrooms’,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English for Academic Purposes</w:t>
      </w:r>
      <w:r w:rsidRPr="00F036B0">
        <w:rPr>
          <w:rFonts w:ascii="Segoe UI" w:hAnsi="Segoe UI" w:cs="Segoe UI"/>
          <w:color w:val="000000" w:themeColor="text1"/>
        </w:rPr>
        <w:t>, 58, 101129.</w:t>
      </w:r>
      <w:r w:rsidRPr="00F036B0">
        <w:rPr>
          <w:rStyle w:val="apple-converted-space"/>
          <w:rFonts w:ascii="Segoe UI" w:hAnsi="Segoe UI" w:cs="Segoe UI"/>
          <w:color w:val="000000" w:themeColor="text1"/>
        </w:rPr>
        <w:t> </w:t>
      </w:r>
      <w:hyperlink r:id="rId28" w:tgtFrame="_blank" w:history="1">
        <w:r w:rsidRPr="00F036B0">
          <w:rPr>
            <w:rStyle w:val="a6"/>
            <w:rFonts w:ascii="Segoe UI" w:hAnsi="Segoe UI" w:cs="Segoe UI"/>
            <w:color w:val="000000" w:themeColor="text1"/>
          </w:rPr>
          <w:t>https://doi.org/10.1016/j.jeap.2022.101129</w:t>
        </w:r>
      </w:hyperlink>
    </w:p>
    <w:p w14:paraId="67A907CF" w14:textId="77777777" w:rsidR="00DB2E93" w:rsidRPr="00F036B0" w:rsidRDefault="00DB2E93" w:rsidP="00DB2E93">
      <w:pPr>
        <w:pStyle w:val="a3"/>
        <w:rPr>
          <w:rFonts w:ascii="Segoe UI" w:hAnsi="Segoe UI" w:cs="Segoe UI"/>
          <w:color w:val="000000" w:themeColor="text1"/>
        </w:rPr>
      </w:pPr>
      <w:proofErr w:type="gramStart"/>
      <w:r w:rsidRPr="00F036B0">
        <w:rPr>
          <w:rFonts w:ascii="Segoe UI" w:hAnsi="Segoe UI" w:cs="Segoe UI"/>
          <w:color w:val="000000" w:themeColor="text1"/>
        </w:rPr>
        <w:lastRenderedPageBreak/>
        <w:t>Lloyd-Jones</w:t>
      </w:r>
      <w:proofErr w:type="gramEnd"/>
      <w:r w:rsidRPr="00F036B0">
        <w:rPr>
          <w:rFonts w:ascii="Segoe UI" w:hAnsi="Segoe UI" w:cs="Segoe UI"/>
          <w:color w:val="000000" w:themeColor="text1"/>
        </w:rPr>
        <w:t>, G.</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et al.</w:t>
      </w:r>
      <w:r w:rsidRPr="00F036B0">
        <w:rPr>
          <w:rStyle w:val="apple-converted-space"/>
          <w:rFonts w:ascii="Segoe UI" w:hAnsi="Segoe UI" w:cs="Segoe UI"/>
          <w:color w:val="000000" w:themeColor="text1"/>
        </w:rPr>
        <w:t> </w:t>
      </w:r>
      <w:r w:rsidRPr="00F036B0">
        <w:rPr>
          <w:rFonts w:ascii="Segoe UI" w:hAnsi="Segoe UI" w:cs="Segoe UI"/>
          <w:color w:val="000000" w:themeColor="text1"/>
        </w:rPr>
        <w:t>(2012)</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 multiple case study of the relationship between the indicators of students’ English language competence</w:t>
      </w:r>
      <w:r w:rsidRPr="00F036B0">
        <w:rPr>
          <w:rFonts w:ascii="Segoe UI" w:hAnsi="Segoe UI" w:cs="Segoe UI"/>
          <w:color w:val="000000" w:themeColor="text1"/>
        </w:rPr>
        <w:t>. IELTS Research Reports 11. Available at:</w:t>
      </w:r>
      <w:r w:rsidRPr="00F036B0">
        <w:rPr>
          <w:rStyle w:val="apple-converted-space"/>
          <w:rFonts w:ascii="Segoe UI" w:hAnsi="Segoe UI" w:cs="Segoe UI"/>
          <w:color w:val="000000" w:themeColor="text1"/>
        </w:rPr>
        <w:t> </w:t>
      </w:r>
      <w:hyperlink r:id="rId29" w:tgtFrame="_blank" w:history="1">
        <w:r w:rsidRPr="00F036B0">
          <w:rPr>
            <w:rStyle w:val="a6"/>
            <w:rFonts w:ascii="Segoe UI" w:hAnsi="Segoe UI" w:cs="Segoe UI"/>
            <w:color w:val="000000" w:themeColor="text1"/>
          </w:rPr>
          <w:t>https://www.ielts.org</w:t>
        </w:r>
      </w:hyperlink>
      <w:r w:rsidRPr="00F036B0">
        <w:rPr>
          <w:rFonts w:ascii="Segoe UI" w:hAnsi="Segoe UI" w:cs="Segoe UI"/>
          <w:color w:val="000000" w:themeColor="text1"/>
        </w:rPr>
        <w:t>(Accessed: 1 July 2024).</w:t>
      </w:r>
    </w:p>
    <w:p w14:paraId="5A9D8ED4"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Martala</w:t>
      </w:r>
      <w:proofErr w:type="spellEnd"/>
      <w:r w:rsidRPr="00F036B0">
        <w:rPr>
          <w:rFonts w:ascii="Segoe UI" w:hAnsi="Segoe UI" w:cs="Segoe UI"/>
          <w:color w:val="000000" w:themeColor="text1"/>
        </w:rPr>
        <w:t>, M. (2006) ‘Tracking pre-sessional students’ writing abilities’, in Gillett, A. and Wray, L. (eds.)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 xml:space="preserve">Assessing the effectiveness of EAP </w:t>
      </w:r>
      <w:proofErr w:type="spellStart"/>
      <w:r w:rsidRPr="00F036B0">
        <w:rPr>
          <w:rStyle w:val="a5"/>
          <w:rFonts w:ascii="Segoe UI" w:hAnsi="Segoe UI" w:cs="Segoe UI"/>
          <w:color w:val="000000" w:themeColor="text1"/>
        </w:rPr>
        <w:t>programmes</w:t>
      </w:r>
      <w:proofErr w:type="spellEnd"/>
      <w:r w:rsidRPr="00F036B0">
        <w:rPr>
          <w:rFonts w:ascii="Segoe UI" w:hAnsi="Segoe UI" w:cs="Segoe UI"/>
          <w:color w:val="000000" w:themeColor="text1"/>
        </w:rPr>
        <w:t>. London: BALEAP, pp. 36–48.</w:t>
      </w:r>
    </w:p>
    <w:p w14:paraId="697D33CE"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Mazgutova</w:t>
      </w:r>
      <w:proofErr w:type="spellEnd"/>
      <w:r w:rsidRPr="00F036B0">
        <w:rPr>
          <w:rFonts w:ascii="Segoe UI" w:hAnsi="Segoe UI" w:cs="Segoe UI"/>
          <w:color w:val="000000" w:themeColor="text1"/>
        </w:rPr>
        <w:t>, D. (2015)</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Linguistic and cognitive development of L2 writing</w:t>
      </w:r>
      <w:r w:rsidRPr="00F036B0">
        <w:rPr>
          <w:rFonts w:ascii="Segoe UI" w:hAnsi="Segoe UI" w:cs="Segoe UI"/>
          <w:color w:val="000000" w:themeColor="text1"/>
        </w:rPr>
        <w:t>. PhD thesis. Lancaster University. Available at:</w:t>
      </w:r>
      <w:r w:rsidRPr="00F036B0">
        <w:rPr>
          <w:rStyle w:val="apple-converted-space"/>
          <w:rFonts w:ascii="Segoe UI" w:hAnsi="Segoe UI" w:cs="Segoe UI"/>
          <w:color w:val="000000" w:themeColor="text1"/>
        </w:rPr>
        <w:t> </w:t>
      </w:r>
      <w:hyperlink r:id="rId30" w:tgtFrame="_blank" w:history="1">
        <w:r w:rsidRPr="00F036B0">
          <w:rPr>
            <w:rStyle w:val="a6"/>
            <w:rFonts w:ascii="Segoe UI" w:hAnsi="Segoe UI" w:cs="Segoe UI"/>
            <w:color w:val="000000" w:themeColor="text1"/>
          </w:rPr>
          <w:t>https://eprints.lancs.ac.uk/133508/</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0339490C"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Millar, M. (2002) ‘</w:t>
      </w:r>
      <w:proofErr w:type="gramStart"/>
      <w:r w:rsidRPr="00F036B0">
        <w:rPr>
          <w:rFonts w:ascii="Segoe UI" w:hAnsi="Segoe UI" w:cs="Segoe UI"/>
          <w:color w:val="000000" w:themeColor="text1"/>
        </w:rPr>
        <w:t>Post-foundation</w:t>
      </w:r>
      <w:proofErr w:type="gramEnd"/>
      <w:r w:rsidRPr="00F036B0">
        <w:rPr>
          <w:rFonts w:ascii="Segoe UI" w:hAnsi="Segoe UI" w:cs="Segoe UI"/>
          <w:color w:val="000000" w:themeColor="text1"/>
        </w:rPr>
        <w:t xml:space="preserve"> progress’,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BALEAP PIM Report</w:t>
      </w:r>
      <w:r w:rsidRPr="00F036B0">
        <w:rPr>
          <w:rFonts w:ascii="Segoe UI" w:hAnsi="Segoe UI" w:cs="Segoe UI"/>
          <w:color w:val="000000" w:themeColor="text1"/>
        </w:rPr>
        <w:t>, 16. Available at:</w:t>
      </w:r>
      <w:r w:rsidRPr="00F036B0">
        <w:rPr>
          <w:rStyle w:val="apple-converted-space"/>
          <w:rFonts w:ascii="Segoe UI" w:hAnsi="Segoe UI" w:cs="Segoe UI"/>
          <w:color w:val="000000" w:themeColor="text1"/>
        </w:rPr>
        <w:t> </w:t>
      </w:r>
      <w:hyperlink r:id="rId31" w:tgtFrame="_blank" w:history="1">
        <w:r w:rsidRPr="00F036B0">
          <w:rPr>
            <w:rStyle w:val="a6"/>
            <w:rFonts w:ascii="Segoe UI" w:hAnsi="Segoe UI" w:cs="Segoe UI"/>
            <w:color w:val="000000" w:themeColor="text1"/>
          </w:rPr>
          <w:t>http://www.uefap.com</w:t>
        </w:r>
      </w:hyperlink>
      <w:r w:rsidRPr="00F036B0">
        <w:rPr>
          <w:rFonts w:ascii="Segoe UI" w:hAnsi="Segoe UI" w:cs="Segoe UI"/>
          <w:color w:val="000000" w:themeColor="text1"/>
        </w:rPr>
        <w:t>(Accessed: 1 July 2024).</w:t>
      </w:r>
    </w:p>
    <w:p w14:paraId="47B3F15B"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 xml:space="preserve">Moodley, D. (2024) ‘Universal Design for Learning and writing </w:t>
      </w:r>
      <w:proofErr w:type="spellStart"/>
      <w:r w:rsidRPr="00F036B0">
        <w:rPr>
          <w:rFonts w:ascii="Segoe UI" w:hAnsi="Segoe UI" w:cs="Segoe UI"/>
          <w:color w:val="000000" w:themeColor="text1"/>
        </w:rPr>
        <w:t>centres</w:t>
      </w:r>
      <w:proofErr w:type="spellEnd"/>
      <w:r w:rsidRPr="00F036B0">
        <w:rPr>
          <w:rFonts w:ascii="Segoe UI" w:hAnsi="Segoe UI" w:cs="Segoe UI"/>
          <w:color w:val="000000" w:themeColor="text1"/>
        </w:rPr>
        <w:t>’,</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Perspectives in Education</w:t>
      </w:r>
      <w:r w:rsidRPr="00F036B0">
        <w:rPr>
          <w:rFonts w:ascii="Segoe UI" w:hAnsi="Segoe UI" w:cs="Segoe UI"/>
          <w:color w:val="000000" w:themeColor="text1"/>
        </w:rPr>
        <w:t>, 42(2), pp. 15–30.</w:t>
      </w:r>
      <w:r w:rsidRPr="00F036B0">
        <w:rPr>
          <w:rStyle w:val="apple-converted-space"/>
          <w:rFonts w:ascii="Segoe UI" w:hAnsi="Segoe UI" w:cs="Segoe UI"/>
          <w:color w:val="000000" w:themeColor="text1"/>
        </w:rPr>
        <w:t> </w:t>
      </w:r>
      <w:hyperlink r:id="rId32" w:tgtFrame="_blank" w:history="1">
        <w:r w:rsidRPr="00F036B0">
          <w:rPr>
            <w:rStyle w:val="a6"/>
            <w:rFonts w:ascii="Segoe UI" w:hAnsi="Segoe UI" w:cs="Segoe UI"/>
            <w:color w:val="000000" w:themeColor="text1"/>
          </w:rPr>
          <w:t>https://doi.org/10.38140/pie.v42i2.7830</w:t>
        </w:r>
      </w:hyperlink>
    </w:p>
    <w:p w14:paraId="5D3EF90A"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Norton, L.S. (2009)</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Action research in teaching and learning</w:t>
      </w:r>
      <w:r w:rsidRPr="00F036B0">
        <w:rPr>
          <w:rFonts w:ascii="Segoe UI" w:hAnsi="Segoe UI" w:cs="Segoe UI"/>
          <w:color w:val="000000" w:themeColor="text1"/>
        </w:rPr>
        <w:t>. Abingdon: Routledge.</w:t>
      </w:r>
    </w:p>
    <w:p w14:paraId="53E4E254"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Pachler</w:t>
      </w:r>
      <w:proofErr w:type="spellEnd"/>
      <w:r w:rsidRPr="00F036B0">
        <w:rPr>
          <w:rFonts w:ascii="Segoe UI" w:hAnsi="Segoe UI" w:cs="Segoe UI"/>
          <w:color w:val="000000" w:themeColor="text1"/>
        </w:rPr>
        <w:t>, N., Evans, M. and Lawes, S. (2007)</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Modern foreign languages: Teaching school subjects 11–19</w:t>
      </w:r>
      <w:r w:rsidRPr="00F036B0">
        <w:rPr>
          <w:rFonts w:ascii="Segoe UI" w:hAnsi="Segoe UI" w:cs="Segoe UI"/>
          <w:color w:val="000000" w:themeColor="text1"/>
        </w:rPr>
        <w:t>. London: Routledge.</w:t>
      </w:r>
    </w:p>
    <w:p w14:paraId="0ECB875C"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 xml:space="preserve">Pearson, W.S. (2020) ‘Mapping English language proficiency cut-off </w:t>
      </w:r>
      <w:r w:rsidRPr="00F036B0">
        <w:rPr>
          <w:rFonts w:ascii="Segoe UI" w:hAnsi="Segoe UI" w:cs="Segoe UI"/>
          <w:color w:val="000000" w:themeColor="text1"/>
        </w:rPr>
        <w:lastRenderedPageBreak/>
        <w:t>scores’,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English for Academic Purposes</w:t>
      </w:r>
      <w:r w:rsidRPr="00F036B0">
        <w:rPr>
          <w:rFonts w:ascii="Segoe UI" w:hAnsi="Segoe UI" w:cs="Segoe UI"/>
          <w:color w:val="000000" w:themeColor="text1"/>
        </w:rPr>
        <w:t>, 39, pp. 100–111.</w:t>
      </w:r>
      <w:r w:rsidRPr="00F036B0">
        <w:rPr>
          <w:rStyle w:val="apple-converted-space"/>
          <w:rFonts w:ascii="Segoe UI" w:hAnsi="Segoe UI" w:cs="Segoe UI"/>
          <w:color w:val="000000" w:themeColor="text1"/>
        </w:rPr>
        <w:t> </w:t>
      </w:r>
      <w:hyperlink r:id="rId33" w:tgtFrame="_blank" w:history="1">
        <w:r w:rsidRPr="00F036B0">
          <w:rPr>
            <w:rStyle w:val="a6"/>
            <w:rFonts w:ascii="Segoe UI" w:hAnsi="Segoe UI" w:cs="Segoe UI"/>
            <w:color w:val="000000" w:themeColor="text1"/>
          </w:rPr>
          <w:t>https://doi.org/10.1016/j.jeap.2020.100866</w:t>
        </w:r>
      </w:hyperlink>
    </w:p>
    <w:p w14:paraId="31149BE8"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Pilcher, N. (2006) ‘Mainland Chinese postgraduate students’, in Gillett, A. and Wray, L. (eds.)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 xml:space="preserve">Assessing the effectiveness of EAP </w:t>
      </w:r>
      <w:proofErr w:type="spellStart"/>
      <w:r w:rsidRPr="00F036B0">
        <w:rPr>
          <w:rStyle w:val="a5"/>
          <w:rFonts w:ascii="Segoe UI" w:hAnsi="Segoe UI" w:cs="Segoe UI"/>
          <w:color w:val="000000" w:themeColor="text1"/>
        </w:rPr>
        <w:t>programmes</w:t>
      </w:r>
      <w:proofErr w:type="spellEnd"/>
      <w:r w:rsidRPr="00F036B0">
        <w:rPr>
          <w:rFonts w:ascii="Segoe UI" w:hAnsi="Segoe UI" w:cs="Segoe UI"/>
          <w:color w:val="000000" w:themeColor="text1"/>
        </w:rPr>
        <w:t>. London: BALEAP, pp. 49–62.</w:t>
      </w:r>
    </w:p>
    <w:p w14:paraId="7EADD1B1"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Pintrich</w:t>
      </w:r>
      <w:proofErr w:type="spellEnd"/>
      <w:r w:rsidRPr="00F036B0">
        <w:rPr>
          <w:rFonts w:ascii="Segoe UI" w:hAnsi="Segoe UI" w:cs="Segoe UI"/>
          <w:color w:val="000000" w:themeColor="text1"/>
        </w:rPr>
        <w:t>, P.R.</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et al.</w:t>
      </w:r>
      <w:r w:rsidRPr="00F036B0">
        <w:rPr>
          <w:rStyle w:val="apple-converted-space"/>
          <w:rFonts w:ascii="Segoe UI" w:hAnsi="Segoe UI" w:cs="Segoe UI"/>
          <w:color w:val="000000" w:themeColor="text1"/>
        </w:rPr>
        <w:t> </w:t>
      </w:r>
      <w:r w:rsidRPr="00F036B0">
        <w:rPr>
          <w:rFonts w:ascii="Segoe UI" w:hAnsi="Segoe UI" w:cs="Segoe UI"/>
          <w:color w:val="000000" w:themeColor="text1"/>
        </w:rPr>
        <w:t>(1991)</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 manual for the use of the motivated strategies questionnaire</w:t>
      </w:r>
      <w:r w:rsidRPr="00F036B0">
        <w:rPr>
          <w:rFonts w:ascii="Segoe UI" w:hAnsi="Segoe UI" w:cs="Segoe UI"/>
          <w:color w:val="000000" w:themeColor="text1"/>
        </w:rPr>
        <w:t>. Ann Arbor: University of Michigan.</w:t>
      </w:r>
    </w:p>
    <w:p w14:paraId="6D527F44"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Ridley, D. (2006) ‘Tracking a cohort of pre-sessional students’, in Gillett, A. and Wray, L. (eds.)</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 xml:space="preserve">Assessing the effectiveness of EAP </w:t>
      </w:r>
      <w:proofErr w:type="spellStart"/>
      <w:r w:rsidRPr="00F036B0">
        <w:rPr>
          <w:rStyle w:val="a5"/>
          <w:rFonts w:ascii="Segoe UI" w:hAnsi="Segoe UI" w:cs="Segoe UI"/>
          <w:color w:val="000000" w:themeColor="text1"/>
        </w:rPr>
        <w:t>programmes</w:t>
      </w:r>
      <w:proofErr w:type="spellEnd"/>
      <w:r w:rsidRPr="00F036B0">
        <w:rPr>
          <w:rFonts w:ascii="Segoe UI" w:hAnsi="Segoe UI" w:cs="Segoe UI"/>
          <w:color w:val="000000" w:themeColor="text1"/>
        </w:rPr>
        <w:t>. London: BALEAP, pp. 24–35.</w:t>
      </w:r>
    </w:p>
    <w:p w14:paraId="10E9393C"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Seviour</w:t>
      </w:r>
      <w:proofErr w:type="spellEnd"/>
      <w:r w:rsidRPr="00F036B0">
        <w:rPr>
          <w:rFonts w:ascii="Segoe UI" w:hAnsi="Segoe UI" w:cs="Segoe UI"/>
          <w:color w:val="000000" w:themeColor="text1"/>
        </w:rPr>
        <w:t>, M. (2015) ‘Assessing academic writing on a pre-sessional EAP course’,</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English for Academic Purposes</w:t>
      </w:r>
      <w:r w:rsidRPr="00F036B0">
        <w:rPr>
          <w:rFonts w:ascii="Segoe UI" w:hAnsi="Segoe UI" w:cs="Segoe UI"/>
          <w:color w:val="000000" w:themeColor="text1"/>
        </w:rPr>
        <w:t>, 18, pp. 84–89.</w:t>
      </w:r>
      <w:r w:rsidRPr="00F036B0">
        <w:rPr>
          <w:rStyle w:val="apple-converted-space"/>
          <w:rFonts w:ascii="Segoe UI" w:hAnsi="Segoe UI" w:cs="Segoe UI"/>
          <w:color w:val="000000" w:themeColor="text1"/>
        </w:rPr>
        <w:t> </w:t>
      </w:r>
      <w:hyperlink r:id="rId34" w:tgtFrame="_blank" w:history="1">
        <w:r w:rsidRPr="00F036B0">
          <w:rPr>
            <w:rStyle w:val="a6"/>
            <w:rFonts w:ascii="Segoe UI" w:hAnsi="Segoe UI" w:cs="Segoe UI"/>
            <w:color w:val="000000" w:themeColor="text1"/>
          </w:rPr>
          <w:t>https://doi.org/10.1016/j.jeap.2015.03.004</w:t>
        </w:r>
      </w:hyperlink>
    </w:p>
    <w:p w14:paraId="5E456B11"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Stapleton-Corcoran, E. (2022)</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Hierarchical frameworks in educational design</w:t>
      </w:r>
      <w:r w:rsidRPr="00F036B0">
        <w:rPr>
          <w:rFonts w:ascii="Segoe UI" w:hAnsi="Segoe UI" w:cs="Segoe UI"/>
          <w:color w:val="000000" w:themeColor="text1"/>
        </w:rPr>
        <w:t xml:space="preserve">. 2nd </w:t>
      </w:r>
      <w:proofErr w:type="spellStart"/>
      <w:r w:rsidRPr="00F036B0">
        <w:rPr>
          <w:rFonts w:ascii="Segoe UI" w:hAnsi="Segoe UI" w:cs="Segoe UI"/>
          <w:color w:val="000000" w:themeColor="text1"/>
        </w:rPr>
        <w:t>edn</w:t>
      </w:r>
      <w:proofErr w:type="spellEnd"/>
      <w:r w:rsidRPr="00F036B0">
        <w:rPr>
          <w:rFonts w:ascii="Segoe UI" w:hAnsi="Segoe UI" w:cs="Segoe UI"/>
          <w:color w:val="000000" w:themeColor="text1"/>
        </w:rPr>
        <w:t>. Cambridge: Cambridge University Press.</w:t>
      </w:r>
    </w:p>
    <w:p w14:paraId="282954D4"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Tinto, V. (1993)</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Leaving college: Rethinking the causes and cures of student attrition</w:t>
      </w:r>
      <w:r w:rsidRPr="00F036B0">
        <w:rPr>
          <w:rFonts w:ascii="Segoe UI" w:hAnsi="Segoe UI" w:cs="Segoe UI"/>
          <w:color w:val="000000" w:themeColor="text1"/>
        </w:rPr>
        <w:t xml:space="preserve">. 2nd </w:t>
      </w:r>
      <w:proofErr w:type="spellStart"/>
      <w:r w:rsidRPr="00F036B0">
        <w:rPr>
          <w:rFonts w:ascii="Segoe UI" w:hAnsi="Segoe UI" w:cs="Segoe UI"/>
          <w:color w:val="000000" w:themeColor="text1"/>
        </w:rPr>
        <w:t>edn</w:t>
      </w:r>
      <w:proofErr w:type="spellEnd"/>
      <w:r w:rsidRPr="00F036B0">
        <w:rPr>
          <w:rFonts w:ascii="Segoe UI" w:hAnsi="Segoe UI" w:cs="Segoe UI"/>
          <w:color w:val="000000" w:themeColor="text1"/>
        </w:rPr>
        <w:t>. Chicago: University of Chicago Press.</w:t>
      </w:r>
    </w:p>
    <w:p w14:paraId="54A800D6"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 xml:space="preserve">Winchester, C.L. and </w:t>
      </w:r>
      <w:proofErr w:type="spellStart"/>
      <w:r w:rsidRPr="00F036B0">
        <w:rPr>
          <w:rFonts w:ascii="Segoe UI" w:hAnsi="Segoe UI" w:cs="Segoe UI"/>
          <w:color w:val="000000" w:themeColor="text1"/>
        </w:rPr>
        <w:t>Salji</w:t>
      </w:r>
      <w:proofErr w:type="spellEnd"/>
      <w:r w:rsidRPr="00F036B0">
        <w:rPr>
          <w:rFonts w:ascii="Segoe UI" w:hAnsi="Segoe UI" w:cs="Segoe UI"/>
          <w:color w:val="000000" w:themeColor="text1"/>
        </w:rPr>
        <w:t>, M. (2016) ‘Writing a literature review’,</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Journal of Clinical Urology</w:t>
      </w:r>
      <w:r w:rsidRPr="00F036B0">
        <w:rPr>
          <w:rFonts w:ascii="Segoe UI" w:hAnsi="Segoe UI" w:cs="Segoe UI"/>
          <w:color w:val="000000" w:themeColor="text1"/>
        </w:rPr>
        <w:t>, 9(5), pp. 308–</w:t>
      </w:r>
      <w:r w:rsidRPr="00F036B0">
        <w:rPr>
          <w:rFonts w:ascii="Segoe UI" w:hAnsi="Segoe UI" w:cs="Segoe UI"/>
          <w:color w:val="000000" w:themeColor="text1"/>
        </w:rPr>
        <w:lastRenderedPageBreak/>
        <w:t>312.</w:t>
      </w:r>
      <w:r w:rsidRPr="00F036B0">
        <w:rPr>
          <w:rStyle w:val="apple-converted-space"/>
          <w:rFonts w:ascii="Segoe UI" w:hAnsi="Segoe UI" w:cs="Segoe UI"/>
          <w:color w:val="000000" w:themeColor="text1"/>
        </w:rPr>
        <w:t> </w:t>
      </w:r>
      <w:hyperlink r:id="rId35" w:tgtFrame="_blank" w:history="1">
        <w:r w:rsidRPr="00F036B0">
          <w:rPr>
            <w:rStyle w:val="a6"/>
            <w:rFonts w:ascii="Segoe UI" w:hAnsi="Segoe UI" w:cs="Segoe UI"/>
            <w:color w:val="000000" w:themeColor="text1"/>
          </w:rPr>
          <w:t>https://doi.org/10.1177/2051415816650133</w:t>
        </w:r>
      </w:hyperlink>
    </w:p>
    <w:p w14:paraId="4C34F7F2"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Wingate, U. (2015)</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Academic literacy and student diversity</w:t>
      </w:r>
      <w:r w:rsidRPr="00F036B0">
        <w:rPr>
          <w:rFonts w:ascii="Segoe UI" w:hAnsi="Segoe UI" w:cs="Segoe UI"/>
          <w:color w:val="000000" w:themeColor="text1"/>
        </w:rPr>
        <w:t>. Bristol: Multilingual Matters.</w:t>
      </w:r>
    </w:p>
    <w:p w14:paraId="2718CF77" w14:textId="77777777" w:rsidR="00DB2E93" w:rsidRPr="00F036B0" w:rsidRDefault="00DB2E93" w:rsidP="00DB2E93">
      <w:pPr>
        <w:pStyle w:val="a3"/>
        <w:rPr>
          <w:rFonts w:ascii="Segoe UI" w:hAnsi="Segoe UI" w:cs="Segoe UI"/>
          <w:color w:val="000000" w:themeColor="text1"/>
        </w:rPr>
      </w:pPr>
      <w:proofErr w:type="spellStart"/>
      <w:r w:rsidRPr="00F036B0">
        <w:rPr>
          <w:rFonts w:ascii="Segoe UI" w:hAnsi="Segoe UI" w:cs="Segoe UI"/>
          <w:color w:val="000000" w:themeColor="text1"/>
        </w:rPr>
        <w:t>Xie</w:t>
      </w:r>
      <w:proofErr w:type="spellEnd"/>
      <w:r w:rsidRPr="00F036B0">
        <w:rPr>
          <w:rFonts w:ascii="Segoe UI" w:hAnsi="Segoe UI" w:cs="Segoe UI"/>
          <w:color w:val="000000" w:themeColor="text1"/>
        </w:rPr>
        <w:t>, M. (2010)</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First language maintenance and attrition</w:t>
      </w:r>
      <w:r w:rsidRPr="00F036B0">
        <w:rPr>
          <w:rFonts w:ascii="Segoe UI" w:hAnsi="Segoe UI" w:cs="Segoe UI"/>
          <w:color w:val="000000" w:themeColor="text1"/>
        </w:rPr>
        <w:t>. PhD thesis. University of Alberta.</w:t>
      </w:r>
    </w:p>
    <w:p w14:paraId="7DDBC5D1"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Zhao, J. and Mohamad, M. (2024) ‘Innovative approaches in teaching reading’,</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 xml:space="preserve">Journal of </w:t>
      </w:r>
      <w:proofErr w:type="spellStart"/>
      <w:r w:rsidRPr="00F036B0">
        <w:rPr>
          <w:rStyle w:val="a5"/>
          <w:rFonts w:ascii="Segoe UI" w:hAnsi="Segoe UI" w:cs="Segoe UI"/>
          <w:color w:val="000000" w:themeColor="text1"/>
        </w:rPr>
        <w:t>Digitainability</w:t>
      </w:r>
      <w:proofErr w:type="spellEnd"/>
      <w:r w:rsidRPr="00F036B0">
        <w:rPr>
          <w:rStyle w:val="a5"/>
          <w:rFonts w:ascii="Segoe UI" w:hAnsi="Segoe UI" w:cs="Segoe UI"/>
          <w:color w:val="000000" w:themeColor="text1"/>
        </w:rPr>
        <w:t xml:space="preserve"> Realism &amp; Mastery</w:t>
      </w:r>
      <w:r w:rsidRPr="00F036B0">
        <w:rPr>
          <w:rFonts w:ascii="Segoe UI" w:hAnsi="Segoe UI" w:cs="Segoe UI"/>
          <w:color w:val="000000" w:themeColor="text1"/>
        </w:rPr>
        <w:t>, 3(7), pp. 1–15.</w:t>
      </w:r>
    </w:p>
    <w:p w14:paraId="7340EEF7" w14:textId="77777777" w:rsidR="00DB2E93" w:rsidRPr="00F036B0" w:rsidRDefault="00DB2E93" w:rsidP="00DB2E93">
      <w:pPr>
        <w:pStyle w:val="a3"/>
        <w:rPr>
          <w:rFonts w:ascii="Segoe UI" w:hAnsi="Segoe UI" w:cs="Segoe UI"/>
          <w:color w:val="000000" w:themeColor="text1"/>
        </w:rPr>
      </w:pPr>
      <w:r w:rsidRPr="00F036B0">
        <w:rPr>
          <w:rStyle w:val="a4"/>
          <w:rFonts w:ascii="Segoe UI" w:hAnsi="Segoe UI" w:cs="Segoe UI"/>
          <w:color w:val="000000" w:themeColor="text1"/>
        </w:rPr>
        <w:t>Web resources</w:t>
      </w:r>
      <w:r w:rsidRPr="00F036B0">
        <w:rPr>
          <w:rFonts w:ascii="Segoe UI" w:hAnsi="Segoe UI" w:cs="Segoe UI"/>
          <w:color w:val="000000" w:themeColor="text1"/>
        </w:rPr>
        <w:br/>
        <w:t>Middlebury College (n.d.)</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Challenge-support-readiness model</w:t>
      </w:r>
      <w:r w:rsidRPr="00F036B0">
        <w:rPr>
          <w:rFonts w:ascii="Segoe UI" w:hAnsi="Segoe UI" w:cs="Segoe UI"/>
          <w:color w:val="000000" w:themeColor="text1"/>
        </w:rPr>
        <w:t>. Available at:</w:t>
      </w:r>
      <w:r w:rsidRPr="00F036B0">
        <w:rPr>
          <w:rStyle w:val="apple-converted-space"/>
          <w:rFonts w:ascii="Segoe UI" w:hAnsi="Segoe UI" w:cs="Segoe UI"/>
          <w:color w:val="000000" w:themeColor="text1"/>
        </w:rPr>
        <w:t> </w:t>
      </w:r>
      <w:hyperlink r:id="rId36" w:tgtFrame="_blank" w:history="1">
        <w:r w:rsidRPr="00F036B0">
          <w:rPr>
            <w:rStyle w:val="a6"/>
            <w:rFonts w:ascii="Segoe UI" w:hAnsi="Segoe UI" w:cs="Segoe UI"/>
            <w:color w:val="000000" w:themeColor="text1"/>
          </w:rPr>
          <w:t>https://sites.middlebury.edu/academicadvisingresources/</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1D1C664E" w14:textId="77777777" w:rsidR="00DB2E93" w:rsidRPr="00F036B0" w:rsidRDefault="00DB2E93" w:rsidP="00DB2E93">
      <w:pPr>
        <w:pStyle w:val="a3"/>
        <w:rPr>
          <w:rFonts w:ascii="Segoe UI" w:hAnsi="Segoe UI" w:cs="Segoe UI"/>
          <w:color w:val="000000" w:themeColor="text1"/>
        </w:rPr>
      </w:pPr>
      <w:r w:rsidRPr="00F036B0">
        <w:rPr>
          <w:rFonts w:ascii="Segoe UI" w:hAnsi="Segoe UI" w:cs="Segoe UI"/>
          <w:color w:val="000000" w:themeColor="text1"/>
        </w:rPr>
        <w:t>Research.com (n.d.)</w:t>
      </w:r>
      <w:r w:rsidRPr="00F036B0">
        <w:rPr>
          <w:rStyle w:val="apple-converted-space"/>
          <w:rFonts w:ascii="Segoe UI" w:hAnsi="Segoe UI" w:cs="Segoe UI"/>
          <w:color w:val="000000" w:themeColor="text1"/>
        </w:rPr>
        <w:t> </w:t>
      </w:r>
      <w:r w:rsidRPr="00F036B0">
        <w:rPr>
          <w:rStyle w:val="a5"/>
          <w:rFonts w:ascii="Segoe UI" w:hAnsi="Segoe UI" w:cs="Segoe UI"/>
          <w:color w:val="000000" w:themeColor="text1"/>
        </w:rPr>
        <w:t>What is mastery learning?</w:t>
      </w:r>
      <w:r w:rsidRPr="00F036B0">
        <w:rPr>
          <w:rStyle w:val="apple-converted-space"/>
          <w:rFonts w:ascii="Segoe UI" w:hAnsi="Segoe UI" w:cs="Segoe UI"/>
          <w:color w:val="000000" w:themeColor="text1"/>
        </w:rPr>
        <w:t> </w:t>
      </w:r>
      <w:r w:rsidRPr="00F036B0">
        <w:rPr>
          <w:rFonts w:ascii="Segoe UI" w:hAnsi="Segoe UI" w:cs="Segoe UI"/>
          <w:color w:val="000000" w:themeColor="text1"/>
        </w:rPr>
        <w:t>Available at:</w:t>
      </w:r>
      <w:r w:rsidRPr="00F036B0">
        <w:rPr>
          <w:rStyle w:val="apple-converted-space"/>
          <w:rFonts w:ascii="Segoe UI" w:hAnsi="Segoe UI" w:cs="Segoe UI"/>
          <w:color w:val="000000" w:themeColor="text1"/>
        </w:rPr>
        <w:t> </w:t>
      </w:r>
      <w:hyperlink r:id="rId37" w:tgtFrame="_blank" w:history="1">
        <w:r w:rsidRPr="00F036B0">
          <w:rPr>
            <w:rStyle w:val="a6"/>
            <w:rFonts w:ascii="Segoe UI" w:hAnsi="Segoe UI" w:cs="Segoe UI"/>
            <w:color w:val="000000" w:themeColor="text1"/>
          </w:rPr>
          <w:t>https://research.com/education</w:t>
        </w:r>
      </w:hyperlink>
      <w:r w:rsidRPr="00F036B0">
        <w:rPr>
          <w:rStyle w:val="apple-converted-space"/>
          <w:rFonts w:ascii="Segoe UI" w:hAnsi="Segoe UI" w:cs="Segoe UI"/>
          <w:color w:val="000000" w:themeColor="text1"/>
        </w:rPr>
        <w:t> </w:t>
      </w:r>
      <w:r w:rsidRPr="00F036B0">
        <w:rPr>
          <w:rFonts w:ascii="Segoe UI" w:hAnsi="Segoe UI" w:cs="Segoe UI"/>
          <w:color w:val="000000" w:themeColor="text1"/>
        </w:rPr>
        <w:t>(Accessed: 1 July 2024).</w:t>
      </w:r>
    </w:p>
    <w:p w14:paraId="511436D3" w14:textId="77777777" w:rsidR="00DA3E4B" w:rsidRPr="00DB2E93" w:rsidRDefault="00DA3E4B" w:rsidP="00751B92">
      <w:pPr>
        <w:widowControl/>
        <w:spacing w:before="100" w:beforeAutospacing="1" w:after="100" w:afterAutospacing="1"/>
        <w:jc w:val="left"/>
        <w:rPr>
          <w:rFonts w:ascii="宋体" w:hAnsi="宋体" w:cs="宋体" w:hint="eastAsia"/>
          <w:kern w:val="0"/>
          <w:sz w:val="24"/>
        </w:rPr>
      </w:pPr>
    </w:p>
    <w:sectPr w:rsidR="00DA3E4B" w:rsidRPr="00DB2E93">
      <w:pgSz w:w="11906" w:h="16838"/>
      <w:pgMar w:top="1440" w:right="1800" w:bottom="1440" w:left="1800" w:header="851" w:footer="992" w:gutter="0"/>
      <w:cols w:space="720"/>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pplesystemuifont">
    <w:altName w:val="苹方-简"/>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0000000000000000000"/>
    <w:charset w:val="00"/>
    <w:family w:val="auto"/>
    <w:pitch w:val="variable"/>
    <w:sig w:usb0="E00002FF" w:usb1="5000785B" w:usb2="00000000" w:usb3="00000000" w:csb0="0000019F" w:csb1="00000000"/>
  </w:font>
  <w:font w:name="sans-serif">
    <w:altName w:val="Calibri"/>
    <w:panose1 w:val="020B0604020202020204"/>
    <w:charset w:val="00"/>
    <w:family w:val="auto"/>
    <w:pitch w:val="default"/>
  </w:font>
  <w:font w:name="HELVETICA OBLIQUE">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FC7C2CC"/>
    <w:multiLevelType w:val="multilevel"/>
    <w:tmpl w:val="BFC7C2CC"/>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46BA1DC8"/>
    <w:multiLevelType w:val="hybridMultilevel"/>
    <w:tmpl w:val="7C7AC68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79E36F24"/>
    <w:multiLevelType w:val="singleLevel"/>
    <w:tmpl w:val="79E36F24"/>
    <w:lvl w:ilvl="0">
      <w:start w:val="1"/>
      <w:numFmt w:val="decimal"/>
      <w:suff w:val="space"/>
      <w:lvlText w:val="%1."/>
      <w:lvlJc w:val="left"/>
    </w:lvl>
  </w:abstractNum>
  <w:abstractNum w:abstractNumId="3" w15:restartNumberingAfterBreak="0">
    <w:nsid w:val="7FAD9341"/>
    <w:multiLevelType w:val="multilevel"/>
    <w:tmpl w:val="7FAD9341"/>
    <w:lvl w:ilvl="0">
      <w:start w:val="2"/>
      <w:numFmt w:val="decimal"/>
      <w:lvlText w:val="%1."/>
      <w:lvlJc w:val="left"/>
      <w:pPr>
        <w:tabs>
          <w:tab w:val="left" w:pos="312"/>
        </w:tabs>
      </w:pPr>
    </w:lvl>
    <w:lvl w:ilvl="1">
      <w:start w:val="1"/>
      <w:numFmt w:val="decimal"/>
      <w:lvlText w:val="%1.%2."/>
      <w:lvlJc w:val="left"/>
      <w:pPr>
        <w:tabs>
          <w:tab w:val="left" w:pos="312"/>
        </w:tabs>
        <w:ind w:left="0" w:firstLine="0"/>
      </w:pPr>
      <w:rPr>
        <w:rFonts w:hint="default"/>
      </w:rPr>
    </w:lvl>
    <w:lvl w:ilvl="2">
      <w:start w:val="1"/>
      <w:numFmt w:val="decimal"/>
      <w:lvlText w:val="%1.%2.%3."/>
      <w:lvlJc w:val="left"/>
      <w:pPr>
        <w:tabs>
          <w:tab w:val="left" w:pos="312"/>
        </w:tabs>
        <w:ind w:left="0" w:firstLine="0"/>
      </w:pPr>
      <w:rPr>
        <w:rFonts w:hint="default"/>
      </w:rPr>
    </w:lvl>
    <w:lvl w:ilvl="3">
      <w:start w:val="1"/>
      <w:numFmt w:val="decimal"/>
      <w:lvlText w:val="%1.%2.%3.%4."/>
      <w:lvlJc w:val="left"/>
      <w:pPr>
        <w:tabs>
          <w:tab w:val="left" w:pos="312"/>
        </w:tabs>
        <w:ind w:left="0" w:firstLine="0"/>
      </w:pPr>
      <w:rPr>
        <w:rFonts w:hint="default"/>
      </w:rPr>
    </w:lvl>
    <w:lvl w:ilvl="4">
      <w:start w:val="1"/>
      <w:numFmt w:val="decimal"/>
      <w:lvlText w:val="%1.%2.%3.%4.%5."/>
      <w:lvlJc w:val="left"/>
      <w:pPr>
        <w:tabs>
          <w:tab w:val="left" w:pos="312"/>
        </w:tabs>
        <w:ind w:left="0" w:firstLine="0"/>
      </w:pPr>
      <w:rPr>
        <w:rFonts w:hint="default"/>
      </w:rPr>
    </w:lvl>
    <w:lvl w:ilvl="5">
      <w:start w:val="1"/>
      <w:numFmt w:val="decimal"/>
      <w:lvlText w:val="%1.%2.%3.%4.%5.%6."/>
      <w:lvlJc w:val="left"/>
      <w:pPr>
        <w:tabs>
          <w:tab w:val="left" w:pos="312"/>
        </w:tabs>
        <w:ind w:left="0" w:firstLine="0"/>
      </w:pPr>
      <w:rPr>
        <w:rFonts w:hint="default"/>
      </w:rPr>
    </w:lvl>
    <w:lvl w:ilvl="6">
      <w:start w:val="1"/>
      <w:numFmt w:val="decimal"/>
      <w:lvlText w:val="%1.%2.%3.%4.%5.%6.%7."/>
      <w:lvlJc w:val="left"/>
      <w:pPr>
        <w:tabs>
          <w:tab w:val="left" w:pos="312"/>
        </w:tabs>
        <w:ind w:left="0" w:firstLine="0"/>
      </w:pPr>
      <w:rPr>
        <w:rFonts w:hint="default"/>
      </w:rPr>
    </w:lvl>
    <w:lvl w:ilvl="7">
      <w:start w:val="1"/>
      <w:numFmt w:val="decimal"/>
      <w:lvlText w:val="%1.%2.%3.%4.%5.%6.%7.%8."/>
      <w:lvlJc w:val="left"/>
      <w:pPr>
        <w:tabs>
          <w:tab w:val="left" w:pos="312"/>
        </w:tabs>
        <w:ind w:left="0" w:firstLine="0"/>
      </w:pPr>
      <w:rPr>
        <w:rFonts w:hint="default"/>
      </w:rPr>
    </w:lvl>
    <w:lvl w:ilvl="8">
      <w:start w:val="1"/>
      <w:numFmt w:val="decimal"/>
      <w:lvlText w:val="%1.%2.%3.%4.%5.%6.%7.%8.%9."/>
      <w:lvlJc w:val="left"/>
      <w:pPr>
        <w:tabs>
          <w:tab w:val="left" w:pos="312"/>
        </w:tabs>
        <w:ind w:left="0" w:firstLine="0"/>
      </w:pPr>
      <w:rPr>
        <w:rFonts w:hint="default"/>
      </w:rPr>
    </w:lvl>
  </w:abstractNum>
  <w:num w:numId="1" w16cid:durableId="1230265994">
    <w:abstractNumId w:val="2"/>
  </w:num>
  <w:num w:numId="2" w16cid:durableId="1833832227">
    <w:abstractNumId w:val="0"/>
  </w:num>
  <w:num w:numId="3" w16cid:durableId="826164298">
    <w:abstractNumId w:val="3"/>
  </w:num>
  <w:num w:numId="4" w16cid:durableId="366181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A27"/>
    <w:rsid w:val="F6FF214B"/>
    <w:rsid w:val="F773E2DC"/>
    <w:rsid w:val="F7BFDF98"/>
    <w:rsid w:val="F975DCCB"/>
    <w:rsid w:val="FA7F9932"/>
    <w:rsid w:val="FCFEB7C4"/>
    <w:rsid w:val="FD9B364C"/>
    <w:rsid w:val="FDD70D23"/>
    <w:rsid w:val="FEEFEC63"/>
    <w:rsid w:val="FEF926BB"/>
    <w:rsid w:val="FF2F8EFA"/>
    <w:rsid w:val="FF7FACC9"/>
    <w:rsid w:val="FFE73F01"/>
    <w:rsid w:val="FFFD4CCF"/>
    <w:rsid w:val="000458F8"/>
    <w:rsid w:val="00077C28"/>
    <w:rsid w:val="000B5B12"/>
    <w:rsid w:val="000D4C0E"/>
    <w:rsid w:val="00102BBA"/>
    <w:rsid w:val="001451A5"/>
    <w:rsid w:val="00165F97"/>
    <w:rsid w:val="00172A27"/>
    <w:rsid w:val="00295FE8"/>
    <w:rsid w:val="002B1ACE"/>
    <w:rsid w:val="00347ABF"/>
    <w:rsid w:val="00374092"/>
    <w:rsid w:val="003A0BBF"/>
    <w:rsid w:val="003C4BBD"/>
    <w:rsid w:val="00411705"/>
    <w:rsid w:val="00423167"/>
    <w:rsid w:val="004D72BD"/>
    <w:rsid w:val="00513FEB"/>
    <w:rsid w:val="005D4565"/>
    <w:rsid w:val="006368D8"/>
    <w:rsid w:val="006552B9"/>
    <w:rsid w:val="00663A96"/>
    <w:rsid w:val="006E67E7"/>
    <w:rsid w:val="00730387"/>
    <w:rsid w:val="00751B92"/>
    <w:rsid w:val="0084373C"/>
    <w:rsid w:val="008B2821"/>
    <w:rsid w:val="009F4337"/>
    <w:rsid w:val="00A15E29"/>
    <w:rsid w:val="00A31D62"/>
    <w:rsid w:val="00A569B0"/>
    <w:rsid w:val="00B0398D"/>
    <w:rsid w:val="00B13F6B"/>
    <w:rsid w:val="00B868E8"/>
    <w:rsid w:val="00BA5D4C"/>
    <w:rsid w:val="00D628E9"/>
    <w:rsid w:val="00DA3E4B"/>
    <w:rsid w:val="00DB2186"/>
    <w:rsid w:val="00DB2E93"/>
    <w:rsid w:val="00E54710"/>
    <w:rsid w:val="00E547C3"/>
    <w:rsid w:val="00E644A2"/>
    <w:rsid w:val="00F036B0"/>
    <w:rsid w:val="00F11593"/>
    <w:rsid w:val="06200AB9"/>
    <w:rsid w:val="0BAB163D"/>
    <w:rsid w:val="154EB0B9"/>
    <w:rsid w:val="1EDF369F"/>
    <w:rsid w:val="241328EE"/>
    <w:rsid w:val="26707FC7"/>
    <w:rsid w:val="2E96AA94"/>
    <w:rsid w:val="2F1FC199"/>
    <w:rsid w:val="356FC6EE"/>
    <w:rsid w:val="3BDFE375"/>
    <w:rsid w:val="3BF774C9"/>
    <w:rsid w:val="3BFD7897"/>
    <w:rsid w:val="3CF377AE"/>
    <w:rsid w:val="3D769699"/>
    <w:rsid w:val="3DEEA2CC"/>
    <w:rsid w:val="3EB33FA8"/>
    <w:rsid w:val="3EF7106B"/>
    <w:rsid w:val="3FC9D076"/>
    <w:rsid w:val="3FFF2ED3"/>
    <w:rsid w:val="424EC6FB"/>
    <w:rsid w:val="46E6814F"/>
    <w:rsid w:val="50F0C0AA"/>
    <w:rsid w:val="57D8FBE3"/>
    <w:rsid w:val="57F7D6F4"/>
    <w:rsid w:val="58F788B0"/>
    <w:rsid w:val="5977DD49"/>
    <w:rsid w:val="5B3A33DD"/>
    <w:rsid w:val="5B3DF24F"/>
    <w:rsid w:val="5B73A0F5"/>
    <w:rsid w:val="5BFDE3CF"/>
    <w:rsid w:val="5C7DE6E7"/>
    <w:rsid w:val="5FBB2CD1"/>
    <w:rsid w:val="65C5D847"/>
    <w:rsid w:val="687A9E34"/>
    <w:rsid w:val="6FE9F271"/>
    <w:rsid w:val="6FEB3176"/>
    <w:rsid w:val="6FF3F55F"/>
    <w:rsid w:val="7378AC6D"/>
    <w:rsid w:val="745F3016"/>
    <w:rsid w:val="77879F3B"/>
    <w:rsid w:val="77DF795B"/>
    <w:rsid w:val="79A7A1A1"/>
    <w:rsid w:val="7A7FEDB6"/>
    <w:rsid w:val="7B6DC0CA"/>
    <w:rsid w:val="7B7A264F"/>
    <w:rsid w:val="7BE797E9"/>
    <w:rsid w:val="7DFD0411"/>
    <w:rsid w:val="7DFF0A5F"/>
    <w:rsid w:val="7EDDC2E5"/>
    <w:rsid w:val="7F7D4107"/>
    <w:rsid w:val="7FBDD309"/>
    <w:rsid w:val="7FD79F54"/>
    <w:rsid w:val="7FDA561E"/>
    <w:rsid w:val="7FEFE748"/>
    <w:rsid w:val="7FFBFF3E"/>
    <w:rsid w:val="7FFC715F"/>
    <w:rsid w:val="7FFF198C"/>
    <w:rsid w:val="7FFFE2D4"/>
    <w:rsid w:val="97E7DA34"/>
    <w:rsid w:val="9EEDFBAB"/>
    <w:rsid w:val="9F5E1C7E"/>
    <w:rsid w:val="9FB296AE"/>
    <w:rsid w:val="9FBD2BE0"/>
    <w:rsid w:val="ABDB25E0"/>
    <w:rsid w:val="ABFCF6BF"/>
    <w:rsid w:val="B56D33A9"/>
    <w:rsid w:val="BD5F7113"/>
    <w:rsid w:val="BDBFAD45"/>
    <w:rsid w:val="BDEDE0F0"/>
    <w:rsid w:val="BE9E7B67"/>
    <w:rsid w:val="BFBCAFC8"/>
    <w:rsid w:val="BFFF185D"/>
    <w:rsid w:val="CFCF7083"/>
    <w:rsid w:val="D9F3B7A1"/>
    <w:rsid w:val="EBFE6109"/>
    <w:rsid w:val="EDA6D3FE"/>
    <w:rsid w:val="EDFB8E2F"/>
    <w:rsid w:val="EEFF65C7"/>
    <w:rsid w:val="EFF201F1"/>
    <w:rsid w:val="F2BB1EA4"/>
    <w:rsid w:val="F2FFAC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A21C2B"/>
  <w15:docId w15:val="{F2F0D327-2985-C149-A3F0-D2C79D578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unhideWhenUsed="1" w:qFormat="1"/>
    <w:lsdException w:name="heading 5"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uiPriority="99"/>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Calibri" w:hAnsi="Calibri"/>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qFormat/>
    <w:pPr>
      <w:keepNext/>
      <w:keepLines/>
      <w:spacing w:before="260" w:after="260" w:line="413" w:lineRule="auto"/>
      <w:outlineLvl w:val="1"/>
    </w:pPr>
    <w:rPr>
      <w:rFonts w:ascii="Arial" w:eastAsia="黑体" w:hAnsi="Arial"/>
      <w:b/>
      <w:sz w:val="32"/>
    </w:rPr>
  </w:style>
  <w:style w:type="paragraph" w:styleId="3">
    <w:name w:val="heading 3"/>
    <w:basedOn w:val="a"/>
    <w:next w:val="a"/>
    <w:qFormat/>
    <w:pPr>
      <w:keepNext/>
      <w:keepLines/>
      <w:spacing w:before="260" w:after="260" w:line="413" w:lineRule="auto"/>
      <w:outlineLvl w:val="2"/>
    </w:pPr>
    <w:rPr>
      <w:b/>
      <w:sz w:val="32"/>
    </w:rPr>
  </w:style>
  <w:style w:type="paragraph" w:styleId="4">
    <w:name w:val="heading 4"/>
    <w:basedOn w:val="a"/>
    <w:next w:val="a"/>
    <w:link w:val="40"/>
    <w:unhideWhenUsed/>
    <w:qFormat/>
    <w:pPr>
      <w:keepNext/>
      <w:keepLines/>
      <w:spacing w:before="280" w:after="290" w:line="372" w:lineRule="auto"/>
      <w:outlineLvl w:val="3"/>
    </w:pPr>
    <w:rPr>
      <w:rFonts w:ascii="Arial" w:eastAsia="黑体" w:hAnsi="Arial"/>
      <w:b/>
      <w:sz w:val="28"/>
    </w:rPr>
  </w:style>
  <w:style w:type="paragraph" w:styleId="5">
    <w:name w:val="heading 5"/>
    <w:basedOn w:val="a"/>
    <w:next w:val="a"/>
    <w:unhideWhenUsed/>
    <w:qFormat/>
    <w:pPr>
      <w:keepNext/>
      <w:keepLines/>
      <w:spacing w:before="280" w:after="290" w:line="372" w:lineRule="auto"/>
      <w:outlineLvl w:val="4"/>
    </w:pPr>
    <w:rPr>
      <w:b/>
      <w:sz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pPr>
      <w:spacing w:beforeAutospacing="1" w:afterAutospacing="1"/>
      <w:jc w:val="left"/>
    </w:pPr>
    <w:rPr>
      <w:kern w:val="0"/>
      <w:sz w:val="24"/>
    </w:rPr>
  </w:style>
  <w:style w:type="character" w:styleId="a4">
    <w:name w:val="Strong"/>
    <w:basedOn w:val="a0"/>
    <w:uiPriority w:val="22"/>
    <w:qFormat/>
    <w:rPr>
      <w:b/>
    </w:rPr>
  </w:style>
  <w:style w:type="character" w:styleId="a5">
    <w:name w:val="Emphasis"/>
    <w:basedOn w:val="a0"/>
    <w:uiPriority w:val="20"/>
    <w:qFormat/>
    <w:rPr>
      <w:i/>
    </w:rPr>
  </w:style>
  <w:style w:type="character" w:styleId="a6">
    <w:name w:val="Hyperlink"/>
    <w:basedOn w:val="a0"/>
    <w:uiPriority w:val="99"/>
    <w:rPr>
      <w:color w:val="0000FF"/>
      <w:u w:val="single"/>
    </w:rPr>
  </w:style>
  <w:style w:type="paragraph" w:customStyle="1" w:styleId="p1">
    <w:name w:val="p1"/>
    <w:basedOn w:val="a"/>
    <w:rPr>
      <w:rFonts w:ascii=".applesystemuifont" w:eastAsia=".applesystemuifont" w:hAnsi=".applesystemuifont"/>
      <w:color w:val="0E0E0E"/>
      <w:sz w:val="28"/>
      <w:szCs w:val="28"/>
    </w:rPr>
  </w:style>
  <w:style w:type="character" w:customStyle="1" w:styleId="40">
    <w:name w:val="标题 4 字符"/>
    <w:link w:val="4"/>
    <w:rPr>
      <w:rFonts w:ascii="Arial" w:eastAsia="黑体" w:hAnsi="Arial"/>
      <w:b/>
      <w:sz w:val="28"/>
    </w:rPr>
  </w:style>
  <w:style w:type="character" w:customStyle="1" w:styleId="apple-converted-space">
    <w:name w:val="apple-converted-space"/>
    <w:basedOn w:val="a0"/>
    <w:rsid w:val="006368D8"/>
  </w:style>
  <w:style w:type="character" w:styleId="a7">
    <w:name w:val="FollowedHyperlink"/>
    <w:basedOn w:val="a0"/>
    <w:rsid w:val="006368D8"/>
    <w:rPr>
      <w:color w:val="954F72" w:themeColor="followedHyperlink"/>
      <w:u w:val="single"/>
    </w:rPr>
  </w:style>
  <w:style w:type="character" w:customStyle="1" w:styleId="anchor-text">
    <w:name w:val="anchor-text"/>
    <w:basedOn w:val="a0"/>
    <w:rsid w:val="00751B92"/>
  </w:style>
  <w:style w:type="character" w:customStyle="1" w:styleId="title-text">
    <w:name w:val="title-text"/>
    <w:basedOn w:val="a0"/>
    <w:rsid w:val="00751B92"/>
  </w:style>
  <w:style w:type="character" w:customStyle="1" w:styleId="given-name">
    <w:name w:val="given-name"/>
    <w:basedOn w:val="a0"/>
    <w:rsid w:val="00751B92"/>
  </w:style>
  <w:style w:type="character" w:customStyle="1" w:styleId="text">
    <w:name w:val="text"/>
    <w:basedOn w:val="a0"/>
    <w:rsid w:val="00751B92"/>
  </w:style>
  <w:style w:type="character" w:styleId="a8">
    <w:name w:val="Unresolved Mention"/>
    <w:basedOn w:val="a0"/>
    <w:uiPriority w:val="99"/>
    <w:semiHidden/>
    <w:unhideWhenUsed/>
    <w:rsid w:val="00751B92"/>
    <w:rPr>
      <w:color w:val="605E5C"/>
      <w:shd w:val="clear" w:color="auto" w:fill="E1DFDD"/>
    </w:rPr>
  </w:style>
  <w:style w:type="paragraph" w:styleId="a9">
    <w:name w:val="Title"/>
    <w:basedOn w:val="a"/>
    <w:next w:val="a"/>
    <w:link w:val="aa"/>
    <w:qFormat/>
    <w:rsid w:val="00165F97"/>
    <w:pPr>
      <w:spacing w:before="240" w:after="60"/>
      <w:jc w:val="center"/>
      <w:outlineLvl w:val="0"/>
    </w:pPr>
    <w:rPr>
      <w:rFonts w:asciiTheme="majorHAnsi" w:eastAsiaTheme="majorEastAsia" w:hAnsiTheme="majorHAnsi" w:cstheme="majorBidi"/>
      <w:b/>
      <w:bCs/>
      <w:sz w:val="32"/>
      <w:szCs w:val="32"/>
    </w:rPr>
  </w:style>
  <w:style w:type="character" w:customStyle="1" w:styleId="aa">
    <w:name w:val="标题 字符"/>
    <w:basedOn w:val="a0"/>
    <w:link w:val="a9"/>
    <w:rsid w:val="00165F97"/>
    <w:rPr>
      <w:rFonts w:asciiTheme="majorHAnsi" w:eastAsiaTheme="majorEastAsia" w:hAnsiTheme="majorHAnsi" w:cstheme="majorBidi"/>
      <w:b/>
      <w:bCs/>
      <w:kern w:val="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05389">
      <w:bodyDiv w:val="1"/>
      <w:marLeft w:val="0"/>
      <w:marRight w:val="0"/>
      <w:marTop w:val="0"/>
      <w:marBottom w:val="0"/>
      <w:divBdr>
        <w:top w:val="none" w:sz="0" w:space="0" w:color="auto"/>
        <w:left w:val="none" w:sz="0" w:space="0" w:color="auto"/>
        <w:bottom w:val="none" w:sz="0" w:space="0" w:color="auto"/>
        <w:right w:val="none" w:sz="0" w:space="0" w:color="auto"/>
      </w:divBdr>
    </w:div>
    <w:div w:id="224802589">
      <w:bodyDiv w:val="1"/>
      <w:marLeft w:val="0"/>
      <w:marRight w:val="0"/>
      <w:marTop w:val="0"/>
      <w:marBottom w:val="0"/>
      <w:divBdr>
        <w:top w:val="none" w:sz="0" w:space="0" w:color="auto"/>
        <w:left w:val="none" w:sz="0" w:space="0" w:color="auto"/>
        <w:bottom w:val="none" w:sz="0" w:space="0" w:color="auto"/>
        <w:right w:val="none" w:sz="0" w:space="0" w:color="auto"/>
      </w:divBdr>
    </w:div>
    <w:div w:id="306597370">
      <w:bodyDiv w:val="1"/>
      <w:marLeft w:val="0"/>
      <w:marRight w:val="0"/>
      <w:marTop w:val="0"/>
      <w:marBottom w:val="0"/>
      <w:divBdr>
        <w:top w:val="none" w:sz="0" w:space="0" w:color="auto"/>
        <w:left w:val="none" w:sz="0" w:space="0" w:color="auto"/>
        <w:bottom w:val="none" w:sz="0" w:space="0" w:color="auto"/>
        <w:right w:val="none" w:sz="0" w:space="0" w:color="auto"/>
      </w:divBdr>
    </w:div>
    <w:div w:id="634719867">
      <w:bodyDiv w:val="1"/>
      <w:marLeft w:val="0"/>
      <w:marRight w:val="0"/>
      <w:marTop w:val="0"/>
      <w:marBottom w:val="0"/>
      <w:divBdr>
        <w:top w:val="none" w:sz="0" w:space="0" w:color="auto"/>
        <w:left w:val="none" w:sz="0" w:space="0" w:color="auto"/>
        <w:bottom w:val="none" w:sz="0" w:space="0" w:color="auto"/>
        <w:right w:val="none" w:sz="0" w:space="0" w:color="auto"/>
      </w:divBdr>
    </w:div>
    <w:div w:id="981618689">
      <w:bodyDiv w:val="1"/>
      <w:marLeft w:val="0"/>
      <w:marRight w:val="0"/>
      <w:marTop w:val="0"/>
      <w:marBottom w:val="0"/>
      <w:divBdr>
        <w:top w:val="none" w:sz="0" w:space="0" w:color="auto"/>
        <w:left w:val="none" w:sz="0" w:space="0" w:color="auto"/>
        <w:bottom w:val="none" w:sz="0" w:space="0" w:color="auto"/>
        <w:right w:val="none" w:sz="0" w:space="0" w:color="auto"/>
      </w:divBdr>
    </w:div>
    <w:div w:id="1265923505">
      <w:bodyDiv w:val="1"/>
      <w:marLeft w:val="0"/>
      <w:marRight w:val="0"/>
      <w:marTop w:val="0"/>
      <w:marBottom w:val="0"/>
      <w:divBdr>
        <w:top w:val="none" w:sz="0" w:space="0" w:color="auto"/>
        <w:left w:val="none" w:sz="0" w:space="0" w:color="auto"/>
        <w:bottom w:val="none" w:sz="0" w:space="0" w:color="auto"/>
        <w:right w:val="none" w:sz="0" w:space="0" w:color="auto"/>
      </w:divBdr>
    </w:div>
    <w:div w:id="1279752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revistas.um.es/ijes/article/view/48251" TargetMode="External"/><Relationship Id="rId18" Type="http://schemas.openxmlformats.org/officeDocument/2006/relationships/hyperlink" Target="https://doi.org/10.1016/j.jeap.2010.02.013" TargetMode="External"/><Relationship Id="rId26" Type="http://schemas.openxmlformats.org/officeDocument/2006/relationships/hyperlink" Target="https://doi.org/10.1080/03075079812331380364" TargetMode="External"/><Relationship Id="rId39" Type="http://schemas.openxmlformats.org/officeDocument/2006/relationships/theme" Target="theme/theme1.xml"/><Relationship Id="rId21" Type="http://schemas.openxmlformats.org/officeDocument/2006/relationships/hyperlink" Target="https://doi.org/10.1080/09695940701272880" TargetMode="External"/><Relationship Id="rId34" Type="http://schemas.openxmlformats.org/officeDocument/2006/relationships/hyperlink" Target="https://doi.org/10.1016/j.jeap.2015.03.004" TargetMode="External"/><Relationship Id="rId7" Type="http://schemas.openxmlformats.org/officeDocument/2006/relationships/image" Target="media/image2.png"/><Relationship Id="rId12" Type="http://schemas.openxmlformats.org/officeDocument/2006/relationships/hyperlink" Target="https://doi.org/10.1177/0265532215625983" TargetMode="External"/><Relationship Id="rId17" Type="http://schemas.openxmlformats.org/officeDocument/2006/relationships/hyperlink" Target="https://doi.org/10.2307/3587951" TargetMode="External"/><Relationship Id="rId25" Type="http://schemas.openxmlformats.org/officeDocument/2006/relationships/hyperlink" Target="http://www.tesl-ej.org/" TargetMode="External"/><Relationship Id="rId33" Type="http://schemas.openxmlformats.org/officeDocument/2006/relationships/hyperlink" Target="https://doi.org/10.1016/j.jeap.2020.10086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93/applin/1.1.1" TargetMode="External"/><Relationship Id="rId20" Type="http://schemas.openxmlformats.org/officeDocument/2006/relationships/hyperlink" Target="https://doi.org/10.2307/3586500" TargetMode="External"/><Relationship Id="rId29" Type="http://schemas.openxmlformats.org/officeDocument/2006/relationships/hyperlink" Target="https://www.ielts.or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etheses.bham.ac.uk/7080/" TargetMode="External"/><Relationship Id="rId32" Type="http://schemas.openxmlformats.org/officeDocument/2006/relationships/hyperlink" Target="https://doi.org/10.38140/pie.v42i2.7830" TargetMode="External"/><Relationship Id="rId37" Type="http://schemas.openxmlformats.org/officeDocument/2006/relationships/hyperlink" Target="https://research.com/education" TargetMode="External"/><Relationship Id="rId5" Type="http://schemas.openxmlformats.org/officeDocument/2006/relationships/webSettings" Target="webSettings.xml"/><Relationship Id="rId15" Type="http://schemas.openxmlformats.org/officeDocument/2006/relationships/hyperlink" Target="http://repository.londonmet.ac.uk/156/" TargetMode="External"/><Relationship Id="rId23" Type="http://schemas.openxmlformats.org/officeDocument/2006/relationships/hyperlink" Target="https://doi.org/10.1016/j.jslw.2016.01.005" TargetMode="External"/><Relationship Id="rId28" Type="http://schemas.openxmlformats.org/officeDocument/2006/relationships/hyperlink" Target="https://doi.org/10.1016/j.jeap.2022.101129" TargetMode="External"/><Relationship Id="rId36" Type="http://schemas.openxmlformats.org/officeDocument/2006/relationships/hyperlink" Target="https://sites.middlebury.edu/academicadvisingresources/" TargetMode="External"/><Relationship Id="rId10" Type="http://schemas.openxmlformats.org/officeDocument/2006/relationships/image" Target="media/image4.png"/><Relationship Id="rId19" Type="http://schemas.openxmlformats.org/officeDocument/2006/relationships/hyperlink" Target="https://www.teachingenglish.org.uk" TargetMode="External"/><Relationship Id="rId31" Type="http://schemas.openxmlformats.org/officeDocument/2006/relationships/hyperlink" Target="http://www.uefap.com"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doi.org/10.1016/j.jeap.2005.12.001" TargetMode="External"/><Relationship Id="rId22" Type="http://schemas.openxmlformats.org/officeDocument/2006/relationships/hyperlink" Target="https://doi.org/10.1080/0309877X.2012.684036" TargetMode="External"/><Relationship Id="rId27" Type="http://schemas.openxmlformats.org/officeDocument/2006/relationships/hyperlink" Target="https://doi.org/10.1016/j.jeap.2015.05.002" TargetMode="External"/><Relationship Id="rId30" Type="http://schemas.openxmlformats.org/officeDocument/2006/relationships/hyperlink" Target="https://eprints.lancs.ac.uk/133508/" TargetMode="External"/><Relationship Id="rId35" Type="http://schemas.openxmlformats.org/officeDocument/2006/relationships/hyperlink" Target="https://doi.org/10.1177/2051415816650133" TargetMode="External"/><Relationship Id="rId8" Type="http://schemas.openxmlformats.org/officeDocument/2006/relationships/hyperlink" Target="https://library.latrobe.edu.au/ebureau/pdf/How-to-do-science.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83020-8162-9C41-BF13-6B40215A9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23</Pages>
  <Words>6806</Words>
  <Characters>38800</Characters>
  <Application>Microsoft Office Word</Application>
  <DocSecurity>0</DocSecurity>
  <Lines>323</Lines>
  <Paragraphs>91</Paragraphs>
  <ScaleCrop>false</ScaleCrop>
  <Company/>
  <LinksUpToDate>false</LinksUpToDate>
  <CharactersWithSpaces>45515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dc:creator>
  <cp:lastModifiedBy>Tao Peng (2411134)</cp:lastModifiedBy>
  <cp:revision>20</cp:revision>
  <dcterms:created xsi:type="dcterms:W3CDTF">2025-03-24T15:53:00Z</dcterms:created>
  <dcterms:modified xsi:type="dcterms:W3CDTF">2025-03-24T22:35:00Z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C409B2EC1BA5AAD89BCCC6674B7C79A4_41</vt:lpwstr>
  </property>
  <property fmtid="{D5CDD505-2E9C-101B-9397-08002B2CF9AE}" pid="4" name="ContentTypeId">
    <vt:lpwstr>0x010100332978FBD0EAF74FACDB1C5A1673B1C8</vt:lpwstr>
  </property>
  <property fmtid="{D5CDD505-2E9C-101B-9397-08002B2CF9AE}" pid="5" name="MediaServiceImageTags">
    <vt:lpwstr/>
  </property>
</Properties>
</file>