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BCD7D" w14:textId="6AEA272E" w:rsidR="001E4E20" w:rsidRPr="007F7695" w:rsidRDefault="007F7695" w:rsidP="007F7695">
      <w:pPr>
        <w:pStyle w:val="NoSpacing"/>
        <w:rPr>
          <w:rFonts w:ascii="Arial" w:hAnsi="Arial" w:cs="Arial"/>
          <w:sz w:val="24"/>
          <w:szCs w:val="24"/>
        </w:rPr>
      </w:pPr>
      <w:r w:rsidRPr="007F7695">
        <w:rPr>
          <w:rFonts w:ascii="Arial" w:hAnsi="Arial" w:cs="Arial"/>
          <w:sz w:val="24"/>
          <w:szCs w:val="24"/>
        </w:rPr>
        <w:t>University of Wales</w:t>
      </w:r>
    </w:p>
    <w:p w14:paraId="6ECDDED3" w14:textId="4A1FD2FC" w:rsidR="007F7695" w:rsidRPr="007F7695" w:rsidRDefault="007F7695" w:rsidP="007F7695">
      <w:pPr>
        <w:pStyle w:val="NoSpacing"/>
        <w:rPr>
          <w:rFonts w:ascii="Arial" w:hAnsi="Arial" w:cs="Arial"/>
          <w:sz w:val="24"/>
          <w:szCs w:val="24"/>
        </w:rPr>
      </w:pPr>
      <w:r w:rsidRPr="007F7695">
        <w:rPr>
          <w:rFonts w:ascii="Arial" w:hAnsi="Arial" w:cs="Arial"/>
          <w:sz w:val="24"/>
          <w:szCs w:val="24"/>
        </w:rPr>
        <w:t>Trinity Saint David</w:t>
      </w:r>
    </w:p>
    <w:p w14:paraId="6DA0BA81" w14:textId="5B30826B" w:rsidR="007F7695" w:rsidRPr="007F7695" w:rsidRDefault="007F7695" w:rsidP="007F7695">
      <w:pPr>
        <w:pStyle w:val="NoSpacing"/>
        <w:rPr>
          <w:rFonts w:ascii="Arial" w:hAnsi="Arial" w:cs="Arial"/>
          <w:sz w:val="24"/>
          <w:szCs w:val="24"/>
        </w:rPr>
      </w:pPr>
      <w:r w:rsidRPr="007F7695">
        <w:rPr>
          <w:rFonts w:ascii="Arial" w:hAnsi="Arial" w:cs="Arial"/>
          <w:sz w:val="24"/>
          <w:szCs w:val="24"/>
        </w:rPr>
        <w:t>London</w:t>
      </w:r>
    </w:p>
    <w:p w14:paraId="24C98939" w14:textId="77777777" w:rsidR="007F7695" w:rsidRDefault="007F7695">
      <w:pPr>
        <w:rPr>
          <w:rFonts w:ascii="Arial" w:hAnsi="Arial" w:cs="Arial"/>
          <w:sz w:val="28"/>
          <w:szCs w:val="28"/>
        </w:rPr>
      </w:pPr>
    </w:p>
    <w:p w14:paraId="7F40D2A3" w14:textId="77777777" w:rsidR="007F7695" w:rsidRDefault="007F7695">
      <w:pPr>
        <w:rPr>
          <w:rFonts w:ascii="Arial" w:hAnsi="Arial" w:cs="Arial"/>
          <w:sz w:val="28"/>
          <w:szCs w:val="28"/>
        </w:rPr>
      </w:pPr>
    </w:p>
    <w:p w14:paraId="75E13780" w14:textId="77777777" w:rsidR="007F7695" w:rsidRDefault="007F7695">
      <w:pPr>
        <w:rPr>
          <w:rFonts w:ascii="Arial" w:hAnsi="Arial" w:cs="Arial"/>
          <w:sz w:val="28"/>
          <w:szCs w:val="28"/>
        </w:rPr>
      </w:pPr>
    </w:p>
    <w:p w14:paraId="152D9D68" w14:textId="77777777" w:rsidR="007F7695" w:rsidRDefault="007F7695">
      <w:pPr>
        <w:rPr>
          <w:rFonts w:ascii="Arial" w:hAnsi="Arial" w:cs="Arial"/>
          <w:sz w:val="28"/>
          <w:szCs w:val="28"/>
        </w:rPr>
      </w:pPr>
    </w:p>
    <w:p w14:paraId="16966F0B" w14:textId="77777777" w:rsidR="007F7695" w:rsidRDefault="007F7695">
      <w:pPr>
        <w:rPr>
          <w:rFonts w:ascii="Arial" w:hAnsi="Arial" w:cs="Arial"/>
          <w:sz w:val="28"/>
          <w:szCs w:val="28"/>
        </w:rPr>
      </w:pPr>
    </w:p>
    <w:p w14:paraId="25E50DA9" w14:textId="77777777" w:rsidR="00C70DD3" w:rsidRDefault="00C70DD3" w:rsidP="007F7695">
      <w:pPr>
        <w:jc w:val="center"/>
        <w:rPr>
          <w:rFonts w:ascii="Arial" w:hAnsi="Arial" w:cs="Arial"/>
          <w:b/>
          <w:bCs/>
          <w:sz w:val="36"/>
          <w:szCs w:val="36"/>
        </w:rPr>
      </w:pPr>
    </w:p>
    <w:p w14:paraId="31125D78" w14:textId="77777777" w:rsidR="00C70DD3" w:rsidRDefault="00C70DD3" w:rsidP="007F7695">
      <w:pPr>
        <w:jc w:val="center"/>
        <w:rPr>
          <w:rFonts w:ascii="Arial" w:hAnsi="Arial" w:cs="Arial"/>
          <w:b/>
          <w:bCs/>
          <w:sz w:val="36"/>
          <w:szCs w:val="36"/>
        </w:rPr>
      </w:pPr>
    </w:p>
    <w:p w14:paraId="2C4B1EC3" w14:textId="5F49E63B" w:rsidR="007F7695" w:rsidRPr="007F7695" w:rsidRDefault="007F7695" w:rsidP="007F7695">
      <w:pPr>
        <w:jc w:val="center"/>
        <w:rPr>
          <w:rFonts w:ascii="Arial" w:hAnsi="Arial" w:cs="Arial"/>
          <w:b/>
          <w:bCs/>
          <w:sz w:val="36"/>
          <w:szCs w:val="36"/>
        </w:rPr>
      </w:pPr>
      <w:r w:rsidRPr="007F7695">
        <w:rPr>
          <w:rFonts w:ascii="Arial" w:hAnsi="Arial" w:cs="Arial"/>
          <w:b/>
          <w:bCs/>
          <w:sz w:val="36"/>
          <w:szCs w:val="36"/>
        </w:rPr>
        <w:t>International Business Communication</w:t>
      </w:r>
    </w:p>
    <w:p w14:paraId="417C5431" w14:textId="683EF023" w:rsidR="007F7695" w:rsidRPr="008B4F38" w:rsidRDefault="007F7695" w:rsidP="007F7695">
      <w:pPr>
        <w:spacing w:line="480" w:lineRule="auto"/>
        <w:jc w:val="center"/>
        <w:rPr>
          <w:rFonts w:ascii="Arial" w:hAnsi="Arial" w:cs="Arial"/>
          <w:i/>
          <w:iCs/>
          <w:sz w:val="28"/>
          <w:szCs w:val="28"/>
        </w:rPr>
      </w:pPr>
      <w:r w:rsidRPr="008B4F38">
        <w:rPr>
          <w:rFonts w:ascii="Arial" w:hAnsi="Arial" w:cs="Arial"/>
          <w:i/>
          <w:iCs/>
          <w:sz w:val="28"/>
          <w:szCs w:val="28"/>
        </w:rPr>
        <w:t>Component 2: Coursework: Essay</w:t>
      </w:r>
    </w:p>
    <w:p w14:paraId="724BEBFF" w14:textId="77777777" w:rsidR="007F7695" w:rsidRDefault="007F7695" w:rsidP="007F7695">
      <w:pPr>
        <w:spacing w:line="480" w:lineRule="auto"/>
        <w:jc w:val="center"/>
        <w:rPr>
          <w:rFonts w:ascii="Arial" w:hAnsi="Arial" w:cs="Arial"/>
          <w:sz w:val="36"/>
          <w:szCs w:val="36"/>
        </w:rPr>
      </w:pPr>
    </w:p>
    <w:p w14:paraId="336AE782" w14:textId="77777777" w:rsidR="007F7695" w:rsidRDefault="007F7695" w:rsidP="007F7695">
      <w:pPr>
        <w:spacing w:line="480" w:lineRule="auto"/>
        <w:jc w:val="center"/>
        <w:rPr>
          <w:rFonts w:ascii="Arial" w:hAnsi="Arial" w:cs="Arial"/>
          <w:sz w:val="36"/>
          <w:szCs w:val="36"/>
        </w:rPr>
      </w:pPr>
    </w:p>
    <w:p w14:paraId="01F19AC7" w14:textId="77777777" w:rsidR="00C70DD3" w:rsidRDefault="00C70DD3" w:rsidP="007F7695">
      <w:pPr>
        <w:pStyle w:val="NoSpacing"/>
        <w:rPr>
          <w:rFonts w:ascii="Arial" w:hAnsi="Arial" w:cs="Arial"/>
          <w:sz w:val="24"/>
          <w:szCs w:val="24"/>
        </w:rPr>
      </w:pPr>
    </w:p>
    <w:p w14:paraId="12A22A8F" w14:textId="77777777" w:rsidR="00C70DD3" w:rsidRDefault="00C70DD3" w:rsidP="007F7695">
      <w:pPr>
        <w:pStyle w:val="NoSpacing"/>
        <w:rPr>
          <w:rFonts w:ascii="Arial" w:hAnsi="Arial" w:cs="Arial"/>
          <w:sz w:val="24"/>
          <w:szCs w:val="24"/>
        </w:rPr>
      </w:pPr>
    </w:p>
    <w:p w14:paraId="367F0CA0" w14:textId="77777777" w:rsidR="00C70DD3" w:rsidRDefault="00C70DD3" w:rsidP="007F7695">
      <w:pPr>
        <w:pStyle w:val="NoSpacing"/>
        <w:rPr>
          <w:rFonts w:ascii="Arial" w:hAnsi="Arial" w:cs="Arial"/>
          <w:sz w:val="24"/>
          <w:szCs w:val="24"/>
        </w:rPr>
      </w:pPr>
    </w:p>
    <w:p w14:paraId="1E4E69D5" w14:textId="72475B1B" w:rsidR="007F7695" w:rsidRPr="00C70DD3" w:rsidRDefault="007F7695" w:rsidP="007F7695">
      <w:pPr>
        <w:pStyle w:val="NoSpacing"/>
        <w:rPr>
          <w:rFonts w:ascii="Arial" w:hAnsi="Arial" w:cs="Arial"/>
          <w:sz w:val="24"/>
          <w:szCs w:val="24"/>
        </w:rPr>
      </w:pPr>
      <w:r w:rsidRPr="00C70DD3">
        <w:rPr>
          <w:rFonts w:ascii="Arial" w:hAnsi="Arial" w:cs="Arial"/>
          <w:sz w:val="24"/>
          <w:szCs w:val="24"/>
        </w:rPr>
        <w:t>Student name: Silviya Stancheva</w:t>
      </w:r>
    </w:p>
    <w:p w14:paraId="640C59C3" w14:textId="5F8E554A" w:rsidR="007F7695" w:rsidRPr="00C70DD3" w:rsidRDefault="007F7695" w:rsidP="007F7695">
      <w:pPr>
        <w:pStyle w:val="NoSpacing"/>
        <w:rPr>
          <w:rFonts w:ascii="Arial" w:hAnsi="Arial" w:cs="Arial"/>
          <w:sz w:val="24"/>
          <w:szCs w:val="24"/>
        </w:rPr>
      </w:pPr>
      <w:r w:rsidRPr="00C70DD3">
        <w:rPr>
          <w:rFonts w:ascii="Arial" w:hAnsi="Arial" w:cs="Arial"/>
          <w:sz w:val="24"/>
          <w:szCs w:val="24"/>
        </w:rPr>
        <w:t>Student number: 2310452</w:t>
      </w:r>
    </w:p>
    <w:p w14:paraId="0A15EB31" w14:textId="7156E737" w:rsidR="007F7695" w:rsidRPr="00C70DD3" w:rsidRDefault="007F7695" w:rsidP="007F7695">
      <w:pPr>
        <w:pStyle w:val="NoSpacing"/>
        <w:rPr>
          <w:rFonts w:ascii="Arial" w:hAnsi="Arial" w:cs="Arial"/>
          <w:sz w:val="24"/>
          <w:szCs w:val="24"/>
        </w:rPr>
      </w:pPr>
      <w:r w:rsidRPr="00C70DD3">
        <w:rPr>
          <w:rFonts w:ascii="Arial" w:hAnsi="Arial" w:cs="Arial"/>
          <w:sz w:val="24"/>
          <w:szCs w:val="24"/>
        </w:rPr>
        <w:t>Modul code: LCBB6023</w:t>
      </w:r>
    </w:p>
    <w:p w14:paraId="18471BEE" w14:textId="2B418FAA" w:rsidR="007F7695" w:rsidRPr="00C70DD3" w:rsidRDefault="007F7695" w:rsidP="007F7695">
      <w:pPr>
        <w:pStyle w:val="NoSpacing"/>
        <w:rPr>
          <w:rFonts w:ascii="Arial" w:hAnsi="Arial" w:cs="Arial"/>
          <w:sz w:val="24"/>
          <w:szCs w:val="24"/>
        </w:rPr>
      </w:pPr>
      <w:r w:rsidRPr="00C70DD3">
        <w:rPr>
          <w:rFonts w:ascii="Arial" w:hAnsi="Arial" w:cs="Arial"/>
          <w:sz w:val="24"/>
          <w:szCs w:val="24"/>
        </w:rPr>
        <w:t>Modul name: International Business Communication</w:t>
      </w:r>
    </w:p>
    <w:p w14:paraId="4640491C" w14:textId="6CE336C7" w:rsidR="007F7695" w:rsidRPr="00C70DD3" w:rsidRDefault="007F7695" w:rsidP="007F7695">
      <w:pPr>
        <w:pStyle w:val="NoSpacing"/>
        <w:rPr>
          <w:rFonts w:ascii="Arial" w:hAnsi="Arial" w:cs="Arial"/>
          <w:sz w:val="24"/>
          <w:szCs w:val="24"/>
        </w:rPr>
      </w:pPr>
      <w:r w:rsidRPr="00C70DD3">
        <w:rPr>
          <w:rFonts w:ascii="Arial" w:hAnsi="Arial" w:cs="Arial"/>
          <w:sz w:val="24"/>
          <w:szCs w:val="24"/>
        </w:rPr>
        <w:t>Lecturer name: Gregory Cowan</w:t>
      </w:r>
    </w:p>
    <w:p w14:paraId="02A3C377" w14:textId="77777777" w:rsidR="007F7695" w:rsidRDefault="007F7695" w:rsidP="007F7695">
      <w:pPr>
        <w:spacing w:line="480" w:lineRule="auto"/>
        <w:rPr>
          <w:rFonts w:ascii="Arial" w:hAnsi="Arial" w:cs="Arial"/>
          <w:sz w:val="24"/>
          <w:szCs w:val="24"/>
        </w:rPr>
      </w:pPr>
    </w:p>
    <w:p w14:paraId="78026E17" w14:textId="77777777" w:rsidR="00C70DD3" w:rsidRDefault="00C70DD3" w:rsidP="007F7695">
      <w:pPr>
        <w:spacing w:line="480" w:lineRule="auto"/>
        <w:rPr>
          <w:rFonts w:ascii="Arial" w:hAnsi="Arial" w:cs="Arial"/>
          <w:sz w:val="24"/>
          <w:szCs w:val="24"/>
        </w:rPr>
      </w:pPr>
    </w:p>
    <w:p w14:paraId="76825A93" w14:textId="77777777" w:rsidR="00C70DD3" w:rsidRDefault="00C70DD3" w:rsidP="007F7695">
      <w:pPr>
        <w:spacing w:line="480" w:lineRule="auto"/>
        <w:rPr>
          <w:rFonts w:ascii="Arial" w:hAnsi="Arial" w:cs="Arial"/>
          <w:sz w:val="24"/>
          <w:szCs w:val="24"/>
        </w:rPr>
      </w:pPr>
    </w:p>
    <w:p w14:paraId="17DAAAAF" w14:textId="77777777" w:rsidR="00C70DD3" w:rsidRDefault="00C70DD3" w:rsidP="007F7695">
      <w:pPr>
        <w:spacing w:line="480" w:lineRule="auto"/>
        <w:rPr>
          <w:rFonts w:ascii="Arial" w:hAnsi="Arial" w:cs="Arial"/>
          <w:sz w:val="24"/>
          <w:szCs w:val="24"/>
        </w:rPr>
      </w:pPr>
    </w:p>
    <w:p w14:paraId="287AFD6C" w14:textId="77777777" w:rsidR="00C70DD3" w:rsidRDefault="00C70DD3" w:rsidP="007F7695">
      <w:pPr>
        <w:spacing w:line="480" w:lineRule="auto"/>
        <w:rPr>
          <w:rFonts w:ascii="Arial" w:hAnsi="Arial" w:cs="Arial"/>
          <w:sz w:val="24"/>
          <w:szCs w:val="24"/>
        </w:rPr>
      </w:pPr>
    </w:p>
    <w:sdt>
      <w:sdtPr>
        <w:rPr>
          <w:rFonts w:ascii="Arial" w:eastAsiaTheme="minorHAnsi" w:hAnsi="Arial" w:cstheme="minorBidi"/>
          <w:color w:val="auto"/>
          <w:sz w:val="24"/>
          <w:szCs w:val="22"/>
        </w:rPr>
        <w:id w:val="240920904"/>
        <w:docPartObj>
          <w:docPartGallery w:val="Table of Contents"/>
          <w:docPartUnique/>
        </w:docPartObj>
      </w:sdtPr>
      <w:sdtEndPr>
        <w:rPr>
          <w:rFonts w:asciiTheme="minorHAnsi" w:hAnsiTheme="minorHAnsi"/>
          <w:b/>
          <w:bCs/>
          <w:noProof/>
          <w:sz w:val="22"/>
          <w:lang w:val="en-GB"/>
        </w:rPr>
      </w:sdtEndPr>
      <w:sdtContent>
        <w:p w14:paraId="620D9659" w14:textId="77777777" w:rsidR="00C70DD3" w:rsidRPr="008B4F38" w:rsidRDefault="00C70DD3" w:rsidP="00C70DD3">
          <w:pPr>
            <w:pStyle w:val="TOCHeading"/>
            <w:rPr>
              <w:rFonts w:ascii="Arial" w:hAnsi="Arial" w:cs="Arial"/>
              <w:b/>
              <w:bCs/>
              <w:color w:val="000000" w:themeColor="text1"/>
              <w:sz w:val="28"/>
              <w:szCs w:val="28"/>
            </w:rPr>
          </w:pPr>
          <w:r w:rsidRPr="008B4F38">
            <w:rPr>
              <w:rFonts w:ascii="Arial" w:hAnsi="Arial" w:cs="Arial"/>
              <w:b/>
              <w:bCs/>
              <w:color w:val="000000" w:themeColor="text1"/>
              <w:sz w:val="28"/>
              <w:szCs w:val="28"/>
            </w:rPr>
            <w:t>Table of Contents</w:t>
          </w:r>
        </w:p>
        <w:p w14:paraId="6C5C8287" w14:textId="6E9E1A08" w:rsidR="008B4F38" w:rsidRDefault="00C70DD3">
          <w:pPr>
            <w:pStyle w:val="TOC1"/>
            <w:tabs>
              <w:tab w:val="right" w:leader="dot" w:pos="9016"/>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17146625" w:history="1">
            <w:r w:rsidR="008B4F38" w:rsidRPr="00046B7D">
              <w:rPr>
                <w:rStyle w:val="Hyperlink"/>
                <w:rFonts w:eastAsia="Times New Roman" w:cs="Times New Roman"/>
                <w:b/>
                <w:noProof/>
              </w:rPr>
              <w:t>Introduction</w:t>
            </w:r>
            <w:r w:rsidR="008B4F38">
              <w:rPr>
                <w:noProof/>
                <w:webHidden/>
              </w:rPr>
              <w:tab/>
            </w:r>
            <w:r w:rsidR="008B4F38">
              <w:rPr>
                <w:noProof/>
                <w:webHidden/>
              </w:rPr>
              <w:fldChar w:fldCharType="begin"/>
            </w:r>
            <w:r w:rsidR="008B4F38">
              <w:rPr>
                <w:noProof/>
                <w:webHidden/>
              </w:rPr>
              <w:instrText xml:space="preserve"> PAGEREF _Toc217146625 \h </w:instrText>
            </w:r>
            <w:r w:rsidR="008B4F38">
              <w:rPr>
                <w:noProof/>
                <w:webHidden/>
              </w:rPr>
            </w:r>
            <w:r w:rsidR="008B4F38">
              <w:rPr>
                <w:noProof/>
                <w:webHidden/>
              </w:rPr>
              <w:fldChar w:fldCharType="separate"/>
            </w:r>
            <w:r w:rsidR="008B4F38">
              <w:rPr>
                <w:noProof/>
                <w:webHidden/>
              </w:rPr>
              <w:t>3</w:t>
            </w:r>
            <w:r w:rsidR="008B4F38">
              <w:rPr>
                <w:noProof/>
                <w:webHidden/>
              </w:rPr>
              <w:fldChar w:fldCharType="end"/>
            </w:r>
          </w:hyperlink>
        </w:p>
        <w:p w14:paraId="340869DB" w14:textId="026B0895" w:rsidR="008B4F38" w:rsidRDefault="008B4F38">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7146626" w:history="1">
            <w:r w:rsidRPr="00046B7D">
              <w:rPr>
                <w:rStyle w:val="Hyperlink"/>
                <w:rFonts w:eastAsia="Times New Roman" w:cs="Times New Roman"/>
                <w:b/>
                <w:noProof/>
              </w:rPr>
              <w:t>Literature Review</w:t>
            </w:r>
            <w:r>
              <w:rPr>
                <w:noProof/>
                <w:webHidden/>
              </w:rPr>
              <w:tab/>
            </w:r>
            <w:r>
              <w:rPr>
                <w:noProof/>
                <w:webHidden/>
              </w:rPr>
              <w:fldChar w:fldCharType="begin"/>
            </w:r>
            <w:r>
              <w:rPr>
                <w:noProof/>
                <w:webHidden/>
              </w:rPr>
              <w:instrText xml:space="preserve"> PAGEREF _Toc217146626 \h </w:instrText>
            </w:r>
            <w:r>
              <w:rPr>
                <w:noProof/>
                <w:webHidden/>
              </w:rPr>
            </w:r>
            <w:r>
              <w:rPr>
                <w:noProof/>
                <w:webHidden/>
              </w:rPr>
              <w:fldChar w:fldCharType="separate"/>
            </w:r>
            <w:r>
              <w:rPr>
                <w:noProof/>
                <w:webHidden/>
              </w:rPr>
              <w:t>3</w:t>
            </w:r>
            <w:r>
              <w:rPr>
                <w:noProof/>
                <w:webHidden/>
              </w:rPr>
              <w:fldChar w:fldCharType="end"/>
            </w:r>
          </w:hyperlink>
        </w:p>
        <w:p w14:paraId="41D1D74B" w14:textId="09F62039" w:rsidR="008B4F38" w:rsidRDefault="008B4F38">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17146627" w:history="1">
            <w:r w:rsidRPr="00046B7D">
              <w:rPr>
                <w:rStyle w:val="Hyperlink"/>
                <w:rFonts w:eastAsia="Times New Roman" w:cs="Times New Roman"/>
                <w:b/>
                <w:i/>
                <w:noProof/>
              </w:rPr>
              <w:t>Hofstede’s Cultural Dimensions Theory</w:t>
            </w:r>
            <w:r>
              <w:rPr>
                <w:noProof/>
                <w:webHidden/>
              </w:rPr>
              <w:tab/>
            </w:r>
            <w:r>
              <w:rPr>
                <w:noProof/>
                <w:webHidden/>
              </w:rPr>
              <w:fldChar w:fldCharType="begin"/>
            </w:r>
            <w:r>
              <w:rPr>
                <w:noProof/>
                <w:webHidden/>
              </w:rPr>
              <w:instrText xml:space="preserve"> PAGEREF _Toc217146627 \h </w:instrText>
            </w:r>
            <w:r>
              <w:rPr>
                <w:noProof/>
                <w:webHidden/>
              </w:rPr>
            </w:r>
            <w:r>
              <w:rPr>
                <w:noProof/>
                <w:webHidden/>
              </w:rPr>
              <w:fldChar w:fldCharType="separate"/>
            </w:r>
            <w:r>
              <w:rPr>
                <w:noProof/>
                <w:webHidden/>
              </w:rPr>
              <w:t>3</w:t>
            </w:r>
            <w:r>
              <w:rPr>
                <w:noProof/>
                <w:webHidden/>
              </w:rPr>
              <w:fldChar w:fldCharType="end"/>
            </w:r>
          </w:hyperlink>
        </w:p>
        <w:p w14:paraId="2A3D1ED5" w14:textId="01FDF5D1" w:rsidR="008B4F38" w:rsidRDefault="008B4F38">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17146628" w:history="1">
            <w:r w:rsidRPr="00046B7D">
              <w:rPr>
                <w:rStyle w:val="Hyperlink"/>
                <w:rFonts w:eastAsia="Times New Roman" w:cs="Times New Roman"/>
                <w:b/>
                <w:i/>
                <w:noProof/>
              </w:rPr>
              <w:t>Samovar’s Intercultural Model</w:t>
            </w:r>
            <w:r>
              <w:rPr>
                <w:noProof/>
                <w:webHidden/>
              </w:rPr>
              <w:tab/>
            </w:r>
            <w:r>
              <w:rPr>
                <w:noProof/>
                <w:webHidden/>
              </w:rPr>
              <w:fldChar w:fldCharType="begin"/>
            </w:r>
            <w:r>
              <w:rPr>
                <w:noProof/>
                <w:webHidden/>
              </w:rPr>
              <w:instrText xml:space="preserve"> PAGEREF _Toc217146628 \h </w:instrText>
            </w:r>
            <w:r>
              <w:rPr>
                <w:noProof/>
                <w:webHidden/>
              </w:rPr>
            </w:r>
            <w:r>
              <w:rPr>
                <w:noProof/>
                <w:webHidden/>
              </w:rPr>
              <w:fldChar w:fldCharType="separate"/>
            </w:r>
            <w:r>
              <w:rPr>
                <w:noProof/>
                <w:webHidden/>
              </w:rPr>
              <w:t>4</w:t>
            </w:r>
            <w:r>
              <w:rPr>
                <w:noProof/>
                <w:webHidden/>
              </w:rPr>
              <w:fldChar w:fldCharType="end"/>
            </w:r>
          </w:hyperlink>
        </w:p>
        <w:p w14:paraId="05D488E8" w14:textId="5D889ECC" w:rsidR="008B4F38" w:rsidRDefault="008B4F38">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17146629" w:history="1">
            <w:r w:rsidRPr="00046B7D">
              <w:rPr>
                <w:rStyle w:val="Hyperlink"/>
                <w:rFonts w:eastAsia="Times New Roman" w:cs="Times New Roman"/>
                <w:b/>
                <w:i/>
                <w:noProof/>
              </w:rPr>
              <w:t>Gimenez’s Framework for International Business</w:t>
            </w:r>
            <w:r>
              <w:rPr>
                <w:noProof/>
                <w:webHidden/>
              </w:rPr>
              <w:tab/>
            </w:r>
            <w:r>
              <w:rPr>
                <w:noProof/>
                <w:webHidden/>
              </w:rPr>
              <w:fldChar w:fldCharType="begin"/>
            </w:r>
            <w:r>
              <w:rPr>
                <w:noProof/>
                <w:webHidden/>
              </w:rPr>
              <w:instrText xml:space="preserve"> PAGEREF _Toc217146629 \h </w:instrText>
            </w:r>
            <w:r>
              <w:rPr>
                <w:noProof/>
                <w:webHidden/>
              </w:rPr>
            </w:r>
            <w:r>
              <w:rPr>
                <w:noProof/>
                <w:webHidden/>
              </w:rPr>
              <w:fldChar w:fldCharType="separate"/>
            </w:r>
            <w:r>
              <w:rPr>
                <w:noProof/>
                <w:webHidden/>
              </w:rPr>
              <w:t>4</w:t>
            </w:r>
            <w:r>
              <w:rPr>
                <w:noProof/>
                <w:webHidden/>
              </w:rPr>
              <w:fldChar w:fldCharType="end"/>
            </w:r>
          </w:hyperlink>
        </w:p>
        <w:p w14:paraId="4594D03F" w14:textId="1B106973" w:rsidR="008B4F38" w:rsidRDefault="008B4F38">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17146630" w:history="1">
            <w:r w:rsidRPr="00046B7D">
              <w:rPr>
                <w:rStyle w:val="Hyperlink"/>
                <w:rFonts w:eastAsia="Times New Roman" w:cs="Times New Roman"/>
                <w:b/>
                <w:i/>
                <w:noProof/>
              </w:rPr>
              <w:t>Business English as a Lingua Franca (BELF)</w:t>
            </w:r>
            <w:r>
              <w:rPr>
                <w:noProof/>
                <w:webHidden/>
              </w:rPr>
              <w:tab/>
            </w:r>
            <w:r>
              <w:rPr>
                <w:noProof/>
                <w:webHidden/>
              </w:rPr>
              <w:fldChar w:fldCharType="begin"/>
            </w:r>
            <w:r>
              <w:rPr>
                <w:noProof/>
                <w:webHidden/>
              </w:rPr>
              <w:instrText xml:space="preserve"> PAGEREF _Toc217146630 \h </w:instrText>
            </w:r>
            <w:r>
              <w:rPr>
                <w:noProof/>
                <w:webHidden/>
              </w:rPr>
            </w:r>
            <w:r>
              <w:rPr>
                <w:noProof/>
                <w:webHidden/>
              </w:rPr>
              <w:fldChar w:fldCharType="separate"/>
            </w:r>
            <w:r>
              <w:rPr>
                <w:noProof/>
                <w:webHidden/>
              </w:rPr>
              <w:t>4</w:t>
            </w:r>
            <w:r>
              <w:rPr>
                <w:noProof/>
                <w:webHidden/>
              </w:rPr>
              <w:fldChar w:fldCharType="end"/>
            </w:r>
          </w:hyperlink>
        </w:p>
        <w:p w14:paraId="7905E1EA" w14:textId="1B08B117" w:rsidR="008B4F38" w:rsidRDefault="008B4F38">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7146631" w:history="1">
            <w:r w:rsidRPr="00046B7D">
              <w:rPr>
                <w:rStyle w:val="Hyperlink"/>
                <w:rFonts w:eastAsia="Times New Roman" w:cs="Times New Roman"/>
                <w:b/>
                <w:noProof/>
              </w:rPr>
              <w:t>Main Analysis</w:t>
            </w:r>
            <w:r>
              <w:rPr>
                <w:noProof/>
                <w:webHidden/>
              </w:rPr>
              <w:tab/>
            </w:r>
            <w:r>
              <w:rPr>
                <w:noProof/>
                <w:webHidden/>
              </w:rPr>
              <w:fldChar w:fldCharType="begin"/>
            </w:r>
            <w:r>
              <w:rPr>
                <w:noProof/>
                <w:webHidden/>
              </w:rPr>
              <w:instrText xml:space="preserve"> PAGEREF _Toc217146631 \h </w:instrText>
            </w:r>
            <w:r>
              <w:rPr>
                <w:noProof/>
                <w:webHidden/>
              </w:rPr>
            </w:r>
            <w:r>
              <w:rPr>
                <w:noProof/>
                <w:webHidden/>
              </w:rPr>
              <w:fldChar w:fldCharType="separate"/>
            </w:r>
            <w:r>
              <w:rPr>
                <w:noProof/>
                <w:webHidden/>
              </w:rPr>
              <w:t>5</w:t>
            </w:r>
            <w:r>
              <w:rPr>
                <w:noProof/>
                <w:webHidden/>
              </w:rPr>
              <w:fldChar w:fldCharType="end"/>
            </w:r>
          </w:hyperlink>
        </w:p>
        <w:p w14:paraId="71B8D6D3" w14:textId="09F6BC52" w:rsidR="008B4F38" w:rsidRDefault="008B4F38">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17146632" w:history="1">
            <w:r w:rsidRPr="00046B7D">
              <w:rPr>
                <w:rStyle w:val="Hyperlink"/>
                <w:rFonts w:eastAsia="Times New Roman" w:cs="Times New Roman"/>
                <w:b/>
                <w:i/>
                <w:noProof/>
              </w:rPr>
              <w:t>Toyota’s International Context</w:t>
            </w:r>
            <w:r>
              <w:rPr>
                <w:noProof/>
                <w:webHidden/>
              </w:rPr>
              <w:tab/>
            </w:r>
            <w:r>
              <w:rPr>
                <w:noProof/>
                <w:webHidden/>
              </w:rPr>
              <w:fldChar w:fldCharType="begin"/>
            </w:r>
            <w:r>
              <w:rPr>
                <w:noProof/>
                <w:webHidden/>
              </w:rPr>
              <w:instrText xml:space="preserve"> PAGEREF _Toc217146632 \h </w:instrText>
            </w:r>
            <w:r>
              <w:rPr>
                <w:noProof/>
                <w:webHidden/>
              </w:rPr>
            </w:r>
            <w:r>
              <w:rPr>
                <w:noProof/>
                <w:webHidden/>
              </w:rPr>
              <w:fldChar w:fldCharType="separate"/>
            </w:r>
            <w:r>
              <w:rPr>
                <w:noProof/>
                <w:webHidden/>
              </w:rPr>
              <w:t>5</w:t>
            </w:r>
            <w:r>
              <w:rPr>
                <w:noProof/>
                <w:webHidden/>
              </w:rPr>
              <w:fldChar w:fldCharType="end"/>
            </w:r>
          </w:hyperlink>
        </w:p>
        <w:p w14:paraId="5B165091" w14:textId="68A8E296" w:rsidR="008B4F38" w:rsidRDefault="008B4F38">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17146633" w:history="1">
            <w:r w:rsidRPr="00046B7D">
              <w:rPr>
                <w:rStyle w:val="Hyperlink"/>
                <w:rFonts w:eastAsia="Times New Roman" w:cs="Times New Roman"/>
                <w:b/>
                <w:i/>
                <w:noProof/>
              </w:rPr>
              <w:t>Cultural Communication Differences (Hofstede’s Framework)</w:t>
            </w:r>
            <w:r>
              <w:rPr>
                <w:noProof/>
                <w:webHidden/>
              </w:rPr>
              <w:tab/>
            </w:r>
            <w:r>
              <w:rPr>
                <w:noProof/>
                <w:webHidden/>
              </w:rPr>
              <w:fldChar w:fldCharType="begin"/>
            </w:r>
            <w:r>
              <w:rPr>
                <w:noProof/>
                <w:webHidden/>
              </w:rPr>
              <w:instrText xml:space="preserve"> PAGEREF _Toc217146633 \h </w:instrText>
            </w:r>
            <w:r>
              <w:rPr>
                <w:noProof/>
                <w:webHidden/>
              </w:rPr>
            </w:r>
            <w:r>
              <w:rPr>
                <w:noProof/>
                <w:webHidden/>
              </w:rPr>
              <w:fldChar w:fldCharType="separate"/>
            </w:r>
            <w:r>
              <w:rPr>
                <w:noProof/>
                <w:webHidden/>
              </w:rPr>
              <w:t>5</w:t>
            </w:r>
            <w:r>
              <w:rPr>
                <w:noProof/>
                <w:webHidden/>
              </w:rPr>
              <w:fldChar w:fldCharType="end"/>
            </w:r>
          </w:hyperlink>
        </w:p>
        <w:p w14:paraId="021DA485" w14:textId="34AE616E" w:rsidR="008B4F38" w:rsidRDefault="008B4F38">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17146634" w:history="1">
            <w:r w:rsidRPr="00046B7D">
              <w:rPr>
                <w:rStyle w:val="Hyperlink"/>
                <w:rFonts w:eastAsia="Times New Roman" w:cs="Times New Roman"/>
                <w:b/>
                <w:i/>
                <w:noProof/>
              </w:rPr>
              <w:t>Communication Barriers and Language Use (BELF Perspective)</w:t>
            </w:r>
            <w:r>
              <w:rPr>
                <w:noProof/>
                <w:webHidden/>
              </w:rPr>
              <w:tab/>
            </w:r>
            <w:r>
              <w:rPr>
                <w:noProof/>
                <w:webHidden/>
              </w:rPr>
              <w:fldChar w:fldCharType="begin"/>
            </w:r>
            <w:r>
              <w:rPr>
                <w:noProof/>
                <w:webHidden/>
              </w:rPr>
              <w:instrText xml:space="preserve"> PAGEREF _Toc217146634 \h </w:instrText>
            </w:r>
            <w:r>
              <w:rPr>
                <w:noProof/>
                <w:webHidden/>
              </w:rPr>
            </w:r>
            <w:r>
              <w:rPr>
                <w:noProof/>
                <w:webHidden/>
              </w:rPr>
              <w:fldChar w:fldCharType="separate"/>
            </w:r>
            <w:r>
              <w:rPr>
                <w:noProof/>
                <w:webHidden/>
              </w:rPr>
              <w:t>6</w:t>
            </w:r>
            <w:r>
              <w:rPr>
                <w:noProof/>
                <w:webHidden/>
              </w:rPr>
              <w:fldChar w:fldCharType="end"/>
            </w:r>
          </w:hyperlink>
        </w:p>
        <w:p w14:paraId="463D2DA0" w14:textId="4A54647F" w:rsidR="008B4F38" w:rsidRDefault="008B4F38">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17146635" w:history="1">
            <w:r w:rsidRPr="00046B7D">
              <w:rPr>
                <w:rStyle w:val="Hyperlink"/>
                <w:rFonts w:eastAsia="Times New Roman" w:cs="Times New Roman"/>
                <w:b/>
                <w:i/>
                <w:noProof/>
              </w:rPr>
              <w:t>Organisational Discourse and Intercultural Competence (Gimenez &amp; Samovar)</w:t>
            </w:r>
            <w:r>
              <w:rPr>
                <w:noProof/>
                <w:webHidden/>
              </w:rPr>
              <w:tab/>
            </w:r>
            <w:r>
              <w:rPr>
                <w:noProof/>
                <w:webHidden/>
              </w:rPr>
              <w:fldChar w:fldCharType="begin"/>
            </w:r>
            <w:r>
              <w:rPr>
                <w:noProof/>
                <w:webHidden/>
              </w:rPr>
              <w:instrText xml:space="preserve"> PAGEREF _Toc217146635 \h </w:instrText>
            </w:r>
            <w:r>
              <w:rPr>
                <w:noProof/>
                <w:webHidden/>
              </w:rPr>
            </w:r>
            <w:r>
              <w:rPr>
                <w:noProof/>
                <w:webHidden/>
              </w:rPr>
              <w:fldChar w:fldCharType="separate"/>
            </w:r>
            <w:r>
              <w:rPr>
                <w:noProof/>
                <w:webHidden/>
              </w:rPr>
              <w:t>7</w:t>
            </w:r>
            <w:r>
              <w:rPr>
                <w:noProof/>
                <w:webHidden/>
              </w:rPr>
              <w:fldChar w:fldCharType="end"/>
            </w:r>
          </w:hyperlink>
        </w:p>
        <w:p w14:paraId="340C2C85" w14:textId="77352A23" w:rsidR="008B4F38" w:rsidRDefault="008B4F38">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17146636" w:history="1">
            <w:r w:rsidRPr="00046B7D">
              <w:rPr>
                <w:rStyle w:val="Hyperlink"/>
                <w:rFonts w:eastAsia="Times New Roman" w:cs="Times New Roman"/>
                <w:b/>
                <w:i/>
                <w:noProof/>
              </w:rPr>
              <w:t>Strategic Communication Practices</w:t>
            </w:r>
            <w:r>
              <w:rPr>
                <w:noProof/>
                <w:webHidden/>
              </w:rPr>
              <w:tab/>
            </w:r>
            <w:r>
              <w:rPr>
                <w:noProof/>
                <w:webHidden/>
              </w:rPr>
              <w:fldChar w:fldCharType="begin"/>
            </w:r>
            <w:r>
              <w:rPr>
                <w:noProof/>
                <w:webHidden/>
              </w:rPr>
              <w:instrText xml:space="preserve"> PAGEREF _Toc217146636 \h </w:instrText>
            </w:r>
            <w:r>
              <w:rPr>
                <w:noProof/>
                <w:webHidden/>
              </w:rPr>
            </w:r>
            <w:r>
              <w:rPr>
                <w:noProof/>
                <w:webHidden/>
              </w:rPr>
              <w:fldChar w:fldCharType="separate"/>
            </w:r>
            <w:r>
              <w:rPr>
                <w:noProof/>
                <w:webHidden/>
              </w:rPr>
              <w:t>7</w:t>
            </w:r>
            <w:r>
              <w:rPr>
                <w:noProof/>
                <w:webHidden/>
              </w:rPr>
              <w:fldChar w:fldCharType="end"/>
            </w:r>
          </w:hyperlink>
        </w:p>
        <w:p w14:paraId="5214A92E" w14:textId="520A0878" w:rsidR="008B4F38" w:rsidRDefault="008B4F38">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17146637" w:history="1">
            <w:r w:rsidRPr="00046B7D">
              <w:rPr>
                <w:rStyle w:val="Hyperlink"/>
                <w:rFonts w:eastAsia="Times New Roman" w:cs="Times New Roman"/>
                <w:b/>
                <w:i/>
                <w:noProof/>
              </w:rPr>
              <w:t>Critical Evaluation</w:t>
            </w:r>
            <w:r>
              <w:rPr>
                <w:noProof/>
                <w:webHidden/>
              </w:rPr>
              <w:tab/>
            </w:r>
            <w:r>
              <w:rPr>
                <w:noProof/>
                <w:webHidden/>
              </w:rPr>
              <w:fldChar w:fldCharType="begin"/>
            </w:r>
            <w:r>
              <w:rPr>
                <w:noProof/>
                <w:webHidden/>
              </w:rPr>
              <w:instrText xml:space="preserve"> PAGEREF _Toc217146637 \h </w:instrText>
            </w:r>
            <w:r>
              <w:rPr>
                <w:noProof/>
                <w:webHidden/>
              </w:rPr>
            </w:r>
            <w:r>
              <w:rPr>
                <w:noProof/>
                <w:webHidden/>
              </w:rPr>
              <w:fldChar w:fldCharType="separate"/>
            </w:r>
            <w:r>
              <w:rPr>
                <w:noProof/>
                <w:webHidden/>
              </w:rPr>
              <w:t>8</w:t>
            </w:r>
            <w:r>
              <w:rPr>
                <w:noProof/>
                <w:webHidden/>
              </w:rPr>
              <w:fldChar w:fldCharType="end"/>
            </w:r>
          </w:hyperlink>
        </w:p>
        <w:p w14:paraId="7DAB32C2" w14:textId="533E36EB" w:rsidR="008B4F38" w:rsidRDefault="008B4F38">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7146638" w:history="1">
            <w:r w:rsidRPr="00046B7D">
              <w:rPr>
                <w:rStyle w:val="Hyperlink"/>
                <w:rFonts w:eastAsia="Times New Roman" w:cs="Times New Roman"/>
                <w:b/>
                <w:noProof/>
              </w:rPr>
              <w:t>Conclusion</w:t>
            </w:r>
            <w:r>
              <w:rPr>
                <w:noProof/>
                <w:webHidden/>
              </w:rPr>
              <w:tab/>
            </w:r>
            <w:r>
              <w:rPr>
                <w:noProof/>
                <w:webHidden/>
              </w:rPr>
              <w:fldChar w:fldCharType="begin"/>
            </w:r>
            <w:r>
              <w:rPr>
                <w:noProof/>
                <w:webHidden/>
              </w:rPr>
              <w:instrText xml:space="preserve"> PAGEREF _Toc217146638 \h </w:instrText>
            </w:r>
            <w:r>
              <w:rPr>
                <w:noProof/>
                <w:webHidden/>
              </w:rPr>
            </w:r>
            <w:r>
              <w:rPr>
                <w:noProof/>
                <w:webHidden/>
              </w:rPr>
              <w:fldChar w:fldCharType="separate"/>
            </w:r>
            <w:r>
              <w:rPr>
                <w:noProof/>
                <w:webHidden/>
              </w:rPr>
              <w:t>9</w:t>
            </w:r>
            <w:r>
              <w:rPr>
                <w:noProof/>
                <w:webHidden/>
              </w:rPr>
              <w:fldChar w:fldCharType="end"/>
            </w:r>
          </w:hyperlink>
        </w:p>
        <w:p w14:paraId="2BC72FA5" w14:textId="316E604D" w:rsidR="008B4F38" w:rsidRDefault="008B4F38">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17146639" w:history="1">
            <w:r w:rsidRPr="00046B7D">
              <w:rPr>
                <w:rStyle w:val="Hyperlink"/>
                <w:rFonts w:eastAsia="Times New Roman" w:cs="Times New Roman"/>
                <w:b/>
                <w:noProof/>
              </w:rPr>
              <w:t>References</w:t>
            </w:r>
            <w:r>
              <w:rPr>
                <w:noProof/>
                <w:webHidden/>
              </w:rPr>
              <w:tab/>
            </w:r>
            <w:r>
              <w:rPr>
                <w:noProof/>
                <w:webHidden/>
              </w:rPr>
              <w:fldChar w:fldCharType="begin"/>
            </w:r>
            <w:r>
              <w:rPr>
                <w:noProof/>
                <w:webHidden/>
              </w:rPr>
              <w:instrText xml:space="preserve"> PAGEREF _Toc217146639 \h </w:instrText>
            </w:r>
            <w:r>
              <w:rPr>
                <w:noProof/>
                <w:webHidden/>
              </w:rPr>
            </w:r>
            <w:r>
              <w:rPr>
                <w:noProof/>
                <w:webHidden/>
              </w:rPr>
              <w:fldChar w:fldCharType="separate"/>
            </w:r>
            <w:r>
              <w:rPr>
                <w:noProof/>
                <w:webHidden/>
              </w:rPr>
              <w:t>11</w:t>
            </w:r>
            <w:r>
              <w:rPr>
                <w:noProof/>
                <w:webHidden/>
              </w:rPr>
              <w:fldChar w:fldCharType="end"/>
            </w:r>
          </w:hyperlink>
        </w:p>
        <w:p w14:paraId="2B641A6E" w14:textId="137B8777" w:rsidR="00C70DD3" w:rsidRDefault="00C70DD3" w:rsidP="00C70DD3">
          <w:pPr>
            <w:spacing w:line="360" w:lineRule="auto"/>
            <w:rPr>
              <w:b/>
              <w:bCs/>
              <w:noProof/>
            </w:rPr>
          </w:pPr>
          <w:r>
            <w:rPr>
              <w:b/>
              <w:bCs/>
              <w:noProof/>
            </w:rPr>
            <w:fldChar w:fldCharType="end"/>
          </w:r>
        </w:p>
      </w:sdtContent>
    </w:sdt>
    <w:p w14:paraId="17E7A725" w14:textId="77777777" w:rsidR="00C70DD3" w:rsidRDefault="00C70DD3" w:rsidP="007F7695">
      <w:pPr>
        <w:spacing w:line="480" w:lineRule="auto"/>
        <w:rPr>
          <w:rFonts w:ascii="Arial" w:hAnsi="Arial" w:cs="Arial"/>
          <w:sz w:val="24"/>
          <w:szCs w:val="24"/>
        </w:rPr>
      </w:pPr>
    </w:p>
    <w:p w14:paraId="3BF9B9D9" w14:textId="77777777" w:rsidR="00C70DD3" w:rsidRDefault="00C70DD3" w:rsidP="007F7695">
      <w:pPr>
        <w:spacing w:line="480" w:lineRule="auto"/>
        <w:rPr>
          <w:rFonts w:ascii="Arial" w:hAnsi="Arial" w:cs="Arial"/>
          <w:sz w:val="24"/>
          <w:szCs w:val="24"/>
        </w:rPr>
      </w:pPr>
    </w:p>
    <w:p w14:paraId="32DDF7EA" w14:textId="77777777" w:rsidR="00C70DD3" w:rsidRDefault="00C70DD3" w:rsidP="007F7695">
      <w:pPr>
        <w:spacing w:line="480" w:lineRule="auto"/>
        <w:rPr>
          <w:rFonts w:ascii="Arial" w:hAnsi="Arial" w:cs="Arial"/>
          <w:sz w:val="24"/>
          <w:szCs w:val="24"/>
        </w:rPr>
      </w:pPr>
    </w:p>
    <w:p w14:paraId="30D0C90F" w14:textId="77777777" w:rsidR="00C70DD3" w:rsidRDefault="00C70DD3" w:rsidP="007F7695">
      <w:pPr>
        <w:spacing w:line="480" w:lineRule="auto"/>
        <w:rPr>
          <w:rFonts w:ascii="Arial" w:hAnsi="Arial" w:cs="Arial"/>
          <w:sz w:val="24"/>
          <w:szCs w:val="24"/>
        </w:rPr>
      </w:pPr>
    </w:p>
    <w:p w14:paraId="18753E68" w14:textId="77777777" w:rsidR="00C70DD3" w:rsidRDefault="00C70DD3" w:rsidP="007F7695">
      <w:pPr>
        <w:spacing w:line="480" w:lineRule="auto"/>
        <w:rPr>
          <w:rFonts w:ascii="Arial" w:hAnsi="Arial" w:cs="Arial"/>
          <w:sz w:val="24"/>
          <w:szCs w:val="24"/>
        </w:rPr>
      </w:pPr>
    </w:p>
    <w:p w14:paraId="303FB806" w14:textId="77777777" w:rsidR="00C70DD3" w:rsidRDefault="00C70DD3" w:rsidP="007F7695">
      <w:pPr>
        <w:spacing w:line="480" w:lineRule="auto"/>
        <w:rPr>
          <w:rFonts w:ascii="Arial" w:hAnsi="Arial" w:cs="Arial"/>
          <w:sz w:val="24"/>
          <w:szCs w:val="24"/>
        </w:rPr>
      </w:pPr>
    </w:p>
    <w:p w14:paraId="2C1BA422" w14:textId="77777777" w:rsidR="00C70DD3" w:rsidRDefault="00C70DD3" w:rsidP="007F7695">
      <w:pPr>
        <w:spacing w:line="480" w:lineRule="auto"/>
        <w:rPr>
          <w:rFonts w:ascii="Arial" w:hAnsi="Arial" w:cs="Arial"/>
          <w:sz w:val="24"/>
          <w:szCs w:val="24"/>
        </w:rPr>
      </w:pPr>
    </w:p>
    <w:p w14:paraId="3ACE748C" w14:textId="77777777" w:rsidR="00C70DD3" w:rsidRDefault="00C70DD3" w:rsidP="007F7695">
      <w:pPr>
        <w:spacing w:line="480" w:lineRule="auto"/>
        <w:rPr>
          <w:rFonts w:ascii="Arial" w:hAnsi="Arial" w:cs="Arial"/>
          <w:sz w:val="24"/>
          <w:szCs w:val="24"/>
        </w:rPr>
      </w:pPr>
    </w:p>
    <w:p w14:paraId="2E9C312D" w14:textId="77777777" w:rsidR="00C70DD3" w:rsidRPr="00C70DD3" w:rsidRDefault="00C70DD3" w:rsidP="00C70DD3">
      <w:pPr>
        <w:keepNext/>
        <w:keepLines/>
        <w:spacing w:before="360" w:after="80" w:line="360" w:lineRule="auto"/>
        <w:outlineLvl w:val="0"/>
        <w:rPr>
          <w:rFonts w:ascii="Arial" w:eastAsia="Times New Roman" w:hAnsi="Arial" w:cs="Times New Roman"/>
          <w:b/>
          <w:sz w:val="24"/>
          <w:szCs w:val="40"/>
          <w:lang w:val="en-US"/>
        </w:rPr>
      </w:pPr>
      <w:bookmarkStart w:id="0" w:name="_Toc217146625"/>
      <w:r w:rsidRPr="00C70DD3">
        <w:rPr>
          <w:rFonts w:ascii="Arial" w:eastAsia="Times New Roman" w:hAnsi="Arial" w:cs="Times New Roman"/>
          <w:b/>
          <w:sz w:val="24"/>
          <w:szCs w:val="40"/>
          <w:lang w:val="en-US"/>
        </w:rPr>
        <w:t>Introduction</w:t>
      </w:r>
      <w:bookmarkEnd w:id="0"/>
      <w:r w:rsidRPr="00C70DD3">
        <w:rPr>
          <w:rFonts w:ascii="Arial" w:eastAsia="Times New Roman" w:hAnsi="Arial" w:cs="Times New Roman"/>
          <w:b/>
          <w:sz w:val="24"/>
          <w:szCs w:val="40"/>
          <w:lang w:val="en-US"/>
        </w:rPr>
        <w:t xml:space="preserve"> </w:t>
      </w:r>
    </w:p>
    <w:p w14:paraId="39175BF9"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 xml:space="preserve">In the current </w:t>
      </w:r>
      <w:proofErr w:type="spellStart"/>
      <w:r w:rsidRPr="00C70DD3">
        <w:rPr>
          <w:rFonts w:ascii="Arial" w:eastAsia="Calibri" w:hAnsi="Arial" w:cs="Times New Roman"/>
          <w:sz w:val="24"/>
          <w:lang w:val="en-US"/>
        </w:rPr>
        <w:t>globalised</w:t>
      </w:r>
      <w:proofErr w:type="spellEnd"/>
      <w:r w:rsidRPr="00C70DD3">
        <w:rPr>
          <w:rFonts w:ascii="Arial" w:eastAsia="Calibri" w:hAnsi="Arial" w:cs="Times New Roman"/>
          <w:sz w:val="24"/>
          <w:lang w:val="en-US"/>
        </w:rPr>
        <w:t xml:space="preserve"> economy, cross-cultural communication has turned out to be a key success factor in multinational enterprises (MNEs). The trend of doing business across national borders means that managers and employees are expected to communicate in ways that overcome language, cultural and </w:t>
      </w:r>
      <w:proofErr w:type="spellStart"/>
      <w:r w:rsidRPr="00C70DD3">
        <w:rPr>
          <w:rFonts w:ascii="Arial" w:eastAsia="Calibri" w:hAnsi="Arial" w:cs="Times New Roman"/>
          <w:sz w:val="24"/>
          <w:lang w:val="en-US"/>
        </w:rPr>
        <w:t>behavioural</w:t>
      </w:r>
      <w:proofErr w:type="spellEnd"/>
      <w:r w:rsidRPr="00C70DD3">
        <w:rPr>
          <w:rFonts w:ascii="Arial" w:eastAsia="Calibri" w:hAnsi="Arial" w:cs="Times New Roman"/>
          <w:sz w:val="24"/>
          <w:lang w:val="en-US"/>
        </w:rPr>
        <w:t xml:space="preserve"> barriers. International business communication does not only involve the knowledge of the language; it also involves the knowledge of cultural expectations, negotiation patterns and interpersonal expectations (Samovar et al., 2017). Not acknowledging these differences might cause misunderstanding, conflicts and low </w:t>
      </w:r>
      <w:proofErr w:type="spellStart"/>
      <w:r w:rsidRPr="00C70DD3">
        <w:rPr>
          <w:rFonts w:ascii="Arial" w:eastAsia="Calibri" w:hAnsi="Arial" w:cs="Times New Roman"/>
          <w:sz w:val="24"/>
          <w:lang w:val="en-US"/>
        </w:rPr>
        <w:t>organisational</w:t>
      </w:r>
      <w:proofErr w:type="spellEnd"/>
      <w:r w:rsidRPr="00C70DD3">
        <w:rPr>
          <w:rFonts w:ascii="Arial" w:eastAsia="Calibri" w:hAnsi="Arial" w:cs="Times New Roman"/>
          <w:sz w:val="24"/>
          <w:lang w:val="en-US"/>
        </w:rPr>
        <w:t xml:space="preserve"> efficiency. This essay discusses cross cultural communication issues in Toyota Motor Corporation, a Japanese multinational motor manufacturing company that has branches in many countries around the world especially in the United Kingdom. Toyota can be considered a relevant example as the company has a diverse workforce, global supply chains, and cross-cultural management is significant between the company head office in Japan and its operations in the UK, including Toyota Motor Manufacturing UK (TMMUK).</w:t>
      </w:r>
    </w:p>
    <w:p w14:paraId="50302404"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 xml:space="preserve">The main research question of this essay is: </w:t>
      </w:r>
    </w:p>
    <w:p w14:paraId="61E28F02" w14:textId="77777777" w:rsidR="00C70DD3" w:rsidRPr="00C70DD3" w:rsidRDefault="00C70DD3" w:rsidP="00C70DD3">
      <w:pPr>
        <w:spacing w:line="360" w:lineRule="auto"/>
        <w:jc w:val="center"/>
        <w:rPr>
          <w:rFonts w:ascii="Arial" w:eastAsia="Calibri" w:hAnsi="Arial" w:cs="Times New Roman"/>
          <w:i/>
          <w:iCs/>
          <w:sz w:val="24"/>
          <w:lang w:val="en-US"/>
        </w:rPr>
      </w:pPr>
      <w:r w:rsidRPr="00C70DD3">
        <w:rPr>
          <w:rFonts w:ascii="Arial" w:eastAsia="Calibri" w:hAnsi="Arial" w:cs="Times New Roman"/>
          <w:i/>
          <w:iCs/>
          <w:sz w:val="24"/>
          <w:lang w:val="en-US"/>
        </w:rPr>
        <w:t>How cultural differences influence communication and negotiation in the international operations of Toyota and what strategies can international managers use to eliminate these obstacles?</w:t>
      </w:r>
    </w:p>
    <w:p w14:paraId="4B952C99"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The essay starts with a literature review of the major theories of intercultural communication such as the cultural dimensions, the cross-cultural communication framework by Hofstede, the international business discourse model by Gimenez and the Business English as lingua franca (BELF). The primary analysis will apply these theories to the UK-Japan situation of Toyota to discover challenges and strategies employed in dealing with them. The essay ends with some major thoughts and managerial lessons that effective communication in global business should be.</w:t>
      </w:r>
    </w:p>
    <w:p w14:paraId="34DCC080" w14:textId="77777777" w:rsidR="00C70DD3" w:rsidRPr="00C70DD3" w:rsidRDefault="00C70DD3" w:rsidP="00C70DD3">
      <w:pPr>
        <w:keepNext/>
        <w:keepLines/>
        <w:spacing w:before="360" w:after="80" w:line="360" w:lineRule="auto"/>
        <w:outlineLvl w:val="0"/>
        <w:rPr>
          <w:rFonts w:ascii="Arial" w:eastAsia="Times New Roman" w:hAnsi="Arial" w:cs="Times New Roman"/>
          <w:b/>
          <w:sz w:val="24"/>
          <w:szCs w:val="40"/>
          <w:lang w:val="en-US"/>
        </w:rPr>
      </w:pPr>
      <w:bookmarkStart w:id="1" w:name="_Toc217146626"/>
      <w:r w:rsidRPr="00C70DD3">
        <w:rPr>
          <w:rFonts w:ascii="Arial" w:eastAsia="Times New Roman" w:hAnsi="Arial" w:cs="Times New Roman"/>
          <w:b/>
          <w:sz w:val="24"/>
          <w:szCs w:val="40"/>
          <w:lang w:val="en-US"/>
        </w:rPr>
        <w:t>Literature Review</w:t>
      </w:r>
      <w:bookmarkEnd w:id="1"/>
      <w:r w:rsidRPr="00C70DD3">
        <w:rPr>
          <w:rFonts w:ascii="Arial" w:eastAsia="Times New Roman" w:hAnsi="Arial" w:cs="Times New Roman"/>
          <w:b/>
          <w:sz w:val="24"/>
          <w:szCs w:val="40"/>
          <w:lang w:val="en-US"/>
        </w:rPr>
        <w:t xml:space="preserve"> </w:t>
      </w:r>
    </w:p>
    <w:p w14:paraId="13D1BCF4"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 xml:space="preserve">Intercultural communication can be described as the process of sharing information between people pertaining to different cultures, in which </w:t>
      </w:r>
      <w:proofErr w:type="gramStart"/>
      <w:r w:rsidRPr="00C70DD3">
        <w:rPr>
          <w:rFonts w:ascii="Arial" w:eastAsia="Calibri" w:hAnsi="Arial" w:cs="Times New Roman"/>
          <w:sz w:val="24"/>
          <w:lang w:val="en-US"/>
        </w:rPr>
        <w:t>the mutual</w:t>
      </w:r>
      <w:proofErr w:type="gramEnd"/>
      <w:r w:rsidRPr="00C70DD3">
        <w:rPr>
          <w:rFonts w:ascii="Arial" w:eastAsia="Calibri" w:hAnsi="Arial" w:cs="Times New Roman"/>
          <w:sz w:val="24"/>
          <w:lang w:val="en-US"/>
        </w:rPr>
        <w:t xml:space="preserve"> understanding can be impaired by the differences in values, language, and communication patterns (Samovar et al., 2017). In </w:t>
      </w:r>
      <w:proofErr w:type="gramStart"/>
      <w:r w:rsidRPr="00C70DD3">
        <w:rPr>
          <w:rFonts w:ascii="Arial" w:eastAsia="Calibri" w:hAnsi="Arial" w:cs="Times New Roman"/>
          <w:sz w:val="24"/>
          <w:lang w:val="en-US"/>
        </w:rPr>
        <w:t>the international</w:t>
      </w:r>
      <w:proofErr w:type="gramEnd"/>
      <w:r w:rsidRPr="00C70DD3">
        <w:rPr>
          <w:rFonts w:ascii="Arial" w:eastAsia="Calibri" w:hAnsi="Arial" w:cs="Times New Roman"/>
          <w:sz w:val="24"/>
          <w:lang w:val="en-US"/>
        </w:rPr>
        <w:t xml:space="preserve"> business, these types of communication are the basis of cross-border negotiation, leadership and teamwork (Gimenez, 2002).</w:t>
      </w:r>
    </w:p>
    <w:p w14:paraId="704A96EF" w14:textId="77777777" w:rsidR="00C70DD3" w:rsidRPr="00C70DD3" w:rsidRDefault="00C70DD3" w:rsidP="00C70DD3">
      <w:pPr>
        <w:keepNext/>
        <w:keepLines/>
        <w:spacing w:before="160" w:after="80" w:line="360" w:lineRule="auto"/>
        <w:outlineLvl w:val="1"/>
        <w:rPr>
          <w:rFonts w:ascii="Arial" w:eastAsia="Times New Roman" w:hAnsi="Arial" w:cs="Times New Roman"/>
          <w:b/>
          <w:i/>
          <w:sz w:val="24"/>
          <w:szCs w:val="32"/>
          <w:lang w:val="en-US"/>
        </w:rPr>
      </w:pPr>
      <w:bookmarkStart w:id="2" w:name="_Toc217146627"/>
      <w:r w:rsidRPr="00C70DD3">
        <w:rPr>
          <w:rFonts w:ascii="Arial" w:eastAsia="Times New Roman" w:hAnsi="Arial" w:cs="Times New Roman"/>
          <w:b/>
          <w:i/>
          <w:sz w:val="24"/>
          <w:szCs w:val="32"/>
          <w:lang w:val="en-US"/>
        </w:rPr>
        <w:t>Hofstede’s Cultural Dimensions Theory</w:t>
      </w:r>
      <w:bookmarkEnd w:id="2"/>
    </w:p>
    <w:p w14:paraId="788D34CC"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 xml:space="preserve">The Cultural Dimensions Theory of Hofstede is one of the most influential theories of explaining the differences in the cross-cultural context (Hofstede, 2001). Hofstede discovered that there are six dimensions which are power distance, individualism versus collectivism, masculinity versus femininity, uncertainty avoidance, long- term orientation, and indulgence versus restraint which describe the differences in cultures in terms of </w:t>
      </w:r>
      <w:proofErr w:type="spellStart"/>
      <w:r w:rsidRPr="00C70DD3">
        <w:rPr>
          <w:rFonts w:ascii="Arial" w:eastAsia="Calibri" w:hAnsi="Arial" w:cs="Times New Roman"/>
          <w:sz w:val="24"/>
          <w:lang w:val="en-US"/>
        </w:rPr>
        <w:t>behaviours</w:t>
      </w:r>
      <w:proofErr w:type="spellEnd"/>
      <w:r w:rsidRPr="00C70DD3">
        <w:rPr>
          <w:rFonts w:ascii="Arial" w:eastAsia="Calibri" w:hAnsi="Arial" w:cs="Times New Roman"/>
          <w:sz w:val="24"/>
          <w:lang w:val="en-US"/>
        </w:rPr>
        <w:t xml:space="preserve"> and communication at </w:t>
      </w:r>
      <w:proofErr w:type="gramStart"/>
      <w:r w:rsidRPr="00C70DD3">
        <w:rPr>
          <w:rFonts w:ascii="Arial" w:eastAsia="Calibri" w:hAnsi="Arial" w:cs="Times New Roman"/>
          <w:sz w:val="24"/>
          <w:lang w:val="en-US"/>
        </w:rPr>
        <w:t>work place</w:t>
      </w:r>
      <w:proofErr w:type="gramEnd"/>
      <w:r w:rsidRPr="00C70DD3">
        <w:rPr>
          <w:rFonts w:ascii="Arial" w:eastAsia="Calibri" w:hAnsi="Arial" w:cs="Times New Roman"/>
          <w:sz w:val="24"/>
          <w:lang w:val="en-US"/>
        </w:rPr>
        <w:t>. On the example of Japan, uncertainty avoidance and long-term orientation are high, which means that people prefer stability and controlled access to information, whereas in the UK, individualism is higher and power distance lower, which means that people favor egalitarian and direct communication (The Culture Factor Group, 2025).</w:t>
      </w:r>
    </w:p>
    <w:p w14:paraId="5C2F7E8D" w14:textId="77777777" w:rsidR="00C70DD3" w:rsidRPr="00C70DD3" w:rsidRDefault="00C70DD3" w:rsidP="00C70DD3">
      <w:pPr>
        <w:keepNext/>
        <w:spacing w:line="360" w:lineRule="auto"/>
        <w:jc w:val="center"/>
        <w:rPr>
          <w:rFonts w:ascii="Arial" w:eastAsia="Calibri" w:hAnsi="Arial" w:cs="Times New Roman"/>
          <w:sz w:val="24"/>
          <w:lang w:val="en-US"/>
        </w:rPr>
      </w:pPr>
      <w:r w:rsidRPr="00C70DD3">
        <w:rPr>
          <w:rFonts w:ascii="Arial" w:eastAsia="Calibri" w:hAnsi="Arial" w:cs="Times New Roman"/>
          <w:noProof/>
          <w:sz w:val="24"/>
          <w:lang w:val="en-US"/>
          <w14:ligatures w14:val="standardContextual"/>
        </w:rPr>
        <w:lastRenderedPageBreak/>
        <w:drawing>
          <wp:inline distT="0" distB="0" distL="0" distR="0" wp14:anchorId="51F48C63" wp14:editId="6CDD238E">
            <wp:extent cx="5943600" cy="2915920"/>
            <wp:effectExtent l="0" t="0" r="0" b="0"/>
            <wp:docPr id="1677462201"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462201" name="Picture 1" descr="A graph of different colored bar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915920"/>
                    </a:xfrm>
                    <a:prstGeom prst="rect">
                      <a:avLst/>
                    </a:prstGeom>
                  </pic:spPr>
                </pic:pic>
              </a:graphicData>
            </a:graphic>
          </wp:inline>
        </w:drawing>
      </w:r>
    </w:p>
    <w:p w14:paraId="2516DE96" w14:textId="77777777" w:rsidR="00C70DD3" w:rsidRPr="00C70DD3" w:rsidRDefault="00C70DD3" w:rsidP="00C70DD3">
      <w:pPr>
        <w:spacing w:after="200" w:line="240" w:lineRule="auto"/>
        <w:jc w:val="center"/>
        <w:rPr>
          <w:rFonts w:ascii="Arial" w:eastAsia="Calibri" w:hAnsi="Arial" w:cs="Times New Roman"/>
          <w:i/>
          <w:iCs/>
          <w:color w:val="44546A"/>
          <w:sz w:val="18"/>
          <w:szCs w:val="18"/>
          <w:lang w:val="en-US"/>
        </w:rPr>
      </w:pPr>
      <w:r w:rsidRPr="00C70DD3">
        <w:rPr>
          <w:rFonts w:ascii="Arial" w:eastAsia="Calibri" w:hAnsi="Arial" w:cs="Times New Roman"/>
          <w:i/>
          <w:iCs/>
          <w:color w:val="44546A"/>
          <w:sz w:val="18"/>
          <w:szCs w:val="18"/>
          <w:lang w:val="en-US"/>
        </w:rPr>
        <w:t xml:space="preserve">Figure </w:t>
      </w:r>
      <w:r w:rsidRPr="00C70DD3">
        <w:rPr>
          <w:rFonts w:ascii="Arial" w:eastAsia="Calibri" w:hAnsi="Arial" w:cs="Times New Roman"/>
          <w:i/>
          <w:iCs/>
          <w:color w:val="44546A"/>
          <w:sz w:val="18"/>
          <w:szCs w:val="18"/>
          <w:lang w:val="en-US"/>
        </w:rPr>
        <w:fldChar w:fldCharType="begin"/>
      </w:r>
      <w:r w:rsidRPr="00C70DD3">
        <w:rPr>
          <w:rFonts w:ascii="Arial" w:eastAsia="Calibri" w:hAnsi="Arial" w:cs="Times New Roman"/>
          <w:i/>
          <w:iCs/>
          <w:color w:val="44546A"/>
          <w:sz w:val="18"/>
          <w:szCs w:val="18"/>
          <w:lang w:val="en-US"/>
        </w:rPr>
        <w:instrText xml:space="preserve"> SEQ Figure \* ARABIC </w:instrText>
      </w:r>
      <w:r w:rsidRPr="00C70DD3">
        <w:rPr>
          <w:rFonts w:ascii="Arial" w:eastAsia="Calibri" w:hAnsi="Arial" w:cs="Times New Roman"/>
          <w:i/>
          <w:iCs/>
          <w:color w:val="44546A"/>
          <w:sz w:val="18"/>
          <w:szCs w:val="18"/>
          <w:lang w:val="en-US"/>
        </w:rPr>
        <w:fldChar w:fldCharType="separate"/>
      </w:r>
      <w:r w:rsidRPr="00C70DD3">
        <w:rPr>
          <w:rFonts w:ascii="Arial" w:eastAsia="Calibri" w:hAnsi="Arial" w:cs="Times New Roman"/>
          <w:i/>
          <w:iCs/>
          <w:noProof/>
          <w:color w:val="44546A"/>
          <w:sz w:val="18"/>
          <w:szCs w:val="18"/>
          <w:lang w:val="en-US"/>
        </w:rPr>
        <w:t>1</w:t>
      </w:r>
      <w:r w:rsidRPr="00C70DD3">
        <w:rPr>
          <w:rFonts w:ascii="Arial" w:eastAsia="Calibri" w:hAnsi="Arial" w:cs="Times New Roman"/>
          <w:i/>
          <w:iCs/>
          <w:color w:val="44546A"/>
          <w:sz w:val="18"/>
          <w:szCs w:val="18"/>
          <w:lang w:val="en-US"/>
        </w:rPr>
        <w:fldChar w:fldCharType="end"/>
      </w:r>
      <w:r w:rsidRPr="00C70DD3">
        <w:rPr>
          <w:rFonts w:ascii="Arial" w:eastAsia="Calibri" w:hAnsi="Arial" w:cs="Times New Roman"/>
          <w:i/>
          <w:iCs/>
          <w:color w:val="44546A"/>
          <w:sz w:val="18"/>
          <w:szCs w:val="18"/>
          <w:lang w:val="en-US"/>
        </w:rPr>
        <w:t xml:space="preserve"> UK vs Japan (The Culture Factor Group, 2025)</w:t>
      </w:r>
    </w:p>
    <w:p w14:paraId="7965E187" w14:textId="77777777" w:rsidR="00C70DD3" w:rsidRPr="00C70DD3" w:rsidRDefault="00C70DD3" w:rsidP="00C70DD3">
      <w:pPr>
        <w:keepNext/>
        <w:keepLines/>
        <w:spacing w:before="160" w:after="80" w:line="360" w:lineRule="auto"/>
        <w:outlineLvl w:val="1"/>
        <w:rPr>
          <w:rFonts w:ascii="Arial" w:eastAsia="Times New Roman" w:hAnsi="Arial" w:cs="Times New Roman"/>
          <w:b/>
          <w:i/>
          <w:sz w:val="24"/>
          <w:szCs w:val="32"/>
          <w:lang w:val="en-US"/>
        </w:rPr>
      </w:pPr>
      <w:bookmarkStart w:id="3" w:name="_Toc217146628"/>
      <w:r w:rsidRPr="00C70DD3">
        <w:rPr>
          <w:rFonts w:ascii="Arial" w:eastAsia="Times New Roman" w:hAnsi="Arial" w:cs="Times New Roman"/>
          <w:b/>
          <w:i/>
          <w:sz w:val="24"/>
          <w:szCs w:val="32"/>
          <w:lang w:val="en-US"/>
        </w:rPr>
        <w:t>Samovar’s Intercultural Model</w:t>
      </w:r>
      <w:bookmarkEnd w:id="3"/>
    </w:p>
    <w:p w14:paraId="5489EB5B"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 xml:space="preserve">Samovar et al. (2017) expand on this knowledge by providing a model of intercultural communication competence, which puts an emphasis on cognitive, affective, and </w:t>
      </w:r>
      <w:proofErr w:type="spellStart"/>
      <w:r w:rsidRPr="00C70DD3">
        <w:rPr>
          <w:rFonts w:ascii="Arial" w:eastAsia="Calibri" w:hAnsi="Arial" w:cs="Times New Roman"/>
          <w:sz w:val="24"/>
          <w:lang w:val="en-US"/>
        </w:rPr>
        <w:t>behavioural</w:t>
      </w:r>
      <w:proofErr w:type="spellEnd"/>
      <w:r w:rsidRPr="00C70DD3">
        <w:rPr>
          <w:rFonts w:ascii="Arial" w:eastAsia="Calibri" w:hAnsi="Arial" w:cs="Times New Roman"/>
          <w:sz w:val="24"/>
          <w:lang w:val="en-US"/>
        </w:rPr>
        <w:t xml:space="preserve"> aspects of effective intercultural interactions. Cognitive competence is related to knowledge of cultural norms, affective competence is concerned with empathy and </w:t>
      </w:r>
      <w:proofErr w:type="gramStart"/>
      <w:r w:rsidRPr="00C70DD3">
        <w:rPr>
          <w:rFonts w:ascii="Arial" w:eastAsia="Calibri" w:hAnsi="Arial" w:cs="Times New Roman"/>
          <w:sz w:val="24"/>
          <w:lang w:val="en-US"/>
        </w:rPr>
        <w:t>adaptability</w:t>
      </w:r>
      <w:proofErr w:type="gramEnd"/>
      <w:r w:rsidRPr="00C70DD3">
        <w:rPr>
          <w:rFonts w:ascii="Arial" w:eastAsia="Calibri" w:hAnsi="Arial" w:cs="Times New Roman"/>
          <w:sz w:val="24"/>
          <w:lang w:val="en-US"/>
        </w:rPr>
        <w:t xml:space="preserve"> and </w:t>
      </w:r>
      <w:proofErr w:type="spellStart"/>
      <w:r w:rsidRPr="00C70DD3">
        <w:rPr>
          <w:rFonts w:ascii="Arial" w:eastAsia="Calibri" w:hAnsi="Arial" w:cs="Times New Roman"/>
          <w:sz w:val="24"/>
          <w:lang w:val="en-US"/>
        </w:rPr>
        <w:t>behavioural</w:t>
      </w:r>
      <w:proofErr w:type="spellEnd"/>
      <w:r w:rsidRPr="00C70DD3">
        <w:rPr>
          <w:rFonts w:ascii="Arial" w:eastAsia="Calibri" w:hAnsi="Arial" w:cs="Times New Roman"/>
          <w:sz w:val="24"/>
          <w:lang w:val="en-US"/>
        </w:rPr>
        <w:t xml:space="preserve"> competence is concerned with the application of proper verbal and non-verbal communication.</w:t>
      </w:r>
    </w:p>
    <w:p w14:paraId="4A16F0E1" w14:textId="77777777" w:rsidR="00C70DD3" w:rsidRPr="00C70DD3" w:rsidRDefault="00C70DD3" w:rsidP="00C70DD3">
      <w:pPr>
        <w:keepNext/>
        <w:keepLines/>
        <w:spacing w:before="160" w:after="80" w:line="360" w:lineRule="auto"/>
        <w:outlineLvl w:val="1"/>
        <w:rPr>
          <w:rFonts w:ascii="Arial" w:eastAsia="Times New Roman" w:hAnsi="Arial" w:cs="Times New Roman"/>
          <w:b/>
          <w:i/>
          <w:sz w:val="24"/>
          <w:szCs w:val="32"/>
          <w:lang w:val="en-US"/>
        </w:rPr>
      </w:pPr>
      <w:bookmarkStart w:id="4" w:name="_Toc217146629"/>
      <w:r w:rsidRPr="00C70DD3">
        <w:rPr>
          <w:rFonts w:ascii="Arial" w:eastAsia="Times New Roman" w:hAnsi="Arial" w:cs="Times New Roman"/>
          <w:b/>
          <w:i/>
          <w:sz w:val="24"/>
          <w:szCs w:val="32"/>
          <w:lang w:val="en-US"/>
        </w:rPr>
        <w:t>Gimenez’s Framework for International Business</w:t>
      </w:r>
      <w:bookmarkEnd w:id="4"/>
    </w:p>
    <w:p w14:paraId="6D23B403"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 xml:space="preserve">Gimenez (2002) underscores the fact that culture, besides influencing international business communication, </w:t>
      </w:r>
      <w:proofErr w:type="spellStart"/>
      <w:r w:rsidRPr="00C70DD3">
        <w:rPr>
          <w:rFonts w:ascii="Arial" w:eastAsia="Calibri" w:hAnsi="Arial" w:cs="Times New Roman"/>
          <w:sz w:val="24"/>
          <w:lang w:val="en-US"/>
        </w:rPr>
        <w:t>organisational</w:t>
      </w:r>
      <w:proofErr w:type="spellEnd"/>
      <w:r w:rsidRPr="00C70DD3">
        <w:rPr>
          <w:rFonts w:ascii="Arial" w:eastAsia="Calibri" w:hAnsi="Arial" w:cs="Times New Roman"/>
          <w:sz w:val="24"/>
          <w:lang w:val="en-US"/>
        </w:rPr>
        <w:t xml:space="preserve"> discourse also influences it. She differentiates between lingual and discursive competence whereby a professional should be able to adjust his/her communication style to fit global business standards such as reports, meetings and negotiations.</w:t>
      </w:r>
    </w:p>
    <w:p w14:paraId="0DBDD3D9" w14:textId="77777777" w:rsidR="00C70DD3" w:rsidRPr="00C70DD3" w:rsidRDefault="00C70DD3" w:rsidP="00C70DD3">
      <w:pPr>
        <w:keepNext/>
        <w:keepLines/>
        <w:spacing w:before="160" w:after="80" w:line="360" w:lineRule="auto"/>
        <w:outlineLvl w:val="1"/>
        <w:rPr>
          <w:rFonts w:ascii="Arial" w:eastAsia="Times New Roman" w:hAnsi="Arial" w:cs="Times New Roman"/>
          <w:b/>
          <w:i/>
          <w:sz w:val="24"/>
          <w:szCs w:val="32"/>
          <w:lang w:val="en-US"/>
        </w:rPr>
      </w:pPr>
      <w:bookmarkStart w:id="5" w:name="_Toc217146630"/>
      <w:r w:rsidRPr="00C70DD3">
        <w:rPr>
          <w:rFonts w:ascii="Arial" w:eastAsia="Times New Roman" w:hAnsi="Arial" w:cs="Times New Roman"/>
          <w:b/>
          <w:i/>
          <w:sz w:val="24"/>
          <w:szCs w:val="32"/>
          <w:lang w:val="en-US"/>
        </w:rPr>
        <w:t>Business English as a Lingua Franca (BELF)</w:t>
      </w:r>
      <w:bookmarkEnd w:id="5"/>
    </w:p>
    <w:p w14:paraId="4674EFF1"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 xml:space="preserve">The idea of Business English as lingua franca (BELF) has also become essential. According to </w:t>
      </w:r>
      <w:proofErr w:type="spellStart"/>
      <w:r w:rsidRPr="00C70DD3">
        <w:rPr>
          <w:rFonts w:ascii="Arial" w:eastAsia="Calibri" w:hAnsi="Arial" w:cs="Times New Roman"/>
          <w:sz w:val="24"/>
          <w:lang w:val="en-US"/>
        </w:rPr>
        <w:t>Louhiala</w:t>
      </w:r>
      <w:proofErr w:type="spellEnd"/>
      <w:r w:rsidRPr="00C70DD3">
        <w:rPr>
          <w:rFonts w:ascii="Arial" w:eastAsia="Calibri" w:hAnsi="Arial" w:cs="Times New Roman"/>
          <w:sz w:val="24"/>
          <w:lang w:val="en-US"/>
        </w:rPr>
        <w:t xml:space="preserve">-Salminen and </w:t>
      </w:r>
      <w:proofErr w:type="spellStart"/>
      <w:r w:rsidRPr="00C70DD3">
        <w:rPr>
          <w:rFonts w:ascii="Arial" w:eastAsia="Calibri" w:hAnsi="Arial" w:cs="Times New Roman"/>
          <w:sz w:val="24"/>
          <w:lang w:val="en-US"/>
        </w:rPr>
        <w:t>Kankaanranta</w:t>
      </w:r>
      <w:proofErr w:type="spellEnd"/>
      <w:r w:rsidRPr="00C70DD3">
        <w:rPr>
          <w:rFonts w:ascii="Arial" w:eastAsia="Calibri" w:hAnsi="Arial" w:cs="Times New Roman"/>
          <w:sz w:val="24"/>
          <w:lang w:val="en-US"/>
        </w:rPr>
        <w:t xml:space="preserve"> (2011), BELF is a term that is employed by speakers of other native languages in business situations when they communicate in English. BELF is more focused on clarity, mutual understanding and pragmatism, as opposed to grammatical perfection, as in native-speaker English. It </w:t>
      </w:r>
      <w:r w:rsidRPr="00C70DD3">
        <w:rPr>
          <w:rFonts w:ascii="Arial" w:eastAsia="Calibri" w:hAnsi="Arial" w:cs="Times New Roman"/>
          <w:sz w:val="24"/>
          <w:lang w:val="en-US"/>
        </w:rPr>
        <w:lastRenderedPageBreak/>
        <w:t xml:space="preserve">concerns especially the MNEs such as Toyota where English is commonly used as the corporate language among Japanese, British, and other foreigners. </w:t>
      </w:r>
    </w:p>
    <w:p w14:paraId="0F25CEAA"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 xml:space="preserve">The combination of these frameworks offers a platform on which communication in international </w:t>
      </w:r>
      <w:proofErr w:type="spellStart"/>
      <w:r w:rsidRPr="00C70DD3">
        <w:rPr>
          <w:rFonts w:ascii="Arial" w:eastAsia="Calibri" w:hAnsi="Arial" w:cs="Times New Roman"/>
          <w:sz w:val="24"/>
          <w:lang w:val="en-US"/>
        </w:rPr>
        <w:t>organisations</w:t>
      </w:r>
      <w:proofErr w:type="spellEnd"/>
      <w:r w:rsidRPr="00C70DD3">
        <w:rPr>
          <w:rFonts w:ascii="Arial" w:eastAsia="Calibri" w:hAnsi="Arial" w:cs="Times New Roman"/>
          <w:sz w:val="24"/>
          <w:lang w:val="en-US"/>
        </w:rPr>
        <w:t xml:space="preserve"> can be </w:t>
      </w:r>
      <w:proofErr w:type="spellStart"/>
      <w:r w:rsidRPr="00C70DD3">
        <w:rPr>
          <w:rFonts w:ascii="Arial" w:eastAsia="Calibri" w:hAnsi="Arial" w:cs="Times New Roman"/>
          <w:sz w:val="24"/>
          <w:lang w:val="en-US"/>
        </w:rPr>
        <w:t>analysed</w:t>
      </w:r>
      <w:proofErr w:type="spellEnd"/>
      <w:r w:rsidRPr="00C70DD3">
        <w:rPr>
          <w:rFonts w:ascii="Arial" w:eastAsia="Calibri" w:hAnsi="Arial" w:cs="Times New Roman"/>
          <w:sz w:val="24"/>
          <w:lang w:val="en-US"/>
        </w:rPr>
        <w:t xml:space="preserve">. Hofstede provides </w:t>
      </w:r>
      <w:proofErr w:type="gramStart"/>
      <w:r w:rsidRPr="00C70DD3">
        <w:rPr>
          <w:rFonts w:ascii="Arial" w:eastAsia="Calibri" w:hAnsi="Arial" w:cs="Times New Roman"/>
          <w:sz w:val="24"/>
          <w:lang w:val="en-US"/>
        </w:rPr>
        <w:t>the cultural</w:t>
      </w:r>
      <w:proofErr w:type="gramEnd"/>
      <w:r w:rsidRPr="00C70DD3">
        <w:rPr>
          <w:rFonts w:ascii="Arial" w:eastAsia="Calibri" w:hAnsi="Arial" w:cs="Times New Roman"/>
          <w:sz w:val="24"/>
          <w:lang w:val="en-US"/>
        </w:rPr>
        <w:t xml:space="preserve"> understanding, Samovar deals with </w:t>
      </w:r>
      <w:proofErr w:type="gramStart"/>
      <w:r w:rsidRPr="00C70DD3">
        <w:rPr>
          <w:rFonts w:ascii="Arial" w:eastAsia="Calibri" w:hAnsi="Arial" w:cs="Times New Roman"/>
          <w:sz w:val="24"/>
          <w:lang w:val="en-US"/>
        </w:rPr>
        <w:t>the competence</w:t>
      </w:r>
      <w:proofErr w:type="gramEnd"/>
      <w:r w:rsidRPr="00C70DD3">
        <w:rPr>
          <w:rFonts w:ascii="Arial" w:eastAsia="Calibri" w:hAnsi="Arial" w:cs="Times New Roman"/>
          <w:sz w:val="24"/>
          <w:lang w:val="en-US"/>
        </w:rPr>
        <w:t xml:space="preserve"> and adaptability, Gimenez concentrates on the </w:t>
      </w:r>
      <w:proofErr w:type="spellStart"/>
      <w:r w:rsidRPr="00C70DD3">
        <w:rPr>
          <w:rFonts w:ascii="Arial" w:eastAsia="Calibri" w:hAnsi="Arial" w:cs="Times New Roman"/>
          <w:sz w:val="24"/>
          <w:lang w:val="en-US"/>
        </w:rPr>
        <w:t>organisational</w:t>
      </w:r>
      <w:proofErr w:type="spellEnd"/>
      <w:r w:rsidRPr="00C70DD3">
        <w:rPr>
          <w:rFonts w:ascii="Arial" w:eastAsia="Calibri" w:hAnsi="Arial" w:cs="Times New Roman"/>
          <w:sz w:val="24"/>
          <w:lang w:val="en-US"/>
        </w:rPr>
        <w:t xml:space="preserve"> discourse and BELF </w:t>
      </w:r>
      <w:proofErr w:type="spellStart"/>
      <w:r w:rsidRPr="00C70DD3">
        <w:rPr>
          <w:rFonts w:ascii="Arial" w:eastAsia="Calibri" w:hAnsi="Arial" w:cs="Times New Roman"/>
          <w:sz w:val="24"/>
          <w:lang w:val="en-US"/>
        </w:rPr>
        <w:t>emphasises</w:t>
      </w:r>
      <w:proofErr w:type="spellEnd"/>
      <w:r w:rsidRPr="00C70DD3">
        <w:rPr>
          <w:rFonts w:ascii="Arial" w:eastAsia="Calibri" w:hAnsi="Arial" w:cs="Times New Roman"/>
          <w:sz w:val="24"/>
          <w:lang w:val="en-US"/>
        </w:rPr>
        <w:t xml:space="preserve"> linguistic pragmatism. Combined these theories are useful in describing the way communication obstacles arise within the cross-cultural business environment and the way that managers can implement their strategies to overcome them.</w:t>
      </w:r>
    </w:p>
    <w:p w14:paraId="387608A1" w14:textId="77777777" w:rsidR="00C70DD3" w:rsidRPr="00C70DD3" w:rsidRDefault="00C70DD3" w:rsidP="00C70DD3">
      <w:pPr>
        <w:keepNext/>
        <w:keepLines/>
        <w:spacing w:before="360" w:after="80" w:line="360" w:lineRule="auto"/>
        <w:outlineLvl w:val="0"/>
        <w:rPr>
          <w:rFonts w:ascii="Arial" w:eastAsia="Times New Roman" w:hAnsi="Arial" w:cs="Times New Roman"/>
          <w:b/>
          <w:sz w:val="24"/>
          <w:szCs w:val="40"/>
          <w:lang w:val="en-US"/>
        </w:rPr>
      </w:pPr>
      <w:bookmarkStart w:id="6" w:name="_Toc217146631"/>
      <w:r w:rsidRPr="00C70DD3">
        <w:rPr>
          <w:rFonts w:ascii="Arial" w:eastAsia="Times New Roman" w:hAnsi="Arial" w:cs="Times New Roman"/>
          <w:b/>
          <w:sz w:val="24"/>
          <w:szCs w:val="40"/>
          <w:lang w:val="en-US"/>
        </w:rPr>
        <w:t>Main Analysis</w:t>
      </w:r>
      <w:bookmarkEnd w:id="6"/>
      <w:r w:rsidRPr="00C70DD3">
        <w:rPr>
          <w:rFonts w:ascii="Arial" w:eastAsia="Times New Roman" w:hAnsi="Arial" w:cs="Times New Roman"/>
          <w:b/>
          <w:sz w:val="24"/>
          <w:szCs w:val="40"/>
          <w:lang w:val="en-US"/>
        </w:rPr>
        <w:t xml:space="preserve"> </w:t>
      </w:r>
    </w:p>
    <w:p w14:paraId="2335DD29" w14:textId="77777777" w:rsidR="00C70DD3" w:rsidRPr="00C70DD3" w:rsidRDefault="00C70DD3" w:rsidP="00C70DD3">
      <w:pPr>
        <w:keepNext/>
        <w:keepLines/>
        <w:spacing w:before="160" w:after="80" w:line="360" w:lineRule="auto"/>
        <w:outlineLvl w:val="1"/>
        <w:rPr>
          <w:rFonts w:ascii="Arial" w:eastAsia="Times New Roman" w:hAnsi="Arial" w:cs="Times New Roman"/>
          <w:b/>
          <w:i/>
          <w:sz w:val="24"/>
          <w:szCs w:val="32"/>
          <w:lang w:val="en-US"/>
        </w:rPr>
      </w:pPr>
      <w:bookmarkStart w:id="7" w:name="_Toc217146632"/>
      <w:r w:rsidRPr="00C70DD3">
        <w:rPr>
          <w:rFonts w:ascii="Arial" w:eastAsia="Times New Roman" w:hAnsi="Arial" w:cs="Times New Roman"/>
          <w:b/>
          <w:i/>
          <w:sz w:val="24"/>
          <w:szCs w:val="32"/>
          <w:lang w:val="en-US"/>
        </w:rPr>
        <w:t>Toyota’s International Context</w:t>
      </w:r>
      <w:bookmarkEnd w:id="7"/>
    </w:p>
    <w:p w14:paraId="64722B1C"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Toyota is a major automotive manufacturing company in the world and was founded in 1937 and has operations in over 170 countries. The corporation has more than 370,000 employees worldwide and a high representation in the UK by Toyota Motor Manufacturing UK (TMMUK) in Derbyshire and Deeside (Toyota, 2025). The international activity of Toyota demands constant communication between the Japanese headquarters and subsidiaries located in Europe which can frequently cause cultural and communicative issues. The international success of the company is greatly conditional on interaction between the Japanese and Western managers, whose cultural expectations and norms of communication significantly differ. Continuous improvement (Kaizen) and respect to people are underlying in Toyota management philosophy called the Toyota Way. Nonetheless, these principles should be translated into the Western setting with cultural sensitivity and adaptive communication patterns.</w:t>
      </w:r>
    </w:p>
    <w:p w14:paraId="0AECBA60" w14:textId="77777777" w:rsidR="00C70DD3" w:rsidRPr="00C70DD3" w:rsidRDefault="00C70DD3" w:rsidP="00C70DD3">
      <w:pPr>
        <w:keepNext/>
        <w:keepLines/>
        <w:spacing w:before="160" w:after="80" w:line="360" w:lineRule="auto"/>
        <w:outlineLvl w:val="1"/>
        <w:rPr>
          <w:rFonts w:ascii="Arial" w:eastAsia="Times New Roman" w:hAnsi="Arial" w:cs="Times New Roman"/>
          <w:b/>
          <w:i/>
          <w:sz w:val="24"/>
          <w:szCs w:val="32"/>
          <w:lang w:val="en-US"/>
        </w:rPr>
      </w:pPr>
      <w:bookmarkStart w:id="8" w:name="_Toc217146633"/>
      <w:r w:rsidRPr="00C70DD3">
        <w:rPr>
          <w:rFonts w:ascii="Arial" w:eastAsia="Times New Roman" w:hAnsi="Arial" w:cs="Times New Roman"/>
          <w:b/>
          <w:i/>
          <w:sz w:val="24"/>
          <w:szCs w:val="32"/>
          <w:lang w:val="en-US"/>
        </w:rPr>
        <w:t>Cultural Communication Differences (Hofstede’s Framework)</w:t>
      </w:r>
      <w:bookmarkEnd w:id="8"/>
    </w:p>
    <w:p w14:paraId="36B6A940"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Based on the culture dimensions developed by Hofstede, Japan and the UK are characterized by opposite cultural characteristics that determine workplace communication and style of negotiations. High power distance and uncertainty avoidance in Japan encourages hierarchical communication, indirect communication, and consensus-seeking. Japanese managers tend to communicate implicitly and prefer to use shared understanding (</w:t>
      </w:r>
      <w:proofErr w:type="spellStart"/>
      <w:r w:rsidRPr="00C70DD3">
        <w:rPr>
          <w:rFonts w:ascii="Arial" w:eastAsia="Calibri" w:hAnsi="Arial" w:cs="Times New Roman"/>
          <w:sz w:val="24"/>
          <w:lang w:val="en-US"/>
        </w:rPr>
        <w:t>Harzing</w:t>
      </w:r>
      <w:proofErr w:type="spellEnd"/>
      <w:r w:rsidRPr="00C70DD3">
        <w:rPr>
          <w:rFonts w:ascii="Arial" w:eastAsia="Calibri" w:hAnsi="Arial" w:cs="Times New Roman"/>
          <w:sz w:val="24"/>
          <w:lang w:val="en-US"/>
        </w:rPr>
        <w:t xml:space="preserve"> and Pudelko, 2016). Conversely, UK </w:t>
      </w:r>
      <w:r w:rsidRPr="00C70DD3">
        <w:rPr>
          <w:rFonts w:ascii="Arial" w:eastAsia="Calibri" w:hAnsi="Arial" w:cs="Times New Roman"/>
          <w:sz w:val="24"/>
          <w:lang w:val="en-US"/>
        </w:rPr>
        <w:lastRenderedPageBreak/>
        <w:t xml:space="preserve">managers are used to being direct, debating and holding oneself accountable since power distance is low and its individualism is high. Such discrepancies may lead to friction in communication. It is worth noting that, during meetings, Japanese people might regard a British as rude, and vice versa, Japanese people may be regarded as being evasive. During negotiations, the Japanese managers tend to build relationships and make group decisions over a long </w:t>
      </w:r>
      <w:proofErr w:type="gramStart"/>
      <w:r w:rsidRPr="00C70DD3">
        <w:rPr>
          <w:rFonts w:ascii="Arial" w:eastAsia="Calibri" w:hAnsi="Arial" w:cs="Times New Roman"/>
          <w:sz w:val="24"/>
          <w:lang w:val="en-US"/>
        </w:rPr>
        <w:t>term</w:t>
      </w:r>
      <w:proofErr w:type="gramEnd"/>
      <w:r w:rsidRPr="00C70DD3">
        <w:rPr>
          <w:rFonts w:ascii="Arial" w:eastAsia="Calibri" w:hAnsi="Arial" w:cs="Times New Roman"/>
          <w:sz w:val="24"/>
          <w:lang w:val="en-US"/>
        </w:rPr>
        <w:t xml:space="preserve"> and the UK negotiators are likely to focus on efficiency and agreement (Varner and Beamer, 2011). The </w:t>
      </w:r>
      <w:proofErr w:type="gramStart"/>
      <w:r w:rsidRPr="00C70DD3">
        <w:rPr>
          <w:rFonts w:ascii="Arial" w:eastAsia="Calibri" w:hAnsi="Arial" w:cs="Times New Roman"/>
          <w:sz w:val="24"/>
          <w:lang w:val="en-US"/>
        </w:rPr>
        <w:t>cross cultural</w:t>
      </w:r>
      <w:proofErr w:type="gramEnd"/>
      <w:r w:rsidRPr="00C70DD3">
        <w:rPr>
          <w:rFonts w:ascii="Arial" w:eastAsia="Calibri" w:hAnsi="Arial" w:cs="Times New Roman"/>
          <w:sz w:val="24"/>
          <w:lang w:val="en-US"/>
        </w:rPr>
        <w:t xml:space="preserve"> teams in Toyota should then be able to </w:t>
      </w:r>
      <w:proofErr w:type="spellStart"/>
      <w:r w:rsidRPr="00C70DD3">
        <w:rPr>
          <w:rFonts w:ascii="Arial" w:eastAsia="Calibri" w:hAnsi="Arial" w:cs="Times New Roman"/>
          <w:sz w:val="24"/>
          <w:lang w:val="en-US"/>
        </w:rPr>
        <w:t>manoeuvre</w:t>
      </w:r>
      <w:proofErr w:type="spellEnd"/>
      <w:r w:rsidRPr="00C70DD3">
        <w:rPr>
          <w:rFonts w:ascii="Arial" w:eastAsia="Calibri" w:hAnsi="Arial" w:cs="Times New Roman"/>
          <w:sz w:val="24"/>
          <w:lang w:val="en-US"/>
        </w:rPr>
        <w:t xml:space="preserve"> these conflicting styles. The miscommunication may arise </w:t>
      </w:r>
      <w:proofErr w:type="gramStart"/>
      <w:r w:rsidRPr="00C70DD3">
        <w:rPr>
          <w:rFonts w:ascii="Arial" w:eastAsia="Calibri" w:hAnsi="Arial" w:cs="Times New Roman"/>
          <w:sz w:val="24"/>
          <w:lang w:val="en-US"/>
        </w:rPr>
        <w:t>due to the fact that</w:t>
      </w:r>
      <w:proofErr w:type="gramEnd"/>
      <w:r w:rsidRPr="00C70DD3">
        <w:rPr>
          <w:rFonts w:ascii="Arial" w:eastAsia="Calibri" w:hAnsi="Arial" w:cs="Times New Roman"/>
          <w:sz w:val="24"/>
          <w:lang w:val="en-US"/>
        </w:rPr>
        <w:t xml:space="preserve"> British workers may wrongly interpret the lack of responses as a lack of interest, whereas in Japan, the lack of responses may be treated as the sign of respect and thinking (Samovar et al., 2017). It is important to note that these differences must be identified and adjusted to ensure the preservation of harmony and understanding in the international management of Toyota.</w:t>
      </w:r>
    </w:p>
    <w:p w14:paraId="1887D4D1" w14:textId="77777777" w:rsidR="00C70DD3" w:rsidRPr="00C70DD3" w:rsidRDefault="00C70DD3" w:rsidP="00C70DD3">
      <w:pPr>
        <w:keepNext/>
        <w:keepLines/>
        <w:spacing w:before="160" w:after="80" w:line="360" w:lineRule="auto"/>
        <w:outlineLvl w:val="1"/>
        <w:rPr>
          <w:rFonts w:ascii="Arial" w:eastAsia="Times New Roman" w:hAnsi="Arial" w:cs="Times New Roman"/>
          <w:b/>
          <w:i/>
          <w:sz w:val="24"/>
          <w:szCs w:val="32"/>
          <w:lang w:val="en-US"/>
        </w:rPr>
      </w:pPr>
      <w:bookmarkStart w:id="9" w:name="_Toc217146634"/>
      <w:r w:rsidRPr="00C70DD3">
        <w:rPr>
          <w:rFonts w:ascii="Arial" w:eastAsia="Times New Roman" w:hAnsi="Arial" w:cs="Times New Roman"/>
          <w:b/>
          <w:i/>
          <w:sz w:val="24"/>
          <w:szCs w:val="32"/>
          <w:lang w:val="en-US"/>
        </w:rPr>
        <w:t>Communication Barriers and Language Use (BELF Perspective)</w:t>
      </w:r>
      <w:bookmarkEnd w:id="9"/>
    </w:p>
    <w:p w14:paraId="2DFC243A"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 xml:space="preserve">With international partners, the lingua franca used by Toyota is English since it works worldwide. Nevertheless, non-native English speakers, in particular, Japanese workers can encounter language and cultural barriers to the ability to present complex thoughts in English without feeling insecure. As </w:t>
      </w:r>
      <w:proofErr w:type="spellStart"/>
      <w:r w:rsidRPr="00C70DD3">
        <w:rPr>
          <w:rFonts w:ascii="Arial" w:eastAsia="Calibri" w:hAnsi="Arial" w:cs="Times New Roman"/>
          <w:sz w:val="24"/>
          <w:lang w:val="en-US"/>
        </w:rPr>
        <w:t>Louhiala</w:t>
      </w:r>
      <w:proofErr w:type="spellEnd"/>
      <w:r w:rsidRPr="00C70DD3">
        <w:rPr>
          <w:rFonts w:ascii="Arial" w:eastAsia="Calibri" w:hAnsi="Arial" w:cs="Times New Roman"/>
          <w:sz w:val="24"/>
          <w:lang w:val="en-US"/>
        </w:rPr>
        <w:t xml:space="preserve">-Salminen and </w:t>
      </w:r>
      <w:proofErr w:type="spellStart"/>
      <w:r w:rsidRPr="00C70DD3">
        <w:rPr>
          <w:rFonts w:ascii="Arial" w:eastAsia="Calibri" w:hAnsi="Arial" w:cs="Times New Roman"/>
          <w:sz w:val="24"/>
          <w:lang w:val="en-US"/>
        </w:rPr>
        <w:t>Kankaanranta</w:t>
      </w:r>
      <w:proofErr w:type="spellEnd"/>
      <w:r w:rsidRPr="00C70DD3">
        <w:rPr>
          <w:rFonts w:ascii="Arial" w:eastAsia="Calibri" w:hAnsi="Arial" w:cs="Times New Roman"/>
          <w:sz w:val="24"/>
          <w:lang w:val="en-US"/>
        </w:rPr>
        <w:t xml:space="preserve"> (2011) observe, BELF communication is likely to bring about misunderstanding because of the differences in interpretation, tone, and cultural reference. The Toyota operations in the UK are largely done in English but there are minor language impediments. Japanese employees might not talk out because of accuracy or fear of offending others, and the UK employees might take over (</w:t>
      </w:r>
      <w:proofErr w:type="spellStart"/>
      <w:r w:rsidRPr="00C70DD3">
        <w:rPr>
          <w:rFonts w:ascii="Arial" w:eastAsia="Calibri" w:hAnsi="Arial" w:cs="Times New Roman"/>
          <w:sz w:val="24"/>
          <w:lang w:val="en-US"/>
        </w:rPr>
        <w:t>Harzing</w:t>
      </w:r>
      <w:proofErr w:type="spellEnd"/>
      <w:r w:rsidRPr="00C70DD3">
        <w:rPr>
          <w:rFonts w:ascii="Arial" w:eastAsia="Calibri" w:hAnsi="Arial" w:cs="Times New Roman"/>
          <w:sz w:val="24"/>
          <w:lang w:val="en-US"/>
        </w:rPr>
        <w:t xml:space="preserve"> and Feely, 2008). This kind of asymmetry may impede the full involvement of the Japanese managers in decision-making. Toyota has a strategic response such as giving Japanese employees training in English language and </w:t>
      </w:r>
      <w:proofErr w:type="gramStart"/>
      <w:r w:rsidRPr="00C70DD3">
        <w:rPr>
          <w:rFonts w:ascii="Arial" w:eastAsia="Calibri" w:hAnsi="Arial" w:cs="Times New Roman"/>
          <w:sz w:val="24"/>
          <w:lang w:val="en-US"/>
        </w:rPr>
        <w:t>cross cultural</w:t>
      </w:r>
      <w:proofErr w:type="gramEnd"/>
      <w:r w:rsidRPr="00C70DD3">
        <w:rPr>
          <w:rFonts w:ascii="Arial" w:eastAsia="Calibri" w:hAnsi="Arial" w:cs="Times New Roman"/>
          <w:sz w:val="24"/>
          <w:lang w:val="en-US"/>
        </w:rPr>
        <w:t xml:space="preserve"> awareness </w:t>
      </w:r>
      <w:proofErr w:type="spellStart"/>
      <w:r w:rsidRPr="00C70DD3">
        <w:rPr>
          <w:rFonts w:ascii="Arial" w:eastAsia="Calibri" w:hAnsi="Arial" w:cs="Times New Roman"/>
          <w:sz w:val="24"/>
          <w:lang w:val="en-US"/>
        </w:rPr>
        <w:t>programmes</w:t>
      </w:r>
      <w:proofErr w:type="spellEnd"/>
      <w:r w:rsidRPr="00C70DD3">
        <w:rPr>
          <w:rFonts w:ascii="Arial" w:eastAsia="Calibri" w:hAnsi="Arial" w:cs="Times New Roman"/>
          <w:sz w:val="24"/>
          <w:lang w:val="en-US"/>
        </w:rPr>
        <w:t xml:space="preserve"> to the UK employees. Another principle of BELF communication that the company promotes is the use of simple and clear English, which would guarantee understanding between people. In addition, the internal communication policy of Toyota accentuates the use of written summaries of the post-meeting results, which minimizes the chances of ambiguity and provides </w:t>
      </w:r>
      <w:r w:rsidRPr="00C70DD3">
        <w:rPr>
          <w:rFonts w:ascii="Arial" w:eastAsia="Calibri" w:hAnsi="Arial" w:cs="Times New Roman"/>
          <w:sz w:val="24"/>
          <w:lang w:val="en-US"/>
        </w:rPr>
        <w:lastRenderedPageBreak/>
        <w:t>everyone, irrespective of his or her linguistic background, with the understanding of the shared outcomes.</w:t>
      </w:r>
    </w:p>
    <w:p w14:paraId="3D0697CB" w14:textId="77777777" w:rsidR="00C70DD3" w:rsidRPr="00C70DD3" w:rsidRDefault="00C70DD3" w:rsidP="00C70DD3">
      <w:pPr>
        <w:keepNext/>
        <w:keepLines/>
        <w:spacing w:before="160" w:after="80" w:line="360" w:lineRule="auto"/>
        <w:outlineLvl w:val="1"/>
        <w:rPr>
          <w:rFonts w:ascii="Arial" w:eastAsia="Times New Roman" w:hAnsi="Arial" w:cs="Times New Roman"/>
          <w:b/>
          <w:i/>
          <w:sz w:val="24"/>
          <w:szCs w:val="32"/>
          <w:lang w:val="en-US"/>
        </w:rPr>
      </w:pPr>
      <w:bookmarkStart w:id="10" w:name="_Toc217146635"/>
      <w:proofErr w:type="spellStart"/>
      <w:r w:rsidRPr="00C70DD3">
        <w:rPr>
          <w:rFonts w:ascii="Arial" w:eastAsia="Times New Roman" w:hAnsi="Arial" w:cs="Times New Roman"/>
          <w:b/>
          <w:i/>
          <w:sz w:val="24"/>
          <w:szCs w:val="32"/>
          <w:lang w:val="en-US"/>
        </w:rPr>
        <w:t>Organisational</w:t>
      </w:r>
      <w:proofErr w:type="spellEnd"/>
      <w:r w:rsidRPr="00C70DD3">
        <w:rPr>
          <w:rFonts w:ascii="Arial" w:eastAsia="Times New Roman" w:hAnsi="Arial" w:cs="Times New Roman"/>
          <w:b/>
          <w:i/>
          <w:sz w:val="24"/>
          <w:szCs w:val="32"/>
          <w:lang w:val="en-US"/>
        </w:rPr>
        <w:t xml:space="preserve"> Discourse and Intercultural Competence (Gimenez &amp; Samovar)</w:t>
      </w:r>
      <w:bookmarkEnd w:id="10"/>
    </w:p>
    <w:p w14:paraId="40FA0E9A"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Gimenez (2002) points out that good international communication is characterized by linguistic and discursive accommodation. This is a Japanese corporate culture of humility, respect, and group harmony (</w:t>
      </w:r>
      <w:proofErr w:type="spellStart"/>
      <w:r w:rsidRPr="00C70DD3">
        <w:rPr>
          <w:rFonts w:ascii="Arial" w:eastAsia="Calibri" w:hAnsi="Arial" w:cs="Times New Roman"/>
          <w:sz w:val="24"/>
          <w:lang w:val="en-US"/>
        </w:rPr>
        <w:t>wa</w:t>
      </w:r>
      <w:proofErr w:type="spellEnd"/>
      <w:r w:rsidRPr="00C70DD3">
        <w:rPr>
          <w:rFonts w:ascii="Arial" w:eastAsia="Calibri" w:hAnsi="Arial" w:cs="Times New Roman"/>
          <w:sz w:val="24"/>
          <w:lang w:val="en-US"/>
        </w:rPr>
        <w:t xml:space="preserve">) which has a profound impact on the corporate discourse of Toyota. These values sometimes can </w:t>
      </w:r>
      <w:proofErr w:type="gramStart"/>
      <w:r w:rsidRPr="00C70DD3">
        <w:rPr>
          <w:rFonts w:ascii="Arial" w:eastAsia="Calibri" w:hAnsi="Arial" w:cs="Times New Roman"/>
          <w:sz w:val="24"/>
          <w:lang w:val="en-US"/>
        </w:rPr>
        <w:t>be in conflict with</w:t>
      </w:r>
      <w:proofErr w:type="gramEnd"/>
      <w:r w:rsidRPr="00C70DD3">
        <w:rPr>
          <w:rFonts w:ascii="Arial" w:eastAsia="Calibri" w:hAnsi="Arial" w:cs="Times New Roman"/>
          <w:sz w:val="24"/>
          <w:lang w:val="en-US"/>
        </w:rPr>
        <w:t xml:space="preserve"> Western requirements of being assertive and individual when applied internationally. To provide such management, Toyota encourages its managers to be competent in cross-cultural practices, as described by Samovar et al. (2017). The training provided to managers assists them in building up cognitive awareness (</w:t>
      </w:r>
      <w:proofErr w:type="spellStart"/>
      <w:r w:rsidRPr="00C70DD3">
        <w:rPr>
          <w:rFonts w:ascii="Arial" w:eastAsia="Calibri" w:hAnsi="Arial" w:cs="Times New Roman"/>
          <w:sz w:val="24"/>
          <w:lang w:val="en-US"/>
        </w:rPr>
        <w:t>cognisance</w:t>
      </w:r>
      <w:proofErr w:type="spellEnd"/>
      <w:r w:rsidRPr="00C70DD3">
        <w:rPr>
          <w:rFonts w:ascii="Arial" w:eastAsia="Calibri" w:hAnsi="Arial" w:cs="Times New Roman"/>
          <w:sz w:val="24"/>
          <w:lang w:val="en-US"/>
        </w:rPr>
        <w:t xml:space="preserve"> of cultural dimensions), affective openness (sympathy of cultural variation), and </w:t>
      </w:r>
      <w:proofErr w:type="spellStart"/>
      <w:r w:rsidRPr="00C70DD3">
        <w:rPr>
          <w:rFonts w:ascii="Arial" w:eastAsia="Calibri" w:hAnsi="Arial" w:cs="Times New Roman"/>
          <w:sz w:val="24"/>
          <w:lang w:val="en-US"/>
        </w:rPr>
        <w:t>behavioural</w:t>
      </w:r>
      <w:proofErr w:type="spellEnd"/>
      <w:r w:rsidRPr="00C70DD3">
        <w:rPr>
          <w:rFonts w:ascii="Arial" w:eastAsia="Calibri" w:hAnsi="Arial" w:cs="Times New Roman"/>
          <w:sz w:val="24"/>
          <w:lang w:val="en-US"/>
        </w:rPr>
        <w:t xml:space="preserve"> flexibility (changing communication styles). Indicatively, Toyota global leadership </w:t>
      </w:r>
      <w:proofErr w:type="spellStart"/>
      <w:r w:rsidRPr="00C70DD3">
        <w:rPr>
          <w:rFonts w:ascii="Arial" w:eastAsia="Calibri" w:hAnsi="Arial" w:cs="Times New Roman"/>
          <w:sz w:val="24"/>
          <w:lang w:val="en-US"/>
        </w:rPr>
        <w:t>programme</w:t>
      </w:r>
      <w:proofErr w:type="spellEnd"/>
      <w:r w:rsidRPr="00C70DD3">
        <w:rPr>
          <w:rFonts w:ascii="Arial" w:eastAsia="Calibri" w:hAnsi="Arial" w:cs="Times New Roman"/>
          <w:sz w:val="24"/>
          <w:lang w:val="en-US"/>
        </w:rPr>
        <w:t xml:space="preserve"> consists of role-play situation and cultural exchange between UK and Japanese manager to facilitate understanding of each other. Toyota negotiation tactics with the suppliers in Europe can be cited as an instance of such adaptation. Japanese teams tend to focus on harmony and long-term cooperation, whereas the European partners might require transparency and efficiency. Toyota helps fill this gap by synthesizing Japanese consensus building with western styles of clarity and performance measures, and trust is built without reducing effectiveness (Liker, 2004).</w:t>
      </w:r>
    </w:p>
    <w:p w14:paraId="540F0B34" w14:textId="77777777" w:rsidR="00C70DD3" w:rsidRPr="00C70DD3" w:rsidRDefault="00C70DD3" w:rsidP="00C70DD3">
      <w:pPr>
        <w:keepNext/>
        <w:keepLines/>
        <w:spacing w:before="160" w:after="80" w:line="360" w:lineRule="auto"/>
        <w:outlineLvl w:val="1"/>
        <w:rPr>
          <w:rFonts w:ascii="Arial" w:eastAsia="Times New Roman" w:hAnsi="Arial" w:cs="Times New Roman"/>
          <w:b/>
          <w:i/>
          <w:sz w:val="24"/>
          <w:szCs w:val="32"/>
          <w:lang w:val="en-US"/>
        </w:rPr>
      </w:pPr>
      <w:bookmarkStart w:id="11" w:name="_Toc217146636"/>
      <w:r w:rsidRPr="00C70DD3">
        <w:rPr>
          <w:rFonts w:ascii="Arial" w:eastAsia="Times New Roman" w:hAnsi="Arial" w:cs="Times New Roman"/>
          <w:b/>
          <w:i/>
          <w:sz w:val="24"/>
          <w:szCs w:val="32"/>
          <w:lang w:val="en-US"/>
        </w:rPr>
        <w:t>Strategic Communication Practices</w:t>
      </w:r>
      <w:bookmarkEnd w:id="11"/>
    </w:p>
    <w:p w14:paraId="602D9AE3"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 xml:space="preserve">Toyota has </w:t>
      </w:r>
      <w:proofErr w:type="gramStart"/>
      <w:r w:rsidRPr="00C70DD3">
        <w:rPr>
          <w:rFonts w:ascii="Arial" w:eastAsia="Calibri" w:hAnsi="Arial" w:cs="Times New Roman"/>
          <w:sz w:val="24"/>
          <w:lang w:val="en-US"/>
        </w:rPr>
        <w:t>a number of</w:t>
      </w:r>
      <w:proofErr w:type="gramEnd"/>
      <w:r w:rsidRPr="00C70DD3">
        <w:rPr>
          <w:rFonts w:ascii="Arial" w:eastAsia="Calibri" w:hAnsi="Arial" w:cs="Times New Roman"/>
          <w:sz w:val="24"/>
          <w:lang w:val="en-US"/>
        </w:rPr>
        <w:t xml:space="preserve"> strategies which help it to manage cross cultural communication barriers:</w:t>
      </w:r>
    </w:p>
    <w:p w14:paraId="509BDDDD" w14:textId="77777777" w:rsidR="00C70DD3" w:rsidRPr="00C70DD3" w:rsidRDefault="00C70DD3" w:rsidP="00C70DD3">
      <w:pPr>
        <w:keepNext/>
        <w:spacing w:line="360" w:lineRule="auto"/>
        <w:rPr>
          <w:rFonts w:ascii="Arial" w:eastAsia="Calibri" w:hAnsi="Arial" w:cs="Times New Roman"/>
          <w:sz w:val="24"/>
          <w:lang w:val="en-US"/>
        </w:rPr>
      </w:pPr>
      <w:r w:rsidRPr="00C70DD3">
        <w:rPr>
          <w:rFonts w:ascii="Arial" w:eastAsia="Calibri" w:hAnsi="Arial" w:cs="Times New Roman"/>
          <w:noProof/>
          <w:sz w:val="24"/>
          <w:lang w:val="en-US"/>
          <w14:ligatures w14:val="standardContextual"/>
        </w:rPr>
        <w:drawing>
          <wp:inline distT="0" distB="0" distL="0" distR="0" wp14:anchorId="67A67A1C" wp14:editId="78A77C94">
            <wp:extent cx="5684520" cy="1577340"/>
            <wp:effectExtent l="57150" t="0" r="49530" b="3810"/>
            <wp:docPr id="8057121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69B5A9B" w14:textId="77777777" w:rsidR="00C70DD3" w:rsidRPr="00C70DD3" w:rsidRDefault="00C70DD3" w:rsidP="00C70DD3">
      <w:pPr>
        <w:spacing w:after="200" w:line="240" w:lineRule="auto"/>
        <w:jc w:val="center"/>
        <w:rPr>
          <w:rFonts w:ascii="Arial" w:eastAsia="Calibri" w:hAnsi="Arial" w:cs="Times New Roman"/>
          <w:i/>
          <w:iCs/>
          <w:color w:val="44546A"/>
          <w:sz w:val="18"/>
          <w:szCs w:val="18"/>
          <w:lang w:val="en-US"/>
        </w:rPr>
      </w:pPr>
      <w:r w:rsidRPr="00C70DD3">
        <w:rPr>
          <w:rFonts w:ascii="Arial" w:eastAsia="Calibri" w:hAnsi="Arial" w:cs="Times New Roman"/>
          <w:i/>
          <w:iCs/>
          <w:color w:val="44546A"/>
          <w:sz w:val="18"/>
          <w:szCs w:val="18"/>
          <w:lang w:val="en-US"/>
        </w:rPr>
        <w:t xml:space="preserve">Figure </w:t>
      </w:r>
      <w:r w:rsidRPr="00C70DD3">
        <w:rPr>
          <w:rFonts w:ascii="Arial" w:eastAsia="Calibri" w:hAnsi="Arial" w:cs="Times New Roman"/>
          <w:i/>
          <w:iCs/>
          <w:color w:val="44546A"/>
          <w:sz w:val="18"/>
          <w:szCs w:val="18"/>
          <w:lang w:val="en-US"/>
        </w:rPr>
        <w:fldChar w:fldCharType="begin"/>
      </w:r>
      <w:r w:rsidRPr="00C70DD3">
        <w:rPr>
          <w:rFonts w:ascii="Arial" w:eastAsia="Calibri" w:hAnsi="Arial" w:cs="Times New Roman"/>
          <w:i/>
          <w:iCs/>
          <w:color w:val="44546A"/>
          <w:sz w:val="18"/>
          <w:szCs w:val="18"/>
          <w:lang w:val="en-US"/>
        </w:rPr>
        <w:instrText xml:space="preserve"> SEQ Figure \* ARABIC </w:instrText>
      </w:r>
      <w:r w:rsidRPr="00C70DD3">
        <w:rPr>
          <w:rFonts w:ascii="Arial" w:eastAsia="Calibri" w:hAnsi="Arial" w:cs="Times New Roman"/>
          <w:i/>
          <w:iCs/>
          <w:color w:val="44546A"/>
          <w:sz w:val="18"/>
          <w:szCs w:val="18"/>
          <w:lang w:val="en-US"/>
        </w:rPr>
        <w:fldChar w:fldCharType="separate"/>
      </w:r>
      <w:r w:rsidRPr="00C70DD3">
        <w:rPr>
          <w:rFonts w:ascii="Arial" w:eastAsia="Calibri" w:hAnsi="Arial" w:cs="Times New Roman"/>
          <w:i/>
          <w:iCs/>
          <w:noProof/>
          <w:color w:val="44546A"/>
          <w:sz w:val="18"/>
          <w:szCs w:val="18"/>
          <w:lang w:val="en-US"/>
        </w:rPr>
        <w:t>2</w:t>
      </w:r>
      <w:r w:rsidRPr="00C70DD3">
        <w:rPr>
          <w:rFonts w:ascii="Arial" w:eastAsia="Calibri" w:hAnsi="Arial" w:cs="Times New Roman"/>
          <w:i/>
          <w:iCs/>
          <w:color w:val="44546A"/>
          <w:sz w:val="18"/>
          <w:szCs w:val="18"/>
          <w:lang w:val="en-US"/>
        </w:rPr>
        <w:fldChar w:fldCharType="end"/>
      </w:r>
      <w:r w:rsidRPr="00C70DD3">
        <w:rPr>
          <w:rFonts w:ascii="Arial" w:eastAsia="Calibri" w:hAnsi="Arial" w:cs="Times New Roman"/>
          <w:i/>
          <w:iCs/>
          <w:color w:val="44546A"/>
          <w:sz w:val="18"/>
          <w:szCs w:val="18"/>
          <w:lang w:val="en-US"/>
        </w:rPr>
        <w:t xml:space="preserve"> Strategic Communication Practices</w:t>
      </w:r>
    </w:p>
    <w:p w14:paraId="10EF8E54" w14:textId="77777777" w:rsidR="00C70DD3" w:rsidRPr="00C70DD3" w:rsidRDefault="00C70DD3" w:rsidP="00C70DD3">
      <w:pPr>
        <w:numPr>
          <w:ilvl w:val="0"/>
          <w:numId w:val="1"/>
        </w:numPr>
        <w:spacing w:line="360" w:lineRule="auto"/>
        <w:rPr>
          <w:rFonts w:ascii="Arial" w:eastAsia="Calibri" w:hAnsi="Arial" w:cs="Times New Roman"/>
          <w:sz w:val="24"/>
          <w:lang w:val="en-US"/>
        </w:rPr>
      </w:pPr>
      <w:r w:rsidRPr="00C70DD3">
        <w:rPr>
          <w:rFonts w:ascii="Arial" w:eastAsia="Calibri" w:hAnsi="Arial" w:cs="Times New Roman"/>
          <w:b/>
          <w:bCs/>
          <w:sz w:val="24"/>
          <w:lang w:val="en-US"/>
        </w:rPr>
        <w:lastRenderedPageBreak/>
        <w:t>Cross-Cultural Training:</w:t>
      </w:r>
      <w:r w:rsidRPr="00C70DD3">
        <w:rPr>
          <w:rFonts w:ascii="Arial" w:eastAsia="Calibri" w:hAnsi="Arial" w:cs="Times New Roman"/>
          <w:sz w:val="24"/>
          <w:lang w:val="en-US"/>
        </w:rPr>
        <w:t xml:space="preserve"> Toyota offers cultural training to the expatriates and local employees to advance their knowledge of Japanese communication cultures. Non-verbal </w:t>
      </w:r>
      <w:proofErr w:type="spellStart"/>
      <w:r w:rsidRPr="00C70DD3">
        <w:rPr>
          <w:rFonts w:ascii="Arial" w:eastAsia="Calibri" w:hAnsi="Arial" w:cs="Times New Roman"/>
          <w:sz w:val="24"/>
          <w:lang w:val="en-US"/>
        </w:rPr>
        <w:t>behaviours</w:t>
      </w:r>
      <w:proofErr w:type="spellEnd"/>
      <w:r w:rsidRPr="00C70DD3">
        <w:rPr>
          <w:rFonts w:ascii="Arial" w:eastAsia="Calibri" w:hAnsi="Arial" w:cs="Times New Roman"/>
          <w:sz w:val="24"/>
          <w:lang w:val="en-US"/>
        </w:rPr>
        <w:t xml:space="preserve">, the etiquette of hierarchy and what silence in a </w:t>
      </w:r>
      <w:proofErr w:type="gramStart"/>
      <w:r w:rsidRPr="00C70DD3">
        <w:rPr>
          <w:rFonts w:ascii="Arial" w:eastAsia="Calibri" w:hAnsi="Arial" w:cs="Times New Roman"/>
          <w:sz w:val="24"/>
          <w:lang w:val="en-US"/>
        </w:rPr>
        <w:t>meeting entails</w:t>
      </w:r>
      <w:proofErr w:type="gramEnd"/>
      <w:r w:rsidRPr="00C70DD3">
        <w:rPr>
          <w:rFonts w:ascii="Arial" w:eastAsia="Calibri" w:hAnsi="Arial" w:cs="Times New Roman"/>
          <w:sz w:val="24"/>
          <w:lang w:val="en-US"/>
        </w:rPr>
        <w:t xml:space="preserve"> are often trained.</w:t>
      </w:r>
    </w:p>
    <w:p w14:paraId="5133F1D3" w14:textId="77777777" w:rsidR="00C70DD3" w:rsidRPr="00C70DD3" w:rsidRDefault="00C70DD3" w:rsidP="00C70DD3">
      <w:pPr>
        <w:numPr>
          <w:ilvl w:val="0"/>
          <w:numId w:val="1"/>
        </w:numPr>
        <w:spacing w:line="360" w:lineRule="auto"/>
        <w:rPr>
          <w:rFonts w:ascii="Arial" w:eastAsia="Calibri" w:hAnsi="Arial" w:cs="Times New Roman"/>
          <w:sz w:val="24"/>
          <w:lang w:val="en-US"/>
        </w:rPr>
      </w:pPr>
      <w:r w:rsidRPr="00C70DD3">
        <w:rPr>
          <w:rFonts w:ascii="Arial" w:eastAsia="Calibri" w:hAnsi="Arial" w:cs="Times New Roman"/>
          <w:b/>
          <w:bCs/>
          <w:sz w:val="24"/>
          <w:lang w:val="en-US"/>
        </w:rPr>
        <w:t>Diverse Leadership Teams:</w:t>
      </w:r>
      <w:r w:rsidRPr="00C70DD3">
        <w:rPr>
          <w:rFonts w:ascii="Arial" w:eastAsia="Calibri" w:hAnsi="Arial" w:cs="Times New Roman"/>
          <w:sz w:val="24"/>
          <w:lang w:val="en-US"/>
        </w:rPr>
        <w:t xml:space="preserve"> The company has both Japanese managers as well as local managers who are in the leadership position </w:t>
      </w:r>
      <w:proofErr w:type="gramStart"/>
      <w:r w:rsidRPr="00C70DD3">
        <w:rPr>
          <w:rFonts w:ascii="Arial" w:eastAsia="Calibri" w:hAnsi="Arial" w:cs="Times New Roman"/>
          <w:sz w:val="24"/>
          <w:lang w:val="en-US"/>
        </w:rPr>
        <w:t>so as to</w:t>
      </w:r>
      <w:proofErr w:type="gramEnd"/>
      <w:r w:rsidRPr="00C70DD3">
        <w:rPr>
          <w:rFonts w:ascii="Arial" w:eastAsia="Calibri" w:hAnsi="Arial" w:cs="Times New Roman"/>
          <w:sz w:val="24"/>
          <w:lang w:val="en-US"/>
        </w:rPr>
        <w:t xml:space="preserve"> have a balance of viewpoints. In the case of TMMUK, the British managers work hand in hand with the Japanese advisors </w:t>
      </w:r>
      <w:proofErr w:type="gramStart"/>
      <w:r w:rsidRPr="00C70DD3">
        <w:rPr>
          <w:rFonts w:ascii="Arial" w:eastAsia="Calibri" w:hAnsi="Arial" w:cs="Times New Roman"/>
          <w:sz w:val="24"/>
          <w:lang w:val="en-US"/>
        </w:rPr>
        <w:t>in order to</w:t>
      </w:r>
      <w:proofErr w:type="gramEnd"/>
      <w:r w:rsidRPr="00C70DD3">
        <w:rPr>
          <w:rFonts w:ascii="Arial" w:eastAsia="Calibri" w:hAnsi="Arial" w:cs="Times New Roman"/>
          <w:sz w:val="24"/>
          <w:lang w:val="en-US"/>
        </w:rPr>
        <w:t xml:space="preserve"> align decision making styles.</w:t>
      </w:r>
    </w:p>
    <w:p w14:paraId="50D1062A" w14:textId="77777777" w:rsidR="00C70DD3" w:rsidRPr="00C70DD3" w:rsidRDefault="00C70DD3" w:rsidP="00C70DD3">
      <w:pPr>
        <w:numPr>
          <w:ilvl w:val="0"/>
          <w:numId w:val="1"/>
        </w:numPr>
        <w:spacing w:line="360" w:lineRule="auto"/>
        <w:rPr>
          <w:rFonts w:ascii="Arial" w:eastAsia="Calibri" w:hAnsi="Arial" w:cs="Times New Roman"/>
          <w:sz w:val="24"/>
          <w:lang w:val="en-US"/>
        </w:rPr>
      </w:pPr>
      <w:r w:rsidRPr="00C70DD3">
        <w:rPr>
          <w:rFonts w:ascii="Arial" w:eastAsia="Calibri" w:hAnsi="Arial" w:cs="Times New Roman"/>
          <w:b/>
          <w:bCs/>
          <w:sz w:val="24"/>
          <w:lang w:val="en-US"/>
        </w:rPr>
        <w:t>Feedback Mechanisms:</w:t>
      </w:r>
      <w:r w:rsidRPr="00C70DD3">
        <w:rPr>
          <w:rFonts w:ascii="Arial" w:eastAsia="Calibri" w:hAnsi="Arial" w:cs="Times New Roman"/>
          <w:sz w:val="24"/>
          <w:lang w:val="en-US"/>
        </w:rPr>
        <w:t xml:space="preserve"> Toyota promotes frequent feedback so that the problem of communication can be detected at an early stage. This is an indication of the kaizen philosophy of the company of constant improvement not only on the production level, but also </w:t>
      </w:r>
      <w:proofErr w:type="gramStart"/>
      <w:r w:rsidRPr="00C70DD3">
        <w:rPr>
          <w:rFonts w:ascii="Arial" w:eastAsia="Calibri" w:hAnsi="Arial" w:cs="Times New Roman"/>
          <w:sz w:val="24"/>
          <w:lang w:val="en-US"/>
        </w:rPr>
        <w:t>in the area of</w:t>
      </w:r>
      <w:proofErr w:type="gramEnd"/>
      <w:r w:rsidRPr="00C70DD3">
        <w:rPr>
          <w:rFonts w:ascii="Arial" w:eastAsia="Calibri" w:hAnsi="Arial" w:cs="Times New Roman"/>
          <w:sz w:val="24"/>
          <w:lang w:val="en-US"/>
        </w:rPr>
        <w:t xml:space="preserve"> communication with people.</w:t>
      </w:r>
    </w:p>
    <w:p w14:paraId="7DE66347" w14:textId="77777777" w:rsidR="00C70DD3" w:rsidRPr="00C70DD3" w:rsidRDefault="00C70DD3" w:rsidP="00C70DD3">
      <w:pPr>
        <w:numPr>
          <w:ilvl w:val="0"/>
          <w:numId w:val="1"/>
        </w:numPr>
        <w:spacing w:line="360" w:lineRule="auto"/>
        <w:rPr>
          <w:rFonts w:ascii="Arial" w:eastAsia="Calibri" w:hAnsi="Arial" w:cs="Times New Roman"/>
          <w:sz w:val="24"/>
          <w:lang w:val="en-US"/>
        </w:rPr>
      </w:pPr>
      <w:r w:rsidRPr="00C70DD3">
        <w:rPr>
          <w:rFonts w:ascii="Arial" w:eastAsia="Calibri" w:hAnsi="Arial" w:cs="Times New Roman"/>
          <w:b/>
          <w:bCs/>
          <w:sz w:val="24"/>
          <w:lang w:val="en-US"/>
        </w:rPr>
        <w:t>Digital Communication Platforms:</w:t>
      </w:r>
      <w:r w:rsidRPr="00C70DD3">
        <w:rPr>
          <w:rFonts w:ascii="Arial" w:eastAsia="Calibri" w:hAnsi="Arial" w:cs="Times New Roman"/>
          <w:sz w:val="24"/>
          <w:lang w:val="en-US"/>
        </w:rPr>
        <w:t xml:space="preserve"> As remote work’s demand increased, Toyota has adopted digital collaboration tool where multilingual communication takes place. Visuals, recordings of meetings and notes shared can </w:t>
      </w:r>
      <w:proofErr w:type="spellStart"/>
      <w:r w:rsidRPr="00C70DD3">
        <w:rPr>
          <w:rFonts w:ascii="Arial" w:eastAsia="Calibri" w:hAnsi="Arial" w:cs="Times New Roman"/>
          <w:sz w:val="24"/>
          <w:lang w:val="en-US"/>
        </w:rPr>
        <w:t>minimise</w:t>
      </w:r>
      <w:proofErr w:type="spellEnd"/>
      <w:r w:rsidRPr="00C70DD3">
        <w:rPr>
          <w:rFonts w:ascii="Arial" w:eastAsia="Calibri" w:hAnsi="Arial" w:cs="Times New Roman"/>
          <w:sz w:val="24"/>
          <w:lang w:val="en-US"/>
        </w:rPr>
        <w:t xml:space="preserve"> linguistic ambiguity and aid asynchronous time-zone communication.</w:t>
      </w:r>
    </w:p>
    <w:p w14:paraId="0A7B9BD3" w14:textId="77777777" w:rsidR="00C70DD3" w:rsidRPr="00C70DD3" w:rsidRDefault="00C70DD3" w:rsidP="00C70DD3">
      <w:pPr>
        <w:numPr>
          <w:ilvl w:val="0"/>
          <w:numId w:val="1"/>
        </w:numPr>
        <w:spacing w:line="360" w:lineRule="auto"/>
        <w:rPr>
          <w:rFonts w:ascii="Arial" w:eastAsia="Calibri" w:hAnsi="Arial" w:cs="Times New Roman"/>
          <w:sz w:val="24"/>
          <w:lang w:val="en-US"/>
        </w:rPr>
      </w:pPr>
      <w:r w:rsidRPr="00C70DD3">
        <w:rPr>
          <w:rFonts w:ascii="Arial" w:eastAsia="Calibri" w:hAnsi="Arial" w:cs="Times New Roman"/>
          <w:b/>
          <w:bCs/>
          <w:sz w:val="24"/>
          <w:lang w:val="en-US"/>
        </w:rPr>
        <w:t>Adoption of BELF Principles:</w:t>
      </w:r>
      <w:r w:rsidRPr="00C70DD3">
        <w:rPr>
          <w:rFonts w:ascii="Arial" w:eastAsia="Calibri" w:hAnsi="Arial" w:cs="Times New Roman"/>
          <w:sz w:val="24"/>
          <w:lang w:val="en-US"/>
        </w:rPr>
        <w:t xml:space="preserve"> Toyota endorses the implementation of BELF in its international divisions, focusing on the principles of clarity, mutual understanding and cultural inclusivity and not on ideal grammar. This will make English a studying tool and not a participation barrier.</w:t>
      </w:r>
    </w:p>
    <w:p w14:paraId="43159909" w14:textId="77777777" w:rsidR="00C70DD3" w:rsidRPr="00C70DD3" w:rsidRDefault="00C70DD3" w:rsidP="00C70DD3">
      <w:pPr>
        <w:keepNext/>
        <w:keepLines/>
        <w:spacing w:before="160" w:after="80" w:line="360" w:lineRule="auto"/>
        <w:outlineLvl w:val="1"/>
        <w:rPr>
          <w:rFonts w:ascii="Arial" w:eastAsia="Times New Roman" w:hAnsi="Arial" w:cs="Times New Roman"/>
          <w:b/>
          <w:i/>
          <w:sz w:val="24"/>
          <w:szCs w:val="32"/>
          <w:lang w:val="en-US"/>
        </w:rPr>
      </w:pPr>
      <w:bookmarkStart w:id="12" w:name="_Toc217146637"/>
      <w:r w:rsidRPr="00C70DD3">
        <w:rPr>
          <w:rFonts w:ascii="Arial" w:eastAsia="Times New Roman" w:hAnsi="Arial" w:cs="Times New Roman"/>
          <w:b/>
          <w:i/>
          <w:sz w:val="24"/>
          <w:szCs w:val="32"/>
          <w:lang w:val="en-US"/>
        </w:rPr>
        <w:t>Critical Evaluation</w:t>
      </w:r>
      <w:bookmarkEnd w:id="12"/>
    </w:p>
    <w:p w14:paraId="2E9CCEA1"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 xml:space="preserve">Although Toyota has shown some noted improvement in the management of </w:t>
      </w:r>
      <w:proofErr w:type="gramStart"/>
      <w:r w:rsidRPr="00C70DD3">
        <w:rPr>
          <w:rFonts w:ascii="Arial" w:eastAsia="Calibri" w:hAnsi="Arial" w:cs="Times New Roman"/>
          <w:sz w:val="24"/>
          <w:lang w:val="en-US"/>
        </w:rPr>
        <w:t>the intercultural</w:t>
      </w:r>
      <w:proofErr w:type="gramEnd"/>
      <w:r w:rsidRPr="00C70DD3">
        <w:rPr>
          <w:rFonts w:ascii="Arial" w:eastAsia="Calibri" w:hAnsi="Arial" w:cs="Times New Roman"/>
          <w:sz w:val="24"/>
          <w:lang w:val="en-US"/>
        </w:rPr>
        <w:t xml:space="preserve"> communication, there are still some challenges. This does not mean that high-context communication by Japanese head offices cannot cause tension in Western subsidiaries used to low context and explicit messages (Hall, 1976). As an example, the UK teams that were used to instructions being issued by the Tokyo headquarters will find these instructions to be ambiguous. In addition, the hierarchical communication can be a source of restricted communication especially </w:t>
      </w:r>
      <w:r w:rsidRPr="00C70DD3">
        <w:rPr>
          <w:rFonts w:ascii="Arial" w:eastAsia="Calibri" w:hAnsi="Arial" w:cs="Times New Roman"/>
          <w:sz w:val="24"/>
          <w:lang w:val="en-US"/>
        </w:rPr>
        <w:lastRenderedPageBreak/>
        <w:t>in situations where junior British employees are reluctant to challenge Japanese bosses because of perceived cultural boundaries. To overcome this, Toyota can continue to promote the culture of local decision-making which is in consonance with the lower power distance orientation in the UK. The other limitation is that of linguistic hierarchy. Even though, English is the global language, BELF interactions may unfairly favor the native speakers of English. As shown in the works of Ehrenreich (2010), even in the BELF environment, the slightest bias in favor of native norms can alienate the non-native speakers. Toyota should therefore not stop supporting linguistic equality by accepting different forms of English as a standard or professional.</w:t>
      </w:r>
    </w:p>
    <w:p w14:paraId="50AFC097" w14:textId="77777777" w:rsidR="00C70DD3" w:rsidRPr="00C70DD3" w:rsidRDefault="00C70DD3" w:rsidP="00C70DD3">
      <w:pPr>
        <w:keepNext/>
        <w:keepLines/>
        <w:spacing w:before="360" w:after="80" w:line="360" w:lineRule="auto"/>
        <w:outlineLvl w:val="0"/>
        <w:rPr>
          <w:rFonts w:ascii="Arial" w:eastAsia="Times New Roman" w:hAnsi="Arial" w:cs="Times New Roman"/>
          <w:b/>
          <w:sz w:val="24"/>
          <w:szCs w:val="40"/>
          <w:lang w:val="en-US"/>
        </w:rPr>
      </w:pPr>
      <w:bookmarkStart w:id="13" w:name="_Toc217146638"/>
      <w:r w:rsidRPr="00C70DD3">
        <w:rPr>
          <w:rFonts w:ascii="Arial" w:eastAsia="Times New Roman" w:hAnsi="Arial" w:cs="Times New Roman"/>
          <w:b/>
          <w:sz w:val="24"/>
          <w:szCs w:val="40"/>
          <w:lang w:val="en-US"/>
        </w:rPr>
        <w:t>Conclusion</w:t>
      </w:r>
      <w:bookmarkEnd w:id="13"/>
      <w:r w:rsidRPr="00C70DD3">
        <w:rPr>
          <w:rFonts w:ascii="Arial" w:eastAsia="Times New Roman" w:hAnsi="Arial" w:cs="Times New Roman"/>
          <w:b/>
          <w:sz w:val="24"/>
          <w:szCs w:val="40"/>
          <w:lang w:val="en-US"/>
        </w:rPr>
        <w:t xml:space="preserve"> </w:t>
      </w:r>
    </w:p>
    <w:p w14:paraId="017C535A"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 xml:space="preserve">This essay has discussed the impact of cultural difference on communication and negotiation in the worldwide business using the example of Toyota in Japan and Britain. Using Hofstede, Samovar, Gimenez and BELF models, the discussion was able to identify that cross-cultural differences in hierarchy, communication style, and language are major aspects that contribute to workplace interactions. It is evident that the case of Toyota shows that cultural barriers may cause </w:t>
      </w:r>
      <w:proofErr w:type="gramStart"/>
      <w:r w:rsidRPr="00C70DD3">
        <w:rPr>
          <w:rFonts w:ascii="Arial" w:eastAsia="Calibri" w:hAnsi="Arial" w:cs="Times New Roman"/>
          <w:sz w:val="24"/>
          <w:lang w:val="en-US"/>
        </w:rPr>
        <w:t>miscommunication</w:t>
      </w:r>
      <w:proofErr w:type="gramEnd"/>
      <w:r w:rsidRPr="00C70DD3">
        <w:rPr>
          <w:rFonts w:ascii="Arial" w:eastAsia="Calibri" w:hAnsi="Arial" w:cs="Times New Roman"/>
          <w:sz w:val="24"/>
          <w:lang w:val="en-US"/>
        </w:rPr>
        <w:t xml:space="preserve"> but they could be addressed with the use of such strategic efforts as cross-cultural training, inclusive leadership, and practical implementation of the principles of BELF. Mutual respect and constant learning </w:t>
      </w:r>
      <w:proofErr w:type="gramStart"/>
      <w:r w:rsidRPr="00C70DD3">
        <w:rPr>
          <w:rFonts w:ascii="Arial" w:eastAsia="Calibri" w:hAnsi="Arial" w:cs="Times New Roman"/>
          <w:sz w:val="24"/>
          <w:lang w:val="en-US"/>
        </w:rPr>
        <w:t>is</w:t>
      </w:r>
      <w:proofErr w:type="gramEnd"/>
      <w:r w:rsidRPr="00C70DD3">
        <w:rPr>
          <w:rFonts w:ascii="Arial" w:eastAsia="Calibri" w:hAnsi="Arial" w:cs="Times New Roman"/>
          <w:sz w:val="24"/>
          <w:lang w:val="en-US"/>
        </w:rPr>
        <w:t xml:space="preserve"> also a part of the company values that are Kaizen and global collaboration. </w:t>
      </w:r>
    </w:p>
    <w:p w14:paraId="199645CA" w14:textId="77777777" w:rsidR="00C70DD3" w:rsidRPr="00C70DD3" w:rsidRDefault="00C70DD3" w:rsidP="00C70DD3">
      <w:pPr>
        <w:spacing w:line="360" w:lineRule="auto"/>
        <w:rPr>
          <w:rFonts w:ascii="Arial" w:eastAsia="Calibri" w:hAnsi="Arial" w:cs="Times New Roman"/>
          <w:sz w:val="24"/>
          <w:lang w:val="en-US"/>
        </w:rPr>
      </w:pPr>
      <w:r w:rsidRPr="00C70DD3">
        <w:rPr>
          <w:rFonts w:ascii="Arial" w:eastAsia="Calibri" w:hAnsi="Arial" w:cs="Times New Roman"/>
          <w:sz w:val="24"/>
          <w:lang w:val="en-US"/>
        </w:rPr>
        <w:t xml:space="preserve">To international managers, there are </w:t>
      </w:r>
      <w:proofErr w:type="gramStart"/>
      <w:r w:rsidRPr="00C70DD3">
        <w:rPr>
          <w:rFonts w:ascii="Arial" w:eastAsia="Calibri" w:hAnsi="Arial" w:cs="Times New Roman"/>
          <w:sz w:val="24"/>
          <w:lang w:val="en-US"/>
        </w:rPr>
        <w:t>a number of</w:t>
      </w:r>
      <w:proofErr w:type="gramEnd"/>
      <w:r w:rsidRPr="00C70DD3">
        <w:rPr>
          <w:rFonts w:ascii="Arial" w:eastAsia="Calibri" w:hAnsi="Arial" w:cs="Times New Roman"/>
          <w:sz w:val="24"/>
          <w:lang w:val="en-US"/>
        </w:rPr>
        <w:t xml:space="preserve"> implications that arise. To begin with, it is important to understand cultural dimensions </w:t>
      </w:r>
      <w:proofErr w:type="gramStart"/>
      <w:r w:rsidRPr="00C70DD3">
        <w:rPr>
          <w:rFonts w:ascii="Arial" w:eastAsia="Calibri" w:hAnsi="Arial" w:cs="Times New Roman"/>
          <w:sz w:val="24"/>
          <w:lang w:val="en-US"/>
        </w:rPr>
        <w:t>in order to</w:t>
      </w:r>
      <w:proofErr w:type="gramEnd"/>
      <w:r w:rsidRPr="00C70DD3">
        <w:rPr>
          <w:rFonts w:ascii="Arial" w:eastAsia="Calibri" w:hAnsi="Arial" w:cs="Times New Roman"/>
          <w:sz w:val="24"/>
          <w:lang w:val="en-US"/>
        </w:rPr>
        <w:t xml:space="preserve"> decipher </w:t>
      </w:r>
      <w:proofErr w:type="spellStart"/>
      <w:r w:rsidRPr="00C70DD3">
        <w:rPr>
          <w:rFonts w:ascii="Arial" w:eastAsia="Calibri" w:hAnsi="Arial" w:cs="Times New Roman"/>
          <w:sz w:val="24"/>
          <w:lang w:val="en-US"/>
        </w:rPr>
        <w:t>behaviour</w:t>
      </w:r>
      <w:proofErr w:type="spellEnd"/>
      <w:r w:rsidRPr="00C70DD3">
        <w:rPr>
          <w:rFonts w:ascii="Arial" w:eastAsia="Calibri" w:hAnsi="Arial" w:cs="Times New Roman"/>
          <w:sz w:val="24"/>
          <w:lang w:val="en-US"/>
        </w:rPr>
        <w:t xml:space="preserve"> and prevent misinterpretation. Secondly, </w:t>
      </w:r>
      <w:proofErr w:type="gramStart"/>
      <w:r w:rsidRPr="00C70DD3">
        <w:rPr>
          <w:rFonts w:ascii="Arial" w:eastAsia="Calibri" w:hAnsi="Arial" w:cs="Times New Roman"/>
          <w:sz w:val="24"/>
          <w:lang w:val="en-US"/>
        </w:rPr>
        <w:t>the BELF</w:t>
      </w:r>
      <w:proofErr w:type="gramEnd"/>
      <w:r w:rsidRPr="00C70DD3">
        <w:rPr>
          <w:rFonts w:ascii="Arial" w:eastAsia="Calibri" w:hAnsi="Arial" w:cs="Times New Roman"/>
          <w:sz w:val="24"/>
          <w:lang w:val="en-US"/>
        </w:rPr>
        <w:t xml:space="preserve"> communication competence makes multinational teams inclusive. Third, intercultural competence is established by empathy and adaptability which increases trust and cooperation. In the end, international business cannot be successfully communicated through elimination of cultural differences but through the suggestion of learning and innovation. With Toyota still working in various markets, its success will be determined by the capacity of managers to strike the balance between Japanese collectivism and western individualism such that communication is explicit, respectful and internationally consistent. In a world that is getting smaller, the experience of Toyota </w:t>
      </w:r>
      <w:r w:rsidRPr="00C70DD3">
        <w:rPr>
          <w:rFonts w:ascii="Arial" w:eastAsia="Calibri" w:hAnsi="Arial" w:cs="Times New Roman"/>
          <w:sz w:val="24"/>
          <w:lang w:val="en-US"/>
        </w:rPr>
        <w:lastRenderedPageBreak/>
        <w:t>shows that cultural intelligence, linguistic adaptability, and strategic communication are invaluable tools of global leadership.</w:t>
      </w:r>
    </w:p>
    <w:p w14:paraId="350022A9" w14:textId="77777777" w:rsidR="00C70DD3" w:rsidRPr="00C70DD3" w:rsidRDefault="00C70DD3" w:rsidP="00C70DD3">
      <w:pPr>
        <w:rPr>
          <w:rFonts w:ascii="Arial" w:eastAsia="Calibri" w:hAnsi="Arial" w:cs="Times New Roman"/>
          <w:sz w:val="24"/>
          <w:lang w:val="en-US"/>
        </w:rPr>
      </w:pPr>
      <w:r w:rsidRPr="00C70DD3">
        <w:rPr>
          <w:rFonts w:ascii="Arial" w:eastAsia="Calibri" w:hAnsi="Arial" w:cs="Times New Roman"/>
          <w:sz w:val="24"/>
          <w:lang w:val="en-US"/>
        </w:rPr>
        <w:br w:type="page"/>
      </w:r>
    </w:p>
    <w:p w14:paraId="613E8F49" w14:textId="77777777" w:rsidR="00C70DD3" w:rsidRPr="00C70DD3" w:rsidRDefault="00C70DD3" w:rsidP="00C70DD3">
      <w:pPr>
        <w:keepNext/>
        <w:keepLines/>
        <w:spacing w:before="360" w:after="80" w:line="360" w:lineRule="auto"/>
        <w:outlineLvl w:val="0"/>
        <w:rPr>
          <w:rFonts w:ascii="Arial" w:eastAsia="Times New Roman" w:hAnsi="Arial" w:cs="Times New Roman"/>
          <w:b/>
          <w:sz w:val="24"/>
          <w:szCs w:val="40"/>
          <w:lang w:val="en-US"/>
        </w:rPr>
      </w:pPr>
      <w:bookmarkStart w:id="14" w:name="_Toc217146639"/>
      <w:r w:rsidRPr="00C70DD3">
        <w:rPr>
          <w:rFonts w:ascii="Arial" w:eastAsia="Times New Roman" w:hAnsi="Arial" w:cs="Times New Roman"/>
          <w:b/>
          <w:sz w:val="24"/>
          <w:szCs w:val="40"/>
          <w:lang w:val="en-US"/>
        </w:rPr>
        <w:lastRenderedPageBreak/>
        <w:t>References</w:t>
      </w:r>
      <w:bookmarkEnd w:id="14"/>
    </w:p>
    <w:p w14:paraId="380BDC91" w14:textId="77777777" w:rsidR="00C70DD3" w:rsidRPr="00C70DD3" w:rsidRDefault="00C70DD3" w:rsidP="00C70DD3">
      <w:pPr>
        <w:spacing w:line="360" w:lineRule="auto"/>
        <w:ind w:left="720" w:hanging="720"/>
        <w:rPr>
          <w:rFonts w:ascii="Arial" w:eastAsia="Calibri" w:hAnsi="Arial" w:cs="Times New Roman"/>
          <w:sz w:val="24"/>
          <w:lang w:val="en-US"/>
        </w:rPr>
      </w:pPr>
      <w:r w:rsidRPr="00C70DD3">
        <w:rPr>
          <w:rFonts w:ascii="Arial" w:eastAsia="Calibri" w:hAnsi="Arial" w:cs="Times New Roman"/>
          <w:sz w:val="24"/>
          <w:lang w:val="en-US"/>
        </w:rPr>
        <w:t xml:space="preserve">Ehrenreich, S. (2010). English as a Business Lingua Franca in a German Multinational Corporation: Meeting the Challenge. </w:t>
      </w:r>
      <w:r w:rsidRPr="00C70DD3">
        <w:rPr>
          <w:rFonts w:ascii="Arial" w:eastAsia="Calibri" w:hAnsi="Arial" w:cs="Times New Roman"/>
          <w:i/>
          <w:iCs/>
          <w:sz w:val="24"/>
          <w:lang w:val="en-US"/>
        </w:rPr>
        <w:t>Journal of Business Communication</w:t>
      </w:r>
      <w:r w:rsidRPr="00C70DD3">
        <w:rPr>
          <w:rFonts w:ascii="Arial" w:eastAsia="Calibri" w:hAnsi="Arial" w:cs="Times New Roman"/>
          <w:sz w:val="24"/>
          <w:lang w:val="en-US"/>
        </w:rPr>
        <w:t xml:space="preserve">, 47(4), pp.408–431. </w:t>
      </w:r>
      <w:proofErr w:type="spellStart"/>
      <w:proofErr w:type="gramStart"/>
      <w:r w:rsidRPr="00C70DD3">
        <w:rPr>
          <w:rFonts w:ascii="Arial" w:eastAsia="Calibri" w:hAnsi="Arial" w:cs="Times New Roman"/>
          <w:sz w:val="24"/>
          <w:lang w:val="en-US"/>
        </w:rPr>
        <w:t>doi:https</w:t>
      </w:r>
      <w:proofErr w:type="spellEnd"/>
      <w:r w:rsidRPr="00C70DD3">
        <w:rPr>
          <w:rFonts w:ascii="Arial" w:eastAsia="Calibri" w:hAnsi="Arial" w:cs="Times New Roman"/>
          <w:sz w:val="24"/>
          <w:lang w:val="en-US"/>
        </w:rPr>
        <w:t>://doi.org/10.1177/0021943610377303</w:t>
      </w:r>
      <w:proofErr w:type="gramEnd"/>
      <w:r w:rsidRPr="00C70DD3">
        <w:rPr>
          <w:rFonts w:ascii="Arial" w:eastAsia="Calibri" w:hAnsi="Arial" w:cs="Times New Roman"/>
          <w:sz w:val="24"/>
          <w:lang w:val="en-US"/>
        </w:rPr>
        <w:t>.</w:t>
      </w:r>
    </w:p>
    <w:p w14:paraId="3A197E31" w14:textId="77777777" w:rsidR="00C70DD3" w:rsidRPr="00C70DD3" w:rsidRDefault="00C70DD3" w:rsidP="00C70DD3">
      <w:pPr>
        <w:spacing w:line="360" w:lineRule="auto"/>
        <w:ind w:left="720" w:hanging="720"/>
        <w:rPr>
          <w:rFonts w:ascii="Arial" w:eastAsia="Calibri" w:hAnsi="Arial" w:cs="Times New Roman"/>
          <w:sz w:val="24"/>
          <w:lang w:val="en-US"/>
        </w:rPr>
      </w:pPr>
      <w:r w:rsidRPr="00C70DD3">
        <w:rPr>
          <w:rFonts w:ascii="Arial" w:eastAsia="Calibri" w:hAnsi="Arial" w:cs="Times New Roman"/>
          <w:sz w:val="24"/>
          <w:lang w:val="en-US"/>
        </w:rPr>
        <w:t xml:space="preserve">Gimenez, J.C. (2002). New media and conflicting realities in multinational corporate communication: A case study. </w:t>
      </w:r>
      <w:r w:rsidRPr="00C70DD3">
        <w:rPr>
          <w:rFonts w:ascii="Arial" w:eastAsia="Calibri" w:hAnsi="Arial" w:cs="Times New Roman"/>
          <w:i/>
          <w:iCs/>
          <w:sz w:val="24"/>
          <w:lang w:val="en-US"/>
        </w:rPr>
        <w:t>IRAL - International Review of Applied Linguistics in Language Teaching</w:t>
      </w:r>
      <w:r w:rsidRPr="00C70DD3">
        <w:rPr>
          <w:rFonts w:ascii="Arial" w:eastAsia="Calibri" w:hAnsi="Arial" w:cs="Times New Roman"/>
          <w:sz w:val="24"/>
          <w:lang w:val="en-US"/>
        </w:rPr>
        <w:t xml:space="preserve">, 40(4). </w:t>
      </w:r>
      <w:proofErr w:type="spellStart"/>
      <w:proofErr w:type="gramStart"/>
      <w:r w:rsidRPr="00C70DD3">
        <w:rPr>
          <w:rFonts w:ascii="Arial" w:eastAsia="Calibri" w:hAnsi="Arial" w:cs="Times New Roman"/>
          <w:sz w:val="24"/>
          <w:lang w:val="en-US"/>
        </w:rPr>
        <w:t>doi:https</w:t>
      </w:r>
      <w:proofErr w:type="spellEnd"/>
      <w:r w:rsidRPr="00C70DD3">
        <w:rPr>
          <w:rFonts w:ascii="Arial" w:eastAsia="Calibri" w:hAnsi="Arial" w:cs="Times New Roman"/>
          <w:sz w:val="24"/>
          <w:lang w:val="en-US"/>
        </w:rPr>
        <w:t>://doi.org/10.1515/iral.2002.016</w:t>
      </w:r>
      <w:proofErr w:type="gramEnd"/>
      <w:r w:rsidRPr="00C70DD3">
        <w:rPr>
          <w:rFonts w:ascii="Arial" w:eastAsia="Calibri" w:hAnsi="Arial" w:cs="Times New Roman"/>
          <w:sz w:val="24"/>
          <w:lang w:val="en-US"/>
        </w:rPr>
        <w:t>.</w:t>
      </w:r>
    </w:p>
    <w:p w14:paraId="7F0AFDA1" w14:textId="77777777" w:rsidR="00C70DD3" w:rsidRPr="00C70DD3" w:rsidRDefault="00C70DD3" w:rsidP="00C70DD3">
      <w:pPr>
        <w:spacing w:line="360" w:lineRule="auto"/>
        <w:ind w:left="720" w:hanging="720"/>
        <w:rPr>
          <w:rFonts w:ascii="Arial" w:eastAsia="Calibri" w:hAnsi="Arial" w:cs="Times New Roman"/>
          <w:sz w:val="24"/>
          <w:lang w:val="en-US"/>
        </w:rPr>
      </w:pPr>
      <w:r w:rsidRPr="00C70DD3">
        <w:rPr>
          <w:rFonts w:ascii="Arial" w:eastAsia="Calibri" w:hAnsi="Arial" w:cs="Times New Roman"/>
          <w:sz w:val="24"/>
          <w:lang w:val="en-US"/>
        </w:rPr>
        <w:t xml:space="preserve">Hall, E.T. (1976). </w:t>
      </w:r>
      <w:r w:rsidRPr="00C70DD3">
        <w:rPr>
          <w:rFonts w:ascii="Arial" w:eastAsia="Calibri" w:hAnsi="Arial" w:cs="Times New Roman"/>
          <w:i/>
          <w:iCs/>
          <w:sz w:val="24"/>
          <w:lang w:val="en-US"/>
        </w:rPr>
        <w:t>Beyond Culture</w:t>
      </w:r>
      <w:r w:rsidRPr="00C70DD3">
        <w:rPr>
          <w:rFonts w:ascii="Arial" w:eastAsia="Calibri" w:hAnsi="Arial" w:cs="Times New Roman"/>
          <w:sz w:val="24"/>
          <w:lang w:val="en-US"/>
        </w:rPr>
        <w:t>. New York: Anchor Books.</w:t>
      </w:r>
    </w:p>
    <w:p w14:paraId="63B115E7" w14:textId="3DBE4030" w:rsidR="00C70DD3" w:rsidRPr="00C70DD3" w:rsidRDefault="00C70DD3" w:rsidP="00C70DD3">
      <w:pPr>
        <w:spacing w:line="360" w:lineRule="auto"/>
        <w:ind w:left="720" w:hanging="720"/>
        <w:rPr>
          <w:rFonts w:ascii="Arial" w:eastAsia="Calibri" w:hAnsi="Arial" w:cs="Times New Roman"/>
          <w:sz w:val="24"/>
          <w:lang w:val="en-US"/>
        </w:rPr>
      </w:pPr>
      <w:proofErr w:type="spellStart"/>
      <w:r w:rsidRPr="00C70DD3">
        <w:rPr>
          <w:rFonts w:ascii="Arial" w:eastAsia="Calibri" w:hAnsi="Arial" w:cs="Times New Roman"/>
          <w:sz w:val="24"/>
          <w:lang w:val="en-US"/>
        </w:rPr>
        <w:t>Harzing</w:t>
      </w:r>
      <w:proofErr w:type="spellEnd"/>
      <w:r w:rsidRPr="00C70DD3">
        <w:rPr>
          <w:rFonts w:ascii="Arial" w:eastAsia="Calibri" w:hAnsi="Arial" w:cs="Times New Roman"/>
          <w:sz w:val="24"/>
          <w:lang w:val="en-US"/>
        </w:rPr>
        <w:t>, A. and Feely, A.J. (2008). The language barrier and its implications for HQ</w:t>
      </w:r>
      <w:r w:rsidRPr="00C70DD3">
        <w:rPr>
          <w:rFonts w:ascii="Cambria Math" w:eastAsia="Calibri" w:hAnsi="Cambria Math" w:cs="Cambria Math"/>
          <w:sz w:val="24"/>
          <w:lang w:val="en-US"/>
        </w:rPr>
        <w:t>‐</w:t>
      </w:r>
      <w:r w:rsidRPr="00C70DD3">
        <w:rPr>
          <w:rFonts w:ascii="Arial" w:eastAsia="Calibri" w:hAnsi="Arial" w:cs="Times New Roman"/>
          <w:sz w:val="24"/>
          <w:lang w:val="en-US"/>
        </w:rPr>
        <w:t xml:space="preserve">subsidiary relationships. </w:t>
      </w:r>
      <w:r w:rsidRPr="00C70DD3">
        <w:rPr>
          <w:rFonts w:ascii="Arial" w:eastAsia="Calibri" w:hAnsi="Arial" w:cs="Times New Roman"/>
          <w:i/>
          <w:iCs/>
          <w:sz w:val="24"/>
          <w:lang w:val="en-US"/>
        </w:rPr>
        <w:t>Cross Cultural Management: An International Journal</w:t>
      </w:r>
      <w:r w:rsidRPr="00C70DD3">
        <w:rPr>
          <w:rFonts w:ascii="Arial" w:eastAsia="Calibri" w:hAnsi="Arial" w:cs="Times New Roman"/>
          <w:sz w:val="24"/>
          <w:lang w:val="en-US"/>
        </w:rPr>
        <w:t xml:space="preserve">, 15(1), pp.49–61. </w:t>
      </w:r>
      <w:proofErr w:type="spellStart"/>
      <w:proofErr w:type="gramStart"/>
      <w:r w:rsidRPr="00C70DD3">
        <w:rPr>
          <w:rFonts w:ascii="Arial" w:eastAsia="Calibri" w:hAnsi="Arial" w:cs="Times New Roman"/>
          <w:sz w:val="24"/>
          <w:lang w:val="en-US"/>
        </w:rPr>
        <w:t>doi:https</w:t>
      </w:r>
      <w:proofErr w:type="spellEnd"/>
      <w:r w:rsidRPr="00C70DD3">
        <w:rPr>
          <w:rFonts w:ascii="Arial" w:eastAsia="Calibri" w:hAnsi="Arial" w:cs="Times New Roman"/>
          <w:sz w:val="24"/>
          <w:lang w:val="en-US"/>
        </w:rPr>
        <w:t>://doi.org/10.1108/13527600810848827</w:t>
      </w:r>
      <w:proofErr w:type="gramEnd"/>
      <w:r w:rsidRPr="00C70DD3">
        <w:rPr>
          <w:rFonts w:ascii="Arial" w:eastAsia="Calibri" w:hAnsi="Arial" w:cs="Times New Roman"/>
          <w:sz w:val="24"/>
          <w:lang w:val="en-US"/>
        </w:rPr>
        <w:t>.</w:t>
      </w:r>
    </w:p>
    <w:p w14:paraId="1BA2280B" w14:textId="30411F43" w:rsidR="00C70DD3" w:rsidRPr="00C70DD3" w:rsidRDefault="00C70DD3" w:rsidP="00C70DD3">
      <w:pPr>
        <w:spacing w:line="360" w:lineRule="auto"/>
        <w:ind w:left="720" w:hanging="720"/>
        <w:rPr>
          <w:rFonts w:ascii="Arial" w:eastAsia="Calibri" w:hAnsi="Arial" w:cs="Times New Roman"/>
          <w:sz w:val="24"/>
          <w:lang w:val="en-US"/>
        </w:rPr>
      </w:pPr>
      <w:proofErr w:type="spellStart"/>
      <w:r w:rsidRPr="00C70DD3">
        <w:rPr>
          <w:rFonts w:ascii="Arial" w:eastAsia="Calibri" w:hAnsi="Arial" w:cs="Times New Roman"/>
          <w:sz w:val="24"/>
          <w:lang w:val="en-US"/>
        </w:rPr>
        <w:t>Harzing</w:t>
      </w:r>
      <w:proofErr w:type="spellEnd"/>
      <w:r w:rsidRPr="00C70DD3">
        <w:rPr>
          <w:rFonts w:ascii="Arial" w:eastAsia="Calibri" w:hAnsi="Arial" w:cs="Times New Roman"/>
          <w:sz w:val="24"/>
          <w:lang w:val="en-US"/>
        </w:rPr>
        <w:t xml:space="preserve">, A.-W. and Pudelko, M. (2016). Do We Need to Distance Ourselves from the Distance Concept? Why Home and Host Country Context Might Matter More than (Cultural) Distance. </w:t>
      </w:r>
      <w:r w:rsidRPr="00C70DD3">
        <w:rPr>
          <w:rFonts w:ascii="Arial" w:eastAsia="Calibri" w:hAnsi="Arial" w:cs="Times New Roman"/>
          <w:i/>
          <w:iCs/>
          <w:sz w:val="24"/>
          <w:lang w:val="en-US"/>
        </w:rPr>
        <w:t>Management International Review</w:t>
      </w:r>
      <w:r w:rsidRPr="00C70DD3">
        <w:rPr>
          <w:rFonts w:ascii="Arial" w:eastAsia="Calibri" w:hAnsi="Arial" w:cs="Times New Roman"/>
          <w:sz w:val="24"/>
          <w:lang w:val="en-US"/>
        </w:rPr>
        <w:t xml:space="preserve">, 56(1), pp.1–34. </w:t>
      </w:r>
      <w:proofErr w:type="spellStart"/>
      <w:proofErr w:type="gramStart"/>
      <w:r w:rsidRPr="00C70DD3">
        <w:rPr>
          <w:rFonts w:ascii="Arial" w:eastAsia="Calibri" w:hAnsi="Arial" w:cs="Times New Roman"/>
          <w:sz w:val="24"/>
          <w:lang w:val="en-US"/>
        </w:rPr>
        <w:t>doi:https</w:t>
      </w:r>
      <w:proofErr w:type="spellEnd"/>
      <w:r w:rsidRPr="00C70DD3">
        <w:rPr>
          <w:rFonts w:ascii="Arial" w:eastAsia="Calibri" w:hAnsi="Arial" w:cs="Times New Roman"/>
          <w:sz w:val="24"/>
          <w:lang w:val="en-US"/>
        </w:rPr>
        <w:t>://doi.org/10.1007/s11575-015-0265-4</w:t>
      </w:r>
      <w:proofErr w:type="gramEnd"/>
      <w:r w:rsidRPr="00C70DD3">
        <w:rPr>
          <w:rFonts w:ascii="Arial" w:eastAsia="Calibri" w:hAnsi="Arial" w:cs="Times New Roman"/>
          <w:sz w:val="24"/>
          <w:lang w:val="en-US"/>
        </w:rPr>
        <w:t>.</w:t>
      </w:r>
    </w:p>
    <w:p w14:paraId="36E701C4" w14:textId="77777777" w:rsidR="00C70DD3" w:rsidRPr="00C70DD3" w:rsidRDefault="00C70DD3" w:rsidP="00C70DD3">
      <w:pPr>
        <w:spacing w:line="360" w:lineRule="auto"/>
        <w:ind w:left="720" w:hanging="720"/>
        <w:rPr>
          <w:rFonts w:ascii="Arial" w:eastAsia="Calibri" w:hAnsi="Arial" w:cs="Times New Roman"/>
          <w:sz w:val="24"/>
          <w:lang w:val="en-US"/>
        </w:rPr>
      </w:pPr>
      <w:r w:rsidRPr="00C70DD3">
        <w:rPr>
          <w:rFonts w:ascii="Arial" w:eastAsia="Calibri" w:hAnsi="Arial" w:cs="Times New Roman"/>
          <w:sz w:val="24"/>
          <w:lang w:val="en-US"/>
        </w:rPr>
        <w:t xml:space="preserve">Hofstede, G. (2001). </w:t>
      </w:r>
      <w:r w:rsidRPr="00C70DD3">
        <w:rPr>
          <w:rFonts w:ascii="Arial" w:eastAsia="Calibri" w:hAnsi="Arial" w:cs="Times New Roman"/>
          <w:i/>
          <w:iCs/>
          <w:sz w:val="24"/>
          <w:lang w:val="en-US"/>
        </w:rPr>
        <w:t>Culture’s consequences: Comparing values, behaviors, institutions, and organizations across nations</w:t>
      </w:r>
      <w:r w:rsidRPr="00C70DD3">
        <w:rPr>
          <w:rFonts w:ascii="Arial" w:eastAsia="Calibri" w:hAnsi="Arial" w:cs="Times New Roman"/>
          <w:sz w:val="24"/>
          <w:lang w:val="en-US"/>
        </w:rPr>
        <w:t>. 2nd ed. SAGE Publications.</w:t>
      </w:r>
    </w:p>
    <w:p w14:paraId="573B98E3" w14:textId="77777777" w:rsidR="00C70DD3" w:rsidRPr="00C70DD3" w:rsidRDefault="00C70DD3" w:rsidP="00C70DD3">
      <w:pPr>
        <w:spacing w:line="360" w:lineRule="auto"/>
        <w:ind w:left="720" w:hanging="720"/>
        <w:rPr>
          <w:rFonts w:ascii="Arial" w:eastAsia="Calibri" w:hAnsi="Arial" w:cs="Times New Roman"/>
          <w:sz w:val="24"/>
          <w:lang w:val="en-US"/>
        </w:rPr>
      </w:pPr>
      <w:r w:rsidRPr="00C70DD3">
        <w:rPr>
          <w:rFonts w:ascii="Arial" w:eastAsia="Calibri" w:hAnsi="Arial" w:cs="Times New Roman"/>
          <w:sz w:val="24"/>
          <w:lang w:val="en-US"/>
        </w:rPr>
        <w:t xml:space="preserve">Liker, J.K. (2004). </w:t>
      </w:r>
      <w:r w:rsidRPr="00C70DD3">
        <w:rPr>
          <w:rFonts w:ascii="Arial" w:eastAsia="Calibri" w:hAnsi="Arial" w:cs="Times New Roman"/>
          <w:i/>
          <w:iCs/>
          <w:sz w:val="24"/>
          <w:lang w:val="en-US"/>
        </w:rPr>
        <w:t xml:space="preserve">The </w:t>
      </w:r>
      <w:proofErr w:type="spellStart"/>
      <w:r w:rsidRPr="00C70DD3">
        <w:rPr>
          <w:rFonts w:ascii="Arial" w:eastAsia="Calibri" w:hAnsi="Arial" w:cs="Times New Roman"/>
          <w:i/>
          <w:iCs/>
          <w:sz w:val="24"/>
          <w:lang w:val="en-US"/>
        </w:rPr>
        <w:t>toyota</w:t>
      </w:r>
      <w:proofErr w:type="spellEnd"/>
      <w:r w:rsidRPr="00C70DD3">
        <w:rPr>
          <w:rFonts w:ascii="Arial" w:eastAsia="Calibri" w:hAnsi="Arial" w:cs="Times New Roman"/>
          <w:i/>
          <w:iCs/>
          <w:sz w:val="24"/>
          <w:lang w:val="en-US"/>
        </w:rPr>
        <w:t xml:space="preserve"> </w:t>
      </w:r>
      <w:proofErr w:type="gramStart"/>
      <w:r w:rsidRPr="00C70DD3">
        <w:rPr>
          <w:rFonts w:ascii="Arial" w:eastAsia="Calibri" w:hAnsi="Arial" w:cs="Times New Roman"/>
          <w:i/>
          <w:iCs/>
          <w:sz w:val="24"/>
          <w:lang w:val="en-US"/>
        </w:rPr>
        <w:t>way :</w:t>
      </w:r>
      <w:proofErr w:type="gramEnd"/>
      <w:r w:rsidRPr="00C70DD3">
        <w:rPr>
          <w:rFonts w:ascii="Arial" w:eastAsia="Calibri" w:hAnsi="Arial" w:cs="Times New Roman"/>
          <w:i/>
          <w:iCs/>
          <w:sz w:val="24"/>
          <w:lang w:val="en-US"/>
        </w:rPr>
        <w:t xml:space="preserve"> 14 management principles from the world’s greatest manufacturer.</w:t>
      </w:r>
      <w:r w:rsidRPr="00C70DD3">
        <w:rPr>
          <w:rFonts w:ascii="Arial" w:eastAsia="Calibri" w:hAnsi="Arial" w:cs="Times New Roman"/>
          <w:sz w:val="24"/>
          <w:lang w:val="en-US"/>
        </w:rPr>
        <w:t xml:space="preserve"> Verlag: Michigan: </w:t>
      </w:r>
      <w:proofErr w:type="spellStart"/>
      <w:r w:rsidRPr="00C70DD3">
        <w:rPr>
          <w:rFonts w:ascii="Arial" w:eastAsia="Calibri" w:hAnsi="Arial" w:cs="Times New Roman"/>
          <w:sz w:val="24"/>
          <w:lang w:val="en-US"/>
        </w:rPr>
        <w:t>Mcgraw-Hill</w:t>
      </w:r>
      <w:proofErr w:type="spellEnd"/>
      <w:r w:rsidRPr="00C70DD3">
        <w:rPr>
          <w:rFonts w:ascii="Arial" w:eastAsia="Calibri" w:hAnsi="Arial" w:cs="Times New Roman"/>
          <w:sz w:val="24"/>
          <w:lang w:val="en-US"/>
        </w:rPr>
        <w:t>.</w:t>
      </w:r>
    </w:p>
    <w:p w14:paraId="246530C1" w14:textId="77777777" w:rsidR="00C70DD3" w:rsidRPr="00C70DD3" w:rsidRDefault="00C70DD3" w:rsidP="00C70DD3">
      <w:pPr>
        <w:spacing w:line="360" w:lineRule="auto"/>
        <w:ind w:left="720" w:hanging="720"/>
        <w:rPr>
          <w:rFonts w:ascii="Arial" w:eastAsia="Calibri" w:hAnsi="Arial" w:cs="Times New Roman"/>
          <w:sz w:val="24"/>
          <w:lang w:val="en-US"/>
        </w:rPr>
      </w:pPr>
      <w:proofErr w:type="spellStart"/>
      <w:r w:rsidRPr="00C70DD3">
        <w:rPr>
          <w:rFonts w:ascii="Arial" w:eastAsia="Calibri" w:hAnsi="Arial" w:cs="Times New Roman"/>
          <w:sz w:val="24"/>
          <w:lang w:val="en-US"/>
        </w:rPr>
        <w:t>Louhiala</w:t>
      </w:r>
      <w:proofErr w:type="spellEnd"/>
      <w:r w:rsidRPr="00C70DD3">
        <w:rPr>
          <w:rFonts w:ascii="Arial" w:eastAsia="Calibri" w:hAnsi="Arial" w:cs="Times New Roman"/>
          <w:sz w:val="24"/>
          <w:lang w:val="en-US"/>
        </w:rPr>
        <w:t xml:space="preserve">-Salminen, L. and </w:t>
      </w:r>
      <w:proofErr w:type="spellStart"/>
      <w:r w:rsidRPr="00C70DD3">
        <w:rPr>
          <w:rFonts w:ascii="Arial" w:eastAsia="Calibri" w:hAnsi="Arial" w:cs="Times New Roman"/>
          <w:sz w:val="24"/>
          <w:lang w:val="en-US"/>
        </w:rPr>
        <w:t>Kankaanranta</w:t>
      </w:r>
      <w:proofErr w:type="spellEnd"/>
      <w:r w:rsidRPr="00C70DD3">
        <w:rPr>
          <w:rFonts w:ascii="Arial" w:eastAsia="Calibri" w:hAnsi="Arial" w:cs="Times New Roman"/>
          <w:sz w:val="24"/>
          <w:lang w:val="en-US"/>
        </w:rPr>
        <w:t xml:space="preserve">, A. (2011). Professional Communication in a Global Business Context: The Notion of Global Communicative Competence. </w:t>
      </w:r>
      <w:r w:rsidRPr="00C70DD3">
        <w:rPr>
          <w:rFonts w:ascii="Arial" w:eastAsia="Calibri" w:hAnsi="Arial" w:cs="Times New Roman"/>
          <w:i/>
          <w:iCs/>
          <w:sz w:val="24"/>
          <w:lang w:val="en-US"/>
        </w:rPr>
        <w:t>IEEE Transactions on Professional Communication</w:t>
      </w:r>
      <w:r w:rsidRPr="00C70DD3">
        <w:rPr>
          <w:rFonts w:ascii="Arial" w:eastAsia="Calibri" w:hAnsi="Arial" w:cs="Times New Roman"/>
          <w:sz w:val="24"/>
          <w:lang w:val="en-US"/>
        </w:rPr>
        <w:t xml:space="preserve">, 54(3), pp.244–262. </w:t>
      </w:r>
      <w:proofErr w:type="spellStart"/>
      <w:proofErr w:type="gramStart"/>
      <w:r w:rsidRPr="00C70DD3">
        <w:rPr>
          <w:rFonts w:ascii="Arial" w:eastAsia="Calibri" w:hAnsi="Arial" w:cs="Times New Roman"/>
          <w:sz w:val="24"/>
          <w:lang w:val="en-US"/>
        </w:rPr>
        <w:t>doi:https</w:t>
      </w:r>
      <w:proofErr w:type="spellEnd"/>
      <w:r w:rsidRPr="00C70DD3">
        <w:rPr>
          <w:rFonts w:ascii="Arial" w:eastAsia="Calibri" w:hAnsi="Arial" w:cs="Times New Roman"/>
          <w:sz w:val="24"/>
          <w:lang w:val="en-US"/>
        </w:rPr>
        <w:t>://doi.org/10.1109/tpc.2011.2161844</w:t>
      </w:r>
      <w:proofErr w:type="gramEnd"/>
      <w:r w:rsidRPr="00C70DD3">
        <w:rPr>
          <w:rFonts w:ascii="Arial" w:eastAsia="Calibri" w:hAnsi="Arial" w:cs="Times New Roman"/>
          <w:sz w:val="24"/>
          <w:lang w:val="en-US"/>
        </w:rPr>
        <w:t>.</w:t>
      </w:r>
    </w:p>
    <w:p w14:paraId="590C325B" w14:textId="77777777" w:rsidR="00C70DD3" w:rsidRPr="00C70DD3" w:rsidRDefault="00C70DD3" w:rsidP="00C70DD3">
      <w:pPr>
        <w:spacing w:line="360" w:lineRule="auto"/>
        <w:ind w:left="720" w:hanging="720"/>
        <w:rPr>
          <w:rFonts w:ascii="Arial" w:eastAsia="Calibri" w:hAnsi="Arial" w:cs="Times New Roman"/>
          <w:sz w:val="24"/>
          <w:lang w:val="en-US"/>
        </w:rPr>
      </w:pPr>
      <w:r w:rsidRPr="00C70DD3">
        <w:rPr>
          <w:rFonts w:ascii="Arial" w:eastAsia="Calibri" w:hAnsi="Arial" w:cs="Times New Roman"/>
          <w:sz w:val="24"/>
          <w:lang w:val="en-US"/>
        </w:rPr>
        <w:t xml:space="preserve">Samovar, L.A., Porter, R.E., McDaniel, E.R. and Roy, C.S. (2017). </w:t>
      </w:r>
      <w:r w:rsidRPr="00C70DD3">
        <w:rPr>
          <w:rFonts w:ascii="Arial" w:eastAsia="Calibri" w:hAnsi="Arial" w:cs="Times New Roman"/>
          <w:i/>
          <w:iCs/>
          <w:sz w:val="24"/>
          <w:lang w:val="en-US"/>
        </w:rPr>
        <w:t>Communication between cultures</w:t>
      </w:r>
      <w:r w:rsidRPr="00C70DD3">
        <w:rPr>
          <w:rFonts w:ascii="Arial" w:eastAsia="Calibri" w:hAnsi="Arial" w:cs="Times New Roman"/>
          <w:sz w:val="24"/>
          <w:lang w:val="en-US"/>
        </w:rPr>
        <w:t>. 9th ed. Boston, Mass.: Cengage Learning.</w:t>
      </w:r>
    </w:p>
    <w:p w14:paraId="43F4A985" w14:textId="6215EB7D" w:rsidR="00C70DD3" w:rsidRPr="00C70DD3" w:rsidRDefault="00C70DD3" w:rsidP="00C70DD3">
      <w:pPr>
        <w:spacing w:line="360" w:lineRule="auto"/>
        <w:ind w:left="720" w:hanging="720"/>
        <w:rPr>
          <w:rFonts w:ascii="Arial" w:eastAsia="Calibri" w:hAnsi="Arial" w:cs="Times New Roman"/>
          <w:sz w:val="24"/>
          <w:lang w:val="en-US"/>
        </w:rPr>
      </w:pPr>
      <w:r w:rsidRPr="00C70DD3">
        <w:rPr>
          <w:rFonts w:ascii="Arial" w:eastAsia="Calibri" w:hAnsi="Arial" w:cs="Times New Roman"/>
          <w:sz w:val="24"/>
          <w:lang w:val="en-US"/>
        </w:rPr>
        <w:t xml:space="preserve">The Culture Factor Group (2025). </w:t>
      </w:r>
      <w:r w:rsidRPr="00C70DD3">
        <w:rPr>
          <w:rFonts w:ascii="Arial" w:eastAsia="Calibri" w:hAnsi="Arial" w:cs="Times New Roman"/>
          <w:i/>
          <w:iCs/>
          <w:sz w:val="24"/>
          <w:lang w:val="en-US"/>
        </w:rPr>
        <w:t>Country comparison tool</w:t>
      </w:r>
      <w:r w:rsidRPr="00C70DD3">
        <w:rPr>
          <w:rFonts w:ascii="Arial" w:eastAsia="Calibri" w:hAnsi="Arial" w:cs="Times New Roman"/>
          <w:sz w:val="24"/>
          <w:lang w:val="en-US"/>
        </w:rPr>
        <w:t xml:space="preserve">. Theculturefactor.com. Available at: https://www.theculturefactor.com/country-comparison-tool?countries=japan%2Cunited+kingdom [Accessed </w:t>
      </w:r>
      <w:r>
        <w:rPr>
          <w:rFonts w:ascii="Arial" w:eastAsia="Calibri" w:hAnsi="Arial" w:cs="Times New Roman"/>
          <w:sz w:val="24"/>
          <w:lang w:val="en-US"/>
        </w:rPr>
        <w:t>9</w:t>
      </w:r>
      <w:r w:rsidRPr="00C70DD3">
        <w:rPr>
          <w:rFonts w:ascii="Arial" w:eastAsia="Calibri" w:hAnsi="Arial" w:cs="Times New Roman"/>
          <w:sz w:val="24"/>
          <w:lang w:val="en-US"/>
        </w:rPr>
        <w:t xml:space="preserve"> </w:t>
      </w:r>
      <w:r>
        <w:rPr>
          <w:rFonts w:ascii="Arial" w:eastAsia="Calibri" w:hAnsi="Arial" w:cs="Times New Roman"/>
          <w:sz w:val="24"/>
          <w:lang w:val="en-US"/>
        </w:rPr>
        <w:t>Dec</w:t>
      </w:r>
      <w:r w:rsidRPr="00C70DD3">
        <w:rPr>
          <w:rFonts w:ascii="Arial" w:eastAsia="Calibri" w:hAnsi="Arial" w:cs="Times New Roman"/>
          <w:sz w:val="24"/>
          <w:lang w:val="en-US"/>
        </w:rPr>
        <w:t>. 2025].</w:t>
      </w:r>
    </w:p>
    <w:p w14:paraId="1C1832B4" w14:textId="69B73FA7" w:rsidR="00C70DD3" w:rsidRPr="00C70DD3" w:rsidRDefault="00C70DD3" w:rsidP="00C70DD3">
      <w:pPr>
        <w:spacing w:line="360" w:lineRule="auto"/>
        <w:ind w:left="720" w:hanging="720"/>
        <w:rPr>
          <w:rFonts w:ascii="Arial" w:eastAsia="Calibri" w:hAnsi="Arial" w:cs="Times New Roman"/>
          <w:sz w:val="24"/>
          <w:lang w:val="en-US"/>
        </w:rPr>
      </w:pPr>
      <w:r w:rsidRPr="00C70DD3">
        <w:rPr>
          <w:rFonts w:ascii="Arial" w:eastAsia="Calibri" w:hAnsi="Arial" w:cs="Times New Roman"/>
          <w:sz w:val="24"/>
          <w:lang w:val="en-US"/>
        </w:rPr>
        <w:lastRenderedPageBreak/>
        <w:t xml:space="preserve">Toyota (2025). </w:t>
      </w:r>
      <w:r w:rsidRPr="00C70DD3">
        <w:rPr>
          <w:rFonts w:ascii="Arial" w:eastAsia="Calibri" w:hAnsi="Arial" w:cs="Times New Roman"/>
          <w:i/>
          <w:iCs/>
          <w:sz w:val="24"/>
          <w:lang w:val="en-US"/>
        </w:rPr>
        <w:t>Toyota in the World | Toyota Europe</w:t>
      </w:r>
      <w:r w:rsidRPr="00C70DD3">
        <w:rPr>
          <w:rFonts w:ascii="Arial" w:eastAsia="Calibri" w:hAnsi="Arial" w:cs="Times New Roman"/>
          <w:sz w:val="24"/>
          <w:lang w:val="en-US"/>
        </w:rPr>
        <w:t xml:space="preserve">. [online] Toyota EU. Available at: https://www.toyota-europe.com/about-us/toyota-in-the-world [Accessed </w:t>
      </w:r>
      <w:r>
        <w:rPr>
          <w:rFonts w:ascii="Arial" w:eastAsia="Calibri" w:hAnsi="Arial" w:cs="Times New Roman"/>
          <w:sz w:val="24"/>
          <w:lang w:val="en-US"/>
        </w:rPr>
        <w:t>9 Dec</w:t>
      </w:r>
      <w:r w:rsidRPr="00C70DD3">
        <w:rPr>
          <w:rFonts w:ascii="Arial" w:eastAsia="Calibri" w:hAnsi="Arial" w:cs="Times New Roman"/>
          <w:sz w:val="24"/>
          <w:lang w:val="en-US"/>
        </w:rPr>
        <w:t>. 2025].</w:t>
      </w:r>
    </w:p>
    <w:p w14:paraId="675DDFA2" w14:textId="77777777" w:rsidR="00C70DD3" w:rsidRPr="00C70DD3" w:rsidRDefault="00C70DD3" w:rsidP="00C70DD3">
      <w:pPr>
        <w:spacing w:line="360" w:lineRule="auto"/>
        <w:ind w:left="720" w:hanging="720"/>
        <w:rPr>
          <w:rFonts w:ascii="Arial" w:eastAsia="Calibri" w:hAnsi="Arial" w:cs="Times New Roman"/>
          <w:sz w:val="24"/>
          <w:lang w:val="en-US"/>
        </w:rPr>
      </w:pPr>
      <w:r w:rsidRPr="00C70DD3">
        <w:rPr>
          <w:rFonts w:ascii="Arial" w:eastAsia="Calibri" w:hAnsi="Arial" w:cs="Times New Roman"/>
          <w:sz w:val="24"/>
          <w:lang w:val="en-US"/>
        </w:rPr>
        <w:t xml:space="preserve">Varner, I.I. and Beamer, L. (2011). </w:t>
      </w:r>
      <w:r w:rsidRPr="00C70DD3">
        <w:rPr>
          <w:rFonts w:ascii="Arial" w:eastAsia="Calibri" w:hAnsi="Arial" w:cs="Times New Roman"/>
          <w:i/>
          <w:iCs/>
          <w:sz w:val="24"/>
          <w:lang w:val="en-US"/>
        </w:rPr>
        <w:t>Intercultural communication in the global workplace</w:t>
      </w:r>
      <w:r w:rsidRPr="00C70DD3">
        <w:rPr>
          <w:rFonts w:ascii="Arial" w:eastAsia="Calibri" w:hAnsi="Arial" w:cs="Times New Roman"/>
          <w:sz w:val="24"/>
          <w:lang w:val="en-US"/>
        </w:rPr>
        <w:t xml:space="preserve">. </w:t>
      </w:r>
      <w:proofErr w:type="gramStart"/>
      <w:r w:rsidRPr="00C70DD3">
        <w:rPr>
          <w:rFonts w:ascii="Arial" w:eastAsia="Calibri" w:hAnsi="Arial" w:cs="Times New Roman"/>
          <w:sz w:val="24"/>
          <w:lang w:val="en-US"/>
        </w:rPr>
        <w:t>Boston ;</w:t>
      </w:r>
      <w:proofErr w:type="gramEnd"/>
      <w:r w:rsidRPr="00C70DD3">
        <w:rPr>
          <w:rFonts w:ascii="Arial" w:eastAsia="Calibri" w:hAnsi="Arial" w:cs="Times New Roman"/>
          <w:sz w:val="24"/>
          <w:lang w:val="en-US"/>
        </w:rPr>
        <w:t xml:space="preserve"> Burr </w:t>
      </w:r>
      <w:proofErr w:type="gramStart"/>
      <w:r w:rsidRPr="00C70DD3">
        <w:rPr>
          <w:rFonts w:ascii="Arial" w:eastAsia="Calibri" w:hAnsi="Arial" w:cs="Times New Roman"/>
          <w:sz w:val="24"/>
          <w:lang w:val="en-US"/>
        </w:rPr>
        <w:t>Ridge ;</w:t>
      </w:r>
      <w:proofErr w:type="gramEnd"/>
      <w:r w:rsidRPr="00C70DD3">
        <w:rPr>
          <w:rFonts w:ascii="Arial" w:eastAsia="Calibri" w:hAnsi="Arial" w:cs="Times New Roman"/>
          <w:sz w:val="24"/>
          <w:lang w:val="en-US"/>
        </w:rPr>
        <w:t xml:space="preserve"> Dubuque Et Al.: </w:t>
      </w:r>
      <w:proofErr w:type="spellStart"/>
      <w:r w:rsidRPr="00C70DD3">
        <w:rPr>
          <w:rFonts w:ascii="Arial" w:eastAsia="Calibri" w:hAnsi="Arial" w:cs="Times New Roman"/>
          <w:sz w:val="24"/>
          <w:lang w:val="en-US"/>
        </w:rPr>
        <w:t>Mcgraw-Hill</w:t>
      </w:r>
      <w:proofErr w:type="spellEnd"/>
      <w:r w:rsidRPr="00C70DD3">
        <w:rPr>
          <w:rFonts w:ascii="Arial" w:eastAsia="Calibri" w:hAnsi="Arial" w:cs="Times New Roman"/>
          <w:sz w:val="24"/>
          <w:lang w:val="en-US"/>
        </w:rPr>
        <w:t>, Cop.</w:t>
      </w:r>
    </w:p>
    <w:p w14:paraId="17592531" w14:textId="77777777" w:rsidR="00C70DD3" w:rsidRPr="00C70DD3" w:rsidRDefault="00C70DD3" w:rsidP="00C70DD3">
      <w:pPr>
        <w:spacing w:line="360" w:lineRule="auto"/>
        <w:rPr>
          <w:rFonts w:ascii="Arial" w:eastAsia="Calibri" w:hAnsi="Arial" w:cs="Times New Roman"/>
          <w:sz w:val="24"/>
          <w:lang w:val="en-US"/>
        </w:rPr>
      </w:pPr>
    </w:p>
    <w:p w14:paraId="205BD48E" w14:textId="77777777" w:rsidR="00C70DD3" w:rsidRPr="007F7695" w:rsidRDefault="00C70DD3" w:rsidP="007F7695">
      <w:pPr>
        <w:spacing w:line="480" w:lineRule="auto"/>
        <w:rPr>
          <w:rFonts w:ascii="Arial" w:hAnsi="Arial" w:cs="Arial"/>
          <w:sz w:val="24"/>
          <w:szCs w:val="24"/>
        </w:rPr>
      </w:pPr>
    </w:p>
    <w:sectPr w:rsidR="00C70DD3" w:rsidRPr="007F7695" w:rsidSect="008B4F38">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6DACC" w14:textId="77777777" w:rsidR="008B4F38" w:rsidRDefault="008B4F38" w:rsidP="008B4F38">
      <w:pPr>
        <w:spacing w:after="0" w:line="240" w:lineRule="auto"/>
      </w:pPr>
      <w:r>
        <w:separator/>
      </w:r>
    </w:p>
  </w:endnote>
  <w:endnote w:type="continuationSeparator" w:id="0">
    <w:p w14:paraId="4A2F882F" w14:textId="77777777" w:rsidR="008B4F38" w:rsidRDefault="008B4F38" w:rsidP="008B4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5214280"/>
      <w:docPartObj>
        <w:docPartGallery w:val="Page Numbers (Bottom of Page)"/>
        <w:docPartUnique/>
      </w:docPartObj>
    </w:sdtPr>
    <w:sdtContent>
      <w:p w14:paraId="0959D69D" w14:textId="737FD4FF" w:rsidR="008B4F38" w:rsidRDefault="008B4F38">
        <w:pPr>
          <w:pStyle w:val="Footer"/>
          <w:jc w:val="right"/>
        </w:pPr>
        <w:r>
          <w:fldChar w:fldCharType="begin"/>
        </w:r>
        <w:r>
          <w:instrText>PAGE   \* MERGEFORMAT</w:instrText>
        </w:r>
        <w:r>
          <w:fldChar w:fldCharType="separate"/>
        </w:r>
        <w:r>
          <w:t>2</w:t>
        </w:r>
        <w:r>
          <w:fldChar w:fldCharType="end"/>
        </w:r>
      </w:p>
    </w:sdtContent>
  </w:sdt>
  <w:p w14:paraId="664680A1" w14:textId="77777777" w:rsidR="008B4F38" w:rsidRDefault="008B4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E0DC82" w14:textId="77777777" w:rsidR="008B4F38" w:rsidRDefault="008B4F38" w:rsidP="008B4F38">
      <w:pPr>
        <w:spacing w:after="0" w:line="240" w:lineRule="auto"/>
      </w:pPr>
      <w:r>
        <w:separator/>
      </w:r>
    </w:p>
  </w:footnote>
  <w:footnote w:type="continuationSeparator" w:id="0">
    <w:p w14:paraId="22FE6BC1" w14:textId="77777777" w:rsidR="008B4F38" w:rsidRDefault="008B4F38" w:rsidP="008B4F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586272"/>
    <w:multiLevelType w:val="multilevel"/>
    <w:tmpl w:val="10F6E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0293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695"/>
    <w:rsid w:val="00014E13"/>
    <w:rsid w:val="001968BF"/>
    <w:rsid w:val="001E4E20"/>
    <w:rsid w:val="007F7695"/>
    <w:rsid w:val="008B4F38"/>
    <w:rsid w:val="00B6672F"/>
    <w:rsid w:val="00C70DD3"/>
    <w:rsid w:val="00E81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C45FE"/>
  <w15:chartTrackingRefBased/>
  <w15:docId w15:val="{20EA577B-24D0-49A2-94C5-C7942DCE3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6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76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76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76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76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76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76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76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76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6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76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76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76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76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76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76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76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7695"/>
    <w:rPr>
      <w:rFonts w:eastAsiaTheme="majorEastAsia" w:cstheme="majorBidi"/>
      <w:color w:val="272727" w:themeColor="text1" w:themeTint="D8"/>
    </w:rPr>
  </w:style>
  <w:style w:type="paragraph" w:styleId="Title">
    <w:name w:val="Title"/>
    <w:basedOn w:val="Normal"/>
    <w:next w:val="Normal"/>
    <w:link w:val="TitleChar"/>
    <w:uiPriority w:val="10"/>
    <w:qFormat/>
    <w:rsid w:val="007F76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6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6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76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7695"/>
    <w:pPr>
      <w:spacing w:before="160"/>
      <w:jc w:val="center"/>
    </w:pPr>
    <w:rPr>
      <w:i/>
      <w:iCs/>
      <w:color w:val="404040" w:themeColor="text1" w:themeTint="BF"/>
    </w:rPr>
  </w:style>
  <w:style w:type="character" w:customStyle="1" w:styleId="QuoteChar">
    <w:name w:val="Quote Char"/>
    <w:basedOn w:val="DefaultParagraphFont"/>
    <w:link w:val="Quote"/>
    <w:uiPriority w:val="29"/>
    <w:rsid w:val="007F7695"/>
    <w:rPr>
      <w:i/>
      <w:iCs/>
      <w:color w:val="404040" w:themeColor="text1" w:themeTint="BF"/>
    </w:rPr>
  </w:style>
  <w:style w:type="paragraph" w:styleId="ListParagraph">
    <w:name w:val="List Paragraph"/>
    <w:basedOn w:val="Normal"/>
    <w:uiPriority w:val="34"/>
    <w:qFormat/>
    <w:rsid w:val="007F7695"/>
    <w:pPr>
      <w:ind w:left="720"/>
      <w:contextualSpacing/>
    </w:pPr>
  </w:style>
  <w:style w:type="character" w:styleId="IntenseEmphasis">
    <w:name w:val="Intense Emphasis"/>
    <w:basedOn w:val="DefaultParagraphFont"/>
    <w:uiPriority w:val="21"/>
    <w:qFormat/>
    <w:rsid w:val="007F7695"/>
    <w:rPr>
      <w:i/>
      <w:iCs/>
      <w:color w:val="0F4761" w:themeColor="accent1" w:themeShade="BF"/>
    </w:rPr>
  </w:style>
  <w:style w:type="paragraph" w:styleId="IntenseQuote">
    <w:name w:val="Intense Quote"/>
    <w:basedOn w:val="Normal"/>
    <w:next w:val="Normal"/>
    <w:link w:val="IntenseQuoteChar"/>
    <w:uiPriority w:val="30"/>
    <w:qFormat/>
    <w:rsid w:val="007F76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7695"/>
    <w:rPr>
      <w:i/>
      <w:iCs/>
      <w:color w:val="0F4761" w:themeColor="accent1" w:themeShade="BF"/>
    </w:rPr>
  </w:style>
  <w:style w:type="character" w:styleId="IntenseReference">
    <w:name w:val="Intense Reference"/>
    <w:basedOn w:val="DefaultParagraphFont"/>
    <w:uiPriority w:val="32"/>
    <w:qFormat/>
    <w:rsid w:val="007F7695"/>
    <w:rPr>
      <w:b/>
      <w:bCs/>
      <w:smallCaps/>
      <w:color w:val="0F4761" w:themeColor="accent1" w:themeShade="BF"/>
      <w:spacing w:val="5"/>
    </w:rPr>
  </w:style>
  <w:style w:type="paragraph" w:styleId="NoSpacing">
    <w:name w:val="No Spacing"/>
    <w:uiPriority w:val="1"/>
    <w:qFormat/>
    <w:rsid w:val="007F7695"/>
    <w:pPr>
      <w:spacing w:after="0" w:line="240" w:lineRule="auto"/>
    </w:pPr>
  </w:style>
  <w:style w:type="paragraph" w:styleId="TOCHeading">
    <w:name w:val="TOC Heading"/>
    <w:basedOn w:val="Heading1"/>
    <w:next w:val="Normal"/>
    <w:uiPriority w:val="39"/>
    <w:unhideWhenUsed/>
    <w:qFormat/>
    <w:rsid w:val="00C70DD3"/>
    <w:pPr>
      <w:spacing w:before="240" w:after="0"/>
      <w:outlineLvl w:val="9"/>
    </w:pPr>
    <w:rPr>
      <w:sz w:val="32"/>
      <w:szCs w:val="32"/>
      <w:lang w:val="en-US"/>
    </w:rPr>
  </w:style>
  <w:style w:type="paragraph" w:styleId="TOC1">
    <w:name w:val="toc 1"/>
    <w:basedOn w:val="Normal"/>
    <w:next w:val="Normal"/>
    <w:autoRedefine/>
    <w:uiPriority w:val="39"/>
    <w:unhideWhenUsed/>
    <w:rsid w:val="00C70DD3"/>
    <w:pPr>
      <w:spacing w:after="100" w:line="360" w:lineRule="auto"/>
    </w:pPr>
    <w:rPr>
      <w:rFonts w:ascii="Arial" w:hAnsi="Arial"/>
      <w:sz w:val="24"/>
      <w:lang w:val="en-US"/>
    </w:rPr>
  </w:style>
  <w:style w:type="paragraph" w:styleId="TOC2">
    <w:name w:val="toc 2"/>
    <w:basedOn w:val="Normal"/>
    <w:next w:val="Normal"/>
    <w:autoRedefine/>
    <w:uiPriority w:val="39"/>
    <w:unhideWhenUsed/>
    <w:rsid w:val="00C70DD3"/>
    <w:pPr>
      <w:spacing w:after="100" w:line="360" w:lineRule="auto"/>
      <w:ind w:left="240"/>
    </w:pPr>
    <w:rPr>
      <w:rFonts w:ascii="Arial" w:hAnsi="Arial"/>
      <w:sz w:val="24"/>
      <w:lang w:val="en-US"/>
    </w:rPr>
  </w:style>
  <w:style w:type="character" w:styleId="Hyperlink">
    <w:name w:val="Hyperlink"/>
    <w:basedOn w:val="DefaultParagraphFont"/>
    <w:uiPriority w:val="99"/>
    <w:unhideWhenUsed/>
    <w:rsid w:val="00C70DD3"/>
    <w:rPr>
      <w:color w:val="467886" w:themeColor="hyperlink"/>
      <w:u w:val="single"/>
    </w:rPr>
  </w:style>
  <w:style w:type="paragraph" w:styleId="Header">
    <w:name w:val="header"/>
    <w:basedOn w:val="Normal"/>
    <w:link w:val="HeaderChar"/>
    <w:uiPriority w:val="99"/>
    <w:unhideWhenUsed/>
    <w:rsid w:val="008B4F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F38"/>
  </w:style>
  <w:style w:type="paragraph" w:styleId="Footer">
    <w:name w:val="footer"/>
    <w:basedOn w:val="Normal"/>
    <w:link w:val="FooterChar"/>
    <w:uiPriority w:val="99"/>
    <w:unhideWhenUsed/>
    <w:rsid w:val="008B4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F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CCBC08-3906-48A6-BDFB-79A544E6CF7D}" type="doc">
      <dgm:prSet loTypeId="urn:microsoft.com/office/officeart/2005/8/layout/hProcess9" loCatId="process" qsTypeId="urn:microsoft.com/office/officeart/2005/8/quickstyle/simple5" qsCatId="simple" csTypeId="urn:microsoft.com/office/officeart/2005/8/colors/colorful5" csCatId="colorful" phldr="1"/>
      <dgm:spPr/>
    </dgm:pt>
    <dgm:pt modelId="{E70EEA72-BFDB-432B-8C3C-7C1CA9D74AE4}">
      <dgm:prSet phldrT="[Text]"/>
      <dgm:spPr>
        <a:xfrm>
          <a:off x="2498" y="473202"/>
          <a:ext cx="1092216" cy="630936"/>
        </a:xfrm>
        <a:prstGeom prst="roundRect">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US" b="1">
              <a:solidFill>
                <a:sysClr val="window" lastClr="FFFFFF"/>
              </a:solidFill>
              <a:latin typeface="Calibri" panose="020F0502020204030204"/>
              <a:ea typeface="+mn-ea"/>
              <a:cs typeface="+mn-cs"/>
            </a:rPr>
            <a:t>Cross-Cultural Training</a:t>
          </a:r>
          <a:endParaRPr lang="en-US">
            <a:solidFill>
              <a:sysClr val="window" lastClr="FFFFFF"/>
            </a:solidFill>
            <a:latin typeface="Calibri" panose="020F0502020204030204"/>
            <a:ea typeface="+mn-ea"/>
            <a:cs typeface="+mn-cs"/>
          </a:endParaRPr>
        </a:p>
      </dgm:t>
    </dgm:pt>
    <dgm:pt modelId="{F469EB82-D452-4BE7-9087-09F0ECDF6EBD}" type="parTrans" cxnId="{4244B9DB-DB5E-4EDD-8D11-F4343AEB8199}">
      <dgm:prSet/>
      <dgm:spPr/>
      <dgm:t>
        <a:bodyPr/>
        <a:lstStyle/>
        <a:p>
          <a:endParaRPr lang="en-US"/>
        </a:p>
      </dgm:t>
    </dgm:pt>
    <dgm:pt modelId="{826B8C42-831F-45CC-A30E-5526939155F5}" type="sibTrans" cxnId="{4244B9DB-DB5E-4EDD-8D11-F4343AEB8199}">
      <dgm:prSet/>
      <dgm:spPr/>
      <dgm:t>
        <a:bodyPr/>
        <a:lstStyle/>
        <a:p>
          <a:endParaRPr lang="en-US"/>
        </a:p>
      </dgm:t>
    </dgm:pt>
    <dgm:pt modelId="{1F9BEA92-1A5D-4EC8-BBF9-CACAE447EB60}">
      <dgm:prSet phldrT="[Text]"/>
      <dgm:spPr>
        <a:xfrm>
          <a:off x="1149325" y="473202"/>
          <a:ext cx="1092216" cy="630936"/>
        </a:xfrm>
        <a:prstGeom prst="roundRect">
          <a:avLst/>
        </a:prstGeom>
        <a:gradFill rotWithShape="0">
          <a:gsLst>
            <a:gs pos="0">
              <a:srgbClr val="5B9BD5">
                <a:hueOff val="-1689636"/>
                <a:satOff val="-4355"/>
                <a:lumOff val="-2941"/>
                <a:alphaOff val="0"/>
                <a:satMod val="103000"/>
                <a:lumMod val="102000"/>
                <a:tint val="94000"/>
              </a:srgbClr>
            </a:gs>
            <a:gs pos="50000">
              <a:srgbClr val="5B9BD5">
                <a:hueOff val="-1689636"/>
                <a:satOff val="-4355"/>
                <a:lumOff val="-2941"/>
                <a:alphaOff val="0"/>
                <a:satMod val="110000"/>
                <a:lumMod val="100000"/>
                <a:shade val="100000"/>
              </a:srgbClr>
            </a:gs>
            <a:gs pos="100000">
              <a:srgbClr val="5B9BD5">
                <a:hueOff val="-1689636"/>
                <a:satOff val="-4355"/>
                <a:lumOff val="-2941"/>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US" b="1">
              <a:solidFill>
                <a:sysClr val="window" lastClr="FFFFFF"/>
              </a:solidFill>
              <a:latin typeface="Calibri" panose="020F0502020204030204"/>
              <a:ea typeface="+mn-ea"/>
              <a:cs typeface="+mn-cs"/>
            </a:rPr>
            <a:t>Diverse Leadership Teams</a:t>
          </a:r>
          <a:endParaRPr lang="en-US">
            <a:solidFill>
              <a:sysClr val="window" lastClr="FFFFFF"/>
            </a:solidFill>
            <a:latin typeface="Calibri" panose="020F0502020204030204"/>
            <a:ea typeface="+mn-ea"/>
            <a:cs typeface="+mn-cs"/>
          </a:endParaRPr>
        </a:p>
      </dgm:t>
    </dgm:pt>
    <dgm:pt modelId="{E1F00571-66B2-497F-AE2F-C77CAC6C6AF2}" type="parTrans" cxnId="{B20C0211-C91C-4653-9ABD-16E8B5ABBF57}">
      <dgm:prSet/>
      <dgm:spPr/>
      <dgm:t>
        <a:bodyPr/>
        <a:lstStyle/>
        <a:p>
          <a:endParaRPr lang="en-US"/>
        </a:p>
      </dgm:t>
    </dgm:pt>
    <dgm:pt modelId="{F9B5D9A1-325A-411E-81AC-36C985B3F92D}" type="sibTrans" cxnId="{B20C0211-C91C-4653-9ABD-16E8B5ABBF57}">
      <dgm:prSet/>
      <dgm:spPr/>
      <dgm:t>
        <a:bodyPr/>
        <a:lstStyle/>
        <a:p>
          <a:endParaRPr lang="en-US"/>
        </a:p>
      </dgm:t>
    </dgm:pt>
    <dgm:pt modelId="{D89E73B7-D9E6-4EE9-9AF2-357E87962284}">
      <dgm:prSet phldrT="[Text]"/>
      <dgm:spPr>
        <a:xfrm>
          <a:off x="2296151" y="473202"/>
          <a:ext cx="1092216" cy="630936"/>
        </a:xfrm>
        <a:prstGeom prst="roundRect">
          <a:avLst/>
        </a:prstGeom>
        <a:gradFill rotWithShape="0">
          <a:gsLst>
            <a:gs pos="0">
              <a:srgbClr val="5B9BD5">
                <a:hueOff val="-3379271"/>
                <a:satOff val="-8710"/>
                <a:lumOff val="-5883"/>
                <a:alphaOff val="0"/>
                <a:satMod val="103000"/>
                <a:lumMod val="102000"/>
                <a:tint val="94000"/>
              </a:srgbClr>
            </a:gs>
            <a:gs pos="50000">
              <a:srgbClr val="5B9BD5">
                <a:hueOff val="-3379271"/>
                <a:satOff val="-8710"/>
                <a:lumOff val="-5883"/>
                <a:alphaOff val="0"/>
                <a:satMod val="110000"/>
                <a:lumMod val="100000"/>
                <a:shade val="100000"/>
              </a:srgbClr>
            </a:gs>
            <a:gs pos="100000">
              <a:srgbClr val="5B9BD5">
                <a:hueOff val="-3379271"/>
                <a:satOff val="-8710"/>
                <a:lumOff val="-5883"/>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US" b="1">
              <a:solidFill>
                <a:sysClr val="window" lastClr="FFFFFF"/>
              </a:solidFill>
              <a:latin typeface="Calibri" panose="020F0502020204030204"/>
              <a:ea typeface="+mn-ea"/>
              <a:cs typeface="+mn-cs"/>
            </a:rPr>
            <a:t>Feedback Mechanisms</a:t>
          </a:r>
          <a:endParaRPr lang="en-US">
            <a:solidFill>
              <a:sysClr val="window" lastClr="FFFFFF"/>
            </a:solidFill>
            <a:latin typeface="Calibri" panose="020F0502020204030204"/>
            <a:ea typeface="+mn-ea"/>
            <a:cs typeface="+mn-cs"/>
          </a:endParaRPr>
        </a:p>
      </dgm:t>
    </dgm:pt>
    <dgm:pt modelId="{1B7598E8-817B-4ACE-80C0-6ABCA42D9C4F}" type="parTrans" cxnId="{FA1046A6-F500-47E9-A0E8-964BF25F37D5}">
      <dgm:prSet/>
      <dgm:spPr/>
      <dgm:t>
        <a:bodyPr/>
        <a:lstStyle/>
        <a:p>
          <a:endParaRPr lang="en-US"/>
        </a:p>
      </dgm:t>
    </dgm:pt>
    <dgm:pt modelId="{E6FCBB91-EE58-479C-AABD-92ED8FF5B866}" type="sibTrans" cxnId="{FA1046A6-F500-47E9-A0E8-964BF25F37D5}">
      <dgm:prSet/>
      <dgm:spPr/>
      <dgm:t>
        <a:bodyPr/>
        <a:lstStyle/>
        <a:p>
          <a:endParaRPr lang="en-US"/>
        </a:p>
      </dgm:t>
    </dgm:pt>
    <dgm:pt modelId="{D382E621-B685-49FE-8799-52855FDCADF6}">
      <dgm:prSet phldrT="[Text]"/>
      <dgm:spPr>
        <a:xfrm>
          <a:off x="3442978" y="473202"/>
          <a:ext cx="1092216" cy="630936"/>
        </a:xfrm>
        <a:prstGeom prst="roundRect">
          <a:avLst/>
        </a:prstGeom>
        <a:gradFill rotWithShape="0">
          <a:gsLst>
            <a:gs pos="0">
              <a:srgbClr val="5B9BD5">
                <a:hueOff val="-5068907"/>
                <a:satOff val="-13064"/>
                <a:lumOff val="-8824"/>
                <a:alphaOff val="0"/>
                <a:satMod val="103000"/>
                <a:lumMod val="102000"/>
                <a:tint val="94000"/>
              </a:srgbClr>
            </a:gs>
            <a:gs pos="50000">
              <a:srgbClr val="5B9BD5">
                <a:hueOff val="-5068907"/>
                <a:satOff val="-13064"/>
                <a:lumOff val="-8824"/>
                <a:alphaOff val="0"/>
                <a:satMod val="110000"/>
                <a:lumMod val="100000"/>
                <a:shade val="100000"/>
              </a:srgbClr>
            </a:gs>
            <a:gs pos="100000">
              <a:srgbClr val="5B9BD5">
                <a:hueOff val="-5068907"/>
                <a:satOff val="-13064"/>
                <a:lumOff val="-8824"/>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US" b="1">
              <a:solidFill>
                <a:sysClr val="window" lastClr="FFFFFF"/>
              </a:solidFill>
              <a:latin typeface="Calibri" panose="020F0502020204030204"/>
              <a:ea typeface="+mn-ea"/>
              <a:cs typeface="+mn-cs"/>
            </a:rPr>
            <a:t>Digital Communication Platforms</a:t>
          </a:r>
          <a:endParaRPr lang="en-US">
            <a:solidFill>
              <a:sysClr val="window" lastClr="FFFFFF"/>
            </a:solidFill>
            <a:latin typeface="Calibri" panose="020F0502020204030204"/>
            <a:ea typeface="+mn-ea"/>
            <a:cs typeface="+mn-cs"/>
          </a:endParaRPr>
        </a:p>
      </dgm:t>
    </dgm:pt>
    <dgm:pt modelId="{664D9981-4BFB-43AF-9F56-945020F03F00}" type="parTrans" cxnId="{534D9959-00D0-4F17-844B-CF00981A0558}">
      <dgm:prSet/>
      <dgm:spPr/>
      <dgm:t>
        <a:bodyPr/>
        <a:lstStyle/>
        <a:p>
          <a:endParaRPr lang="en-US"/>
        </a:p>
      </dgm:t>
    </dgm:pt>
    <dgm:pt modelId="{20EB899A-8224-43DE-BD2B-CBC9F4907550}" type="sibTrans" cxnId="{534D9959-00D0-4F17-844B-CF00981A0558}">
      <dgm:prSet/>
      <dgm:spPr/>
      <dgm:t>
        <a:bodyPr/>
        <a:lstStyle/>
        <a:p>
          <a:endParaRPr lang="en-US"/>
        </a:p>
      </dgm:t>
    </dgm:pt>
    <dgm:pt modelId="{F8E259F0-818C-4C41-8D78-DB0025D878FD}">
      <dgm:prSet phldrT="[Text]"/>
      <dgm:spPr>
        <a:xfrm>
          <a:off x="4589805" y="473202"/>
          <a:ext cx="1092216" cy="630936"/>
        </a:xfrm>
        <a:prstGeom prst="roundRect">
          <a:avLst/>
        </a:prstGeom>
        <a:gradFill rotWithShape="0">
          <a:gsLst>
            <a:gs pos="0">
              <a:srgbClr val="5B9BD5">
                <a:hueOff val="-6758543"/>
                <a:satOff val="-17419"/>
                <a:lumOff val="-11765"/>
                <a:alphaOff val="0"/>
                <a:satMod val="103000"/>
                <a:lumMod val="102000"/>
                <a:tint val="94000"/>
              </a:srgbClr>
            </a:gs>
            <a:gs pos="50000">
              <a:srgbClr val="5B9BD5">
                <a:hueOff val="-6758543"/>
                <a:satOff val="-17419"/>
                <a:lumOff val="-11765"/>
                <a:alphaOff val="0"/>
                <a:satMod val="110000"/>
                <a:lumMod val="100000"/>
                <a:shade val="100000"/>
              </a:srgbClr>
            </a:gs>
            <a:gs pos="100000">
              <a:srgbClr val="5B9BD5">
                <a:hueOff val="-6758543"/>
                <a:satOff val="-17419"/>
                <a:lumOff val="-11765"/>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US" b="1">
              <a:solidFill>
                <a:sysClr val="window" lastClr="FFFFFF"/>
              </a:solidFill>
              <a:latin typeface="Calibri" panose="020F0502020204030204"/>
              <a:ea typeface="+mn-ea"/>
              <a:cs typeface="+mn-cs"/>
            </a:rPr>
            <a:t>Adoption of BELF Principles</a:t>
          </a:r>
          <a:endParaRPr lang="en-US">
            <a:solidFill>
              <a:sysClr val="window" lastClr="FFFFFF"/>
            </a:solidFill>
            <a:latin typeface="Calibri" panose="020F0502020204030204"/>
            <a:ea typeface="+mn-ea"/>
            <a:cs typeface="+mn-cs"/>
          </a:endParaRPr>
        </a:p>
      </dgm:t>
    </dgm:pt>
    <dgm:pt modelId="{61054073-3D04-433C-9F5D-4269F566F5DB}" type="parTrans" cxnId="{6750D6D7-24CB-482C-B8D7-97BBE3E612B2}">
      <dgm:prSet/>
      <dgm:spPr/>
      <dgm:t>
        <a:bodyPr/>
        <a:lstStyle/>
        <a:p>
          <a:endParaRPr lang="en-US"/>
        </a:p>
      </dgm:t>
    </dgm:pt>
    <dgm:pt modelId="{26EF0F37-39D2-4797-8475-6E3D1582D12A}" type="sibTrans" cxnId="{6750D6D7-24CB-482C-B8D7-97BBE3E612B2}">
      <dgm:prSet/>
      <dgm:spPr/>
      <dgm:t>
        <a:bodyPr/>
        <a:lstStyle/>
        <a:p>
          <a:endParaRPr lang="en-US"/>
        </a:p>
      </dgm:t>
    </dgm:pt>
    <dgm:pt modelId="{C462B3F7-395C-4281-8338-8F6BD2EFD1EC}" type="pres">
      <dgm:prSet presAssocID="{95CCBC08-3906-48A6-BDFB-79A544E6CF7D}" presName="CompostProcess" presStyleCnt="0">
        <dgm:presLayoutVars>
          <dgm:dir/>
          <dgm:resizeHandles val="exact"/>
        </dgm:presLayoutVars>
      </dgm:prSet>
      <dgm:spPr/>
    </dgm:pt>
    <dgm:pt modelId="{29F87B41-9131-4BDD-A038-19A6BA842EED}" type="pres">
      <dgm:prSet presAssocID="{95CCBC08-3906-48A6-BDFB-79A544E6CF7D}" presName="arrow" presStyleLbl="bgShp" presStyleIdx="0" presStyleCnt="1"/>
      <dgm:spPr>
        <a:xfrm>
          <a:off x="426338" y="0"/>
          <a:ext cx="4831842" cy="1577340"/>
        </a:xfrm>
        <a:prstGeom prst="rightArrow">
          <a:avLst/>
        </a:prstGeom>
        <a:solidFill>
          <a:srgbClr val="5B9BD5">
            <a:tint val="40000"/>
            <a:hueOff val="0"/>
            <a:satOff val="0"/>
            <a:lumOff val="0"/>
            <a:alphaOff val="0"/>
          </a:srgbClr>
        </a:solidFill>
        <a:ln>
          <a:noFill/>
        </a:ln>
        <a:effectLst/>
      </dgm:spPr>
    </dgm:pt>
    <dgm:pt modelId="{939AEE66-1035-4CCD-B94B-41F88BCDE727}" type="pres">
      <dgm:prSet presAssocID="{95CCBC08-3906-48A6-BDFB-79A544E6CF7D}" presName="linearProcess" presStyleCnt="0"/>
      <dgm:spPr/>
    </dgm:pt>
    <dgm:pt modelId="{E4B543AC-2825-4DF1-A4D5-2AEB76D591B7}" type="pres">
      <dgm:prSet presAssocID="{E70EEA72-BFDB-432B-8C3C-7C1CA9D74AE4}" presName="textNode" presStyleLbl="node1" presStyleIdx="0" presStyleCnt="5">
        <dgm:presLayoutVars>
          <dgm:bulletEnabled val="1"/>
        </dgm:presLayoutVars>
      </dgm:prSet>
      <dgm:spPr/>
    </dgm:pt>
    <dgm:pt modelId="{A46A37A3-ECFF-4901-B2A5-E196EC353C02}" type="pres">
      <dgm:prSet presAssocID="{826B8C42-831F-45CC-A30E-5526939155F5}" presName="sibTrans" presStyleCnt="0"/>
      <dgm:spPr/>
    </dgm:pt>
    <dgm:pt modelId="{0E5DA67C-D846-4A4C-89A6-516738901DA6}" type="pres">
      <dgm:prSet presAssocID="{1F9BEA92-1A5D-4EC8-BBF9-CACAE447EB60}" presName="textNode" presStyleLbl="node1" presStyleIdx="1" presStyleCnt="5">
        <dgm:presLayoutVars>
          <dgm:bulletEnabled val="1"/>
        </dgm:presLayoutVars>
      </dgm:prSet>
      <dgm:spPr/>
    </dgm:pt>
    <dgm:pt modelId="{C8ED6F0E-E843-4AFB-94BA-1DA5CA3F2A17}" type="pres">
      <dgm:prSet presAssocID="{F9B5D9A1-325A-411E-81AC-36C985B3F92D}" presName="sibTrans" presStyleCnt="0"/>
      <dgm:spPr/>
    </dgm:pt>
    <dgm:pt modelId="{F943D02C-C1F6-4BFD-9282-5297F4957503}" type="pres">
      <dgm:prSet presAssocID="{D89E73B7-D9E6-4EE9-9AF2-357E87962284}" presName="textNode" presStyleLbl="node1" presStyleIdx="2" presStyleCnt="5">
        <dgm:presLayoutVars>
          <dgm:bulletEnabled val="1"/>
        </dgm:presLayoutVars>
      </dgm:prSet>
      <dgm:spPr/>
    </dgm:pt>
    <dgm:pt modelId="{24B153DE-684D-4C37-B4CD-CA767A9E7DCA}" type="pres">
      <dgm:prSet presAssocID="{E6FCBB91-EE58-479C-AABD-92ED8FF5B866}" presName="sibTrans" presStyleCnt="0"/>
      <dgm:spPr/>
    </dgm:pt>
    <dgm:pt modelId="{D4593334-8CCE-4EC6-B4F4-0BC146F4D389}" type="pres">
      <dgm:prSet presAssocID="{D382E621-B685-49FE-8799-52855FDCADF6}" presName="textNode" presStyleLbl="node1" presStyleIdx="3" presStyleCnt="5">
        <dgm:presLayoutVars>
          <dgm:bulletEnabled val="1"/>
        </dgm:presLayoutVars>
      </dgm:prSet>
      <dgm:spPr/>
    </dgm:pt>
    <dgm:pt modelId="{85B406EE-D7CE-4E4C-BD55-F524DB66A0A7}" type="pres">
      <dgm:prSet presAssocID="{20EB899A-8224-43DE-BD2B-CBC9F4907550}" presName="sibTrans" presStyleCnt="0"/>
      <dgm:spPr/>
    </dgm:pt>
    <dgm:pt modelId="{DD059375-EE4B-4D73-9848-AE8D2A55B470}" type="pres">
      <dgm:prSet presAssocID="{F8E259F0-818C-4C41-8D78-DB0025D878FD}" presName="textNode" presStyleLbl="node1" presStyleIdx="4" presStyleCnt="5">
        <dgm:presLayoutVars>
          <dgm:bulletEnabled val="1"/>
        </dgm:presLayoutVars>
      </dgm:prSet>
      <dgm:spPr/>
    </dgm:pt>
  </dgm:ptLst>
  <dgm:cxnLst>
    <dgm:cxn modelId="{FCE2ED09-B420-4B2C-896A-3B96DA5900ED}" type="presOf" srcId="{D89E73B7-D9E6-4EE9-9AF2-357E87962284}" destId="{F943D02C-C1F6-4BFD-9282-5297F4957503}" srcOrd="0" destOrd="0" presId="urn:microsoft.com/office/officeart/2005/8/layout/hProcess9"/>
    <dgm:cxn modelId="{B20C0211-C91C-4653-9ABD-16E8B5ABBF57}" srcId="{95CCBC08-3906-48A6-BDFB-79A544E6CF7D}" destId="{1F9BEA92-1A5D-4EC8-BBF9-CACAE447EB60}" srcOrd="1" destOrd="0" parTransId="{E1F00571-66B2-497F-AE2F-C77CAC6C6AF2}" sibTransId="{F9B5D9A1-325A-411E-81AC-36C985B3F92D}"/>
    <dgm:cxn modelId="{65ABE156-132C-4AE5-B067-5D87CFA5698E}" type="presOf" srcId="{E70EEA72-BFDB-432B-8C3C-7C1CA9D74AE4}" destId="{E4B543AC-2825-4DF1-A4D5-2AEB76D591B7}" srcOrd="0" destOrd="0" presId="urn:microsoft.com/office/officeart/2005/8/layout/hProcess9"/>
    <dgm:cxn modelId="{534D9959-00D0-4F17-844B-CF00981A0558}" srcId="{95CCBC08-3906-48A6-BDFB-79A544E6CF7D}" destId="{D382E621-B685-49FE-8799-52855FDCADF6}" srcOrd="3" destOrd="0" parTransId="{664D9981-4BFB-43AF-9F56-945020F03F00}" sibTransId="{20EB899A-8224-43DE-BD2B-CBC9F4907550}"/>
    <dgm:cxn modelId="{CBD7577F-E348-4623-AE04-8F92E2076166}" type="presOf" srcId="{F8E259F0-818C-4C41-8D78-DB0025D878FD}" destId="{DD059375-EE4B-4D73-9848-AE8D2A55B470}" srcOrd="0" destOrd="0" presId="urn:microsoft.com/office/officeart/2005/8/layout/hProcess9"/>
    <dgm:cxn modelId="{53B9BA9A-BB6A-418F-A8E9-B4C9130487B8}" type="presOf" srcId="{D382E621-B685-49FE-8799-52855FDCADF6}" destId="{D4593334-8CCE-4EC6-B4F4-0BC146F4D389}" srcOrd="0" destOrd="0" presId="urn:microsoft.com/office/officeart/2005/8/layout/hProcess9"/>
    <dgm:cxn modelId="{FA1046A6-F500-47E9-A0E8-964BF25F37D5}" srcId="{95CCBC08-3906-48A6-BDFB-79A544E6CF7D}" destId="{D89E73B7-D9E6-4EE9-9AF2-357E87962284}" srcOrd="2" destOrd="0" parTransId="{1B7598E8-817B-4ACE-80C0-6ABCA42D9C4F}" sibTransId="{E6FCBB91-EE58-479C-AABD-92ED8FF5B866}"/>
    <dgm:cxn modelId="{9C3916C8-BF35-463A-ADFD-3688E7F0F229}" type="presOf" srcId="{95CCBC08-3906-48A6-BDFB-79A544E6CF7D}" destId="{C462B3F7-395C-4281-8338-8F6BD2EFD1EC}" srcOrd="0" destOrd="0" presId="urn:microsoft.com/office/officeart/2005/8/layout/hProcess9"/>
    <dgm:cxn modelId="{6750D6D7-24CB-482C-B8D7-97BBE3E612B2}" srcId="{95CCBC08-3906-48A6-BDFB-79A544E6CF7D}" destId="{F8E259F0-818C-4C41-8D78-DB0025D878FD}" srcOrd="4" destOrd="0" parTransId="{61054073-3D04-433C-9F5D-4269F566F5DB}" sibTransId="{26EF0F37-39D2-4797-8475-6E3D1582D12A}"/>
    <dgm:cxn modelId="{4244B9DB-DB5E-4EDD-8D11-F4343AEB8199}" srcId="{95CCBC08-3906-48A6-BDFB-79A544E6CF7D}" destId="{E70EEA72-BFDB-432B-8C3C-7C1CA9D74AE4}" srcOrd="0" destOrd="0" parTransId="{F469EB82-D452-4BE7-9087-09F0ECDF6EBD}" sibTransId="{826B8C42-831F-45CC-A30E-5526939155F5}"/>
    <dgm:cxn modelId="{A22729E2-1307-4A26-9565-3EF00D696C91}" type="presOf" srcId="{1F9BEA92-1A5D-4EC8-BBF9-CACAE447EB60}" destId="{0E5DA67C-D846-4A4C-89A6-516738901DA6}" srcOrd="0" destOrd="0" presId="urn:microsoft.com/office/officeart/2005/8/layout/hProcess9"/>
    <dgm:cxn modelId="{60D8C7C3-108A-4BC7-8D0F-05F395B75D31}" type="presParOf" srcId="{C462B3F7-395C-4281-8338-8F6BD2EFD1EC}" destId="{29F87B41-9131-4BDD-A038-19A6BA842EED}" srcOrd="0" destOrd="0" presId="urn:microsoft.com/office/officeart/2005/8/layout/hProcess9"/>
    <dgm:cxn modelId="{A93F3BFC-C324-4976-BC62-377638B7E43F}" type="presParOf" srcId="{C462B3F7-395C-4281-8338-8F6BD2EFD1EC}" destId="{939AEE66-1035-4CCD-B94B-41F88BCDE727}" srcOrd="1" destOrd="0" presId="urn:microsoft.com/office/officeart/2005/8/layout/hProcess9"/>
    <dgm:cxn modelId="{4FB85BF5-E80D-43CB-A2F6-D4114DC64685}" type="presParOf" srcId="{939AEE66-1035-4CCD-B94B-41F88BCDE727}" destId="{E4B543AC-2825-4DF1-A4D5-2AEB76D591B7}" srcOrd="0" destOrd="0" presId="urn:microsoft.com/office/officeart/2005/8/layout/hProcess9"/>
    <dgm:cxn modelId="{AF8DDDB9-8E6B-40EC-807A-C3E7A6CBB3C3}" type="presParOf" srcId="{939AEE66-1035-4CCD-B94B-41F88BCDE727}" destId="{A46A37A3-ECFF-4901-B2A5-E196EC353C02}" srcOrd="1" destOrd="0" presId="urn:microsoft.com/office/officeart/2005/8/layout/hProcess9"/>
    <dgm:cxn modelId="{2BB6B947-0574-4D33-8161-41054E212B49}" type="presParOf" srcId="{939AEE66-1035-4CCD-B94B-41F88BCDE727}" destId="{0E5DA67C-D846-4A4C-89A6-516738901DA6}" srcOrd="2" destOrd="0" presId="urn:microsoft.com/office/officeart/2005/8/layout/hProcess9"/>
    <dgm:cxn modelId="{F8A99E72-611A-45BF-A22A-B2424170EFBC}" type="presParOf" srcId="{939AEE66-1035-4CCD-B94B-41F88BCDE727}" destId="{C8ED6F0E-E843-4AFB-94BA-1DA5CA3F2A17}" srcOrd="3" destOrd="0" presId="urn:microsoft.com/office/officeart/2005/8/layout/hProcess9"/>
    <dgm:cxn modelId="{1F6FB98B-C59B-4967-AB08-931B165060F1}" type="presParOf" srcId="{939AEE66-1035-4CCD-B94B-41F88BCDE727}" destId="{F943D02C-C1F6-4BFD-9282-5297F4957503}" srcOrd="4" destOrd="0" presId="urn:microsoft.com/office/officeart/2005/8/layout/hProcess9"/>
    <dgm:cxn modelId="{01F3DB10-75BE-4A24-A1E8-7E25934AB68C}" type="presParOf" srcId="{939AEE66-1035-4CCD-B94B-41F88BCDE727}" destId="{24B153DE-684D-4C37-B4CD-CA767A9E7DCA}" srcOrd="5" destOrd="0" presId="urn:microsoft.com/office/officeart/2005/8/layout/hProcess9"/>
    <dgm:cxn modelId="{3AADEE70-AA89-47BC-979F-66C19B70E4A8}" type="presParOf" srcId="{939AEE66-1035-4CCD-B94B-41F88BCDE727}" destId="{D4593334-8CCE-4EC6-B4F4-0BC146F4D389}" srcOrd="6" destOrd="0" presId="urn:microsoft.com/office/officeart/2005/8/layout/hProcess9"/>
    <dgm:cxn modelId="{803BD575-18E2-464C-B224-D2D94B5C4D9C}" type="presParOf" srcId="{939AEE66-1035-4CCD-B94B-41F88BCDE727}" destId="{85B406EE-D7CE-4E4C-BD55-F524DB66A0A7}" srcOrd="7" destOrd="0" presId="urn:microsoft.com/office/officeart/2005/8/layout/hProcess9"/>
    <dgm:cxn modelId="{7295960E-80E5-4B58-AF8C-7CF988ED01A2}" type="presParOf" srcId="{939AEE66-1035-4CCD-B94B-41F88BCDE727}" destId="{DD059375-EE4B-4D73-9848-AE8D2A55B470}" srcOrd="8" destOrd="0" presId="urn:microsoft.com/office/officeart/2005/8/layout/hProcess9"/>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F87B41-9131-4BDD-A038-19A6BA842EED}">
      <dsp:nvSpPr>
        <dsp:cNvPr id="0" name=""/>
        <dsp:cNvSpPr/>
      </dsp:nvSpPr>
      <dsp:spPr>
        <a:xfrm>
          <a:off x="426338" y="0"/>
          <a:ext cx="4831842" cy="1577340"/>
        </a:xfrm>
        <a:prstGeom prst="rightArrow">
          <a:avLst/>
        </a:prstGeom>
        <a:solidFill>
          <a:srgbClr val="5B9BD5">
            <a:tint val="40000"/>
            <a:hueOff val="0"/>
            <a:satOff val="0"/>
            <a:lumOff val="0"/>
            <a:alphaOff val="0"/>
          </a:srgbClr>
        </a:solidFill>
        <a:ln>
          <a:noFill/>
        </a:ln>
        <a:effectLst/>
      </dsp:spPr>
      <dsp:style>
        <a:lnRef idx="0">
          <a:scrgbClr r="0" g="0" b="0"/>
        </a:lnRef>
        <a:fillRef idx="1">
          <a:scrgbClr r="0" g="0" b="0"/>
        </a:fillRef>
        <a:effectRef idx="2">
          <a:scrgbClr r="0" g="0" b="0"/>
        </a:effectRef>
        <a:fontRef idx="minor"/>
      </dsp:style>
    </dsp:sp>
    <dsp:sp modelId="{E4B543AC-2825-4DF1-A4D5-2AEB76D591B7}">
      <dsp:nvSpPr>
        <dsp:cNvPr id="0" name=""/>
        <dsp:cNvSpPr/>
      </dsp:nvSpPr>
      <dsp:spPr>
        <a:xfrm>
          <a:off x="2498" y="473202"/>
          <a:ext cx="1092216" cy="630936"/>
        </a:xfrm>
        <a:prstGeom prst="roundRect">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 lastClr="FFFFFF"/>
              </a:solidFill>
              <a:latin typeface="Calibri" panose="020F0502020204030204"/>
              <a:ea typeface="+mn-ea"/>
              <a:cs typeface="+mn-cs"/>
            </a:rPr>
            <a:t>Cross-Cultural Training</a:t>
          </a:r>
          <a:endParaRPr lang="en-US" sz="1100" kern="1200">
            <a:solidFill>
              <a:sysClr val="window" lastClr="FFFFFF"/>
            </a:solidFill>
            <a:latin typeface="Calibri" panose="020F0502020204030204"/>
            <a:ea typeface="+mn-ea"/>
            <a:cs typeface="+mn-cs"/>
          </a:endParaRPr>
        </a:p>
      </dsp:txBody>
      <dsp:txXfrm>
        <a:off x="33298" y="504002"/>
        <a:ext cx="1030616" cy="569336"/>
      </dsp:txXfrm>
    </dsp:sp>
    <dsp:sp modelId="{0E5DA67C-D846-4A4C-89A6-516738901DA6}">
      <dsp:nvSpPr>
        <dsp:cNvPr id="0" name=""/>
        <dsp:cNvSpPr/>
      </dsp:nvSpPr>
      <dsp:spPr>
        <a:xfrm>
          <a:off x="1149325" y="473202"/>
          <a:ext cx="1092216" cy="630936"/>
        </a:xfrm>
        <a:prstGeom prst="roundRect">
          <a:avLst/>
        </a:prstGeom>
        <a:gradFill rotWithShape="0">
          <a:gsLst>
            <a:gs pos="0">
              <a:srgbClr val="5B9BD5">
                <a:hueOff val="-1689636"/>
                <a:satOff val="-4355"/>
                <a:lumOff val="-2941"/>
                <a:alphaOff val="0"/>
                <a:satMod val="103000"/>
                <a:lumMod val="102000"/>
                <a:tint val="94000"/>
              </a:srgbClr>
            </a:gs>
            <a:gs pos="50000">
              <a:srgbClr val="5B9BD5">
                <a:hueOff val="-1689636"/>
                <a:satOff val="-4355"/>
                <a:lumOff val="-2941"/>
                <a:alphaOff val="0"/>
                <a:satMod val="110000"/>
                <a:lumMod val="100000"/>
                <a:shade val="100000"/>
              </a:srgbClr>
            </a:gs>
            <a:gs pos="100000">
              <a:srgbClr val="5B9BD5">
                <a:hueOff val="-1689636"/>
                <a:satOff val="-4355"/>
                <a:lumOff val="-2941"/>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 lastClr="FFFFFF"/>
              </a:solidFill>
              <a:latin typeface="Calibri" panose="020F0502020204030204"/>
              <a:ea typeface="+mn-ea"/>
              <a:cs typeface="+mn-cs"/>
            </a:rPr>
            <a:t>Diverse Leadership Teams</a:t>
          </a:r>
          <a:endParaRPr lang="en-US" sz="1100" kern="1200">
            <a:solidFill>
              <a:sysClr val="window" lastClr="FFFFFF"/>
            </a:solidFill>
            <a:latin typeface="Calibri" panose="020F0502020204030204"/>
            <a:ea typeface="+mn-ea"/>
            <a:cs typeface="+mn-cs"/>
          </a:endParaRPr>
        </a:p>
      </dsp:txBody>
      <dsp:txXfrm>
        <a:off x="1180125" y="504002"/>
        <a:ext cx="1030616" cy="569336"/>
      </dsp:txXfrm>
    </dsp:sp>
    <dsp:sp modelId="{F943D02C-C1F6-4BFD-9282-5297F4957503}">
      <dsp:nvSpPr>
        <dsp:cNvPr id="0" name=""/>
        <dsp:cNvSpPr/>
      </dsp:nvSpPr>
      <dsp:spPr>
        <a:xfrm>
          <a:off x="2296151" y="473202"/>
          <a:ext cx="1092216" cy="630936"/>
        </a:xfrm>
        <a:prstGeom prst="roundRect">
          <a:avLst/>
        </a:prstGeom>
        <a:gradFill rotWithShape="0">
          <a:gsLst>
            <a:gs pos="0">
              <a:srgbClr val="5B9BD5">
                <a:hueOff val="-3379271"/>
                <a:satOff val="-8710"/>
                <a:lumOff val="-5883"/>
                <a:alphaOff val="0"/>
                <a:satMod val="103000"/>
                <a:lumMod val="102000"/>
                <a:tint val="94000"/>
              </a:srgbClr>
            </a:gs>
            <a:gs pos="50000">
              <a:srgbClr val="5B9BD5">
                <a:hueOff val="-3379271"/>
                <a:satOff val="-8710"/>
                <a:lumOff val="-5883"/>
                <a:alphaOff val="0"/>
                <a:satMod val="110000"/>
                <a:lumMod val="100000"/>
                <a:shade val="100000"/>
              </a:srgbClr>
            </a:gs>
            <a:gs pos="100000">
              <a:srgbClr val="5B9BD5">
                <a:hueOff val="-3379271"/>
                <a:satOff val="-8710"/>
                <a:lumOff val="-5883"/>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 lastClr="FFFFFF"/>
              </a:solidFill>
              <a:latin typeface="Calibri" panose="020F0502020204030204"/>
              <a:ea typeface="+mn-ea"/>
              <a:cs typeface="+mn-cs"/>
            </a:rPr>
            <a:t>Feedback Mechanisms</a:t>
          </a:r>
          <a:endParaRPr lang="en-US" sz="1100" kern="1200">
            <a:solidFill>
              <a:sysClr val="window" lastClr="FFFFFF"/>
            </a:solidFill>
            <a:latin typeface="Calibri" panose="020F0502020204030204"/>
            <a:ea typeface="+mn-ea"/>
            <a:cs typeface="+mn-cs"/>
          </a:endParaRPr>
        </a:p>
      </dsp:txBody>
      <dsp:txXfrm>
        <a:off x="2326951" y="504002"/>
        <a:ext cx="1030616" cy="569336"/>
      </dsp:txXfrm>
    </dsp:sp>
    <dsp:sp modelId="{D4593334-8CCE-4EC6-B4F4-0BC146F4D389}">
      <dsp:nvSpPr>
        <dsp:cNvPr id="0" name=""/>
        <dsp:cNvSpPr/>
      </dsp:nvSpPr>
      <dsp:spPr>
        <a:xfrm>
          <a:off x="3442978" y="473202"/>
          <a:ext cx="1092216" cy="630936"/>
        </a:xfrm>
        <a:prstGeom prst="roundRect">
          <a:avLst/>
        </a:prstGeom>
        <a:gradFill rotWithShape="0">
          <a:gsLst>
            <a:gs pos="0">
              <a:srgbClr val="5B9BD5">
                <a:hueOff val="-5068907"/>
                <a:satOff val="-13064"/>
                <a:lumOff val="-8824"/>
                <a:alphaOff val="0"/>
                <a:satMod val="103000"/>
                <a:lumMod val="102000"/>
                <a:tint val="94000"/>
              </a:srgbClr>
            </a:gs>
            <a:gs pos="50000">
              <a:srgbClr val="5B9BD5">
                <a:hueOff val="-5068907"/>
                <a:satOff val="-13064"/>
                <a:lumOff val="-8824"/>
                <a:alphaOff val="0"/>
                <a:satMod val="110000"/>
                <a:lumMod val="100000"/>
                <a:shade val="100000"/>
              </a:srgbClr>
            </a:gs>
            <a:gs pos="100000">
              <a:srgbClr val="5B9BD5">
                <a:hueOff val="-5068907"/>
                <a:satOff val="-13064"/>
                <a:lumOff val="-8824"/>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 lastClr="FFFFFF"/>
              </a:solidFill>
              <a:latin typeface="Calibri" panose="020F0502020204030204"/>
              <a:ea typeface="+mn-ea"/>
              <a:cs typeface="+mn-cs"/>
            </a:rPr>
            <a:t>Digital Communication Platforms</a:t>
          </a:r>
          <a:endParaRPr lang="en-US" sz="1100" kern="1200">
            <a:solidFill>
              <a:sysClr val="window" lastClr="FFFFFF"/>
            </a:solidFill>
            <a:latin typeface="Calibri" panose="020F0502020204030204"/>
            <a:ea typeface="+mn-ea"/>
            <a:cs typeface="+mn-cs"/>
          </a:endParaRPr>
        </a:p>
      </dsp:txBody>
      <dsp:txXfrm>
        <a:off x="3473778" y="504002"/>
        <a:ext cx="1030616" cy="569336"/>
      </dsp:txXfrm>
    </dsp:sp>
    <dsp:sp modelId="{DD059375-EE4B-4D73-9848-AE8D2A55B470}">
      <dsp:nvSpPr>
        <dsp:cNvPr id="0" name=""/>
        <dsp:cNvSpPr/>
      </dsp:nvSpPr>
      <dsp:spPr>
        <a:xfrm>
          <a:off x="4589805" y="473202"/>
          <a:ext cx="1092216" cy="630936"/>
        </a:xfrm>
        <a:prstGeom prst="roundRect">
          <a:avLst/>
        </a:prstGeom>
        <a:gradFill rotWithShape="0">
          <a:gsLst>
            <a:gs pos="0">
              <a:srgbClr val="5B9BD5">
                <a:hueOff val="-6758543"/>
                <a:satOff val="-17419"/>
                <a:lumOff val="-11765"/>
                <a:alphaOff val="0"/>
                <a:satMod val="103000"/>
                <a:lumMod val="102000"/>
                <a:tint val="94000"/>
              </a:srgbClr>
            </a:gs>
            <a:gs pos="50000">
              <a:srgbClr val="5B9BD5">
                <a:hueOff val="-6758543"/>
                <a:satOff val="-17419"/>
                <a:lumOff val="-11765"/>
                <a:alphaOff val="0"/>
                <a:satMod val="110000"/>
                <a:lumMod val="100000"/>
                <a:shade val="100000"/>
              </a:srgbClr>
            </a:gs>
            <a:gs pos="100000">
              <a:srgbClr val="5B9BD5">
                <a:hueOff val="-6758543"/>
                <a:satOff val="-17419"/>
                <a:lumOff val="-11765"/>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kern="1200">
              <a:solidFill>
                <a:sysClr val="window" lastClr="FFFFFF"/>
              </a:solidFill>
              <a:latin typeface="Calibri" panose="020F0502020204030204"/>
              <a:ea typeface="+mn-ea"/>
              <a:cs typeface="+mn-cs"/>
            </a:rPr>
            <a:t>Adoption of BELF Principles</a:t>
          </a:r>
          <a:endParaRPr lang="en-US" sz="1100" kern="1200">
            <a:solidFill>
              <a:sysClr val="window" lastClr="FFFFFF"/>
            </a:solidFill>
            <a:latin typeface="Calibri" panose="020F0502020204030204"/>
            <a:ea typeface="+mn-ea"/>
            <a:cs typeface="+mn-cs"/>
          </a:endParaRPr>
        </a:p>
      </dsp:txBody>
      <dsp:txXfrm>
        <a:off x="4620605" y="504002"/>
        <a:ext cx="1030616" cy="56933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12</Pages>
  <Words>2956</Words>
  <Characters>16852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Stancheva</dc:creator>
  <cp:keywords/>
  <dc:description/>
  <cp:lastModifiedBy>Silviya Stancheva</cp:lastModifiedBy>
  <cp:revision>1</cp:revision>
  <dcterms:created xsi:type="dcterms:W3CDTF">2025-12-20T17:47:00Z</dcterms:created>
  <dcterms:modified xsi:type="dcterms:W3CDTF">2025-12-20T18:13:00Z</dcterms:modified>
</cp:coreProperties>
</file>