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31B1F" w:rsidRDefault="00431B1F">
      <w:pPr>
        <w:spacing w:line="360" w:lineRule="auto"/>
        <w:jc w:val="center"/>
        <w:rPr>
          <w:rFonts w:ascii="Times New Roman" w:hAnsi="Times New Roman" w:cs="Times New Roman"/>
          <w:sz w:val="24"/>
          <w:szCs w:val="24"/>
        </w:rPr>
      </w:pPr>
    </w:p>
    <w:p w:rsidR="00431B1F" w:rsidRDefault="00431B1F">
      <w:pPr>
        <w:spacing w:line="360" w:lineRule="auto"/>
        <w:jc w:val="center"/>
        <w:rPr>
          <w:rFonts w:ascii="Times New Roman" w:hAnsi="Times New Roman" w:cs="Times New Roman"/>
          <w:sz w:val="24"/>
          <w:szCs w:val="24"/>
        </w:rPr>
      </w:pPr>
    </w:p>
    <w:p w:rsidR="00431B1F" w:rsidRDefault="00431B1F">
      <w:pPr>
        <w:spacing w:line="360" w:lineRule="auto"/>
        <w:jc w:val="center"/>
        <w:rPr>
          <w:rFonts w:ascii="Times New Roman" w:hAnsi="Times New Roman" w:cs="Times New Roman"/>
          <w:sz w:val="24"/>
          <w:szCs w:val="24"/>
        </w:rPr>
      </w:pPr>
    </w:p>
    <w:p w:rsidR="00431B1F" w:rsidRDefault="0000000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449955" cy="1379855"/>
            <wp:effectExtent l="0" t="0" r="0" b="0"/>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79933" cy="1391973"/>
                    </a:xfrm>
                    <a:prstGeom prst="rect">
                      <a:avLst/>
                    </a:prstGeom>
                  </pic:spPr>
                </pic:pic>
              </a:graphicData>
            </a:graphic>
          </wp:inline>
        </w:drawing>
      </w:r>
    </w:p>
    <w:p w:rsidR="00431B1F" w:rsidRDefault="0000000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 London</w:t>
      </w:r>
    </w:p>
    <w:p w:rsidR="00431B1F" w:rsidRDefault="00000000">
      <w:pPr>
        <w:spacing w:line="360" w:lineRule="auto"/>
        <w:jc w:val="center"/>
        <w:rPr>
          <w:rFonts w:ascii="Times New Roman" w:hAnsi="Times New Roman" w:cs="Times New Roman"/>
          <w:b/>
          <w:bCs/>
          <w:sz w:val="32"/>
          <w:szCs w:val="32"/>
        </w:rPr>
      </w:pPr>
      <w:r>
        <w:rPr>
          <w:rFonts w:ascii="Times New Roman" w:hAnsi="Times New Roman" w:cs="Times New Roman"/>
          <w:b/>
          <w:bCs/>
          <w:sz w:val="28"/>
          <w:szCs w:val="28"/>
        </w:rPr>
        <w:t xml:space="preserve">Assessment Title: The Influence of National and International </w:t>
      </w:r>
      <w:proofErr w:type="spellStart"/>
      <w:r>
        <w:rPr>
          <w:rFonts w:ascii="Times New Roman" w:hAnsi="Times New Roman" w:cs="Times New Roman"/>
          <w:b/>
          <w:bCs/>
          <w:sz w:val="28"/>
          <w:szCs w:val="28"/>
        </w:rPr>
        <w:t>Labour</w:t>
      </w:r>
      <w:proofErr w:type="spellEnd"/>
      <w:r>
        <w:rPr>
          <w:rFonts w:ascii="Times New Roman" w:hAnsi="Times New Roman" w:cs="Times New Roman"/>
          <w:b/>
          <w:bCs/>
          <w:sz w:val="28"/>
          <w:szCs w:val="28"/>
        </w:rPr>
        <w:t xml:space="preserve"> Markets on HRM and IHRM Strategies</w:t>
      </w:r>
    </w:p>
    <w:p w:rsidR="00431B1F" w:rsidRDefault="00000000">
      <w:pPr>
        <w:spacing w:line="480" w:lineRule="auto"/>
        <w:jc w:val="center"/>
        <w:rPr>
          <w:rFonts w:ascii="Times New Roman" w:hAnsi="Times New Roman" w:cs="Times New Roman"/>
          <w:sz w:val="28"/>
          <w:szCs w:val="28"/>
        </w:rPr>
      </w:pPr>
      <w:proofErr w:type="spellStart"/>
      <w:r>
        <w:rPr>
          <w:rFonts w:ascii="Times New Roman" w:hAnsi="Times New Roman" w:cs="Times New Roman"/>
          <w:b/>
          <w:bCs/>
          <w:sz w:val="28"/>
          <w:szCs w:val="28"/>
        </w:rPr>
        <w:t>Programme</w:t>
      </w:r>
      <w:proofErr w:type="spellEnd"/>
      <w:r>
        <w:rPr>
          <w:rFonts w:ascii="Times New Roman" w:hAnsi="Times New Roman" w:cs="Times New Roman"/>
          <w:b/>
          <w:bCs/>
          <w:sz w:val="28"/>
          <w:szCs w:val="28"/>
        </w:rPr>
        <w:t>: </w:t>
      </w:r>
      <w:r>
        <w:rPr>
          <w:rFonts w:ascii="Times New Roman" w:hAnsi="Times New Roman" w:cs="Times New Roman"/>
          <w:sz w:val="28"/>
          <w:szCs w:val="28"/>
        </w:rPr>
        <w:t>Master of Business Administration</w:t>
      </w:r>
      <w:r>
        <w:rPr>
          <w:rFonts w:ascii="Times New Roman" w:hAnsi="Times New Roman" w:cs="Times New Roman"/>
          <w:b/>
          <w:bCs/>
          <w:sz w:val="28"/>
          <w:szCs w:val="28"/>
        </w:rPr>
        <w:br/>
        <w:t>Module: </w:t>
      </w:r>
      <w:r>
        <w:rPr>
          <w:rFonts w:ascii="Times New Roman" w:hAnsi="Times New Roman" w:cs="Times New Roman"/>
          <w:sz w:val="28"/>
          <w:szCs w:val="28"/>
        </w:rPr>
        <w:t>Human Capital Management (LCMB7023)</w:t>
      </w:r>
      <w:r>
        <w:rPr>
          <w:rFonts w:ascii="Times New Roman" w:hAnsi="Times New Roman" w:cs="Times New Roman"/>
          <w:b/>
          <w:bCs/>
          <w:sz w:val="28"/>
          <w:szCs w:val="28"/>
        </w:rPr>
        <w:br/>
        <w:t>Lecturer: </w:t>
      </w:r>
      <w:r>
        <w:rPr>
          <w:rFonts w:ascii="Times New Roman" w:hAnsi="Times New Roman" w:cs="Times New Roman"/>
          <w:sz w:val="28"/>
          <w:szCs w:val="28"/>
        </w:rPr>
        <w:t>Gladius Kulothungan</w:t>
      </w:r>
      <w:r>
        <w:rPr>
          <w:rFonts w:ascii="Times New Roman" w:hAnsi="Times New Roman" w:cs="Times New Roman"/>
          <w:b/>
          <w:bCs/>
          <w:sz w:val="28"/>
          <w:szCs w:val="28"/>
        </w:rPr>
        <w:br/>
        <w:t>Student Name: </w:t>
      </w:r>
      <w:r>
        <w:rPr>
          <w:rFonts w:ascii="Times New Roman" w:hAnsi="Times New Roman" w:cs="Times New Roman"/>
          <w:sz w:val="28"/>
          <w:szCs w:val="28"/>
        </w:rPr>
        <w:t>Kamran Akhtar</w:t>
      </w:r>
      <w:r>
        <w:rPr>
          <w:rFonts w:ascii="Times New Roman" w:hAnsi="Times New Roman" w:cs="Times New Roman"/>
          <w:b/>
          <w:bCs/>
          <w:sz w:val="28"/>
          <w:szCs w:val="28"/>
        </w:rPr>
        <w:t xml:space="preserve"> </w:t>
      </w:r>
      <w:r>
        <w:rPr>
          <w:rFonts w:ascii="Times New Roman" w:hAnsi="Times New Roman" w:cs="Times New Roman"/>
          <w:b/>
          <w:bCs/>
          <w:sz w:val="28"/>
          <w:szCs w:val="28"/>
        </w:rPr>
        <w:br/>
        <w:t>Student ID: </w:t>
      </w:r>
      <w:r>
        <w:rPr>
          <w:rFonts w:ascii="Times New Roman" w:hAnsi="Times New Roman" w:cs="Times New Roman"/>
          <w:sz w:val="28"/>
          <w:szCs w:val="28"/>
        </w:rPr>
        <w:t>2433466</w:t>
      </w:r>
    </w:p>
    <w:p w:rsidR="00431B1F" w:rsidRDefault="00000000">
      <w:pPr>
        <w:spacing w:line="480" w:lineRule="auto"/>
        <w:jc w:val="center"/>
        <w:rPr>
          <w:rFonts w:ascii="Times New Roman" w:hAnsi="Times New Roman" w:cs="Times New Roman"/>
          <w:b/>
          <w:bCs/>
          <w:sz w:val="28"/>
          <w:szCs w:val="28"/>
        </w:rPr>
      </w:pPr>
      <w:r>
        <w:rPr>
          <w:rFonts w:ascii="Times New Roman" w:hAnsi="Times New Roman" w:cs="Times New Roman"/>
          <w:sz w:val="28"/>
          <w:szCs w:val="28"/>
        </w:rPr>
        <w:t>Word Count: 2069</w:t>
      </w:r>
      <w:r>
        <w:rPr>
          <w:rFonts w:ascii="Times New Roman" w:hAnsi="Times New Roman" w:cs="Times New Roman"/>
          <w:b/>
          <w:bCs/>
          <w:sz w:val="28"/>
          <w:szCs w:val="28"/>
        </w:rPr>
        <w:br/>
        <w:t>Submission Date: </w:t>
      </w:r>
      <w:r>
        <w:rPr>
          <w:rFonts w:ascii="Times New Roman" w:hAnsi="Times New Roman" w:cs="Times New Roman"/>
          <w:sz w:val="28"/>
          <w:szCs w:val="28"/>
        </w:rPr>
        <w:t>3</w:t>
      </w:r>
      <w:r>
        <w:rPr>
          <w:rFonts w:ascii="Times New Roman" w:hAnsi="Times New Roman" w:cs="Times New Roman"/>
          <w:sz w:val="28"/>
          <w:szCs w:val="28"/>
          <w:vertAlign w:val="superscript"/>
        </w:rPr>
        <w:t>rd</w:t>
      </w:r>
      <w:r>
        <w:rPr>
          <w:rFonts w:ascii="Times New Roman" w:hAnsi="Times New Roman" w:cs="Times New Roman"/>
          <w:sz w:val="28"/>
          <w:szCs w:val="28"/>
        </w:rPr>
        <w:t xml:space="preserve"> November, 2025</w:t>
      </w:r>
    </w:p>
    <w:p w:rsidR="00431B1F" w:rsidRDefault="00431B1F">
      <w:pPr>
        <w:spacing w:line="360" w:lineRule="auto"/>
        <w:rPr>
          <w:rFonts w:ascii="Times New Roman" w:hAnsi="Times New Roman" w:cs="Times New Roman"/>
          <w:sz w:val="24"/>
          <w:szCs w:val="24"/>
        </w:rPr>
      </w:pPr>
    </w:p>
    <w:p w:rsidR="00431B1F" w:rsidRDefault="00431B1F">
      <w:pPr>
        <w:spacing w:line="360" w:lineRule="auto"/>
        <w:rPr>
          <w:rFonts w:ascii="Times New Roman" w:hAnsi="Times New Roman" w:cs="Times New Roman"/>
          <w:sz w:val="24"/>
          <w:szCs w:val="24"/>
        </w:rPr>
      </w:pPr>
    </w:p>
    <w:p w:rsidR="00431B1F" w:rsidRDefault="00431B1F">
      <w:pPr>
        <w:spacing w:line="360" w:lineRule="auto"/>
        <w:rPr>
          <w:rFonts w:ascii="Times New Roman" w:hAnsi="Times New Roman" w:cs="Times New Roman"/>
          <w:sz w:val="24"/>
          <w:szCs w:val="24"/>
        </w:rPr>
      </w:pPr>
    </w:p>
    <w:p w:rsidR="00431B1F" w:rsidRDefault="00431B1F">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873063716"/>
        <w:docPartObj>
          <w:docPartGallery w:val="Table of Contents"/>
          <w:docPartUnique/>
        </w:docPartObj>
      </w:sdtPr>
      <w:sdtEndPr>
        <w:rPr>
          <w:b/>
          <w:bCs/>
        </w:rPr>
      </w:sdtEndPr>
      <w:sdtContent>
        <w:p w:rsidR="00431B1F" w:rsidRDefault="00000000">
          <w:pPr>
            <w:pStyle w:val="TOCHeading1"/>
            <w:spacing w:line="360" w:lineRule="auto"/>
            <w:rPr>
              <w:rFonts w:ascii="Times New Roman" w:hAnsi="Times New Roman" w:cs="Times New Roman"/>
              <w:b/>
              <w:bCs/>
            </w:rPr>
          </w:pPr>
          <w:r>
            <w:rPr>
              <w:rFonts w:ascii="Times New Roman" w:hAnsi="Times New Roman" w:cs="Times New Roman"/>
              <w:b/>
              <w:bCs/>
            </w:rPr>
            <w:t>Table of Contents</w:t>
          </w:r>
        </w:p>
        <w:p w:rsidR="00431B1F" w:rsidRDefault="00000000">
          <w:pPr>
            <w:pStyle w:val="TOC1"/>
            <w:rPr>
              <w:rFonts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13026644" w:history="1">
            <w:r w:rsidR="00431B1F">
              <w:rPr>
                <w:rStyle w:val="Hyperlink"/>
              </w:rPr>
              <w:t>1.0 Executive Summary</w:t>
            </w:r>
            <w:r w:rsidR="00431B1F">
              <w:tab/>
            </w:r>
            <w:r w:rsidR="00431B1F">
              <w:fldChar w:fldCharType="begin"/>
            </w:r>
            <w:r w:rsidR="00431B1F">
              <w:instrText xml:space="preserve"> PAGEREF _Toc213026644 \h </w:instrText>
            </w:r>
            <w:r w:rsidR="00431B1F">
              <w:fldChar w:fldCharType="separate"/>
            </w:r>
            <w:r w:rsidR="00431B1F">
              <w:t>4</w:t>
            </w:r>
            <w:r w:rsidR="00431B1F">
              <w:fldChar w:fldCharType="end"/>
            </w:r>
          </w:hyperlink>
        </w:p>
        <w:p w:rsidR="00431B1F" w:rsidRDefault="00431B1F">
          <w:pPr>
            <w:pStyle w:val="TOC1"/>
            <w:rPr>
              <w:rFonts w:eastAsiaTheme="minorEastAsia"/>
              <w:sz w:val="24"/>
              <w:szCs w:val="24"/>
            </w:rPr>
          </w:pPr>
          <w:hyperlink w:anchor="_Toc213026645" w:history="1">
            <w:r>
              <w:rPr>
                <w:rStyle w:val="Hyperlink"/>
              </w:rPr>
              <w:t>2.0 Introduction</w:t>
            </w:r>
            <w:r>
              <w:tab/>
            </w:r>
            <w:r>
              <w:fldChar w:fldCharType="begin"/>
            </w:r>
            <w:r>
              <w:instrText xml:space="preserve"> PAGEREF _Toc213026645 \h </w:instrText>
            </w:r>
            <w:r>
              <w:fldChar w:fldCharType="separate"/>
            </w:r>
            <w:r>
              <w:t>4</w:t>
            </w:r>
            <w:r>
              <w:fldChar w:fldCharType="end"/>
            </w:r>
          </w:hyperlink>
        </w:p>
        <w:p w:rsidR="00431B1F" w:rsidRDefault="00431B1F">
          <w:pPr>
            <w:pStyle w:val="TOC1"/>
            <w:rPr>
              <w:rFonts w:eastAsiaTheme="minorEastAsia"/>
              <w:sz w:val="24"/>
              <w:szCs w:val="24"/>
            </w:rPr>
          </w:pPr>
          <w:hyperlink w:anchor="_Toc213026646" w:history="1">
            <w:r>
              <w:rPr>
                <w:rStyle w:val="Hyperlink"/>
              </w:rPr>
              <w:t>3.0 Technological Advancements Reshaping Labour Markets</w:t>
            </w:r>
            <w:r>
              <w:tab/>
            </w:r>
            <w:r>
              <w:fldChar w:fldCharType="begin"/>
            </w:r>
            <w:r>
              <w:instrText xml:space="preserve"> PAGEREF _Toc213026646 \h </w:instrText>
            </w:r>
            <w:r>
              <w:fldChar w:fldCharType="separate"/>
            </w:r>
            <w:r>
              <w:t>5</w:t>
            </w:r>
            <w:r>
              <w:fldChar w:fldCharType="end"/>
            </w:r>
          </w:hyperlink>
        </w:p>
        <w:p w:rsidR="00431B1F" w:rsidRDefault="00431B1F">
          <w:pPr>
            <w:pStyle w:val="TOC2"/>
            <w:tabs>
              <w:tab w:val="right" w:leader="dot" w:pos="9350"/>
            </w:tabs>
            <w:rPr>
              <w:rFonts w:eastAsiaTheme="minorEastAsia"/>
              <w:sz w:val="24"/>
              <w:szCs w:val="24"/>
            </w:rPr>
          </w:pPr>
          <w:hyperlink w:anchor="_Toc213026647" w:history="1">
            <w:r>
              <w:rPr>
                <w:rStyle w:val="Hyperlink"/>
              </w:rPr>
              <w:t>3.1 Drivers</w:t>
            </w:r>
            <w:r>
              <w:tab/>
            </w:r>
            <w:r>
              <w:fldChar w:fldCharType="begin"/>
            </w:r>
            <w:r>
              <w:instrText xml:space="preserve"> PAGEREF _Toc213026647 \h </w:instrText>
            </w:r>
            <w:r>
              <w:fldChar w:fldCharType="separate"/>
            </w:r>
            <w:r>
              <w:t>5</w:t>
            </w:r>
            <w:r>
              <w:fldChar w:fldCharType="end"/>
            </w:r>
          </w:hyperlink>
        </w:p>
        <w:p w:rsidR="00431B1F" w:rsidRDefault="00431B1F">
          <w:pPr>
            <w:pStyle w:val="TOC2"/>
            <w:tabs>
              <w:tab w:val="right" w:leader="dot" w:pos="9350"/>
            </w:tabs>
            <w:rPr>
              <w:rFonts w:eastAsiaTheme="minorEastAsia"/>
              <w:sz w:val="24"/>
              <w:szCs w:val="24"/>
            </w:rPr>
          </w:pPr>
          <w:hyperlink w:anchor="_Toc213026648" w:history="1">
            <w:r>
              <w:rPr>
                <w:rStyle w:val="Hyperlink"/>
              </w:rPr>
              <w:t>3.2 Labour Market Impact</w:t>
            </w:r>
            <w:r>
              <w:tab/>
            </w:r>
            <w:r>
              <w:fldChar w:fldCharType="begin"/>
            </w:r>
            <w:r>
              <w:instrText xml:space="preserve"> PAGEREF _Toc213026648 \h </w:instrText>
            </w:r>
            <w:r>
              <w:fldChar w:fldCharType="separate"/>
            </w:r>
            <w:r>
              <w:t>5</w:t>
            </w:r>
            <w:r>
              <w:fldChar w:fldCharType="end"/>
            </w:r>
          </w:hyperlink>
        </w:p>
        <w:p w:rsidR="00431B1F" w:rsidRDefault="00431B1F">
          <w:pPr>
            <w:pStyle w:val="TOC2"/>
            <w:tabs>
              <w:tab w:val="right" w:leader="dot" w:pos="9350"/>
            </w:tabs>
            <w:rPr>
              <w:rFonts w:eastAsiaTheme="minorEastAsia"/>
              <w:sz w:val="24"/>
              <w:szCs w:val="24"/>
            </w:rPr>
          </w:pPr>
          <w:hyperlink w:anchor="_Toc213026649" w:history="1">
            <w:r>
              <w:rPr>
                <w:rStyle w:val="Hyperlink"/>
              </w:rPr>
              <w:t>3.3 HRM Implications</w:t>
            </w:r>
            <w:r>
              <w:tab/>
            </w:r>
            <w:r>
              <w:fldChar w:fldCharType="begin"/>
            </w:r>
            <w:r>
              <w:instrText xml:space="preserve"> PAGEREF _Toc213026649 \h </w:instrText>
            </w:r>
            <w:r>
              <w:fldChar w:fldCharType="separate"/>
            </w:r>
            <w:r>
              <w:t>5</w:t>
            </w:r>
            <w:r>
              <w:fldChar w:fldCharType="end"/>
            </w:r>
          </w:hyperlink>
        </w:p>
        <w:p w:rsidR="00431B1F" w:rsidRDefault="00431B1F">
          <w:pPr>
            <w:pStyle w:val="TOC2"/>
            <w:tabs>
              <w:tab w:val="right" w:leader="dot" w:pos="9350"/>
            </w:tabs>
            <w:rPr>
              <w:rFonts w:eastAsiaTheme="minorEastAsia"/>
              <w:sz w:val="24"/>
              <w:szCs w:val="24"/>
            </w:rPr>
          </w:pPr>
          <w:hyperlink w:anchor="_Toc213026650" w:history="1">
            <w:r>
              <w:rPr>
                <w:rStyle w:val="Hyperlink"/>
              </w:rPr>
              <w:t>3.4 IHRM Implications</w:t>
            </w:r>
            <w:r>
              <w:tab/>
            </w:r>
            <w:r>
              <w:fldChar w:fldCharType="begin"/>
            </w:r>
            <w:r>
              <w:instrText xml:space="preserve"> PAGEREF _Toc213026650 \h </w:instrText>
            </w:r>
            <w:r>
              <w:fldChar w:fldCharType="separate"/>
            </w:r>
            <w:r>
              <w:t>6</w:t>
            </w:r>
            <w:r>
              <w:fldChar w:fldCharType="end"/>
            </w:r>
          </w:hyperlink>
        </w:p>
        <w:p w:rsidR="00431B1F" w:rsidRDefault="00431B1F">
          <w:pPr>
            <w:pStyle w:val="TOC2"/>
            <w:tabs>
              <w:tab w:val="right" w:leader="dot" w:pos="9350"/>
            </w:tabs>
            <w:rPr>
              <w:rFonts w:eastAsiaTheme="minorEastAsia"/>
              <w:sz w:val="24"/>
              <w:szCs w:val="24"/>
            </w:rPr>
          </w:pPr>
          <w:hyperlink w:anchor="_Toc213026651" w:history="1">
            <w:r>
              <w:rPr>
                <w:rStyle w:val="Hyperlink"/>
              </w:rPr>
              <w:t>3.5 Implementation Challenges and Ethical Considerations</w:t>
            </w:r>
            <w:r>
              <w:tab/>
            </w:r>
            <w:r>
              <w:fldChar w:fldCharType="begin"/>
            </w:r>
            <w:r>
              <w:instrText xml:space="preserve"> PAGEREF _Toc213026651 \h </w:instrText>
            </w:r>
            <w:r>
              <w:fldChar w:fldCharType="separate"/>
            </w:r>
            <w:r>
              <w:t>7</w:t>
            </w:r>
            <w:r>
              <w:fldChar w:fldCharType="end"/>
            </w:r>
          </w:hyperlink>
        </w:p>
        <w:p w:rsidR="00431B1F" w:rsidRDefault="00431B1F">
          <w:pPr>
            <w:pStyle w:val="TOC2"/>
            <w:tabs>
              <w:tab w:val="right" w:leader="dot" w:pos="9350"/>
            </w:tabs>
            <w:rPr>
              <w:rFonts w:eastAsiaTheme="minorEastAsia"/>
              <w:sz w:val="24"/>
              <w:szCs w:val="24"/>
            </w:rPr>
          </w:pPr>
          <w:hyperlink w:anchor="_Toc213026652" w:history="1">
            <w:r>
              <w:rPr>
                <w:rStyle w:val="Hyperlink"/>
              </w:rPr>
              <w:t>3.6 Future Trends and Strategic Preparation</w:t>
            </w:r>
            <w:r>
              <w:tab/>
            </w:r>
            <w:r>
              <w:fldChar w:fldCharType="begin"/>
            </w:r>
            <w:r>
              <w:instrText xml:space="preserve"> PAGEREF _Toc213026652 \h </w:instrText>
            </w:r>
            <w:r>
              <w:fldChar w:fldCharType="separate"/>
            </w:r>
            <w:r>
              <w:t>8</w:t>
            </w:r>
            <w:r>
              <w:fldChar w:fldCharType="end"/>
            </w:r>
          </w:hyperlink>
        </w:p>
        <w:p w:rsidR="00431B1F" w:rsidRDefault="00431B1F">
          <w:pPr>
            <w:pStyle w:val="TOC1"/>
            <w:rPr>
              <w:rFonts w:eastAsiaTheme="minorEastAsia"/>
              <w:sz w:val="24"/>
              <w:szCs w:val="24"/>
            </w:rPr>
          </w:pPr>
          <w:hyperlink w:anchor="_Toc213026653" w:history="1">
            <w:r>
              <w:rPr>
                <w:rStyle w:val="Hyperlink"/>
              </w:rPr>
              <w:t>4.0 Demographic and Geopolitical Influences on Employment</w:t>
            </w:r>
            <w:r>
              <w:tab/>
            </w:r>
            <w:r>
              <w:fldChar w:fldCharType="begin"/>
            </w:r>
            <w:r>
              <w:instrText xml:space="preserve"> PAGEREF _Toc213026653 \h </w:instrText>
            </w:r>
            <w:r>
              <w:fldChar w:fldCharType="separate"/>
            </w:r>
            <w:r>
              <w:t>8</w:t>
            </w:r>
            <w:r>
              <w:fldChar w:fldCharType="end"/>
            </w:r>
          </w:hyperlink>
        </w:p>
        <w:p w:rsidR="00431B1F" w:rsidRDefault="00431B1F">
          <w:pPr>
            <w:pStyle w:val="TOC2"/>
            <w:tabs>
              <w:tab w:val="right" w:leader="dot" w:pos="9350"/>
            </w:tabs>
            <w:rPr>
              <w:rFonts w:eastAsiaTheme="minorEastAsia"/>
              <w:sz w:val="24"/>
              <w:szCs w:val="24"/>
            </w:rPr>
          </w:pPr>
          <w:hyperlink w:anchor="_Toc213026654" w:history="1">
            <w:r>
              <w:rPr>
                <w:rStyle w:val="Hyperlink"/>
              </w:rPr>
              <w:t>4.1 Demographic Shifts</w:t>
            </w:r>
            <w:r>
              <w:tab/>
            </w:r>
            <w:r>
              <w:fldChar w:fldCharType="begin"/>
            </w:r>
            <w:r>
              <w:instrText xml:space="preserve"> PAGEREF _Toc213026654 \h </w:instrText>
            </w:r>
            <w:r>
              <w:fldChar w:fldCharType="separate"/>
            </w:r>
            <w:r>
              <w:t>8</w:t>
            </w:r>
            <w:r>
              <w:fldChar w:fldCharType="end"/>
            </w:r>
          </w:hyperlink>
        </w:p>
        <w:p w:rsidR="00431B1F" w:rsidRDefault="00431B1F">
          <w:pPr>
            <w:pStyle w:val="TOC2"/>
            <w:tabs>
              <w:tab w:val="right" w:leader="dot" w:pos="9350"/>
            </w:tabs>
            <w:rPr>
              <w:rFonts w:eastAsiaTheme="minorEastAsia"/>
              <w:sz w:val="24"/>
              <w:szCs w:val="24"/>
            </w:rPr>
          </w:pPr>
          <w:hyperlink w:anchor="_Toc213026655" w:history="1">
            <w:r>
              <w:rPr>
                <w:rStyle w:val="Hyperlink"/>
              </w:rPr>
              <w:t>4.2 Geopolitical Forces</w:t>
            </w:r>
            <w:r>
              <w:tab/>
            </w:r>
            <w:r>
              <w:fldChar w:fldCharType="begin"/>
            </w:r>
            <w:r>
              <w:instrText xml:space="preserve"> PAGEREF _Toc213026655 \h </w:instrText>
            </w:r>
            <w:r>
              <w:fldChar w:fldCharType="separate"/>
            </w:r>
            <w:r>
              <w:t>9</w:t>
            </w:r>
            <w:r>
              <w:fldChar w:fldCharType="end"/>
            </w:r>
          </w:hyperlink>
        </w:p>
        <w:p w:rsidR="00431B1F" w:rsidRDefault="00431B1F">
          <w:pPr>
            <w:pStyle w:val="TOC2"/>
            <w:tabs>
              <w:tab w:val="right" w:leader="dot" w:pos="9350"/>
            </w:tabs>
            <w:rPr>
              <w:rFonts w:eastAsiaTheme="minorEastAsia"/>
              <w:sz w:val="24"/>
              <w:szCs w:val="24"/>
            </w:rPr>
          </w:pPr>
          <w:hyperlink w:anchor="_Toc213026656" w:history="1">
            <w:r>
              <w:rPr>
                <w:rStyle w:val="Hyperlink"/>
              </w:rPr>
              <w:t>4.3 HRM/IHRM Challenges</w:t>
            </w:r>
            <w:r>
              <w:tab/>
            </w:r>
            <w:r>
              <w:fldChar w:fldCharType="begin"/>
            </w:r>
            <w:r>
              <w:instrText xml:space="preserve"> PAGEREF _Toc213026656 \h </w:instrText>
            </w:r>
            <w:r>
              <w:fldChar w:fldCharType="separate"/>
            </w:r>
            <w:r>
              <w:t>9</w:t>
            </w:r>
            <w:r>
              <w:fldChar w:fldCharType="end"/>
            </w:r>
          </w:hyperlink>
        </w:p>
        <w:p w:rsidR="00431B1F" w:rsidRDefault="00431B1F">
          <w:pPr>
            <w:pStyle w:val="TOC1"/>
            <w:rPr>
              <w:rFonts w:eastAsiaTheme="minorEastAsia"/>
              <w:sz w:val="24"/>
              <w:szCs w:val="24"/>
            </w:rPr>
          </w:pPr>
          <w:hyperlink w:anchor="_Toc213026657" w:history="1">
            <w:r>
              <w:rPr>
                <w:rStyle w:val="Hyperlink"/>
              </w:rPr>
              <w:t>5.0 Strategic HRM Solutions for Skills Gaps</w:t>
            </w:r>
            <w:r>
              <w:tab/>
            </w:r>
            <w:r>
              <w:fldChar w:fldCharType="begin"/>
            </w:r>
            <w:r>
              <w:instrText xml:space="preserve"> PAGEREF _Toc213026657 \h </w:instrText>
            </w:r>
            <w:r>
              <w:fldChar w:fldCharType="separate"/>
            </w:r>
            <w:r>
              <w:t>10</w:t>
            </w:r>
            <w:r>
              <w:fldChar w:fldCharType="end"/>
            </w:r>
          </w:hyperlink>
        </w:p>
        <w:p w:rsidR="00431B1F" w:rsidRDefault="00431B1F">
          <w:pPr>
            <w:pStyle w:val="TOC2"/>
            <w:tabs>
              <w:tab w:val="right" w:leader="dot" w:pos="9350"/>
            </w:tabs>
            <w:rPr>
              <w:rFonts w:eastAsiaTheme="minorEastAsia"/>
              <w:sz w:val="24"/>
              <w:szCs w:val="24"/>
            </w:rPr>
          </w:pPr>
          <w:hyperlink w:anchor="_Toc213026658" w:history="1">
            <w:r>
              <w:rPr>
                <w:rStyle w:val="Hyperlink"/>
              </w:rPr>
              <w:t>5.1 The Shortage Crisis</w:t>
            </w:r>
            <w:r>
              <w:tab/>
            </w:r>
            <w:r>
              <w:fldChar w:fldCharType="begin"/>
            </w:r>
            <w:r>
              <w:instrText xml:space="preserve"> PAGEREF _Toc213026658 \h </w:instrText>
            </w:r>
            <w:r>
              <w:fldChar w:fldCharType="separate"/>
            </w:r>
            <w:r>
              <w:t>10</w:t>
            </w:r>
            <w:r>
              <w:fldChar w:fldCharType="end"/>
            </w:r>
          </w:hyperlink>
        </w:p>
        <w:p w:rsidR="00431B1F" w:rsidRDefault="00431B1F">
          <w:pPr>
            <w:pStyle w:val="TOC2"/>
            <w:tabs>
              <w:tab w:val="right" w:leader="dot" w:pos="9350"/>
            </w:tabs>
            <w:rPr>
              <w:rFonts w:eastAsiaTheme="minorEastAsia"/>
              <w:sz w:val="24"/>
              <w:szCs w:val="24"/>
            </w:rPr>
          </w:pPr>
          <w:hyperlink w:anchor="_Toc213026659" w:history="1">
            <w:r>
              <w:rPr>
                <w:rStyle w:val="Hyperlink"/>
              </w:rPr>
              <w:t>5.2 Strategic HRM Responses</w:t>
            </w:r>
            <w:r>
              <w:tab/>
            </w:r>
            <w:r>
              <w:fldChar w:fldCharType="begin"/>
            </w:r>
            <w:r>
              <w:instrText xml:space="preserve"> PAGEREF _Toc213026659 \h </w:instrText>
            </w:r>
            <w:r>
              <w:fldChar w:fldCharType="separate"/>
            </w:r>
            <w:r>
              <w:t>11</w:t>
            </w:r>
            <w:r>
              <w:fldChar w:fldCharType="end"/>
            </w:r>
          </w:hyperlink>
        </w:p>
        <w:p w:rsidR="00431B1F" w:rsidRDefault="00431B1F">
          <w:pPr>
            <w:pStyle w:val="TOC2"/>
            <w:tabs>
              <w:tab w:val="right" w:leader="dot" w:pos="9350"/>
            </w:tabs>
            <w:rPr>
              <w:rFonts w:eastAsiaTheme="minorEastAsia"/>
              <w:sz w:val="24"/>
              <w:szCs w:val="24"/>
            </w:rPr>
          </w:pPr>
          <w:hyperlink w:anchor="_Toc213026660" w:history="1">
            <w:r>
              <w:rPr>
                <w:rStyle w:val="Hyperlink"/>
              </w:rPr>
              <w:t>5.3 IHRM &amp; Work Redesign</w:t>
            </w:r>
            <w:r>
              <w:tab/>
            </w:r>
            <w:r>
              <w:fldChar w:fldCharType="begin"/>
            </w:r>
            <w:r>
              <w:instrText xml:space="preserve"> PAGEREF _Toc213026660 \h </w:instrText>
            </w:r>
            <w:r>
              <w:fldChar w:fldCharType="separate"/>
            </w:r>
            <w:r>
              <w:t>11</w:t>
            </w:r>
            <w:r>
              <w:fldChar w:fldCharType="end"/>
            </w:r>
          </w:hyperlink>
        </w:p>
        <w:p w:rsidR="00431B1F" w:rsidRDefault="00431B1F">
          <w:pPr>
            <w:pStyle w:val="TOC2"/>
            <w:tabs>
              <w:tab w:val="right" w:leader="dot" w:pos="9350"/>
            </w:tabs>
            <w:rPr>
              <w:rFonts w:eastAsiaTheme="minorEastAsia"/>
              <w:sz w:val="24"/>
              <w:szCs w:val="24"/>
            </w:rPr>
          </w:pPr>
          <w:hyperlink w:anchor="_Toc213026661" w:history="1">
            <w:r>
              <w:rPr>
                <w:rStyle w:val="Hyperlink"/>
              </w:rPr>
              <w:t>5.4 Implementation and Measurement Framework</w:t>
            </w:r>
            <w:r>
              <w:tab/>
            </w:r>
            <w:r>
              <w:fldChar w:fldCharType="begin"/>
            </w:r>
            <w:r>
              <w:instrText xml:space="preserve"> PAGEREF _Toc213026661 \h </w:instrText>
            </w:r>
            <w:r>
              <w:fldChar w:fldCharType="separate"/>
            </w:r>
            <w:r>
              <w:t>12</w:t>
            </w:r>
            <w:r>
              <w:fldChar w:fldCharType="end"/>
            </w:r>
          </w:hyperlink>
        </w:p>
        <w:p w:rsidR="00431B1F" w:rsidRDefault="00431B1F">
          <w:pPr>
            <w:pStyle w:val="TOC1"/>
            <w:rPr>
              <w:rFonts w:eastAsiaTheme="minorEastAsia"/>
              <w:sz w:val="24"/>
              <w:szCs w:val="24"/>
            </w:rPr>
          </w:pPr>
          <w:hyperlink w:anchor="_Toc213026662" w:history="1">
            <w:r>
              <w:rPr>
                <w:rStyle w:val="Hyperlink"/>
              </w:rPr>
              <w:t>6.0 Personal Reflective Report to Global Capabilities.</w:t>
            </w:r>
            <w:r>
              <w:tab/>
            </w:r>
            <w:r>
              <w:fldChar w:fldCharType="begin"/>
            </w:r>
            <w:r>
              <w:instrText xml:space="preserve"> PAGEREF _Toc213026662 \h </w:instrText>
            </w:r>
            <w:r>
              <w:fldChar w:fldCharType="separate"/>
            </w:r>
            <w:r>
              <w:t>13</w:t>
            </w:r>
            <w:r>
              <w:fldChar w:fldCharType="end"/>
            </w:r>
          </w:hyperlink>
        </w:p>
        <w:p w:rsidR="00431B1F" w:rsidRDefault="00431B1F">
          <w:pPr>
            <w:pStyle w:val="TOC2"/>
            <w:tabs>
              <w:tab w:val="right" w:leader="dot" w:pos="9350"/>
            </w:tabs>
            <w:rPr>
              <w:rFonts w:eastAsiaTheme="minorEastAsia"/>
              <w:sz w:val="24"/>
              <w:szCs w:val="24"/>
            </w:rPr>
          </w:pPr>
          <w:hyperlink w:anchor="_Toc213026663" w:history="1">
            <w:r>
              <w:rPr>
                <w:rStyle w:val="Hyperlink"/>
              </w:rPr>
              <w:t>6.1 Technology</w:t>
            </w:r>
            <w:r>
              <w:tab/>
            </w:r>
            <w:r>
              <w:fldChar w:fldCharType="begin"/>
            </w:r>
            <w:r>
              <w:instrText xml:space="preserve"> PAGEREF _Toc213026663 \h </w:instrText>
            </w:r>
            <w:r>
              <w:fldChar w:fldCharType="separate"/>
            </w:r>
            <w:r>
              <w:t>14</w:t>
            </w:r>
            <w:r>
              <w:fldChar w:fldCharType="end"/>
            </w:r>
          </w:hyperlink>
        </w:p>
        <w:p w:rsidR="00431B1F" w:rsidRDefault="00431B1F">
          <w:pPr>
            <w:pStyle w:val="TOC2"/>
            <w:tabs>
              <w:tab w:val="right" w:leader="dot" w:pos="9350"/>
            </w:tabs>
            <w:rPr>
              <w:rFonts w:eastAsiaTheme="minorEastAsia"/>
              <w:sz w:val="24"/>
              <w:szCs w:val="24"/>
            </w:rPr>
          </w:pPr>
          <w:hyperlink w:anchor="_Toc213026664" w:history="1">
            <w:r>
              <w:rPr>
                <w:rStyle w:val="Hyperlink"/>
              </w:rPr>
              <w:t>6.2 Communication</w:t>
            </w:r>
            <w:r>
              <w:tab/>
            </w:r>
            <w:r>
              <w:fldChar w:fldCharType="begin"/>
            </w:r>
            <w:r>
              <w:instrText xml:space="preserve"> PAGEREF _Toc213026664 \h </w:instrText>
            </w:r>
            <w:r>
              <w:fldChar w:fldCharType="separate"/>
            </w:r>
            <w:r>
              <w:t>14</w:t>
            </w:r>
            <w:r>
              <w:fldChar w:fldCharType="end"/>
            </w:r>
          </w:hyperlink>
        </w:p>
        <w:p w:rsidR="00431B1F" w:rsidRDefault="00431B1F">
          <w:pPr>
            <w:pStyle w:val="TOC2"/>
            <w:tabs>
              <w:tab w:val="right" w:leader="dot" w:pos="9350"/>
            </w:tabs>
            <w:rPr>
              <w:rFonts w:eastAsiaTheme="minorEastAsia"/>
              <w:sz w:val="24"/>
              <w:szCs w:val="24"/>
            </w:rPr>
          </w:pPr>
          <w:hyperlink w:anchor="_Toc213026665" w:history="1">
            <w:r>
              <w:rPr>
                <w:rStyle w:val="Hyperlink"/>
              </w:rPr>
              <w:t>6.3 Teamwork and Leadership</w:t>
            </w:r>
            <w:r>
              <w:tab/>
            </w:r>
            <w:r>
              <w:fldChar w:fldCharType="begin"/>
            </w:r>
            <w:r>
              <w:instrText xml:space="preserve"> PAGEREF _Toc213026665 \h </w:instrText>
            </w:r>
            <w:r>
              <w:fldChar w:fldCharType="separate"/>
            </w:r>
            <w:r>
              <w:t>14</w:t>
            </w:r>
            <w:r>
              <w:fldChar w:fldCharType="end"/>
            </w:r>
          </w:hyperlink>
        </w:p>
        <w:p w:rsidR="00431B1F" w:rsidRDefault="00431B1F">
          <w:pPr>
            <w:pStyle w:val="TOC2"/>
            <w:tabs>
              <w:tab w:val="right" w:leader="dot" w:pos="9350"/>
            </w:tabs>
            <w:rPr>
              <w:rFonts w:eastAsiaTheme="minorEastAsia"/>
              <w:sz w:val="24"/>
              <w:szCs w:val="24"/>
            </w:rPr>
          </w:pPr>
          <w:hyperlink w:anchor="_Toc213026666" w:history="1">
            <w:r>
              <w:rPr>
                <w:rStyle w:val="Hyperlink"/>
              </w:rPr>
              <w:t>6.4 Self-directed Learning</w:t>
            </w:r>
            <w:r>
              <w:tab/>
            </w:r>
            <w:r>
              <w:fldChar w:fldCharType="begin"/>
            </w:r>
            <w:r>
              <w:instrText xml:space="preserve"> PAGEREF _Toc213026666 \h </w:instrText>
            </w:r>
            <w:r>
              <w:fldChar w:fldCharType="separate"/>
            </w:r>
            <w:r>
              <w:t>15</w:t>
            </w:r>
            <w:r>
              <w:fldChar w:fldCharType="end"/>
            </w:r>
          </w:hyperlink>
        </w:p>
        <w:p w:rsidR="00431B1F" w:rsidRDefault="00431B1F">
          <w:pPr>
            <w:pStyle w:val="TOC1"/>
            <w:rPr>
              <w:rFonts w:eastAsiaTheme="minorEastAsia"/>
              <w:sz w:val="24"/>
              <w:szCs w:val="24"/>
            </w:rPr>
          </w:pPr>
          <w:hyperlink w:anchor="_Toc213026667" w:history="1">
            <w:r>
              <w:rPr>
                <w:rStyle w:val="Hyperlink"/>
              </w:rPr>
              <w:t>7.0 Strategic HCM Recommendations.</w:t>
            </w:r>
            <w:r>
              <w:tab/>
            </w:r>
            <w:r>
              <w:fldChar w:fldCharType="begin"/>
            </w:r>
            <w:r>
              <w:instrText xml:space="preserve"> PAGEREF _Toc213026667 \h </w:instrText>
            </w:r>
            <w:r>
              <w:fldChar w:fldCharType="separate"/>
            </w:r>
            <w:r>
              <w:t>15</w:t>
            </w:r>
            <w:r>
              <w:fldChar w:fldCharType="end"/>
            </w:r>
          </w:hyperlink>
        </w:p>
        <w:p w:rsidR="00431B1F" w:rsidRDefault="00431B1F">
          <w:pPr>
            <w:pStyle w:val="TOC2"/>
            <w:tabs>
              <w:tab w:val="right" w:leader="dot" w:pos="9350"/>
            </w:tabs>
            <w:rPr>
              <w:rFonts w:eastAsiaTheme="minorEastAsia"/>
              <w:sz w:val="24"/>
              <w:szCs w:val="24"/>
            </w:rPr>
          </w:pPr>
          <w:hyperlink w:anchor="_Toc213026668" w:history="1">
            <w:r>
              <w:rPr>
                <w:rStyle w:val="Hyperlink"/>
              </w:rPr>
              <w:t>7.1 Invest in Agile Workforce Planning &amp; Internal Talent Development</w:t>
            </w:r>
            <w:r>
              <w:tab/>
            </w:r>
            <w:r>
              <w:fldChar w:fldCharType="begin"/>
            </w:r>
            <w:r>
              <w:instrText xml:space="preserve"> PAGEREF _Toc213026668 \h </w:instrText>
            </w:r>
            <w:r>
              <w:fldChar w:fldCharType="separate"/>
            </w:r>
            <w:r>
              <w:t>15</w:t>
            </w:r>
            <w:r>
              <w:fldChar w:fldCharType="end"/>
            </w:r>
          </w:hyperlink>
        </w:p>
        <w:p w:rsidR="00431B1F" w:rsidRDefault="00431B1F">
          <w:pPr>
            <w:pStyle w:val="TOC2"/>
            <w:tabs>
              <w:tab w:val="right" w:leader="dot" w:pos="9350"/>
            </w:tabs>
            <w:rPr>
              <w:rFonts w:eastAsiaTheme="minorEastAsia"/>
              <w:sz w:val="24"/>
              <w:szCs w:val="24"/>
            </w:rPr>
          </w:pPr>
          <w:hyperlink w:anchor="_Toc213026669" w:history="1">
            <w:r>
              <w:rPr>
                <w:rStyle w:val="Hyperlink"/>
              </w:rPr>
              <w:t>7.2 Develop Geopolitically Resilient and Inclusive Mobility Policies</w:t>
            </w:r>
            <w:r>
              <w:tab/>
            </w:r>
            <w:r>
              <w:fldChar w:fldCharType="begin"/>
            </w:r>
            <w:r>
              <w:instrText xml:space="preserve"> PAGEREF _Toc213026669 \h </w:instrText>
            </w:r>
            <w:r>
              <w:fldChar w:fldCharType="separate"/>
            </w:r>
            <w:r>
              <w:t>15</w:t>
            </w:r>
            <w:r>
              <w:fldChar w:fldCharType="end"/>
            </w:r>
          </w:hyperlink>
        </w:p>
        <w:p w:rsidR="00431B1F" w:rsidRDefault="00431B1F">
          <w:pPr>
            <w:pStyle w:val="TOC2"/>
            <w:tabs>
              <w:tab w:val="right" w:leader="dot" w:pos="9350"/>
            </w:tabs>
            <w:rPr>
              <w:rFonts w:eastAsiaTheme="minorEastAsia"/>
              <w:sz w:val="24"/>
              <w:szCs w:val="24"/>
            </w:rPr>
          </w:pPr>
          <w:hyperlink w:anchor="_Toc213026670" w:history="1">
            <w:r>
              <w:rPr>
                <w:rStyle w:val="Hyperlink"/>
              </w:rPr>
              <w:t>7.3 Champion Ethical Technology Integration and People-Centric Work Design</w:t>
            </w:r>
            <w:r>
              <w:tab/>
            </w:r>
            <w:r>
              <w:fldChar w:fldCharType="begin"/>
            </w:r>
            <w:r>
              <w:instrText xml:space="preserve"> PAGEREF _Toc213026670 \h </w:instrText>
            </w:r>
            <w:r>
              <w:fldChar w:fldCharType="separate"/>
            </w:r>
            <w:r>
              <w:t>16</w:t>
            </w:r>
            <w:r>
              <w:fldChar w:fldCharType="end"/>
            </w:r>
          </w:hyperlink>
        </w:p>
        <w:p w:rsidR="00431B1F" w:rsidRDefault="00431B1F">
          <w:pPr>
            <w:pStyle w:val="TOC1"/>
            <w:rPr>
              <w:rFonts w:eastAsiaTheme="minorEastAsia"/>
              <w:sz w:val="24"/>
              <w:szCs w:val="24"/>
            </w:rPr>
          </w:pPr>
          <w:hyperlink w:anchor="_Toc213026671" w:history="1">
            <w:r>
              <w:rPr>
                <w:rStyle w:val="Hyperlink"/>
              </w:rPr>
              <w:t>8.0 Conclusion</w:t>
            </w:r>
            <w:r>
              <w:tab/>
            </w:r>
            <w:r>
              <w:fldChar w:fldCharType="begin"/>
            </w:r>
            <w:r>
              <w:instrText xml:space="preserve"> PAGEREF _Toc213026671 \h </w:instrText>
            </w:r>
            <w:r>
              <w:fldChar w:fldCharType="separate"/>
            </w:r>
            <w:r>
              <w:t>16</w:t>
            </w:r>
            <w:r>
              <w:fldChar w:fldCharType="end"/>
            </w:r>
          </w:hyperlink>
        </w:p>
        <w:p w:rsidR="00431B1F" w:rsidRDefault="00431B1F">
          <w:pPr>
            <w:pStyle w:val="TOC1"/>
            <w:rPr>
              <w:rFonts w:eastAsiaTheme="minorEastAsia"/>
              <w:sz w:val="24"/>
              <w:szCs w:val="24"/>
            </w:rPr>
          </w:pPr>
          <w:hyperlink w:anchor="_Toc213026672" w:history="1">
            <w:r>
              <w:rPr>
                <w:rStyle w:val="Hyperlink"/>
              </w:rPr>
              <w:t>References</w:t>
            </w:r>
            <w:r>
              <w:tab/>
            </w:r>
            <w:r>
              <w:fldChar w:fldCharType="begin"/>
            </w:r>
            <w:r>
              <w:instrText xml:space="preserve"> PAGEREF _Toc213026672 \h </w:instrText>
            </w:r>
            <w:r>
              <w:fldChar w:fldCharType="separate"/>
            </w:r>
            <w:r>
              <w:t>17</w:t>
            </w:r>
            <w:r>
              <w:fldChar w:fldCharType="end"/>
            </w:r>
          </w:hyperlink>
        </w:p>
        <w:p w:rsidR="00431B1F" w:rsidRDefault="00431B1F">
          <w:pPr>
            <w:pStyle w:val="TOC1"/>
            <w:rPr>
              <w:rFonts w:eastAsiaTheme="minorEastAsia"/>
              <w:sz w:val="24"/>
              <w:szCs w:val="24"/>
            </w:rPr>
          </w:pPr>
          <w:hyperlink w:anchor="_Toc213026673" w:history="1">
            <w:r>
              <w:rPr>
                <w:rStyle w:val="Hyperlink"/>
              </w:rPr>
              <w:t>Appendices</w:t>
            </w:r>
            <w:r>
              <w:tab/>
            </w:r>
            <w:r>
              <w:fldChar w:fldCharType="begin"/>
            </w:r>
            <w:r>
              <w:instrText xml:space="preserve"> PAGEREF _Toc213026673 \h </w:instrText>
            </w:r>
            <w:r>
              <w:fldChar w:fldCharType="separate"/>
            </w:r>
            <w:r>
              <w:t>18</w:t>
            </w:r>
            <w:r>
              <w:fldChar w:fldCharType="end"/>
            </w:r>
          </w:hyperlink>
        </w:p>
        <w:p w:rsidR="00431B1F" w:rsidRDefault="00000000">
          <w:pPr>
            <w:spacing w:line="360" w:lineRule="auto"/>
          </w:pPr>
          <w:r>
            <w:rPr>
              <w:rFonts w:ascii="Times New Roman" w:hAnsi="Times New Roman" w:cs="Times New Roman"/>
              <w:b/>
              <w:bCs/>
              <w:sz w:val="24"/>
              <w:szCs w:val="24"/>
            </w:rPr>
            <w:fldChar w:fldCharType="end"/>
          </w:r>
        </w:p>
      </w:sdtContent>
    </w:sdt>
    <w:p w:rsidR="00431B1F" w:rsidRDefault="00000000">
      <w:pPr>
        <w:pStyle w:val="TOCHeading1"/>
        <w:spacing w:line="360" w:lineRule="auto"/>
        <w:rPr>
          <w:rFonts w:ascii="Times New Roman" w:hAnsi="Times New Roman" w:cs="Times New Roman"/>
          <w:b/>
          <w:bCs/>
        </w:rPr>
      </w:pPr>
      <w:r>
        <w:rPr>
          <w:rFonts w:ascii="Times New Roman" w:hAnsi="Times New Roman" w:cs="Times New Roman"/>
          <w:b/>
          <w:bCs/>
        </w:rPr>
        <w:t>Table of Figures</w:t>
      </w:r>
    </w:p>
    <w:p w:rsidR="00431B1F" w:rsidRDefault="00431B1F">
      <w:pPr>
        <w:pStyle w:val="TableofFigures"/>
        <w:tabs>
          <w:tab w:val="right" w:leader="dot" w:pos="9350"/>
        </w:tabs>
        <w:rPr>
          <w:rFonts w:ascii="Times New Roman" w:hAnsi="Times New Roman" w:cs="Times New Roman"/>
          <w:sz w:val="24"/>
          <w:szCs w:val="24"/>
        </w:rPr>
      </w:pPr>
    </w:p>
    <w:p w:rsidR="00431B1F" w:rsidRDefault="00000000">
      <w:pPr>
        <w:pStyle w:val="TableofFigures"/>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213023786" w:history="1">
        <w:r w:rsidR="00431B1F">
          <w:rPr>
            <w:rStyle w:val="Hyperlink"/>
            <w:rFonts w:ascii="Times New Roman" w:hAnsi="Times New Roman" w:cs="Times New Roman"/>
            <w:sz w:val="24"/>
            <w:szCs w:val="24"/>
          </w:rPr>
          <w:t>Figure 1: Global AI Adoption and Use of Generative AI (2017–2024), Source: McKinsey &amp; Company (2024),</w:t>
        </w:r>
        <w:r w:rsidR="00431B1F">
          <w:rPr>
            <w:rFonts w:ascii="Times New Roman" w:hAnsi="Times New Roman" w:cs="Times New Roman"/>
            <w:sz w:val="24"/>
            <w:szCs w:val="24"/>
          </w:rPr>
          <w:tab/>
        </w:r>
        <w:r w:rsidR="00431B1F">
          <w:rPr>
            <w:rFonts w:ascii="Times New Roman" w:hAnsi="Times New Roman" w:cs="Times New Roman"/>
            <w:sz w:val="24"/>
            <w:szCs w:val="24"/>
          </w:rPr>
          <w:fldChar w:fldCharType="begin"/>
        </w:r>
        <w:r w:rsidR="00431B1F">
          <w:rPr>
            <w:rFonts w:ascii="Times New Roman" w:hAnsi="Times New Roman" w:cs="Times New Roman"/>
            <w:sz w:val="24"/>
            <w:szCs w:val="24"/>
          </w:rPr>
          <w:instrText xml:space="preserve"> PAGEREF _Toc213023786 \h </w:instrText>
        </w:r>
        <w:r w:rsidR="00431B1F">
          <w:rPr>
            <w:rFonts w:ascii="Times New Roman" w:hAnsi="Times New Roman" w:cs="Times New Roman"/>
            <w:sz w:val="24"/>
            <w:szCs w:val="24"/>
          </w:rPr>
        </w:r>
        <w:r w:rsidR="00431B1F">
          <w:rPr>
            <w:rFonts w:ascii="Times New Roman" w:hAnsi="Times New Roman" w:cs="Times New Roman"/>
            <w:sz w:val="24"/>
            <w:szCs w:val="24"/>
          </w:rPr>
          <w:fldChar w:fldCharType="separate"/>
        </w:r>
        <w:r w:rsidR="00431B1F">
          <w:rPr>
            <w:rFonts w:ascii="Times New Roman" w:hAnsi="Times New Roman" w:cs="Times New Roman"/>
            <w:sz w:val="24"/>
            <w:szCs w:val="24"/>
          </w:rPr>
          <w:t>6</w:t>
        </w:r>
        <w:r w:rsidR="00431B1F">
          <w:rPr>
            <w:rFonts w:ascii="Times New Roman" w:hAnsi="Times New Roman" w:cs="Times New Roman"/>
            <w:sz w:val="24"/>
            <w:szCs w:val="24"/>
          </w:rPr>
          <w:fldChar w:fldCharType="end"/>
        </w:r>
      </w:hyperlink>
    </w:p>
    <w:p w:rsidR="00431B1F" w:rsidRDefault="00431B1F">
      <w:pPr>
        <w:pStyle w:val="TableofFigures"/>
        <w:tabs>
          <w:tab w:val="right" w:leader="dot" w:pos="9350"/>
        </w:tabs>
        <w:rPr>
          <w:rFonts w:ascii="Times New Roman" w:hAnsi="Times New Roman" w:cs="Times New Roman"/>
          <w:sz w:val="24"/>
          <w:szCs w:val="24"/>
        </w:rPr>
      </w:pPr>
      <w:hyperlink w:anchor="_Toc213023787" w:history="1">
        <w:r>
          <w:rPr>
            <w:rStyle w:val="Hyperlink"/>
            <w:rFonts w:ascii="Times New Roman" w:hAnsi="Times New Roman" w:cs="Times New Roman"/>
            <w:sz w:val="24"/>
            <w:szCs w:val="24"/>
          </w:rPr>
          <w:t>Figure 2: Global Talent Shortage Over Time (2006–2025), Source: ManpowerGroup (2025)</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_Toc213023787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rsidR="00E0567C" w:rsidRDefault="00000000" w:rsidP="00E0567C">
      <w:pPr>
        <w:pStyle w:val="TOCHeading1"/>
        <w:spacing w:line="360" w:lineRule="auto"/>
        <w:rPr>
          <w:noProof/>
        </w:rPr>
      </w:pPr>
      <w:r>
        <w:rPr>
          <w:rFonts w:ascii="Times New Roman" w:hAnsi="Times New Roman" w:cs="Times New Roman"/>
          <w:sz w:val="24"/>
          <w:szCs w:val="24"/>
        </w:rPr>
        <w:fldChar w:fldCharType="end"/>
      </w:r>
      <w:r>
        <w:rPr>
          <w:rFonts w:ascii="Times New Roman" w:hAnsi="Times New Roman" w:cs="Times New Roman"/>
          <w:b/>
          <w:bCs/>
        </w:rPr>
        <w:t>Table of Tables</w:t>
      </w:r>
      <w:r w:rsidR="00E0567C">
        <w:rPr>
          <w:rFonts w:ascii="Times New Roman" w:hAnsi="Times New Roman" w:cs="Times New Roman"/>
          <w:sz w:val="24"/>
          <w:szCs w:val="24"/>
        </w:rPr>
        <w:fldChar w:fldCharType="begin"/>
      </w:r>
      <w:r w:rsidR="00E0567C">
        <w:rPr>
          <w:rFonts w:ascii="Times New Roman" w:hAnsi="Times New Roman" w:cs="Times New Roman"/>
          <w:sz w:val="24"/>
          <w:szCs w:val="24"/>
        </w:rPr>
        <w:instrText xml:space="preserve"> TOC \h \z \c "Table" </w:instrText>
      </w:r>
      <w:r w:rsidR="00E0567C">
        <w:rPr>
          <w:rFonts w:ascii="Times New Roman" w:hAnsi="Times New Roman" w:cs="Times New Roman"/>
          <w:sz w:val="24"/>
          <w:szCs w:val="24"/>
        </w:rPr>
        <w:fldChar w:fldCharType="separate"/>
      </w:r>
    </w:p>
    <w:p w:rsidR="00E0567C" w:rsidRDefault="00E0567C" w:rsidP="00E0567C">
      <w:pPr>
        <w:pStyle w:val="TableofFigures"/>
        <w:tabs>
          <w:tab w:val="right" w:leader="dot" w:pos="9350"/>
        </w:tabs>
        <w:spacing w:line="360" w:lineRule="auto"/>
        <w:rPr>
          <w:rFonts w:eastAsiaTheme="minorEastAsia"/>
          <w:noProof/>
          <w:sz w:val="24"/>
          <w:szCs w:val="24"/>
        </w:rPr>
      </w:pPr>
      <w:hyperlink w:anchor="_Toc213044040" w:history="1">
        <w:r w:rsidRPr="00771EF8">
          <w:rPr>
            <w:rStyle w:val="Hyperlink"/>
            <w:rFonts w:ascii="Times New Roman" w:hAnsi="Times New Roman" w:cs="Times New Roman"/>
            <w:b/>
            <w:bCs/>
            <w:noProof/>
          </w:rPr>
          <w:t>Table 1: Implications of Key Technological Trends for HRM and IHRM</w:t>
        </w:r>
        <w:r>
          <w:rPr>
            <w:noProof/>
            <w:webHidden/>
          </w:rPr>
          <w:tab/>
        </w:r>
        <w:r>
          <w:rPr>
            <w:noProof/>
            <w:webHidden/>
          </w:rPr>
          <w:fldChar w:fldCharType="begin"/>
        </w:r>
        <w:r>
          <w:rPr>
            <w:noProof/>
            <w:webHidden/>
          </w:rPr>
          <w:instrText xml:space="preserve"> PAGEREF _Toc213044040 \h </w:instrText>
        </w:r>
        <w:r>
          <w:rPr>
            <w:noProof/>
            <w:webHidden/>
          </w:rPr>
        </w:r>
        <w:r>
          <w:rPr>
            <w:noProof/>
            <w:webHidden/>
          </w:rPr>
          <w:fldChar w:fldCharType="separate"/>
        </w:r>
        <w:r>
          <w:rPr>
            <w:noProof/>
            <w:webHidden/>
          </w:rPr>
          <w:t>7</w:t>
        </w:r>
        <w:r>
          <w:rPr>
            <w:noProof/>
            <w:webHidden/>
          </w:rPr>
          <w:fldChar w:fldCharType="end"/>
        </w:r>
      </w:hyperlink>
    </w:p>
    <w:p w:rsidR="00E0567C" w:rsidRPr="00E0567C" w:rsidRDefault="00E0567C" w:rsidP="00E0567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3044041" w:history="1">
        <w:r w:rsidRPr="00E0567C">
          <w:rPr>
            <w:rStyle w:val="Hyperlink"/>
            <w:rFonts w:ascii="Times New Roman" w:hAnsi="Times New Roman" w:cs="Times New Roman"/>
            <w:noProof/>
          </w:rPr>
          <w:t>Table 2: Regional Workforce Challenges and Strategic HR Responses</w:t>
        </w:r>
        <w:r w:rsidRPr="00E0567C">
          <w:rPr>
            <w:rFonts w:ascii="Times New Roman" w:hAnsi="Times New Roman" w:cs="Times New Roman"/>
            <w:noProof/>
            <w:webHidden/>
          </w:rPr>
          <w:tab/>
        </w:r>
        <w:r w:rsidRPr="00E0567C">
          <w:rPr>
            <w:rFonts w:ascii="Times New Roman" w:hAnsi="Times New Roman" w:cs="Times New Roman"/>
            <w:noProof/>
            <w:webHidden/>
          </w:rPr>
          <w:fldChar w:fldCharType="begin"/>
        </w:r>
        <w:r w:rsidRPr="00E0567C">
          <w:rPr>
            <w:rFonts w:ascii="Times New Roman" w:hAnsi="Times New Roman" w:cs="Times New Roman"/>
            <w:noProof/>
            <w:webHidden/>
          </w:rPr>
          <w:instrText xml:space="preserve"> PAGEREF _Toc213044041 \h </w:instrText>
        </w:r>
        <w:r w:rsidRPr="00E0567C">
          <w:rPr>
            <w:rFonts w:ascii="Times New Roman" w:hAnsi="Times New Roman" w:cs="Times New Roman"/>
            <w:noProof/>
            <w:webHidden/>
          </w:rPr>
        </w:r>
        <w:r w:rsidRPr="00E0567C">
          <w:rPr>
            <w:rFonts w:ascii="Times New Roman" w:hAnsi="Times New Roman" w:cs="Times New Roman"/>
            <w:noProof/>
            <w:webHidden/>
          </w:rPr>
          <w:fldChar w:fldCharType="separate"/>
        </w:r>
        <w:r w:rsidRPr="00E0567C">
          <w:rPr>
            <w:rFonts w:ascii="Times New Roman" w:hAnsi="Times New Roman" w:cs="Times New Roman"/>
            <w:noProof/>
            <w:webHidden/>
          </w:rPr>
          <w:t>9</w:t>
        </w:r>
        <w:r w:rsidRPr="00E0567C">
          <w:rPr>
            <w:rFonts w:ascii="Times New Roman" w:hAnsi="Times New Roman" w:cs="Times New Roman"/>
            <w:noProof/>
            <w:webHidden/>
          </w:rPr>
          <w:fldChar w:fldCharType="end"/>
        </w:r>
      </w:hyperlink>
    </w:p>
    <w:p w:rsidR="00E0567C" w:rsidRPr="00E0567C" w:rsidRDefault="00E0567C" w:rsidP="00E0567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3044042" w:history="1">
        <w:r w:rsidRPr="00E0567C">
          <w:rPr>
            <w:rStyle w:val="Hyperlink"/>
            <w:rFonts w:ascii="Times New Roman" w:hAnsi="Times New Roman" w:cs="Times New Roman"/>
            <w:noProof/>
          </w:rPr>
          <w:t>Table 3: Strategic HRM Responses to Sector-Specific Skills Shortages</w:t>
        </w:r>
        <w:r w:rsidRPr="00E0567C">
          <w:rPr>
            <w:rFonts w:ascii="Times New Roman" w:hAnsi="Times New Roman" w:cs="Times New Roman"/>
            <w:noProof/>
            <w:webHidden/>
          </w:rPr>
          <w:tab/>
        </w:r>
        <w:r w:rsidRPr="00E0567C">
          <w:rPr>
            <w:rFonts w:ascii="Times New Roman" w:hAnsi="Times New Roman" w:cs="Times New Roman"/>
            <w:noProof/>
            <w:webHidden/>
          </w:rPr>
          <w:fldChar w:fldCharType="begin"/>
        </w:r>
        <w:r w:rsidRPr="00E0567C">
          <w:rPr>
            <w:rFonts w:ascii="Times New Roman" w:hAnsi="Times New Roman" w:cs="Times New Roman"/>
            <w:noProof/>
            <w:webHidden/>
          </w:rPr>
          <w:instrText xml:space="preserve"> PAGEREF _Toc213044042 \h </w:instrText>
        </w:r>
        <w:r w:rsidRPr="00E0567C">
          <w:rPr>
            <w:rFonts w:ascii="Times New Roman" w:hAnsi="Times New Roman" w:cs="Times New Roman"/>
            <w:noProof/>
            <w:webHidden/>
          </w:rPr>
        </w:r>
        <w:r w:rsidRPr="00E0567C">
          <w:rPr>
            <w:rFonts w:ascii="Times New Roman" w:hAnsi="Times New Roman" w:cs="Times New Roman"/>
            <w:noProof/>
            <w:webHidden/>
          </w:rPr>
          <w:fldChar w:fldCharType="separate"/>
        </w:r>
        <w:r w:rsidRPr="00E0567C">
          <w:rPr>
            <w:rFonts w:ascii="Times New Roman" w:hAnsi="Times New Roman" w:cs="Times New Roman"/>
            <w:noProof/>
            <w:webHidden/>
          </w:rPr>
          <w:t>12</w:t>
        </w:r>
        <w:r w:rsidRPr="00E0567C">
          <w:rPr>
            <w:rFonts w:ascii="Times New Roman" w:hAnsi="Times New Roman" w:cs="Times New Roman"/>
            <w:noProof/>
            <w:webHidden/>
          </w:rPr>
          <w:fldChar w:fldCharType="end"/>
        </w:r>
      </w:hyperlink>
    </w:p>
    <w:p w:rsidR="00E0567C" w:rsidRPr="00E0567C" w:rsidRDefault="00E0567C" w:rsidP="00E0567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3044043" w:history="1">
        <w:r w:rsidRPr="00E0567C">
          <w:rPr>
            <w:rStyle w:val="Hyperlink"/>
            <w:rFonts w:ascii="Times New Roman" w:hAnsi="Times New Roman" w:cs="Times New Roman"/>
            <w:noProof/>
          </w:rPr>
          <w:t>Table 4: HR Implementation Framework and Success Measurement</w:t>
        </w:r>
        <w:r w:rsidRPr="00E0567C">
          <w:rPr>
            <w:rFonts w:ascii="Times New Roman" w:hAnsi="Times New Roman" w:cs="Times New Roman"/>
            <w:noProof/>
            <w:webHidden/>
          </w:rPr>
          <w:tab/>
        </w:r>
        <w:r w:rsidRPr="00E0567C">
          <w:rPr>
            <w:rFonts w:ascii="Times New Roman" w:hAnsi="Times New Roman" w:cs="Times New Roman"/>
            <w:noProof/>
            <w:webHidden/>
          </w:rPr>
          <w:fldChar w:fldCharType="begin"/>
        </w:r>
        <w:r w:rsidRPr="00E0567C">
          <w:rPr>
            <w:rFonts w:ascii="Times New Roman" w:hAnsi="Times New Roman" w:cs="Times New Roman"/>
            <w:noProof/>
            <w:webHidden/>
          </w:rPr>
          <w:instrText xml:space="preserve"> PAGEREF _Toc213044043 \h </w:instrText>
        </w:r>
        <w:r w:rsidRPr="00E0567C">
          <w:rPr>
            <w:rFonts w:ascii="Times New Roman" w:hAnsi="Times New Roman" w:cs="Times New Roman"/>
            <w:noProof/>
            <w:webHidden/>
          </w:rPr>
        </w:r>
        <w:r w:rsidRPr="00E0567C">
          <w:rPr>
            <w:rFonts w:ascii="Times New Roman" w:hAnsi="Times New Roman" w:cs="Times New Roman"/>
            <w:noProof/>
            <w:webHidden/>
          </w:rPr>
          <w:fldChar w:fldCharType="separate"/>
        </w:r>
        <w:r w:rsidRPr="00E0567C">
          <w:rPr>
            <w:rFonts w:ascii="Times New Roman" w:hAnsi="Times New Roman" w:cs="Times New Roman"/>
            <w:noProof/>
            <w:webHidden/>
          </w:rPr>
          <w:t>13</w:t>
        </w:r>
        <w:r w:rsidRPr="00E0567C">
          <w:rPr>
            <w:rFonts w:ascii="Times New Roman" w:hAnsi="Times New Roman" w:cs="Times New Roman"/>
            <w:noProof/>
            <w:webHidden/>
          </w:rPr>
          <w:fldChar w:fldCharType="end"/>
        </w:r>
      </w:hyperlink>
    </w:p>
    <w:p w:rsidR="00E0567C" w:rsidRPr="00E0567C" w:rsidRDefault="00E0567C" w:rsidP="00E0567C">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213044044" w:history="1">
        <w:r w:rsidRPr="00E0567C">
          <w:rPr>
            <w:rStyle w:val="Hyperlink"/>
            <w:rFonts w:ascii="Times New Roman" w:hAnsi="Times New Roman" w:cs="Times New Roman"/>
            <w:noProof/>
          </w:rPr>
          <w:t>Table 5: PESTLE Analysis of Labour Market Pressures</w:t>
        </w:r>
        <w:r w:rsidRPr="00E0567C">
          <w:rPr>
            <w:rFonts w:ascii="Times New Roman" w:hAnsi="Times New Roman" w:cs="Times New Roman"/>
            <w:noProof/>
            <w:webHidden/>
          </w:rPr>
          <w:tab/>
        </w:r>
        <w:r w:rsidRPr="00E0567C">
          <w:rPr>
            <w:rFonts w:ascii="Times New Roman" w:hAnsi="Times New Roman" w:cs="Times New Roman"/>
            <w:noProof/>
            <w:webHidden/>
          </w:rPr>
          <w:fldChar w:fldCharType="begin"/>
        </w:r>
        <w:r w:rsidRPr="00E0567C">
          <w:rPr>
            <w:rFonts w:ascii="Times New Roman" w:hAnsi="Times New Roman" w:cs="Times New Roman"/>
            <w:noProof/>
            <w:webHidden/>
          </w:rPr>
          <w:instrText xml:space="preserve"> PAGEREF _Toc213044044 \h </w:instrText>
        </w:r>
        <w:r w:rsidRPr="00E0567C">
          <w:rPr>
            <w:rFonts w:ascii="Times New Roman" w:hAnsi="Times New Roman" w:cs="Times New Roman"/>
            <w:noProof/>
            <w:webHidden/>
          </w:rPr>
        </w:r>
        <w:r w:rsidRPr="00E0567C">
          <w:rPr>
            <w:rFonts w:ascii="Times New Roman" w:hAnsi="Times New Roman" w:cs="Times New Roman"/>
            <w:noProof/>
            <w:webHidden/>
          </w:rPr>
          <w:fldChar w:fldCharType="separate"/>
        </w:r>
        <w:r w:rsidRPr="00E0567C">
          <w:rPr>
            <w:rFonts w:ascii="Times New Roman" w:hAnsi="Times New Roman" w:cs="Times New Roman"/>
            <w:noProof/>
            <w:webHidden/>
          </w:rPr>
          <w:t>20</w:t>
        </w:r>
        <w:r w:rsidRPr="00E0567C">
          <w:rPr>
            <w:rFonts w:ascii="Times New Roman" w:hAnsi="Times New Roman" w:cs="Times New Roman"/>
            <w:noProof/>
            <w:webHidden/>
          </w:rPr>
          <w:fldChar w:fldCharType="end"/>
        </w:r>
      </w:hyperlink>
    </w:p>
    <w:p w:rsidR="00431B1F" w:rsidRDefault="00E0567C" w:rsidP="00E0567C">
      <w:pPr>
        <w:pStyle w:val="TOCHeading1"/>
        <w:spacing w:line="360" w:lineRule="auto"/>
      </w:pPr>
      <w:r>
        <w:rPr>
          <w:rFonts w:ascii="Times New Roman" w:hAnsi="Times New Roman" w:cs="Times New Roman"/>
          <w:sz w:val="24"/>
          <w:szCs w:val="24"/>
        </w:rPr>
        <w:fldChar w:fldCharType="end"/>
      </w:r>
    </w:p>
    <w:p w:rsidR="00431B1F" w:rsidRDefault="00431B1F">
      <w:pPr>
        <w:pStyle w:val="Heading1"/>
      </w:pPr>
    </w:p>
    <w:p w:rsidR="00431B1F" w:rsidRDefault="00431B1F">
      <w:pPr>
        <w:pStyle w:val="Heading1"/>
      </w:pPr>
    </w:p>
    <w:p w:rsidR="00431B1F" w:rsidRDefault="00431B1F">
      <w:pPr>
        <w:pStyle w:val="Heading1"/>
      </w:pPr>
    </w:p>
    <w:p w:rsidR="00431B1F" w:rsidRDefault="00431B1F"/>
    <w:p w:rsidR="00431B1F" w:rsidRDefault="00431B1F"/>
    <w:p w:rsidR="00431B1F" w:rsidRDefault="00431B1F"/>
    <w:p w:rsidR="00431B1F" w:rsidRDefault="00431B1F"/>
    <w:p w:rsidR="00431B1F" w:rsidRDefault="00431B1F"/>
    <w:p w:rsidR="00431B1F" w:rsidRDefault="00000000">
      <w:pPr>
        <w:rPr>
          <w:rFonts w:ascii="Times New Roman" w:eastAsiaTheme="majorEastAsia" w:hAnsi="Times New Roman" w:cstheme="majorBidi"/>
          <w:b/>
          <w:sz w:val="32"/>
          <w:szCs w:val="40"/>
        </w:rPr>
      </w:pPr>
      <w:bookmarkStart w:id="0" w:name="_Toc213026644"/>
      <w:r>
        <w:br w:type="page"/>
      </w:r>
    </w:p>
    <w:p w:rsidR="00431B1F" w:rsidRDefault="00000000">
      <w:pPr>
        <w:pStyle w:val="Heading1"/>
      </w:pPr>
      <w:r>
        <w:lastRenderedPageBreak/>
        <w:t>1.0 Executive Summary</w:t>
      </w:r>
      <w:bookmarkEnd w:id="0"/>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includes a critical examination of the impact of national and international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markets on HRM and IHRM strategies to answer four essential questions. Section 3 analyses technological disruptions (Q1), Section 4 examines demographic and geopolitical pressures (Q2), Section 5 proposes HRM solutions to skills gaps (Q3), and Section 6 reflects on personal global capabilities (Q4). The analysis reveals that AI, automation and digital platforms are fundamentally reshaping work, while ageing populations and geopolitical instability compound talent challenges. HRM/IHRM has to change towards non-transactional administration, but strategic workforce design aimed at resilience, internal capacity building, and ethical technology </w:t>
      </w:r>
      <w:proofErr w:type="spellStart"/>
      <w:r>
        <w:rPr>
          <w:rFonts w:ascii="Times New Roman" w:hAnsi="Times New Roman" w:cs="Times New Roman"/>
          <w:sz w:val="24"/>
          <w:szCs w:val="24"/>
        </w:rPr>
        <w:t>utilisation</w:t>
      </w:r>
      <w:proofErr w:type="spellEnd"/>
      <w:r>
        <w:rPr>
          <w:rFonts w:ascii="Times New Roman" w:hAnsi="Times New Roman" w:cs="Times New Roman"/>
          <w:sz w:val="24"/>
          <w:szCs w:val="24"/>
        </w:rPr>
        <w:t xml:space="preserve">. Some of the main suggestions are that it should invest in agile workforce planning, craft geopolitically robust mobility policies, and </w:t>
      </w:r>
      <w:proofErr w:type="spellStart"/>
      <w:r>
        <w:rPr>
          <w:rFonts w:ascii="Times New Roman" w:hAnsi="Times New Roman" w:cs="Times New Roman"/>
          <w:sz w:val="24"/>
          <w:szCs w:val="24"/>
        </w:rPr>
        <w:t>proselytise</w:t>
      </w:r>
      <w:proofErr w:type="spellEnd"/>
      <w:r>
        <w:rPr>
          <w:rFonts w:ascii="Times New Roman" w:hAnsi="Times New Roman" w:cs="Times New Roman"/>
          <w:sz w:val="24"/>
          <w:szCs w:val="24"/>
        </w:rPr>
        <w:t xml:space="preserve"> ethical technology adoption. On a personal level, there are strengths in self-directed learning and development, in cross-cultural leadership is required.</w:t>
      </w:r>
    </w:p>
    <w:p w:rsidR="00431B1F" w:rsidRDefault="00000000">
      <w:pPr>
        <w:pStyle w:val="Heading1"/>
      </w:pPr>
      <w:bookmarkStart w:id="1" w:name="_Toc213026645"/>
      <w:r>
        <w:t>2.0 Introduction</w:t>
      </w:r>
      <w:bookmarkEnd w:id="1"/>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Business environment nowadays is volatile, uncertain, complex, and ambiguous (VUCA), and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markets are one of the most important nexuses of such forces. This report is aimed at critically assessing and evaluating how technological, demographic, and geopolitical changes in these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markets require a change in HRM and IHRM strategies. This report will address in an </w:t>
      </w:r>
      <w:proofErr w:type="spellStart"/>
      <w:r>
        <w:rPr>
          <w:rFonts w:ascii="Times New Roman" w:hAnsi="Times New Roman" w:cs="Times New Roman"/>
          <w:sz w:val="24"/>
          <w:szCs w:val="24"/>
        </w:rPr>
        <w:t>organised</w:t>
      </w:r>
      <w:proofErr w:type="spellEnd"/>
      <w:r>
        <w:rPr>
          <w:rFonts w:ascii="Times New Roman" w:hAnsi="Times New Roman" w:cs="Times New Roman"/>
          <w:sz w:val="24"/>
          <w:szCs w:val="24"/>
        </w:rPr>
        <w:t xml:space="preserve"> manner the four major tasks identified: it will first discuss the effect of technological changes, then discuss demographic and geopolitical changes, and finally discuss strategic responses to skills gaps. The report ends with the reflection on the individual preparation to work in the international workplace. It is based on the synthesis of current academic literature, encompassing the seminal works like Cappelli and Keller (2020) and Ulrich (2017) on the topic and current data, such as the report by Deloitte Global Human Capital Trends (2023). The systematic review is meant to offer an in-depth perspective that will be crucial in management of human capital in the 21st century. The report concludes with evidence-based suggestions on how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can build resilience and strategic capability in the workforce in the volatile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markets.</w:t>
      </w:r>
    </w:p>
    <w:p w:rsidR="00431B1F" w:rsidRDefault="00000000">
      <w:pPr>
        <w:pStyle w:val="Heading1"/>
      </w:pPr>
      <w:bookmarkStart w:id="2" w:name="_Toc213026646"/>
      <w:r>
        <w:lastRenderedPageBreak/>
        <w:t xml:space="preserve">3.0 Technological Advancements Reshaping </w:t>
      </w:r>
      <w:proofErr w:type="spellStart"/>
      <w:r>
        <w:t>Labour</w:t>
      </w:r>
      <w:proofErr w:type="spellEnd"/>
      <w:r>
        <w:t xml:space="preserve"> Markets</w:t>
      </w:r>
      <w:bookmarkEnd w:id="2"/>
      <w:r>
        <w:t> </w:t>
      </w:r>
    </w:p>
    <w:p w:rsidR="00431B1F" w:rsidRDefault="00000000">
      <w:pPr>
        <w:pStyle w:val="Heading2"/>
      </w:pPr>
      <w:bookmarkStart w:id="3" w:name="_Toc213026647"/>
      <w:r>
        <w:t>3.1 Drivers</w:t>
      </w:r>
      <w:bookmarkEnd w:id="3"/>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work is essentially changing with the use of artificial intelligence, automation and digital platforms. According to Cappelli and Keller (2020), this is the technological implication, which means that the concept of work architecture must be reconsidered rather than just making it more efficient (which is a paradigm shift in how we consider the concept of productivity in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w:t>
      </w:r>
    </w:p>
    <w:p w:rsidR="00431B1F" w:rsidRDefault="00000000">
      <w:pPr>
        <w:pStyle w:val="Heading2"/>
      </w:pPr>
      <w:bookmarkStart w:id="4" w:name="_Toc213026648"/>
      <w:r>
        <w:t>3.2 Labour Market Impact</w:t>
      </w:r>
      <w:bookmarkEnd w:id="4"/>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technologies result in a high level of </w:t>
      </w:r>
      <w:proofErr w:type="spellStart"/>
      <w:r>
        <w:rPr>
          <w:rFonts w:ascii="Times New Roman" w:hAnsi="Times New Roman" w:cs="Times New Roman"/>
          <w:sz w:val="24"/>
          <w:szCs w:val="24"/>
        </w:rPr>
        <w:t>polarisation</w:t>
      </w:r>
      <w:proofErr w:type="spellEnd"/>
      <w:r>
        <w:rPr>
          <w:rFonts w:ascii="Times New Roman" w:hAnsi="Times New Roman" w:cs="Times New Roman"/>
          <w:sz w:val="24"/>
          <w:szCs w:val="24"/>
        </w:rPr>
        <w:t xml:space="preserve"> of skills, both creating the demand for high levels of digital skills or, at a more structural level, pushing out repetitive positions. The adoption of remote working technology has led to unprecedented borderless talent pools, and industry surveys indicate that, accurately, the vast majority of large employers have accelerated the speed of the digital workplace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after the pandemic (Deloitte, 2023). This democratic opportunity, however, subjects the high-quality global talent to harsh competition. At the same time, the datafication of work is also enabling the pervasive monitoring of the workforce through productivity analytics and algorithmic management, which raises important ethical issues of privacy and autonomy which HR has to deal with.</w:t>
      </w:r>
    </w:p>
    <w:p w:rsidR="00431B1F" w:rsidRDefault="00000000">
      <w:pPr>
        <w:pStyle w:val="Heading2"/>
      </w:pPr>
      <w:bookmarkStart w:id="5" w:name="_Toc213026649"/>
      <w:r>
        <w:t>3.3 HRM Implications</w:t>
      </w:r>
      <w:bookmarkEnd w:id="5"/>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HR should spearhead strategic reactions such as extensive reskilling initiatives, job redesign fundamentals and ethical AI governance frameworks. Armstrong (2021) points out that continuous learning is becoming a strategic imperative in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to achieve resilience. This introduces fresh responsibilities to HRM to control algorithmic decision-making, safeguard employee welfare, and secure performance analytics transparency, and now go beyond the conventional compliance functions of the HRM and become morally responsible custodians of technology in the workplace.</w:t>
      </w:r>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figure in Figure 1 indicates that the ratio of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that transitioned to using AI in at least one of their business operations increased by the percentage: 20% in 2017 and 72% in 2024, exhibiting the extent and rate of technological change in the global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markets (McKinsey &amp; Company, 2024).</w:t>
      </w:r>
    </w:p>
    <w:p w:rsidR="00431B1F" w:rsidRDefault="00000000">
      <w:pPr>
        <w:keepNext/>
        <w:spacing w:line="360" w:lineRule="auto"/>
      </w:pPr>
      <w:r>
        <w:rPr>
          <w:rFonts w:ascii="Times New Roman" w:hAnsi="Times New Roman" w:cs="Times New Roman"/>
          <w:noProof/>
          <w:sz w:val="24"/>
          <w:szCs w:val="24"/>
        </w:rPr>
        <w:drawing>
          <wp:inline distT="0" distB="0" distL="0" distR="0">
            <wp:extent cx="5943600" cy="4377055"/>
            <wp:effectExtent l="0" t="0" r="0" b="4445"/>
            <wp:docPr id="974197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97608" name="Picture 1"/>
                    <pic:cNvPicPr>
                      <a:picLocks noChangeAspect="1"/>
                    </pic:cNvPicPr>
                  </pic:nvPicPr>
                  <pic:blipFill>
                    <a:blip r:embed="rId8"/>
                    <a:stretch>
                      <a:fillRect/>
                    </a:stretch>
                  </pic:blipFill>
                  <pic:spPr>
                    <a:xfrm>
                      <a:off x="0" y="0"/>
                      <a:ext cx="5943600" cy="4377055"/>
                    </a:xfrm>
                    <a:prstGeom prst="rect">
                      <a:avLst/>
                    </a:prstGeom>
                  </pic:spPr>
                </pic:pic>
              </a:graphicData>
            </a:graphic>
          </wp:inline>
        </w:drawing>
      </w:r>
    </w:p>
    <w:p w:rsidR="00431B1F" w:rsidRDefault="00000000">
      <w:pPr>
        <w:pStyle w:val="Caption"/>
        <w:rPr>
          <w:rFonts w:ascii="Times New Roman" w:hAnsi="Times New Roman" w:cs="Times New Roman"/>
          <w:b/>
          <w:bCs/>
          <w:sz w:val="32"/>
          <w:szCs w:val="32"/>
        </w:rPr>
      </w:pPr>
      <w:bookmarkStart w:id="6" w:name="_Toc213023786"/>
      <w:r>
        <w:rPr>
          <w:b/>
          <w:bCs/>
          <w:sz w:val="22"/>
          <w:szCs w:val="22"/>
        </w:rPr>
        <w:t xml:space="preserve">Figure </w:t>
      </w:r>
      <w:r>
        <w:rPr>
          <w:b/>
          <w:bCs/>
          <w:sz w:val="22"/>
          <w:szCs w:val="22"/>
        </w:rPr>
        <w:fldChar w:fldCharType="begin"/>
      </w:r>
      <w:r>
        <w:rPr>
          <w:b/>
          <w:bCs/>
          <w:sz w:val="22"/>
          <w:szCs w:val="22"/>
        </w:rPr>
        <w:instrText xml:space="preserve"> SEQ Figure \* ARABIC </w:instrText>
      </w:r>
      <w:r>
        <w:rPr>
          <w:b/>
          <w:bCs/>
          <w:sz w:val="22"/>
          <w:szCs w:val="22"/>
        </w:rPr>
        <w:fldChar w:fldCharType="separate"/>
      </w:r>
      <w:r>
        <w:rPr>
          <w:b/>
          <w:bCs/>
          <w:sz w:val="22"/>
          <w:szCs w:val="22"/>
        </w:rPr>
        <w:t>1</w:t>
      </w:r>
      <w:r>
        <w:rPr>
          <w:b/>
          <w:bCs/>
          <w:sz w:val="22"/>
          <w:szCs w:val="22"/>
        </w:rPr>
        <w:fldChar w:fldCharType="end"/>
      </w:r>
      <w:r>
        <w:rPr>
          <w:b/>
          <w:bCs/>
          <w:sz w:val="22"/>
          <w:szCs w:val="22"/>
        </w:rPr>
        <w:t xml:space="preserve">: Global AI Adoption and Use of Generative AI (2017–2024), </w:t>
      </w:r>
      <w:r>
        <w:rPr>
          <w:rFonts w:ascii="Times New Roman" w:hAnsi="Times New Roman" w:cs="Times New Roman"/>
          <w:b/>
          <w:bCs/>
          <w:sz w:val="24"/>
          <w:szCs w:val="24"/>
        </w:rPr>
        <w:t>Source: McKinsey &amp; Company (2024),</w:t>
      </w:r>
      <w:bookmarkEnd w:id="6"/>
      <w:r>
        <w:rPr>
          <w:rFonts w:ascii="Times New Roman" w:hAnsi="Times New Roman" w:cs="Times New Roman"/>
          <w:sz w:val="24"/>
          <w:szCs w:val="24"/>
        </w:rPr>
        <w:t xml:space="preserve"> </w:t>
      </w:r>
    </w:p>
    <w:p w:rsidR="00431B1F" w:rsidRDefault="00000000">
      <w:pPr>
        <w:pStyle w:val="Heading2"/>
      </w:pPr>
      <w:bookmarkStart w:id="7" w:name="_Toc213026650"/>
      <w:r>
        <w:t>3.4 IHRM Implications</w:t>
      </w:r>
      <w:bookmarkEnd w:id="7"/>
    </w:p>
    <w:p w:rsidR="00431B1F"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In this environment, global talent sourcing would be necessary and complicated. </w:t>
      </w:r>
      <w:r>
        <w:rPr>
          <w:rFonts w:ascii="Times New Roman" w:hAnsi="Times New Roman" w:cs="Times New Roman"/>
          <w:sz w:val="24"/>
          <w:szCs w:val="24"/>
        </w:rPr>
        <w:t xml:space="preserve">IHRM must navigate intricate cross-border compliance requirements, data privacy regulations like GDPR, and develop new competencies in virtual team leadership across diverse cultures (Ulrich et al., 2017). The traditional model of long-term expatriate is being rapidly complemented by more flexible assignments in the form of short-term projects and fully virtual assignments, which require an increased level of agility in the design and implementation of IHRM policies. </w:t>
      </w:r>
    </w:p>
    <w:p w:rsidR="00431B1F" w:rsidRDefault="00000000">
      <w:pPr>
        <w:pStyle w:val="Caption"/>
        <w:rPr>
          <w:rFonts w:ascii="Times New Roman" w:hAnsi="Times New Roman" w:cs="Times New Roman"/>
          <w:b/>
          <w:bCs/>
          <w:sz w:val="22"/>
          <w:szCs w:val="22"/>
        </w:rPr>
      </w:pPr>
      <w:bookmarkStart w:id="8" w:name="_Toc213044040"/>
      <w:r>
        <w:rPr>
          <w:rFonts w:ascii="Times New Roman" w:hAnsi="Times New Roman" w:cs="Times New Roman"/>
          <w:b/>
          <w:bCs/>
          <w:sz w:val="22"/>
          <w:szCs w:val="22"/>
        </w:rPr>
        <w:lastRenderedPageBreak/>
        <w:t xml:space="preserve">Table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SEQ Table \* ARABIC </w:instrText>
      </w:r>
      <w:r>
        <w:rPr>
          <w:rFonts w:ascii="Times New Roman" w:hAnsi="Times New Roman" w:cs="Times New Roman"/>
          <w:b/>
          <w:bCs/>
          <w:sz w:val="22"/>
          <w:szCs w:val="22"/>
        </w:rPr>
        <w:fldChar w:fldCharType="separate"/>
      </w:r>
      <w:r w:rsidR="00A50F76">
        <w:rPr>
          <w:rFonts w:ascii="Times New Roman" w:hAnsi="Times New Roman" w:cs="Times New Roman"/>
          <w:b/>
          <w:bCs/>
          <w:noProof/>
          <w:sz w:val="22"/>
          <w:szCs w:val="22"/>
        </w:rPr>
        <w:t>1</w:t>
      </w:r>
      <w:r>
        <w:rPr>
          <w:rFonts w:ascii="Times New Roman" w:hAnsi="Times New Roman" w:cs="Times New Roman"/>
          <w:b/>
          <w:bCs/>
          <w:sz w:val="22"/>
          <w:szCs w:val="22"/>
        </w:rPr>
        <w:fldChar w:fldCharType="end"/>
      </w:r>
      <w:r>
        <w:rPr>
          <w:rFonts w:ascii="Times New Roman" w:hAnsi="Times New Roman" w:cs="Times New Roman"/>
          <w:b/>
          <w:bCs/>
          <w:sz w:val="22"/>
          <w:szCs w:val="22"/>
        </w:rPr>
        <w:t>: Implications of Key Technological Trends for HRM and IHRM</w:t>
      </w:r>
      <w:bookmarkEnd w:id="8"/>
    </w:p>
    <w:tbl>
      <w:tblPr>
        <w:tblStyle w:val="GridTable5Dark-Accent11"/>
        <w:tblW w:w="0" w:type="auto"/>
        <w:tblLook w:val="04A0" w:firstRow="1" w:lastRow="0" w:firstColumn="1" w:lastColumn="0" w:noHBand="0" w:noVBand="1"/>
      </w:tblPr>
      <w:tblGrid>
        <w:gridCol w:w="2263"/>
        <w:gridCol w:w="3354"/>
        <w:gridCol w:w="3733"/>
      </w:tblGrid>
      <w:tr w:rsidR="00431B1F" w:rsidTr="0043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Technological Trend</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Implication for HRM</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Implication for IHRM</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AI &amp; Automation</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Job redesign, reskilling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ethical AI governance, managing displacement anxiety.</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Global standards of algorithmic management, across jurisdictions managing displacement, ethical global implementation.</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Digital Platforms &amp; Gig Economy</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Building new models of engagement for non-standard workers, incorporating gig talent, ensuring fair pay.</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Understanding international contractor laws, creating a global talent marketplace, managing cross-border gig worker rights.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Remote Collaboration Tech</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Designing hybrid working policies, focusing on outcomes-based performance management, and preventing digital presenteeism.</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Managing teams across time zones, ensuring inclusive collaboration, maintaining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culture globally, addressing digital exhaustion.</w:t>
            </w:r>
          </w:p>
        </w:tc>
      </w:tr>
    </w:tbl>
    <w:p w:rsidR="00431B1F" w:rsidRDefault="00000000">
      <w:pPr>
        <w:spacing w:line="360" w:lineRule="auto"/>
        <w:rPr>
          <w:rFonts w:ascii="Times New Roman" w:hAnsi="Times New Roman" w:cs="Times New Roman"/>
        </w:rPr>
      </w:pPr>
      <w:r>
        <w:rPr>
          <w:rFonts w:ascii="Times New Roman" w:hAnsi="Times New Roman" w:cs="Times New Roman"/>
          <w:i/>
          <w:iCs/>
        </w:rPr>
        <w:t>Source: Compiled from Cappelli &amp; Keller (2020); Ulrich et al. (2017); Deloitte (2023); and industry analysis</w:t>
      </w:r>
    </w:p>
    <w:p w:rsidR="00431B1F" w:rsidRDefault="00000000">
      <w:pPr>
        <w:spacing w:line="360" w:lineRule="auto"/>
        <w:rPr>
          <w:rFonts w:ascii="Times New Roman" w:hAnsi="Times New Roman" w:cs="Times New Roman"/>
          <w:sz w:val="24"/>
          <w:szCs w:val="24"/>
        </w:rPr>
      </w:pPr>
      <w:bookmarkStart w:id="9" w:name="_Toc213026651"/>
      <w:r>
        <w:rPr>
          <w:rStyle w:val="Heading2Char"/>
        </w:rPr>
        <w:t>3.5 Implementation Challenges and Ethical Considerations</w:t>
      </w:r>
      <w:bookmarkEnd w:id="9"/>
      <w:r>
        <w:rPr>
          <w:rFonts w:ascii="Times New Roman" w:hAnsi="Times New Roman" w:cs="Times New Roman"/>
          <w:sz w:val="24"/>
          <w:szCs w:val="24"/>
        </w:rPr>
        <w:br/>
        <w:t xml:space="preserve">The transition toward technology-driven HR practices presents significant implementation barriers that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must navigate. Research on digital transformation consistently shows that most large-scale technology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underperform primarily due to </w:t>
      </w:r>
      <w:proofErr w:type="spellStart"/>
      <w:r>
        <w:rPr>
          <w:rFonts w:ascii="Times New Roman" w:hAnsi="Times New Roman" w:cs="Times New Roman"/>
          <w:sz w:val="24"/>
          <w:szCs w:val="24"/>
        </w:rPr>
        <w:t>behavioural</w:t>
      </w:r>
      <w:proofErr w:type="spellEnd"/>
      <w:r>
        <w:rPr>
          <w:rFonts w:ascii="Times New Roman" w:hAnsi="Times New Roman" w:cs="Times New Roman"/>
          <w:sz w:val="24"/>
          <w:szCs w:val="24"/>
        </w:rPr>
        <w:t xml:space="preserve"> and cultural resistance rather than technical failure (Kane et al., 2020). This highlights the fact that adopting AI and analytics in HR is not only a system initiative, but also a leadership change issue. In addition to ethical issues regarding surveillance,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have practical issues about the efficiency versus employee trust. Although AI in hiring is said to bring about increased objectivity, in many cases, it recreates the existing biases, as long as the training data is based on historical disparities. Moreover, collaboration technologies have been rapidly deployed to such an extent that there is a phenomenon of digital fatigue, which is reported by the Microsoft Work Trend Index at approximately 250% more hours of weekly meetings, which hurts deep work and </w:t>
      </w:r>
      <w:r>
        <w:rPr>
          <w:rFonts w:ascii="Times New Roman" w:hAnsi="Times New Roman" w:cs="Times New Roman"/>
          <w:sz w:val="24"/>
          <w:szCs w:val="24"/>
        </w:rPr>
        <w:lastRenderedPageBreak/>
        <w:t xml:space="preserve">innovation capacity (Microsoft, 2023). Such issues highlight that adoption of technology needs advanced change leadership, digital instruments add value rather than eliminating human potential and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efficiency.</w:t>
      </w:r>
    </w:p>
    <w:p w:rsidR="00431B1F" w:rsidRDefault="00000000">
      <w:pPr>
        <w:pStyle w:val="Heading2"/>
      </w:pPr>
      <w:bookmarkStart w:id="10" w:name="_Toc213026652"/>
      <w:r>
        <w:t>3.6 Future Trends and Strategic Preparation</w:t>
      </w:r>
      <w:bookmarkEnd w:id="10"/>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future of work will be driven by the introduction of new technologies into the sphere, such as AI, quantum computers, and immersive reality. HR professionals should also consider the future consequences of these disruptions, and the solution is constant environmental scanning and strategic planning of the workforce. These include coming up with policies which are flexible and can accommodate technological change, forming partnerships with technology suppliers and establishing innovation laboratories to test new tools. Those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that actively create digital literacy and agile working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xml:space="preserve"> will be in a better position to </w:t>
      </w:r>
      <w:proofErr w:type="spellStart"/>
      <w:r>
        <w:rPr>
          <w:rFonts w:ascii="Times New Roman" w:hAnsi="Times New Roman" w:cs="Times New Roman"/>
          <w:sz w:val="24"/>
          <w:szCs w:val="24"/>
        </w:rPr>
        <w:t>capitalise</w:t>
      </w:r>
      <w:proofErr w:type="spellEnd"/>
      <w:r>
        <w:rPr>
          <w:rFonts w:ascii="Times New Roman" w:hAnsi="Times New Roman" w:cs="Times New Roman"/>
          <w:sz w:val="24"/>
          <w:szCs w:val="24"/>
        </w:rPr>
        <w:t xml:space="preserve"> on the emerging technology and uphold faith in ethical standards and employee wellbeing.</w:t>
      </w:r>
    </w:p>
    <w:p w:rsidR="00431B1F" w:rsidRDefault="00000000">
      <w:pPr>
        <w:pStyle w:val="Heading1"/>
      </w:pPr>
      <w:bookmarkStart w:id="11" w:name="_Toc213026653"/>
      <w:r>
        <w:t>4.0 Demographic and Geopolitical Influences on Employment</w:t>
      </w:r>
      <w:bookmarkEnd w:id="11"/>
    </w:p>
    <w:p w:rsidR="00431B1F" w:rsidRDefault="00000000">
      <w:pPr>
        <w:pStyle w:val="Heading2"/>
      </w:pPr>
      <w:bookmarkStart w:id="12" w:name="_Toc213026654"/>
      <w:r>
        <w:t>4.1 Demographic Shifts</w:t>
      </w:r>
      <w:bookmarkEnd w:id="12"/>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An ageing population in developed economies is causing structural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shortages, and the OECD predicts that in most developed economies, the population share of those over 65 will increase to historic highs by 2030, putting strain on pension systems and reducing the working-age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supply (OECD, 2023). At the same time, the concept of workforce diversity is growing in a variety of aspects such as ethnicity, gender identity and neurodiversity. According to the recent world surveys, about 40% of workers are thinking about quitting their jobs in the next three to six months because of burnout and not being aligned with their values (McKinsey, 2023). Multi-generational workforces are new and need distinct engagement strategies, whereas diversity, equity and inclusion are no longer matters of compliance, but strategic employer branding and retention (Bratton and Gold, 2017). </w:t>
      </w:r>
    </w:p>
    <w:p w:rsidR="00431B1F" w:rsidRDefault="00000000">
      <w:pPr>
        <w:pStyle w:val="Heading2"/>
      </w:pPr>
      <w:bookmarkStart w:id="13" w:name="_Toc213026655"/>
      <w:r>
        <w:lastRenderedPageBreak/>
        <w:t>4.2 Geopolitical Forces</w:t>
      </w:r>
      <w:bookmarkEnd w:id="13"/>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global talent flows are, to a significant extent, being disrupted by political turmoil, trade conflicts and increasingly restrictive immigration standards. The efforts in the supply chain reshoring and nearshoring imply the borderlands redeployment of workforce quickly and challenge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nimbleness. These considerations prompt the need to have advanced geopolitical risk determination logically instilled into strategic workforce planning to transform HR into an anticipatory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xml:space="preserve"> instead of a reactive one. These geopolitical pressures can be systematically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using a PESTLE lens, as shown in Appendix A, where political risk, regulatory fragmentation, social expectations for inclusion, and technological dependency all converge to make workforce planning more volatile than in previous decades.</w:t>
      </w:r>
    </w:p>
    <w:p w:rsidR="00431B1F" w:rsidRDefault="00000000">
      <w:pPr>
        <w:pStyle w:val="Heading2"/>
      </w:pPr>
      <w:bookmarkStart w:id="14" w:name="_Toc213026656"/>
      <w:r>
        <w:t>4.3 HRM/IHRM Challenges</w:t>
      </w:r>
      <w:bookmarkEnd w:id="14"/>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HR professionals have to deal with a greater level of complex workforce planning, multi-jurisdictional compliance, and talent retention strategies that have never been seen before. Gen Z expectations around meaningful work, flexibility and support for mental health push even more pressure to evolve toward getting beyond traditional HR practices. For IHRM, geopolitical volatility demands strong duty-of-care models for employees working in politically unstable territories and fast scenario planning for talent redeployment, which makes HR the critical risk management function rather than a supportive service (Boxall, Purcell &amp; Wright, 2022). This change reflects Marchington and Wilkinson's (2020) focus on HRM as a strategic activity rather than a </w:t>
      </w:r>
      <w:proofErr w:type="spellStart"/>
      <w:r>
        <w:rPr>
          <w:rFonts w:ascii="Times New Roman" w:hAnsi="Times New Roman" w:cs="Times New Roman"/>
          <w:sz w:val="24"/>
          <w:szCs w:val="24"/>
        </w:rPr>
        <w:t>centralised</w:t>
      </w:r>
      <w:proofErr w:type="spellEnd"/>
      <w:r>
        <w:rPr>
          <w:rFonts w:ascii="Times New Roman" w:hAnsi="Times New Roman" w:cs="Times New Roman"/>
          <w:sz w:val="24"/>
          <w:szCs w:val="24"/>
        </w:rPr>
        <w:t xml:space="preserve"> administrative activity embedded in daily management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These pressures in the region coincide with other trends of emerging work risk in the latest year on the future of jobs (World Economic Forum, 2024):</w:t>
      </w:r>
    </w:p>
    <w:p w:rsidR="00431B1F" w:rsidRDefault="00000000">
      <w:pPr>
        <w:pStyle w:val="Caption"/>
        <w:rPr>
          <w:rFonts w:ascii="Times New Roman" w:hAnsi="Times New Roman" w:cs="Times New Roman"/>
          <w:b/>
          <w:bCs/>
          <w:sz w:val="22"/>
          <w:szCs w:val="22"/>
        </w:rPr>
      </w:pPr>
      <w:bookmarkStart w:id="15" w:name="_Toc213044041"/>
      <w:r>
        <w:rPr>
          <w:rFonts w:ascii="Times New Roman" w:hAnsi="Times New Roman" w:cs="Times New Roman"/>
          <w:b/>
          <w:bCs/>
          <w:sz w:val="22"/>
          <w:szCs w:val="22"/>
        </w:rPr>
        <w:t xml:space="preserve">Table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SEQ Table \* ARABIC </w:instrText>
      </w:r>
      <w:r>
        <w:rPr>
          <w:rFonts w:ascii="Times New Roman" w:hAnsi="Times New Roman" w:cs="Times New Roman"/>
          <w:b/>
          <w:bCs/>
          <w:sz w:val="22"/>
          <w:szCs w:val="22"/>
        </w:rPr>
        <w:fldChar w:fldCharType="separate"/>
      </w:r>
      <w:r w:rsidR="00A50F76">
        <w:rPr>
          <w:rFonts w:ascii="Times New Roman" w:hAnsi="Times New Roman" w:cs="Times New Roman"/>
          <w:b/>
          <w:bCs/>
          <w:noProof/>
          <w:sz w:val="22"/>
          <w:szCs w:val="22"/>
        </w:rPr>
        <w:t>2</w:t>
      </w:r>
      <w:r>
        <w:rPr>
          <w:rFonts w:ascii="Times New Roman" w:hAnsi="Times New Roman" w:cs="Times New Roman"/>
          <w:b/>
          <w:bCs/>
          <w:sz w:val="22"/>
          <w:szCs w:val="22"/>
        </w:rPr>
        <w:fldChar w:fldCharType="end"/>
      </w:r>
      <w:r>
        <w:rPr>
          <w:rFonts w:ascii="Times New Roman" w:hAnsi="Times New Roman" w:cs="Times New Roman"/>
          <w:b/>
          <w:bCs/>
          <w:sz w:val="22"/>
          <w:szCs w:val="22"/>
        </w:rPr>
        <w:t>: Regional Workforce Challenges and Strategic HR Responses</w:t>
      </w:r>
      <w:bookmarkEnd w:id="15"/>
    </w:p>
    <w:tbl>
      <w:tblPr>
        <w:tblStyle w:val="GridTable5Dark-Accent11"/>
        <w:tblW w:w="0" w:type="auto"/>
        <w:tblLook w:val="04A0" w:firstRow="1" w:lastRow="0" w:firstColumn="1" w:lastColumn="0" w:noHBand="0" w:noVBand="1"/>
      </w:tblPr>
      <w:tblGrid>
        <w:gridCol w:w="1199"/>
        <w:gridCol w:w="4460"/>
        <w:gridCol w:w="3691"/>
      </w:tblGrid>
      <w:tr w:rsidR="00431B1F" w:rsidTr="0043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Region</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Key Demographic/Geopolitical Challenges</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Strategic HR Responses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UK &amp; Europe</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Brexit immigration barriers, ageing workforce, skills mobility restrictions</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Local talent pipeline development, complex visa management, </w:t>
            </w:r>
            <w:r>
              <w:rPr>
                <w:rFonts w:ascii="Times New Roman" w:hAnsi="Times New Roman" w:cs="Times New Roman"/>
                <w:sz w:val="24"/>
                <w:szCs w:val="24"/>
              </w:rPr>
              <w:lastRenderedPageBreak/>
              <w:t>extended retirement policies, and regional skills partnerships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lastRenderedPageBreak/>
              <w:t>Asia-Pacific</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Extreme ageing populations (Japan, S. Korea), rapid digital transformation, cultural diversity complexities</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Automation integration strategies, cross-cultural leadership development, digital literacy programs, and intergenerational knowledge transfer</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North America</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Remote work regulation fragmentation, immigration policy volatility, and generational diversity tensions</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Multi-state compliance frameworks, flexible work arrangement policies, </w:t>
            </w:r>
            <w:proofErr w:type="spellStart"/>
            <w:r>
              <w:rPr>
                <w:rFonts w:ascii="Times New Roman" w:hAnsi="Times New Roman" w:cs="Times New Roman"/>
                <w:sz w:val="24"/>
                <w:szCs w:val="24"/>
              </w:rPr>
              <w:t>customised</w:t>
            </w:r>
            <w:proofErr w:type="spellEnd"/>
            <w:r>
              <w:rPr>
                <w:rFonts w:ascii="Times New Roman" w:hAnsi="Times New Roman" w:cs="Times New Roman"/>
                <w:sz w:val="24"/>
                <w:szCs w:val="24"/>
              </w:rPr>
              <w:t xml:space="preserve"> benefits packages, and inclusive leadership training</w:t>
            </w:r>
          </w:p>
        </w:tc>
      </w:tr>
    </w:tbl>
    <w:p w:rsidR="00431B1F" w:rsidRDefault="00000000">
      <w:pPr>
        <w:spacing w:line="360" w:lineRule="auto"/>
        <w:rPr>
          <w:rFonts w:ascii="Times New Roman" w:hAnsi="Times New Roman" w:cs="Times New Roman"/>
          <w:i/>
          <w:iCs/>
        </w:rPr>
      </w:pPr>
      <w:r>
        <w:rPr>
          <w:rFonts w:ascii="Times New Roman" w:hAnsi="Times New Roman" w:cs="Times New Roman"/>
          <w:i/>
          <w:iCs/>
        </w:rPr>
        <w:t>Source: Regional analysis based on data statistically compiled by the OECD (2023) on demographic data and the World Economic Forum (2024) on the employment trends in the region.</w:t>
      </w:r>
    </w:p>
    <w:p w:rsidR="00431B1F" w:rsidRDefault="00000000">
      <w:pPr>
        <w:pStyle w:val="Heading1"/>
      </w:pPr>
      <w:bookmarkStart w:id="16" w:name="_Toc213026657"/>
      <w:r>
        <w:t>5.0 Strategic HRM Solutions for Skills Gaps</w:t>
      </w:r>
      <w:bookmarkEnd w:id="16"/>
      <w:r>
        <w:t> </w:t>
      </w:r>
    </w:p>
    <w:p w:rsidR="00431B1F" w:rsidRDefault="00000000">
      <w:pPr>
        <w:pStyle w:val="Heading2"/>
      </w:pPr>
      <w:bookmarkStart w:id="17" w:name="_Toc213026658"/>
      <w:r>
        <w:t>5.1 The Shortage Crisis</w:t>
      </w:r>
      <w:bookmarkEnd w:id="17"/>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Technology is afflicted by rapidly changing digital skill demands; healthcare is plagued by burnout-induced attrition abetted by demographic demands; and hospitality regards itself as a chronically high-turnover industry where employees perceive their work as low-skilled and low-paying. The central strategic risk that transcends all three sectors is the failure of innovation and service delivery: vacancies and churn have a direct impact on service quality, regulatory compliance, and customer experience and ultimately,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viability.</w:t>
      </w:r>
    </w:p>
    <w:p w:rsidR="00431B1F" w:rsidRDefault="00000000">
      <w:pPr>
        <w:keepNext/>
        <w:spacing w:line="360" w:lineRule="auto"/>
      </w:pPr>
      <w:r>
        <w:rPr>
          <w:rFonts w:ascii="Times New Roman" w:hAnsi="Times New Roman" w:cs="Times New Roman"/>
          <w:noProof/>
          <w:sz w:val="24"/>
          <w:szCs w:val="24"/>
        </w:rPr>
        <w:lastRenderedPageBreak/>
        <w:drawing>
          <wp:inline distT="0" distB="0" distL="0" distR="0">
            <wp:extent cx="5943600" cy="3302000"/>
            <wp:effectExtent l="0" t="0" r="0" b="0"/>
            <wp:docPr id="1648764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64530"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943600" cy="3302000"/>
                    </a:xfrm>
                    <a:prstGeom prst="rect">
                      <a:avLst/>
                    </a:prstGeom>
                  </pic:spPr>
                </pic:pic>
              </a:graphicData>
            </a:graphic>
          </wp:inline>
        </w:drawing>
      </w:r>
    </w:p>
    <w:p w:rsidR="00431B1F" w:rsidRDefault="00000000">
      <w:pPr>
        <w:pStyle w:val="Caption"/>
        <w:rPr>
          <w:rFonts w:ascii="Times New Roman" w:hAnsi="Times New Roman" w:cs="Times New Roman"/>
          <w:b/>
          <w:bCs/>
          <w:sz w:val="32"/>
          <w:szCs w:val="32"/>
        </w:rPr>
      </w:pPr>
      <w:bookmarkStart w:id="18" w:name="_Toc213023787"/>
      <w:r>
        <w:rPr>
          <w:rFonts w:ascii="Times New Roman" w:hAnsi="Times New Roman" w:cs="Times New Roman"/>
          <w:b/>
          <w:bCs/>
          <w:sz w:val="22"/>
          <w:szCs w:val="22"/>
        </w:rPr>
        <w:t xml:space="preserve">Figure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SEQ Figure \* ARABIC </w:instrText>
      </w:r>
      <w:r>
        <w:rPr>
          <w:rFonts w:ascii="Times New Roman" w:hAnsi="Times New Roman" w:cs="Times New Roman"/>
          <w:b/>
          <w:bCs/>
          <w:sz w:val="22"/>
          <w:szCs w:val="22"/>
        </w:rPr>
        <w:fldChar w:fldCharType="separate"/>
      </w:r>
      <w:r>
        <w:rPr>
          <w:rFonts w:ascii="Times New Roman" w:hAnsi="Times New Roman" w:cs="Times New Roman"/>
          <w:b/>
          <w:bCs/>
          <w:sz w:val="22"/>
          <w:szCs w:val="22"/>
        </w:rPr>
        <w:t>2</w:t>
      </w:r>
      <w:r>
        <w:rPr>
          <w:rFonts w:ascii="Times New Roman" w:hAnsi="Times New Roman" w:cs="Times New Roman"/>
          <w:b/>
          <w:bCs/>
          <w:sz w:val="22"/>
          <w:szCs w:val="22"/>
        </w:rPr>
        <w:fldChar w:fldCharType="end"/>
      </w:r>
      <w:r>
        <w:rPr>
          <w:rFonts w:ascii="Times New Roman" w:hAnsi="Times New Roman" w:cs="Times New Roman"/>
          <w:b/>
          <w:bCs/>
          <w:sz w:val="22"/>
          <w:szCs w:val="22"/>
        </w:rPr>
        <w:t>: Global Talent Shortage Over Time (2006–2025), Source: ManpowerGroup (2025)</w:t>
      </w:r>
      <w:bookmarkEnd w:id="18"/>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As shown in Figure 2, the global talent shortage has escalated from 36% in 2014 to 74% in 2025, which demonstrates a systemic and continuous shortage of skilled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across the world (ManpowerGroup, 2025).</w:t>
      </w:r>
    </w:p>
    <w:p w:rsidR="00431B1F" w:rsidRDefault="00000000">
      <w:pPr>
        <w:pStyle w:val="Heading2"/>
      </w:pPr>
      <w:bookmarkStart w:id="19" w:name="_Toc213026659"/>
      <w:r>
        <w:t>5.2 Strategic HRM Responses</w:t>
      </w:r>
      <w:bookmarkEnd w:id="19"/>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foundations are building strategic talent pipelines and attractive employer branding (Pilbeam &amp; Corbridge, 2019). However, in order to really address scarcity, internal development and upskilling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should be seen as strategic investments in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capability (Armstrong, 2021) to develop home-grown talent that is well versed with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culture and processes.</w:t>
      </w:r>
    </w:p>
    <w:p w:rsidR="00431B1F" w:rsidRDefault="00000000">
      <w:pPr>
        <w:pStyle w:val="Heading2"/>
      </w:pPr>
      <w:bookmarkStart w:id="20" w:name="_Toc213026660"/>
      <w:r>
        <w:t>5.3 IHRM &amp; Work Redesign</w:t>
      </w:r>
      <w:bookmarkEnd w:id="20"/>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Ethical talent sourcing from abroad should be carefully applied so as not to create negative brain drain effects in developing economies. More crucially, work redesign, the breaking down of standard jobs into tasks and projects, presents creative structural solutions to talent shortage </w:t>
      </w:r>
      <w:r>
        <w:rPr>
          <w:rFonts w:ascii="Times New Roman" w:hAnsi="Times New Roman" w:cs="Times New Roman"/>
          <w:sz w:val="24"/>
          <w:szCs w:val="24"/>
        </w:rPr>
        <w:lastRenderedPageBreak/>
        <w:t>(</w:t>
      </w:r>
      <w:proofErr w:type="spellStart"/>
      <w:r>
        <w:rPr>
          <w:rFonts w:ascii="Times New Roman" w:hAnsi="Times New Roman" w:cs="Times New Roman"/>
          <w:sz w:val="24"/>
          <w:szCs w:val="24"/>
        </w:rPr>
        <w:t>Jesuthasan</w:t>
      </w:r>
      <w:proofErr w:type="spellEnd"/>
      <w:r>
        <w:rPr>
          <w:rFonts w:ascii="Times New Roman" w:hAnsi="Times New Roman" w:cs="Times New Roman"/>
          <w:sz w:val="24"/>
          <w:szCs w:val="24"/>
        </w:rPr>
        <w:t xml:space="preserve"> &amp; Boudreau, 2022). These strategic interventions have a direct bearing on the recommendations for evidence-based practice, which are brought to bear at Section 7.</w:t>
      </w:r>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These interventions have to be accompanied by clear success measures. For example, internal mobility rates, healthcare-associated burnout turnover, and 90-day retention in hospitality are leading indicators of whether strategic HR interventions are actually bridging the skills gap instead of merely shuffling vacancies.</w:t>
      </w:r>
    </w:p>
    <w:p w:rsidR="00431B1F" w:rsidRDefault="00000000">
      <w:pPr>
        <w:pStyle w:val="Caption"/>
        <w:rPr>
          <w:rFonts w:ascii="Times New Roman" w:hAnsi="Times New Roman" w:cs="Times New Roman"/>
          <w:b/>
          <w:bCs/>
          <w:sz w:val="24"/>
          <w:szCs w:val="24"/>
        </w:rPr>
      </w:pPr>
      <w:bookmarkStart w:id="21" w:name="_Toc213044042"/>
      <w:r>
        <w:rPr>
          <w:rFonts w:ascii="Times New Roman" w:hAnsi="Times New Roman" w:cs="Times New Roman"/>
          <w:b/>
          <w:bCs/>
          <w:sz w:val="24"/>
          <w:szCs w:val="24"/>
        </w:rPr>
        <w:t xml:space="preserve">Table </w:t>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SEQ Table \* ARABIC </w:instrText>
      </w:r>
      <w:r>
        <w:rPr>
          <w:rFonts w:ascii="Times New Roman" w:hAnsi="Times New Roman" w:cs="Times New Roman"/>
          <w:b/>
          <w:bCs/>
          <w:sz w:val="24"/>
          <w:szCs w:val="24"/>
        </w:rPr>
        <w:fldChar w:fldCharType="separate"/>
      </w:r>
      <w:r w:rsidR="00A50F76">
        <w:rPr>
          <w:rFonts w:ascii="Times New Roman" w:hAnsi="Times New Roman" w:cs="Times New Roman"/>
          <w:b/>
          <w:bCs/>
          <w:noProof/>
          <w:sz w:val="24"/>
          <w:szCs w:val="24"/>
        </w:rPr>
        <w:t>3</w:t>
      </w:r>
      <w:r>
        <w:rPr>
          <w:rFonts w:ascii="Times New Roman" w:hAnsi="Times New Roman" w:cs="Times New Roman"/>
          <w:b/>
          <w:bCs/>
          <w:sz w:val="24"/>
          <w:szCs w:val="24"/>
        </w:rPr>
        <w:fldChar w:fldCharType="end"/>
      </w:r>
      <w:r>
        <w:rPr>
          <w:rFonts w:ascii="Times New Roman" w:hAnsi="Times New Roman" w:cs="Times New Roman"/>
          <w:b/>
          <w:bCs/>
          <w:sz w:val="24"/>
          <w:szCs w:val="24"/>
        </w:rPr>
        <w:t>: Strategic HRM Responses to Sector-Specific Skills Shortages</w:t>
      </w:r>
      <w:bookmarkEnd w:id="21"/>
    </w:p>
    <w:tbl>
      <w:tblPr>
        <w:tblStyle w:val="GridTable5Dark-Accent11"/>
        <w:tblW w:w="0" w:type="auto"/>
        <w:tblLook w:val="04A0" w:firstRow="1" w:lastRow="0" w:firstColumn="1" w:lastColumn="0" w:noHBand="0" w:noVBand="1"/>
      </w:tblPr>
      <w:tblGrid>
        <w:gridCol w:w="1381"/>
        <w:gridCol w:w="3001"/>
        <w:gridCol w:w="4968"/>
      </w:tblGrid>
      <w:tr w:rsidR="00431B1F" w:rsidTr="0043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Sector</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Nature of Shortage</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Strategic HRM Response</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Technology</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Rapidly evolving digital skills (AI, Cybersecurity, Data Science).</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Internal "tech academies," partnerships with universities, promoting STEM outreach, leveraging global remote talent, and creating innovation career pathways.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Healthcare</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Shortage of qualified professionals (nurses, GPs), high burnout, and physical scarcity.</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Sponsored training and education, well-being and retention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international recruitment (with ethical safeguards), and role redesign using AI for administrative tasks.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Hospitality</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High turnover, perception of low-skilled, low-pay work, and seasonal vulnerability.</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Revamping EVP to highlight flexibility and career growth, improving working conditions and job security, implementing profit-sharing schemes, and creating cross-training opportunities.</w:t>
            </w:r>
          </w:p>
        </w:tc>
      </w:tr>
    </w:tbl>
    <w:p w:rsidR="00431B1F" w:rsidRDefault="00000000">
      <w:pPr>
        <w:spacing w:line="360" w:lineRule="auto"/>
        <w:rPr>
          <w:rFonts w:ascii="Times New Roman" w:hAnsi="Times New Roman" w:cs="Times New Roman"/>
          <w:sz w:val="24"/>
          <w:szCs w:val="24"/>
        </w:rPr>
      </w:pPr>
      <w:r>
        <w:rPr>
          <w:rFonts w:ascii="Times New Roman" w:hAnsi="Times New Roman" w:cs="Times New Roman"/>
          <w:i/>
          <w:iCs/>
          <w:sz w:val="24"/>
          <w:szCs w:val="24"/>
        </w:rPr>
        <w:t xml:space="preserve">Source: Analysis based on Pilbeam &amp; Corbridge (2019); Armstrong (2021); </w:t>
      </w:r>
      <w:proofErr w:type="spellStart"/>
      <w:r>
        <w:rPr>
          <w:rFonts w:ascii="Times New Roman" w:hAnsi="Times New Roman" w:cs="Times New Roman"/>
          <w:i/>
          <w:iCs/>
          <w:sz w:val="24"/>
          <w:szCs w:val="24"/>
        </w:rPr>
        <w:t>Jesuthasan</w:t>
      </w:r>
      <w:proofErr w:type="spellEnd"/>
      <w:r>
        <w:rPr>
          <w:rFonts w:ascii="Times New Roman" w:hAnsi="Times New Roman" w:cs="Times New Roman"/>
          <w:i/>
          <w:iCs/>
          <w:sz w:val="24"/>
          <w:szCs w:val="24"/>
        </w:rPr>
        <w:t xml:space="preserve"> &amp; Boudreau (2022); and sector workforce data.</w:t>
      </w:r>
    </w:p>
    <w:p w:rsidR="00431B1F" w:rsidRDefault="00000000">
      <w:pPr>
        <w:pStyle w:val="Heading2"/>
      </w:pPr>
      <w:bookmarkStart w:id="22" w:name="_Toc213026661"/>
      <w:r>
        <w:t>5.4 Implementation and Measurement Framework</w:t>
      </w:r>
      <w:bookmarkEnd w:id="22"/>
      <w:r>
        <w:t xml:space="preserve"> </w:t>
      </w:r>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successful implementation of strategic HRM solutions requires a structured approach to change management and rigorous measurement of return on investment. The following framework outlines the phased approach for implementation and key metrics for evaluating success:</w:t>
      </w:r>
    </w:p>
    <w:p w:rsidR="00431B1F" w:rsidRDefault="00000000">
      <w:pPr>
        <w:pStyle w:val="Caption"/>
        <w:rPr>
          <w:rFonts w:ascii="Times New Roman" w:hAnsi="Times New Roman" w:cs="Times New Roman"/>
          <w:b/>
          <w:bCs/>
          <w:sz w:val="22"/>
          <w:szCs w:val="22"/>
        </w:rPr>
      </w:pPr>
      <w:bookmarkStart w:id="23" w:name="_Toc213044043"/>
      <w:r>
        <w:rPr>
          <w:rFonts w:ascii="Times New Roman" w:hAnsi="Times New Roman" w:cs="Times New Roman"/>
          <w:b/>
          <w:bCs/>
          <w:sz w:val="22"/>
          <w:szCs w:val="22"/>
        </w:rPr>
        <w:lastRenderedPageBreak/>
        <w:t xml:space="preserve">Table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SEQ Table \* ARABIC </w:instrText>
      </w:r>
      <w:r>
        <w:rPr>
          <w:rFonts w:ascii="Times New Roman" w:hAnsi="Times New Roman" w:cs="Times New Roman"/>
          <w:b/>
          <w:bCs/>
          <w:sz w:val="22"/>
          <w:szCs w:val="22"/>
        </w:rPr>
        <w:fldChar w:fldCharType="separate"/>
      </w:r>
      <w:r w:rsidR="00A50F76">
        <w:rPr>
          <w:rFonts w:ascii="Times New Roman" w:hAnsi="Times New Roman" w:cs="Times New Roman"/>
          <w:b/>
          <w:bCs/>
          <w:noProof/>
          <w:sz w:val="22"/>
          <w:szCs w:val="22"/>
        </w:rPr>
        <w:t>4</w:t>
      </w:r>
      <w:r>
        <w:rPr>
          <w:rFonts w:ascii="Times New Roman" w:hAnsi="Times New Roman" w:cs="Times New Roman"/>
          <w:b/>
          <w:bCs/>
          <w:sz w:val="22"/>
          <w:szCs w:val="22"/>
        </w:rPr>
        <w:fldChar w:fldCharType="end"/>
      </w:r>
      <w:r>
        <w:rPr>
          <w:rFonts w:ascii="Times New Roman" w:hAnsi="Times New Roman" w:cs="Times New Roman"/>
          <w:b/>
          <w:bCs/>
          <w:sz w:val="22"/>
          <w:szCs w:val="22"/>
        </w:rPr>
        <w:t>: HR Implementation Framework and Success Measurement</w:t>
      </w:r>
      <w:bookmarkEnd w:id="23"/>
    </w:p>
    <w:tbl>
      <w:tblPr>
        <w:tblStyle w:val="GridTable5Dark-Accent11"/>
        <w:tblW w:w="0" w:type="auto"/>
        <w:tblLook w:val="04A0" w:firstRow="1" w:lastRow="0" w:firstColumn="1" w:lastColumn="0" w:noHBand="0" w:noVBand="1"/>
      </w:tblPr>
      <w:tblGrid>
        <w:gridCol w:w="1976"/>
        <w:gridCol w:w="3334"/>
        <w:gridCol w:w="2607"/>
        <w:gridCol w:w="1433"/>
      </w:tblGrid>
      <w:tr w:rsidR="00431B1F" w:rsidTr="0043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line="360" w:lineRule="auto"/>
              <w:rPr>
                <w:rFonts w:ascii="Times New Roman" w:hAnsi="Times New Roman" w:cs="Times New Roman"/>
                <w:b w:val="0"/>
                <w:bCs w:val="0"/>
                <w:sz w:val="28"/>
                <w:szCs w:val="28"/>
              </w:rPr>
            </w:pPr>
            <w:r>
              <w:rPr>
                <w:rFonts w:ascii="Times New Roman" w:hAnsi="Times New Roman" w:cs="Times New Roman"/>
                <w:sz w:val="28"/>
                <w:szCs w:val="28"/>
              </w:rPr>
              <w:t>Phase</w:t>
            </w:r>
          </w:p>
        </w:tc>
        <w:tc>
          <w:tcPr>
            <w:tcW w:w="0" w:type="auto"/>
          </w:tcPr>
          <w:p w:rsidR="00431B1F" w:rsidRDefault="0000000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Key Activities</w:t>
            </w:r>
          </w:p>
        </w:tc>
        <w:tc>
          <w:tcPr>
            <w:tcW w:w="0" w:type="auto"/>
          </w:tcPr>
          <w:p w:rsidR="00431B1F" w:rsidRDefault="0000000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Success Metrics</w:t>
            </w:r>
          </w:p>
        </w:tc>
        <w:tc>
          <w:tcPr>
            <w:tcW w:w="0" w:type="auto"/>
          </w:tcPr>
          <w:p w:rsidR="00431B1F" w:rsidRDefault="0000000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Timeline</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line="360" w:lineRule="auto"/>
              <w:rPr>
                <w:rFonts w:ascii="Times New Roman" w:hAnsi="Times New Roman" w:cs="Times New Roman"/>
                <w:b w:val="0"/>
                <w:bCs w:val="0"/>
                <w:sz w:val="24"/>
                <w:szCs w:val="24"/>
              </w:rPr>
            </w:pPr>
            <w:r>
              <w:rPr>
                <w:rFonts w:ascii="Times New Roman" w:hAnsi="Times New Roman" w:cs="Times New Roman"/>
                <w:sz w:val="24"/>
                <w:szCs w:val="24"/>
              </w:rPr>
              <w:t>Pilot Implementation</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Select business units, engage line managers, co-design solutions with employees</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Manager buy-in rates, employee participation rates</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Quarter 1-2</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line="360" w:lineRule="auto"/>
              <w:rPr>
                <w:rFonts w:ascii="Times New Roman" w:hAnsi="Times New Roman" w:cs="Times New Roman"/>
                <w:b w:val="0"/>
                <w:bCs w:val="0"/>
                <w:sz w:val="24"/>
                <w:szCs w:val="24"/>
              </w:rPr>
            </w:pPr>
            <w:r>
              <w:rPr>
                <w:rFonts w:ascii="Times New Roman" w:hAnsi="Times New Roman" w:cs="Times New Roman"/>
                <w:sz w:val="24"/>
                <w:szCs w:val="24"/>
              </w:rPr>
              <w:t>Full Rollout</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Scale successful pilots, continuous communication and training, allocate resources</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Internal mobility rates, skills proficiency gains, time-to-productivity</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Quarter 3-4</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line="360" w:lineRule="auto"/>
              <w:rPr>
                <w:rFonts w:ascii="Times New Roman" w:hAnsi="Times New Roman" w:cs="Times New Roman"/>
                <w:b w:val="0"/>
                <w:bCs w:val="0"/>
                <w:sz w:val="24"/>
                <w:szCs w:val="24"/>
              </w:rPr>
            </w:pPr>
            <w:r>
              <w:rPr>
                <w:rFonts w:ascii="Times New Roman" w:hAnsi="Times New Roman" w:cs="Times New Roman"/>
                <w:sz w:val="24"/>
                <w:szCs w:val="24"/>
              </w:rPr>
              <w:t>Sustainability</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Embed practices into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culture, leadership ownership, continuous improvement</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Employee retention rates, promotion velocity, innovation metrics</w:t>
            </w:r>
          </w:p>
        </w:tc>
        <w:tc>
          <w:tcPr>
            <w:tcW w:w="0" w:type="auto"/>
            <w:shd w:val="clear" w:color="auto" w:fill="B4C6E7" w:themeFill="accent1" w:themeFillTint="66"/>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Year 2 and beyond</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line="360" w:lineRule="auto"/>
              <w:rPr>
                <w:rFonts w:ascii="Times New Roman" w:hAnsi="Times New Roman" w:cs="Times New Roman"/>
                <w:b w:val="0"/>
                <w:bCs w:val="0"/>
                <w:sz w:val="24"/>
                <w:szCs w:val="24"/>
              </w:rPr>
            </w:pPr>
            <w:r>
              <w:rPr>
                <w:rFonts w:ascii="Times New Roman" w:hAnsi="Times New Roman" w:cs="Times New Roman"/>
                <w:sz w:val="24"/>
                <w:szCs w:val="24"/>
              </w:rPr>
              <w:t>ROI Measurement</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Link HR metrics to business outcomes, calculate cost savings and revenue impact</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Cost per hire reduction, revenue per employee, talent pipeline depth</w:t>
            </w:r>
          </w:p>
        </w:tc>
        <w:tc>
          <w:tcPr>
            <w:tcW w:w="0" w:type="auto"/>
          </w:tcPr>
          <w:p w:rsidR="00431B1F" w:rsidRDefault="0000000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Ongoing</w:t>
            </w:r>
          </w:p>
        </w:tc>
      </w:tr>
    </w:tbl>
    <w:p w:rsidR="00431B1F" w:rsidRDefault="00000000">
      <w:pPr>
        <w:spacing w:line="360" w:lineRule="auto"/>
        <w:rPr>
          <w:rFonts w:ascii="Times New Roman" w:hAnsi="Times New Roman" w:cs="Times New Roman"/>
          <w:sz w:val="24"/>
          <w:szCs w:val="24"/>
        </w:rPr>
      </w:pPr>
      <w:r>
        <w:rPr>
          <w:rFonts w:ascii="Times New Roman" w:hAnsi="Times New Roman" w:cs="Times New Roman"/>
          <w:i/>
          <w:iCs/>
          <w:sz w:val="24"/>
          <w:szCs w:val="24"/>
        </w:rPr>
        <w:t>Source: Implementation framework adapted from Armstrong (2021) and change management best practices</w:t>
      </w:r>
    </w:p>
    <w:p w:rsidR="00431B1F" w:rsidRDefault="00000000">
      <w:pPr>
        <w:pStyle w:val="Heading1"/>
      </w:pPr>
      <w:bookmarkStart w:id="24" w:name="_Toc213026662"/>
      <w:r>
        <w:t>6.0 Personal Reflective Report to Global Capabilities.</w:t>
      </w:r>
      <w:bookmarkEnd w:id="24"/>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My disciplined self-directed learning and </w:t>
      </w:r>
      <w:proofErr w:type="spellStart"/>
      <w:r>
        <w:rPr>
          <w:rFonts w:ascii="Times New Roman" w:hAnsi="Times New Roman" w:cs="Times New Roman"/>
          <w:sz w:val="24"/>
          <w:szCs w:val="24"/>
        </w:rPr>
        <w:t>organised</w:t>
      </w:r>
      <w:proofErr w:type="spellEnd"/>
      <w:r>
        <w:rPr>
          <w:rFonts w:ascii="Times New Roman" w:hAnsi="Times New Roman" w:cs="Times New Roman"/>
          <w:sz w:val="24"/>
          <w:szCs w:val="24"/>
        </w:rPr>
        <w:t xml:space="preserve"> written communication are my current strengths. However, I need development in leading culturally diverse teams confidently and using people analytics for talent decisions. Over the next year, I will address these through targeted analytics training and seeking international project leadership roles to practice inclusive leadership in real settings.</w:t>
      </w:r>
    </w:p>
    <w:p w:rsidR="00431B1F" w:rsidRDefault="00000000">
      <w:pPr>
        <w:pStyle w:val="Heading2"/>
      </w:pPr>
      <w:bookmarkStart w:id="25" w:name="_Toc213026663"/>
      <w:r>
        <w:lastRenderedPageBreak/>
        <w:t>6.1 Technology</w:t>
      </w:r>
      <w:bookmarkEnd w:id="25"/>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My current capability includes strong proficiency with digital collaboration tools like Microsoft Teams and Zoom, developed through managing virtual MBA group projects. In today's global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market, being digitally fluent is a mandatory condition in order to be able to coordinate across borders/continents and time zones, directly affecting productivity and cohesion within a work group in a distributed working format.  However, I lack depth in People Analytics tools. Following Boudreau and Ramstad's (2021) emphasis on evidence-based HR, I plan to complete a certified course in HR analytics to better leverage data for talent decisions, thereby enhancing my strategic contribution to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w:t>
      </w:r>
    </w:p>
    <w:p w:rsidR="00431B1F" w:rsidRDefault="00000000">
      <w:pPr>
        <w:pStyle w:val="Heading2"/>
      </w:pPr>
      <w:bookmarkStart w:id="26" w:name="_Toc213026664"/>
      <w:r>
        <w:t>6.2 Communication</w:t>
      </w:r>
      <w:bookmarkEnd w:id="26"/>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I possess strong academic and professional writing skills, evidenced by constructing clear, evidence-based arguments in assignments. Clear communication is fundamental for cross-cultural collaboration and managing stakeholder expectations in international settings. One of the development areas is negotiating with culturally diverse stakeholders. To resolve this, I will involve myself in international competitions based on cases where I will be able to employ my research strengths into practice to gain confidence in cross-cultural persuasion in a simulated setting and hence be able to negotiate on international matters.</w:t>
      </w:r>
    </w:p>
    <w:p w:rsidR="00431B1F" w:rsidRDefault="00000000">
      <w:pPr>
        <w:pStyle w:val="Heading2"/>
      </w:pPr>
      <w:bookmarkStart w:id="27" w:name="_Toc213026665"/>
      <w:r>
        <w:t>6.3 Teamwork and Leadership</w:t>
      </w:r>
      <w:bookmarkEnd w:id="27"/>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I have strength in terms of being efficient in operation and keeping project schedules within the multicultural teams, where coordinating roles are usually undertaken. Efficient coordination is paramount, yet in real leadership, one has to motivate and develop others. The responsibility and growth, as Herzberg's theory indicates, are powerful motivators. I should attain proactive mentoring skills. I will also take some formal mentoring with first-year MBA students, which will help me build my mentoring and talent development skills, which will not only fill the leadership gap but will also serve as an intrinsic motivational factor because I would be contributing to the development of other people.</w:t>
      </w:r>
    </w:p>
    <w:p w:rsidR="00431B1F" w:rsidRDefault="00000000">
      <w:pPr>
        <w:pStyle w:val="Heading2"/>
      </w:pPr>
      <w:bookmarkStart w:id="28" w:name="_Toc213026666"/>
      <w:r>
        <w:lastRenderedPageBreak/>
        <w:t>6.4 Self-directed Learning</w:t>
      </w:r>
      <w:bookmarkEnd w:id="28"/>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My self-directed learning skills are strong because I conduct systematic research and </w:t>
      </w:r>
      <w:proofErr w:type="spellStart"/>
      <w:r>
        <w:rPr>
          <w:rFonts w:ascii="Times New Roman" w:hAnsi="Times New Roman" w:cs="Times New Roman"/>
          <w:sz w:val="24"/>
          <w:szCs w:val="24"/>
        </w:rPr>
        <w:t>synthesise</w:t>
      </w:r>
      <w:proofErr w:type="spellEnd"/>
      <w:r>
        <w:rPr>
          <w:rFonts w:ascii="Times New Roman" w:hAnsi="Times New Roman" w:cs="Times New Roman"/>
          <w:sz w:val="24"/>
          <w:szCs w:val="24"/>
        </w:rPr>
        <w:t xml:space="preserve"> complex information in academic and industry sources in order to write reports such as this one. This ability will be directly connected to Maslow's theory of self-</w:t>
      </w:r>
      <w:proofErr w:type="spellStart"/>
      <w:r>
        <w:rPr>
          <w:rFonts w:ascii="Times New Roman" w:hAnsi="Times New Roman" w:cs="Times New Roman"/>
          <w:sz w:val="24"/>
          <w:szCs w:val="24"/>
        </w:rPr>
        <w:t>actualisation</w:t>
      </w:r>
      <w:proofErr w:type="spellEnd"/>
      <w:r>
        <w:rPr>
          <w:rFonts w:ascii="Times New Roman" w:hAnsi="Times New Roman" w:cs="Times New Roman"/>
          <w:sz w:val="24"/>
          <w:szCs w:val="24"/>
        </w:rPr>
        <w:t xml:space="preserve"> and will be essential to constant professional growth in swiftly changing professions. I will make this strength institutional through the allocated time monthly to research on the emerging trends in HR, so that my competencies will always be on top, thus bearing lifelong career resiliency in the changing global market.</w:t>
      </w:r>
    </w:p>
    <w:p w:rsidR="00431B1F" w:rsidRDefault="00000000">
      <w:pPr>
        <w:pStyle w:val="Heading1"/>
      </w:pPr>
      <w:bookmarkStart w:id="29" w:name="_Toc213026667"/>
      <w:r>
        <w:t>7.0 Strategic HCM Recommendations.</w:t>
      </w:r>
      <w:bookmarkEnd w:id="29"/>
    </w:p>
    <w:p w:rsidR="00431B1F" w:rsidRDefault="00000000">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need to test pilot </w:t>
      </w:r>
      <w:proofErr w:type="spellStart"/>
      <w:r>
        <w:rPr>
          <w:rFonts w:ascii="Times New Roman" w:hAnsi="Times New Roman" w:cs="Times New Roman"/>
          <w:sz w:val="24"/>
          <w:szCs w:val="24"/>
        </w:rPr>
        <w:t>programmes</w:t>
      </w:r>
      <w:proofErr w:type="spellEnd"/>
      <w:r>
        <w:rPr>
          <w:rFonts w:ascii="Times New Roman" w:hAnsi="Times New Roman" w:cs="Times New Roman"/>
          <w:sz w:val="24"/>
          <w:szCs w:val="24"/>
        </w:rPr>
        <w:t xml:space="preserve"> with defined measures of success, before rolling them out across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 mitigation of implementation risk should be factored in, and resistance to change managed through continuous communication, co-creation with end-users and visible leadership buy-in. Additionally, having cross-functional governance committees ensures a variety of perspectives are given in the design of the solutions, and helps build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buy-in. These risk mitigation strategies will increase the chances of successful adoption of the recommended initiatives and the sustainable impact achieved.</w:t>
      </w:r>
    </w:p>
    <w:p w:rsidR="00431B1F" w:rsidRDefault="00000000">
      <w:pPr>
        <w:pStyle w:val="Heading2"/>
      </w:pPr>
      <w:bookmarkStart w:id="30" w:name="_Toc213026668"/>
      <w:r>
        <w:t>7.1 Invest in Agile Workforce Planning &amp; Internal Talent Development</w:t>
      </w:r>
      <w:bookmarkEnd w:id="30"/>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Conduct a granular skills-gap analysis immediately, followed by agile capabilities "learning sprints" on high-demand capabilities. Within 18 months, establish a talent marketplace inside the firm for the dynamic deployment of existing talent. This directly addresses the gap of skills shortages and increases retention by providing internal mobility opportunities. The human capital view on strategic value creation is consistent with viewing people as assets that need to be actively nurtured rather than costed (Mayo, 2022). </w:t>
      </w:r>
    </w:p>
    <w:p w:rsidR="00431B1F" w:rsidRDefault="00000000">
      <w:pPr>
        <w:pStyle w:val="Heading2"/>
      </w:pPr>
      <w:bookmarkStart w:id="31" w:name="_Toc213026669"/>
      <w:r>
        <w:t>7.2 Develop Geopolitically Resilient and Inclusive Mobility Policies</w:t>
      </w:r>
      <w:bookmarkEnd w:id="31"/>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the next quarter, audit businesses should identify global mobility risks and diversify their types of assignments to include more short-term and virtual options. Pursue inclusive packages </w:t>
      </w:r>
      <w:r>
        <w:rPr>
          <w:rFonts w:ascii="Times New Roman" w:hAnsi="Times New Roman" w:cs="Times New Roman"/>
          <w:sz w:val="24"/>
          <w:szCs w:val="24"/>
        </w:rPr>
        <w:lastRenderedPageBreak/>
        <w:t>of support for the various family situations and views to guarantee psychological safety to workers in volatile areas and secure key talent pipelines for future demand.</w:t>
      </w:r>
    </w:p>
    <w:p w:rsidR="00431B1F" w:rsidRDefault="00000000">
      <w:pPr>
        <w:pStyle w:val="Heading2"/>
      </w:pPr>
      <w:bookmarkStart w:id="32" w:name="_Toc213026670"/>
      <w:r>
        <w:t>7.3 Champion Ethical Technology Integration and People-Centric Work Design</w:t>
      </w:r>
      <w:bookmarkEnd w:id="32"/>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Establish an ethical AI charter by year-end, governing algorithmic management and data privacy. At the same time, pilot work redesign projects in a single business unit, breaking jobs down into projects and tasks in order to become more flexible. </w:t>
      </w:r>
      <w:r w:rsidR="008E2716" w:rsidRPr="008E2716">
        <w:rPr>
          <w:rFonts w:ascii="Times New Roman" w:hAnsi="Times New Roman" w:cs="Times New Roman"/>
          <w:sz w:val="24"/>
          <w:szCs w:val="24"/>
        </w:rPr>
        <w:t>This is a compromise between technological efficiency and human dignity and human engagement.</w:t>
      </w:r>
    </w:p>
    <w:p w:rsidR="00431B1F"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Implementation and Metrics: </w:t>
      </w:r>
      <w:r w:rsidR="008E2716" w:rsidRPr="008E2716">
        <w:rPr>
          <w:rFonts w:ascii="Times New Roman" w:hAnsi="Times New Roman" w:cs="Times New Roman"/>
          <w:sz w:val="24"/>
          <w:szCs w:val="24"/>
        </w:rPr>
        <w:t>Default audit and risk assessment (Q1), pilot launches (Q2-3), and scale successful projects (Year 2) Goals: internal promotion (goal: +15), employee engagement (goal: +10), and critical opening reduction (goal: -25)</w:t>
      </w:r>
      <w:r w:rsidR="008E2716">
        <w:rPr>
          <w:rFonts w:ascii="Times New Roman" w:hAnsi="Times New Roman" w:cs="Times New Roman"/>
          <w:sz w:val="24"/>
          <w:szCs w:val="24"/>
        </w:rPr>
        <w:t>.</w:t>
      </w:r>
    </w:p>
    <w:p w:rsidR="00431B1F" w:rsidRDefault="00000000">
      <w:pPr>
        <w:pStyle w:val="Heading1"/>
      </w:pPr>
      <w:bookmarkStart w:id="33" w:name="_Toc213026671"/>
      <w:r>
        <w:t>8.0 Conclusion</w:t>
      </w:r>
      <w:bookmarkEnd w:id="33"/>
    </w:p>
    <w:p w:rsidR="00431B1F" w:rsidRDefault="008E2716">
      <w:pPr>
        <w:spacing w:line="360" w:lineRule="auto"/>
        <w:rPr>
          <w:rFonts w:ascii="Times New Roman" w:hAnsi="Times New Roman" w:cs="Times New Roman"/>
          <w:sz w:val="24"/>
          <w:szCs w:val="24"/>
        </w:rPr>
      </w:pPr>
      <w:r w:rsidRPr="008E2716">
        <w:rPr>
          <w:rFonts w:ascii="Times New Roman" w:hAnsi="Times New Roman" w:cs="Times New Roman"/>
          <w:sz w:val="24"/>
          <w:szCs w:val="24"/>
        </w:rPr>
        <w:t>This report has been able to critically highlight the fact that the triple pressures of technological disruption, demographic change and geopolitical turmoil are fundamentally altering the HRM and IHRM strategies.</w:t>
      </w:r>
      <w:r>
        <w:rPr>
          <w:rFonts w:ascii="Times New Roman" w:hAnsi="Times New Roman" w:cs="Times New Roman"/>
          <w:sz w:val="24"/>
          <w:szCs w:val="24"/>
        </w:rPr>
        <w:t xml:space="preserve"> Based on the analysis, it becomes clear that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can no longer consider human capital management a support system and thus should position it as the core of strategic resilience. The suggested move to the idea of agile workforce planning, ethical technology control, and inclusive global mobility is not only the best practice, but also a business necessity. Likewise, on the individual level, lifelong adjustment with self-directed learning and cross-cultural competence is not a choice, but a requirement to stay relevant as a professional. Any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or individual that does not actively deal with these interrelated issues will find itself irrelevant in the competitive and volatile global economy. The future and sustainable advantage lies with those who </w:t>
      </w:r>
      <w:proofErr w:type="spellStart"/>
      <w:r>
        <w:rPr>
          <w:rFonts w:ascii="Times New Roman" w:hAnsi="Times New Roman" w:cs="Times New Roman"/>
          <w:sz w:val="24"/>
          <w:szCs w:val="24"/>
        </w:rPr>
        <w:t>realise</w:t>
      </w:r>
      <w:proofErr w:type="spellEnd"/>
      <w:r>
        <w:rPr>
          <w:rFonts w:ascii="Times New Roman" w:hAnsi="Times New Roman" w:cs="Times New Roman"/>
          <w:sz w:val="24"/>
          <w:szCs w:val="24"/>
        </w:rPr>
        <w:t xml:space="preserve"> that human capital, which is strategically used and ethically developed, is the ultimate source of sustainable advantage.</w:t>
      </w:r>
    </w:p>
    <w:p w:rsidR="00431B1F" w:rsidRDefault="00431B1F">
      <w:pPr>
        <w:spacing w:line="360" w:lineRule="auto"/>
        <w:rPr>
          <w:rFonts w:ascii="Times New Roman" w:hAnsi="Times New Roman" w:cs="Times New Roman"/>
          <w:sz w:val="24"/>
          <w:szCs w:val="24"/>
        </w:rPr>
      </w:pPr>
    </w:p>
    <w:p w:rsidR="00431B1F" w:rsidRDefault="00000000">
      <w:pPr>
        <w:pStyle w:val="Heading1"/>
      </w:pPr>
      <w:bookmarkStart w:id="34" w:name="_Toc213026672"/>
      <w:r>
        <w:lastRenderedPageBreak/>
        <w:t>References</w:t>
      </w:r>
      <w:bookmarkEnd w:id="34"/>
    </w:p>
    <w:p w:rsidR="00431B1F" w:rsidRDefault="00000000">
      <w:pPr>
        <w:pStyle w:val="ds-markdown-paragraph"/>
        <w:spacing w:line="480" w:lineRule="auto"/>
        <w:ind w:left="360"/>
      </w:pPr>
      <w:r>
        <w:t>Armstrong, M. (2021). </w:t>
      </w:r>
      <w:r>
        <w:rPr>
          <w:rFonts w:eastAsiaTheme="majorEastAsia"/>
          <w:i/>
          <w:iCs/>
        </w:rPr>
        <w:t>Armstrong's Handbook of Human Resource Management Practice</w:t>
      </w:r>
      <w:r>
        <w:t> (15th ed.). Kogan Page.</w:t>
      </w:r>
    </w:p>
    <w:p w:rsidR="00431B1F" w:rsidRDefault="00000000">
      <w:pPr>
        <w:pStyle w:val="ds-markdown-paragraph"/>
        <w:spacing w:line="480" w:lineRule="auto"/>
        <w:ind w:left="360"/>
      </w:pPr>
      <w:r>
        <w:t>Boxall, P., Purcell, J., &amp; Wright, P. (2022). </w:t>
      </w:r>
      <w:r>
        <w:rPr>
          <w:rFonts w:eastAsiaTheme="majorEastAsia"/>
          <w:i/>
          <w:iCs/>
        </w:rPr>
        <w:t>The Oxford Handbook of Human Resource Management</w:t>
      </w:r>
      <w:r>
        <w:t>. Oxford University Press.</w:t>
      </w:r>
    </w:p>
    <w:p w:rsidR="00431B1F" w:rsidRDefault="00000000">
      <w:pPr>
        <w:pStyle w:val="ds-markdown-paragraph"/>
        <w:spacing w:line="480" w:lineRule="auto"/>
        <w:ind w:left="360"/>
      </w:pPr>
      <w:r>
        <w:t>Boudreau, J. &amp; Ramstad, P. (2021). </w:t>
      </w:r>
      <w:r>
        <w:rPr>
          <w:rFonts w:eastAsiaTheme="majorEastAsia"/>
          <w:i/>
          <w:iCs/>
        </w:rPr>
        <w:t>Beyond HR: The New Science of Human Capital</w:t>
      </w:r>
      <w:r>
        <w:t>. Harvard Business School Press.</w:t>
      </w:r>
    </w:p>
    <w:p w:rsidR="00431B1F" w:rsidRDefault="00000000">
      <w:pPr>
        <w:pStyle w:val="ds-markdown-paragraph"/>
        <w:spacing w:line="480" w:lineRule="auto"/>
        <w:ind w:left="360"/>
      </w:pPr>
      <w:r>
        <w:t>Bratton, J. &amp; Gold, J. (2017). </w:t>
      </w:r>
      <w:r>
        <w:rPr>
          <w:rFonts w:eastAsiaTheme="majorEastAsia"/>
          <w:i/>
          <w:iCs/>
        </w:rPr>
        <w:t>Human Resource Management: Theory and Practice</w:t>
      </w:r>
      <w:r>
        <w:t> (6th ed.). Palgrave Macmillan.</w:t>
      </w:r>
    </w:p>
    <w:p w:rsidR="00431B1F" w:rsidRDefault="00000000">
      <w:pPr>
        <w:pStyle w:val="ds-markdown-paragraph"/>
        <w:spacing w:line="480" w:lineRule="auto"/>
        <w:ind w:left="360"/>
      </w:pPr>
      <w:r>
        <w:t>Cappelli, P. &amp; Keller, J. (2020). </w:t>
      </w:r>
      <w:r>
        <w:rPr>
          <w:rFonts w:eastAsiaTheme="majorEastAsia"/>
          <w:i/>
          <w:iCs/>
        </w:rPr>
        <w:t>Managing the Future of Work: The New HR Imperative</w:t>
      </w:r>
      <w:r>
        <w:t>. Harvard Business Review Press.</w:t>
      </w:r>
    </w:p>
    <w:p w:rsidR="00431B1F" w:rsidRDefault="00000000">
      <w:pPr>
        <w:pStyle w:val="ds-markdown-paragraph"/>
        <w:spacing w:line="480" w:lineRule="auto"/>
        <w:ind w:left="360"/>
      </w:pPr>
      <w:r>
        <w:t>Deloitte Insights. (2023). </w:t>
      </w:r>
      <w:r>
        <w:rPr>
          <w:rFonts w:eastAsiaTheme="majorEastAsia"/>
          <w:i/>
          <w:iCs/>
        </w:rPr>
        <w:t>Global Human Capital Trends Report</w:t>
      </w:r>
      <w:r>
        <w:t>. Deloitte University Press. [Accessed 3 November 2025]. Available at: </w:t>
      </w:r>
      <w:hyperlink r:id="rId10" w:tgtFrame="_blank" w:history="1">
        <w:r w:rsidR="00431B1F">
          <w:rPr>
            <w:rStyle w:val="Hyperlink"/>
            <w:rFonts w:eastAsiaTheme="majorEastAsia"/>
          </w:rPr>
          <w:t>https://www2.deloitte.com/us/en/insights/focus/human-capital-trends.html</w:t>
        </w:r>
      </w:hyperlink>
    </w:p>
    <w:p w:rsidR="00431B1F" w:rsidRDefault="00000000">
      <w:pPr>
        <w:pStyle w:val="ds-markdown-paragraph"/>
        <w:spacing w:line="480" w:lineRule="auto"/>
        <w:ind w:left="360"/>
      </w:pPr>
      <w:proofErr w:type="spellStart"/>
      <w:r>
        <w:t>Jesuthasan</w:t>
      </w:r>
      <w:proofErr w:type="spellEnd"/>
      <w:r>
        <w:t>, R. &amp; Boudreau, J. (2022). </w:t>
      </w:r>
      <w:r>
        <w:rPr>
          <w:rFonts w:eastAsiaTheme="majorEastAsia"/>
          <w:i/>
          <w:iCs/>
        </w:rPr>
        <w:t>Work Without Jobs: How to Reboot Your Organization's Work Operating System</w:t>
      </w:r>
      <w:r>
        <w:t>. MIT Press.</w:t>
      </w:r>
    </w:p>
    <w:p w:rsidR="00431B1F" w:rsidRDefault="00000000">
      <w:pPr>
        <w:pStyle w:val="ds-markdown-paragraph"/>
        <w:spacing w:line="480" w:lineRule="auto"/>
        <w:ind w:left="360"/>
      </w:pPr>
      <w:r>
        <w:t>Kane, G.C., Palmer, D., Phillips, A.N., &amp; Kiron, D. (2020). </w:t>
      </w:r>
      <w:r>
        <w:rPr>
          <w:rFonts w:eastAsiaTheme="majorEastAsia"/>
          <w:i/>
          <w:iCs/>
        </w:rPr>
        <w:t>The Technology Fallacy: How People Are the Real Key to Digital Transformation</w:t>
      </w:r>
      <w:r>
        <w:t>. MIT Press.</w:t>
      </w:r>
    </w:p>
    <w:p w:rsidR="00431B1F" w:rsidRDefault="00000000">
      <w:pPr>
        <w:pStyle w:val="ds-markdown-paragraph"/>
        <w:spacing w:line="480" w:lineRule="auto"/>
        <w:ind w:left="360"/>
      </w:pPr>
      <w:r>
        <w:lastRenderedPageBreak/>
        <w:t>ManpowerGroup (2025). </w:t>
      </w:r>
      <w:r>
        <w:rPr>
          <w:rFonts w:eastAsiaTheme="majorEastAsia"/>
          <w:i/>
          <w:iCs/>
        </w:rPr>
        <w:t>Global Talent Shortage Survey 2025</w:t>
      </w:r>
      <w:r>
        <w:t>. [Accessed 3 November 2025]. Available at: </w:t>
      </w:r>
      <w:hyperlink r:id="rId11" w:tgtFrame="_blank" w:history="1">
        <w:r w:rsidR="00431B1F">
          <w:rPr>
            <w:rStyle w:val="Hyperlink"/>
            <w:rFonts w:eastAsiaTheme="majorEastAsia"/>
          </w:rPr>
          <w:t>https://go.manpowergroup.com/talent-shortage</w:t>
        </w:r>
      </w:hyperlink>
    </w:p>
    <w:p w:rsidR="00431B1F" w:rsidRDefault="00000000">
      <w:pPr>
        <w:pStyle w:val="ds-markdown-paragraph"/>
        <w:spacing w:line="480" w:lineRule="auto"/>
        <w:ind w:left="360"/>
      </w:pPr>
      <w:r>
        <w:t>Marchington, M. &amp; Wilkinson, A. (2020). </w:t>
      </w:r>
      <w:r>
        <w:rPr>
          <w:rFonts w:eastAsiaTheme="majorEastAsia"/>
          <w:i/>
          <w:iCs/>
        </w:rPr>
        <w:t>Human Resource Management at Work</w:t>
      </w:r>
      <w:r>
        <w:t> (7th Ed.). CIPD.</w:t>
      </w:r>
    </w:p>
    <w:p w:rsidR="00431B1F" w:rsidRDefault="00000000">
      <w:pPr>
        <w:pStyle w:val="ds-markdown-paragraph"/>
        <w:spacing w:line="480" w:lineRule="auto"/>
        <w:ind w:left="360"/>
      </w:pPr>
      <w:r>
        <w:t>Mayo, A. (2022). </w:t>
      </w:r>
      <w:r>
        <w:rPr>
          <w:rFonts w:eastAsiaTheme="majorEastAsia"/>
          <w:i/>
          <w:iCs/>
        </w:rPr>
        <w:t>Human Resources or Human Capital? Managing People as Assets</w:t>
      </w:r>
      <w:r>
        <w:t>. Harvard Business Review Press.</w:t>
      </w:r>
    </w:p>
    <w:p w:rsidR="00431B1F" w:rsidRDefault="00000000">
      <w:pPr>
        <w:pStyle w:val="ds-markdown-paragraph"/>
        <w:spacing w:line="480" w:lineRule="auto"/>
        <w:ind w:left="360"/>
      </w:pPr>
      <w:r>
        <w:t>McKinsey &amp; Company (2023). </w:t>
      </w:r>
      <w:r>
        <w:rPr>
          <w:rFonts w:eastAsiaTheme="majorEastAsia"/>
          <w:i/>
          <w:iCs/>
        </w:rPr>
        <w:t>Global Workforce Trends Report</w:t>
      </w:r>
      <w:r>
        <w:t>. [Accessed 3 November 2025]. Available at: </w:t>
      </w:r>
      <w:hyperlink r:id="rId12" w:tgtFrame="_blank" w:history="1">
        <w:r w:rsidR="00431B1F">
          <w:rPr>
            <w:rStyle w:val="Hyperlink"/>
            <w:rFonts w:eastAsiaTheme="majorEastAsia"/>
          </w:rPr>
          <w:t>https://www.mckinsey.com/featured-insights/future-of-work</w:t>
        </w:r>
      </w:hyperlink>
    </w:p>
    <w:p w:rsidR="00431B1F" w:rsidRDefault="00000000">
      <w:pPr>
        <w:pStyle w:val="ds-markdown-paragraph"/>
        <w:spacing w:line="480" w:lineRule="auto"/>
        <w:ind w:left="360"/>
      </w:pPr>
      <w:r>
        <w:t>McKinsey &amp; Company (2024). </w:t>
      </w:r>
      <w:r>
        <w:rPr>
          <w:rFonts w:eastAsiaTheme="majorEastAsia"/>
          <w:i/>
          <w:iCs/>
        </w:rPr>
        <w:t>The State of AI in 2024</w:t>
      </w:r>
      <w:r>
        <w:t>. [Accessed 3 November 2025]. Available at: </w:t>
      </w:r>
      <w:hyperlink r:id="rId13" w:tgtFrame="_blank" w:history="1">
        <w:r w:rsidR="00431B1F">
          <w:rPr>
            <w:rStyle w:val="Hyperlink"/>
            <w:rFonts w:eastAsiaTheme="majorEastAsia"/>
          </w:rPr>
          <w:t>https://www.mckinsey.com/capabilities/quantumblack/our-insights/the-state-of-ai</w:t>
        </w:r>
      </w:hyperlink>
    </w:p>
    <w:p w:rsidR="00431B1F" w:rsidRDefault="00000000">
      <w:pPr>
        <w:pStyle w:val="ds-markdown-paragraph"/>
        <w:spacing w:line="480" w:lineRule="auto"/>
        <w:ind w:left="360"/>
      </w:pPr>
      <w:r>
        <w:t>Microsoft (2023). </w:t>
      </w:r>
      <w:r>
        <w:rPr>
          <w:rFonts w:eastAsiaTheme="majorEastAsia"/>
          <w:i/>
          <w:iCs/>
        </w:rPr>
        <w:t>Work Trend Index: Annual Report</w:t>
      </w:r>
      <w:r>
        <w:t>. [Accessed 3 November 2025]. Available at: </w:t>
      </w:r>
      <w:hyperlink r:id="rId14" w:tgtFrame="_blank" w:history="1">
        <w:r w:rsidR="00431B1F">
          <w:rPr>
            <w:rStyle w:val="Hyperlink"/>
            <w:rFonts w:eastAsiaTheme="majorEastAsia"/>
          </w:rPr>
          <w:t>https://www.microsoft.com/en-us/worklab/work-trend-index</w:t>
        </w:r>
      </w:hyperlink>
    </w:p>
    <w:p w:rsidR="00431B1F" w:rsidRDefault="00000000">
      <w:pPr>
        <w:pStyle w:val="ds-markdown-paragraph"/>
        <w:spacing w:line="480" w:lineRule="auto"/>
        <w:ind w:left="360"/>
      </w:pPr>
      <w:r>
        <w:t>OECD (2023). </w:t>
      </w:r>
      <w:r>
        <w:rPr>
          <w:rFonts w:eastAsiaTheme="majorEastAsia"/>
          <w:i/>
          <w:iCs/>
        </w:rPr>
        <w:t>Pensions at a Glance 2023: OECD and G20 Indicators</w:t>
      </w:r>
      <w:r>
        <w:t>. OECD Publishing. [Accessed 3 November 2025]. Available at: </w:t>
      </w:r>
      <w:hyperlink r:id="rId15" w:tgtFrame="_blank" w:history="1">
        <w:r w:rsidR="00431B1F">
          <w:rPr>
            <w:rStyle w:val="Hyperlink"/>
            <w:rFonts w:eastAsiaTheme="majorEastAsia"/>
          </w:rPr>
          <w:t>https://www.oecd.org/pensions/pensions-at-a-glance.htm</w:t>
        </w:r>
      </w:hyperlink>
    </w:p>
    <w:p w:rsidR="00431B1F" w:rsidRDefault="00000000">
      <w:pPr>
        <w:pStyle w:val="ds-markdown-paragraph"/>
        <w:spacing w:line="480" w:lineRule="auto"/>
        <w:ind w:left="360"/>
      </w:pPr>
      <w:r>
        <w:t>Pilbeam, S. &amp; Corbridge, M. (2019). </w:t>
      </w:r>
      <w:r>
        <w:rPr>
          <w:rFonts w:eastAsiaTheme="majorEastAsia"/>
          <w:i/>
          <w:iCs/>
        </w:rPr>
        <w:t>People Resourcing and Talent Planning</w:t>
      </w:r>
      <w:r>
        <w:t> (6th ed.). Pearson.</w:t>
      </w:r>
    </w:p>
    <w:p w:rsidR="00431B1F" w:rsidRDefault="00000000">
      <w:pPr>
        <w:pStyle w:val="ds-markdown-paragraph"/>
        <w:spacing w:line="480" w:lineRule="auto"/>
        <w:ind w:left="360"/>
      </w:pPr>
      <w:r>
        <w:t>Stewart, G.L. &amp; Brown, K.G. (2019). </w:t>
      </w:r>
      <w:r>
        <w:rPr>
          <w:rFonts w:eastAsiaTheme="majorEastAsia"/>
          <w:i/>
          <w:iCs/>
        </w:rPr>
        <w:t>Human Resource Management</w:t>
      </w:r>
      <w:r>
        <w:t>. John Wiley &amp; Sons.</w:t>
      </w:r>
    </w:p>
    <w:p w:rsidR="00431B1F" w:rsidRDefault="00000000">
      <w:pPr>
        <w:pStyle w:val="ds-markdown-paragraph"/>
        <w:spacing w:line="480" w:lineRule="auto"/>
        <w:ind w:left="360"/>
      </w:pPr>
      <w:r>
        <w:lastRenderedPageBreak/>
        <w:t>Stone, R.J., Cox, A., &amp; Gavin, M. (2020). </w:t>
      </w:r>
      <w:r>
        <w:rPr>
          <w:rFonts w:eastAsiaTheme="majorEastAsia"/>
          <w:i/>
          <w:iCs/>
        </w:rPr>
        <w:t>Human Resource Management</w:t>
      </w:r>
      <w:r>
        <w:t>. John Wiley &amp; Sons.</w:t>
      </w:r>
    </w:p>
    <w:p w:rsidR="00431B1F" w:rsidRDefault="00000000">
      <w:pPr>
        <w:pStyle w:val="ds-markdown-paragraph"/>
        <w:spacing w:line="480" w:lineRule="auto"/>
        <w:ind w:left="360"/>
      </w:pPr>
      <w:r>
        <w:t>Ulrich, D. (2017). </w:t>
      </w:r>
      <w:r>
        <w:rPr>
          <w:rFonts w:eastAsiaTheme="majorEastAsia"/>
          <w:i/>
          <w:iCs/>
        </w:rPr>
        <w:t>Victory Through Organization: Why the War for Talent is Failing Your Company and What You Can Do About It</w:t>
      </w:r>
      <w:r>
        <w:t>. McGraw-Hill Education.</w:t>
      </w:r>
    </w:p>
    <w:p w:rsidR="00431B1F" w:rsidRDefault="00000000">
      <w:pPr>
        <w:pStyle w:val="ds-markdown-paragraph"/>
        <w:spacing w:line="480" w:lineRule="auto"/>
        <w:ind w:left="360"/>
      </w:pPr>
      <w:r>
        <w:t xml:space="preserve">Ulrich, D., </w:t>
      </w:r>
      <w:proofErr w:type="spellStart"/>
      <w:r>
        <w:t>Kryscynski</w:t>
      </w:r>
      <w:proofErr w:type="spellEnd"/>
      <w:r>
        <w:t>, D., Ulrich, M., &amp; Brockbank, W. (2017). </w:t>
      </w:r>
      <w:r>
        <w:rPr>
          <w:rFonts w:eastAsiaTheme="majorEastAsia"/>
          <w:i/>
          <w:iCs/>
        </w:rPr>
        <w:t>HR from the Outside In: Six Competencies for the Future of Human Resources</w:t>
      </w:r>
      <w:r>
        <w:t>. McGraw-Hill.</w:t>
      </w:r>
    </w:p>
    <w:p w:rsidR="00431B1F" w:rsidRDefault="00000000">
      <w:pPr>
        <w:pStyle w:val="ds-markdown-paragraph"/>
        <w:spacing w:line="480" w:lineRule="auto"/>
        <w:ind w:left="360"/>
      </w:pPr>
      <w:r>
        <w:t>World Economic Forum (2024). </w:t>
      </w:r>
      <w:r>
        <w:rPr>
          <w:rFonts w:eastAsiaTheme="majorEastAsia"/>
          <w:i/>
          <w:iCs/>
        </w:rPr>
        <w:t>Future of Jobs Report 2024</w:t>
      </w:r>
      <w:r>
        <w:t>. [Accessed 3 November 2025]. Available at: </w:t>
      </w:r>
      <w:hyperlink r:id="rId16" w:history="1">
        <w:r w:rsidR="00431B1F">
          <w:rPr>
            <w:rStyle w:val="Hyperlink"/>
          </w:rPr>
          <w:t>https://medium.com/@knocksfuture/world-economic-forum-future-of-jobs-report-2024-2d9be79281b3</w:t>
        </w:r>
      </w:hyperlink>
      <w:r>
        <w:t xml:space="preserve"> </w:t>
      </w: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431B1F">
      <w:pPr>
        <w:spacing w:line="360" w:lineRule="auto"/>
        <w:ind w:left="360"/>
        <w:rPr>
          <w:rFonts w:ascii="Times New Roman" w:hAnsi="Times New Roman" w:cs="Times New Roman"/>
          <w:sz w:val="24"/>
          <w:szCs w:val="24"/>
        </w:rPr>
      </w:pPr>
    </w:p>
    <w:p w:rsidR="00431B1F" w:rsidRDefault="00000000">
      <w:pPr>
        <w:pStyle w:val="Heading1"/>
      </w:pPr>
      <w:bookmarkStart w:id="35" w:name="_Toc213026673"/>
      <w:r>
        <w:lastRenderedPageBreak/>
        <w:t>Appendices</w:t>
      </w:r>
      <w:bookmarkEnd w:id="35"/>
    </w:p>
    <w:p w:rsidR="00A50F76"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Appendix A: </w:t>
      </w:r>
    </w:p>
    <w:p w:rsidR="00431B1F" w:rsidRPr="00A50F76" w:rsidRDefault="00A50F76" w:rsidP="00A50F76">
      <w:pPr>
        <w:pStyle w:val="Caption"/>
        <w:rPr>
          <w:rFonts w:ascii="Times New Roman" w:hAnsi="Times New Roman" w:cs="Times New Roman"/>
          <w:b/>
          <w:bCs/>
          <w:sz w:val="22"/>
          <w:szCs w:val="22"/>
        </w:rPr>
      </w:pPr>
      <w:bookmarkStart w:id="36" w:name="_Toc213044044"/>
      <w:r w:rsidRPr="00A50F76">
        <w:rPr>
          <w:rFonts w:ascii="Times New Roman" w:hAnsi="Times New Roman" w:cs="Times New Roman"/>
          <w:b/>
          <w:bCs/>
          <w:sz w:val="22"/>
          <w:szCs w:val="22"/>
        </w:rPr>
        <w:t xml:space="preserve">Table </w:t>
      </w:r>
      <w:r w:rsidRPr="00A50F76">
        <w:rPr>
          <w:rFonts w:ascii="Times New Roman" w:hAnsi="Times New Roman" w:cs="Times New Roman"/>
          <w:b/>
          <w:bCs/>
          <w:sz w:val="22"/>
          <w:szCs w:val="22"/>
        </w:rPr>
        <w:fldChar w:fldCharType="begin"/>
      </w:r>
      <w:r w:rsidRPr="00A50F76">
        <w:rPr>
          <w:rFonts w:ascii="Times New Roman" w:hAnsi="Times New Roman" w:cs="Times New Roman"/>
          <w:b/>
          <w:bCs/>
          <w:sz w:val="22"/>
          <w:szCs w:val="22"/>
        </w:rPr>
        <w:instrText xml:space="preserve"> SEQ Table \* ARABIC </w:instrText>
      </w:r>
      <w:r w:rsidRPr="00A50F76">
        <w:rPr>
          <w:rFonts w:ascii="Times New Roman" w:hAnsi="Times New Roman" w:cs="Times New Roman"/>
          <w:b/>
          <w:bCs/>
          <w:sz w:val="22"/>
          <w:szCs w:val="22"/>
        </w:rPr>
        <w:fldChar w:fldCharType="separate"/>
      </w:r>
      <w:r w:rsidRPr="00A50F76">
        <w:rPr>
          <w:rFonts w:ascii="Times New Roman" w:hAnsi="Times New Roman" w:cs="Times New Roman"/>
          <w:b/>
          <w:bCs/>
          <w:noProof/>
          <w:sz w:val="22"/>
          <w:szCs w:val="22"/>
        </w:rPr>
        <w:t>5</w:t>
      </w:r>
      <w:r w:rsidRPr="00A50F76">
        <w:rPr>
          <w:rFonts w:ascii="Times New Roman" w:hAnsi="Times New Roman" w:cs="Times New Roman"/>
          <w:b/>
          <w:bCs/>
          <w:sz w:val="22"/>
          <w:szCs w:val="22"/>
        </w:rPr>
        <w:fldChar w:fldCharType="end"/>
      </w:r>
      <w:r>
        <w:rPr>
          <w:rFonts w:ascii="Times New Roman" w:hAnsi="Times New Roman" w:cs="Times New Roman"/>
          <w:b/>
          <w:bCs/>
          <w:sz w:val="22"/>
          <w:szCs w:val="22"/>
        </w:rPr>
        <w:t xml:space="preserve">: </w:t>
      </w:r>
      <w:r w:rsidRPr="00A50F76">
        <w:rPr>
          <w:rFonts w:ascii="Times New Roman" w:hAnsi="Times New Roman" w:cs="Times New Roman"/>
          <w:b/>
          <w:bCs/>
          <w:sz w:val="22"/>
          <w:szCs w:val="22"/>
        </w:rPr>
        <w:t xml:space="preserve">PESTLE Analysis of </w:t>
      </w:r>
      <w:proofErr w:type="spellStart"/>
      <w:r w:rsidRPr="00A50F76">
        <w:rPr>
          <w:rFonts w:ascii="Times New Roman" w:hAnsi="Times New Roman" w:cs="Times New Roman"/>
          <w:b/>
          <w:bCs/>
          <w:sz w:val="22"/>
          <w:szCs w:val="22"/>
        </w:rPr>
        <w:t>Labour</w:t>
      </w:r>
      <w:proofErr w:type="spellEnd"/>
      <w:r w:rsidRPr="00A50F76">
        <w:rPr>
          <w:rFonts w:ascii="Times New Roman" w:hAnsi="Times New Roman" w:cs="Times New Roman"/>
          <w:b/>
          <w:bCs/>
          <w:sz w:val="22"/>
          <w:szCs w:val="22"/>
        </w:rPr>
        <w:t xml:space="preserve"> Market Pressures</w:t>
      </w:r>
      <w:bookmarkEnd w:id="36"/>
    </w:p>
    <w:tbl>
      <w:tblPr>
        <w:tblStyle w:val="GridTable5Dark-Accent11"/>
        <w:tblW w:w="0" w:type="auto"/>
        <w:tblLook w:val="04A0" w:firstRow="1" w:lastRow="0" w:firstColumn="1" w:lastColumn="0" w:noHBand="0" w:noVBand="1"/>
      </w:tblPr>
      <w:tblGrid>
        <w:gridCol w:w="1759"/>
        <w:gridCol w:w="3341"/>
        <w:gridCol w:w="4250"/>
      </w:tblGrid>
      <w:tr w:rsidR="00431B1F" w:rsidTr="00431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8"/>
                <w:szCs w:val="28"/>
              </w:rPr>
            </w:pPr>
            <w:r>
              <w:rPr>
                <w:rFonts w:ascii="Times New Roman" w:hAnsi="Times New Roman" w:cs="Times New Roman"/>
                <w:sz w:val="28"/>
                <w:szCs w:val="28"/>
              </w:rPr>
              <w:t>Factor</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Key Pressures</w:t>
            </w:r>
          </w:p>
        </w:tc>
        <w:tc>
          <w:tcPr>
            <w:tcW w:w="0" w:type="auto"/>
          </w:tcPr>
          <w:p w:rsidR="00431B1F"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8"/>
                <w:szCs w:val="28"/>
              </w:rPr>
            </w:pPr>
            <w:r>
              <w:rPr>
                <w:rFonts w:ascii="Times New Roman" w:hAnsi="Times New Roman" w:cs="Times New Roman"/>
                <w:sz w:val="28"/>
                <w:szCs w:val="28"/>
              </w:rPr>
              <w:t>HRM/IHRM Implications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Political</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Immigration restrictions, trade protectionism, political instability</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Complex global compliance, visa management, duty-of-care in volatile regions, supply chain workforce redeployment</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Economic</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Wage inflation in high-demand sectors, currency fluctuations, economic nationalism</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Competitive compensation strategies, global pay equity, cost management for international assignments</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Social</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Ageing populations, multi-generational workforce expectations, DEI demands</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Tailored engagement strategies, flexible benefits, inclusive culture building, mental health support</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Technological</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AI/automation adoption, digital platform growth, remote work infrastructure</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Job redesign, reskilling initiatives, ethical AI governance, virtual team management</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Legal</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GDPR/data privacy, evolving employment laws, algorithmic transparency regulations</w:t>
            </w:r>
          </w:p>
        </w:tc>
        <w:tc>
          <w:tcPr>
            <w:tcW w:w="0" w:type="auto"/>
            <w:shd w:val="clear" w:color="auto" w:fill="B4C6E7" w:themeFill="accent1" w:themeFillTint="66"/>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Compliance frameworks, policy adaptation, ethical technology use, cross-border legal alignment</w:t>
            </w:r>
          </w:p>
        </w:tc>
      </w:tr>
      <w:tr w:rsidR="00431B1F" w:rsidTr="00431B1F">
        <w:tc>
          <w:tcPr>
            <w:cnfStyle w:val="001000000000" w:firstRow="0" w:lastRow="0" w:firstColumn="1" w:lastColumn="0" w:oddVBand="0" w:evenVBand="0" w:oddHBand="0" w:evenHBand="0" w:firstRowFirstColumn="0" w:firstRowLastColumn="0" w:lastRowFirstColumn="0" w:lastRowLastColumn="0"/>
            <w:tcW w:w="0" w:type="auto"/>
          </w:tcPr>
          <w:p w:rsidR="00431B1F" w:rsidRDefault="00000000">
            <w:pPr>
              <w:spacing w:after="0" w:line="360" w:lineRule="auto"/>
              <w:rPr>
                <w:rFonts w:ascii="Times New Roman" w:hAnsi="Times New Roman" w:cs="Times New Roman"/>
                <w:b w:val="0"/>
                <w:bCs w:val="0"/>
                <w:sz w:val="24"/>
                <w:szCs w:val="24"/>
              </w:rPr>
            </w:pPr>
            <w:r>
              <w:rPr>
                <w:rFonts w:ascii="Times New Roman" w:hAnsi="Times New Roman" w:cs="Times New Roman"/>
                <w:sz w:val="24"/>
                <w:szCs w:val="24"/>
              </w:rPr>
              <w:t>Environmental</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ESG expectations, climate-related disruptions, green transition</w:t>
            </w:r>
          </w:p>
        </w:tc>
        <w:tc>
          <w:tcPr>
            <w:tcW w:w="0" w:type="auto"/>
          </w:tcPr>
          <w:p w:rsidR="00431B1F"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Sustainability competencies, "green" talent development, remote work carbon reduction strategies</w:t>
            </w:r>
          </w:p>
        </w:tc>
      </w:tr>
    </w:tbl>
    <w:p w:rsidR="00920BC0" w:rsidRDefault="00A50F76">
      <w:pPr>
        <w:spacing w:line="360" w:lineRule="auto"/>
        <w:rPr>
          <w:rFonts w:ascii="Times New Roman" w:hAnsi="Times New Roman" w:cs="Times New Roman"/>
          <w:sz w:val="24"/>
          <w:szCs w:val="24"/>
        </w:rPr>
      </w:pPr>
      <w:r>
        <w:rPr>
          <w:rFonts w:ascii="Times New Roman" w:hAnsi="Times New Roman" w:cs="Times New Roman"/>
          <w:sz w:val="24"/>
          <w:szCs w:val="24"/>
        </w:rPr>
        <w:t xml:space="preserve">Source: </w:t>
      </w:r>
      <w:r w:rsidRPr="00A50F76">
        <w:rPr>
          <w:rFonts w:ascii="Times New Roman" w:hAnsi="Times New Roman" w:cs="Times New Roman"/>
          <w:sz w:val="24"/>
          <w:szCs w:val="24"/>
        </w:rPr>
        <w:t>Compiled by the author from Deloitte (2023), OECD (2023), and McKinsey &amp; Company (2024).</w:t>
      </w:r>
    </w:p>
    <w:sectPr w:rsidR="00920BC0">
      <w:headerReference w:type="default" r:id="rId17"/>
      <w:footerReference w:type="default" r:id="rId1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6541D" w:rsidRDefault="0096541D">
      <w:pPr>
        <w:spacing w:line="240" w:lineRule="auto"/>
      </w:pPr>
      <w:r>
        <w:separator/>
      </w:r>
    </w:p>
  </w:endnote>
  <w:endnote w:type="continuationSeparator" w:id="0">
    <w:p w:rsidR="0096541D" w:rsidRDefault="009654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0475010"/>
      <w:docPartObj>
        <w:docPartGallery w:val="AutoText"/>
      </w:docPartObj>
    </w:sdtPr>
    <w:sdtContent>
      <w:sdt>
        <w:sdtPr>
          <w:id w:val="-1769616900"/>
          <w:docPartObj>
            <w:docPartGallery w:val="AutoText"/>
          </w:docPartObj>
        </w:sdtPr>
        <w:sdtContent>
          <w:p w:rsidR="00431B1F" w:rsidRDefault="0000000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sdtContent>
      </w:sdt>
    </w:sdtContent>
  </w:sdt>
  <w:p w:rsidR="00431B1F" w:rsidRDefault="00431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6541D" w:rsidRDefault="0096541D">
      <w:pPr>
        <w:spacing w:after="0"/>
      </w:pPr>
      <w:r>
        <w:separator/>
      </w:r>
    </w:p>
  </w:footnote>
  <w:footnote w:type="continuationSeparator" w:id="0">
    <w:p w:rsidR="0096541D" w:rsidRDefault="0096541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31B1F" w:rsidRDefault="00000000">
    <w:pPr>
      <w:pStyle w:val="Header"/>
      <w:jc w:val="right"/>
    </w:pPr>
    <w:r>
      <w:rPr>
        <w:rFonts w:ascii="Times New Roman" w:hAnsi="Times New Roman" w:cs="Times New Roman"/>
        <w:noProof/>
        <w:sz w:val="24"/>
        <w:szCs w:val="24"/>
      </w:rPr>
      <w:drawing>
        <wp:inline distT="0" distB="0" distL="0" distR="0">
          <wp:extent cx="1097280" cy="438785"/>
          <wp:effectExtent l="0" t="0" r="7620" b="0"/>
          <wp:docPr id="212569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99630" name="Picture 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122505" cy="449002"/>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461"/>
    <w:rsid w:val="00000FBB"/>
    <w:rsid w:val="0003159F"/>
    <w:rsid w:val="000946D1"/>
    <w:rsid w:val="00127343"/>
    <w:rsid w:val="00173FEC"/>
    <w:rsid w:val="0019020E"/>
    <w:rsid w:val="001D4009"/>
    <w:rsid w:val="00241926"/>
    <w:rsid w:val="002D4064"/>
    <w:rsid w:val="00351E5F"/>
    <w:rsid w:val="00383564"/>
    <w:rsid w:val="003B2B82"/>
    <w:rsid w:val="003B471F"/>
    <w:rsid w:val="003E3209"/>
    <w:rsid w:val="0041538D"/>
    <w:rsid w:val="00431B1F"/>
    <w:rsid w:val="00477CE1"/>
    <w:rsid w:val="00493565"/>
    <w:rsid w:val="005454E8"/>
    <w:rsid w:val="0056230C"/>
    <w:rsid w:val="005A0461"/>
    <w:rsid w:val="005D6D92"/>
    <w:rsid w:val="005F1DA9"/>
    <w:rsid w:val="005F30DA"/>
    <w:rsid w:val="00642A41"/>
    <w:rsid w:val="00694FE7"/>
    <w:rsid w:val="00715F13"/>
    <w:rsid w:val="00717534"/>
    <w:rsid w:val="007817CE"/>
    <w:rsid w:val="007B5B77"/>
    <w:rsid w:val="007D1CBA"/>
    <w:rsid w:val="007F228C"/>
    <w:rsid w:val="00807F16"/>
    <w:rsid w:val="008274BA"/>
    <w:rsid w:val="00845DBA"/>
    <w:rsid w:val="008504B7"/>
    <w:rsid w:val="0085082D"/>
    <w:rsid w:val="00887DE3"/>
    <w:rsid w:val="008B2D8D"/>
    <w:rsid w:val="008E2716"/>
    <w:rsid w:val="008E7854"/>
    <w:rsid w:val="00920BC0"/>
    <w:rsid w:val="0096541D"/>
    <w:rsid w:val="009A3B27"/>
    <w:rsid w:val="009B2764"/>
    <w:rsid w:val="009B6A65"/>
    <w:rsid w:val="009B752C"/>
    <w:rsid w:val="009E7135"/>
    <w:rsid w:val="00A123A6"/>
    <w:rsid w:val="00A50F76"/>
    <w:rsid w:val="00A86D5B"/>
    <w:rsid w:val="00AB3FD8"/>
    <w:rsid w:val="00AF12FD"/>
    <w:rsid w:val="00AF4CC3"/>
    <w:rsid w:val="00B666E7"/>
    <w:rsid w:val="00B86D16"/>
    <w:rsid w:val="00C917B3"/>
    <w:rsid w:val="00D57A8B"/>
    <w:rsid w:val="00DD21B7"/>
    <w:rsid w:val="00E0567C"/>
    <w:rsid w:val="00E4328C"/>
    <w:rsid w:val="00EE1B52"/>
    <w:rsid w:val="00EF3E81"/>
    <w:rsid w:val="00F84E4E"/>
    <w:rsid w:val="5E1B07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1D20CFE-FF54-4737-BE88-884FA27D7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14:ligatures w14:val="standardContextual"/>
    </w:rPr>
  </w:style>
  <w:style w:type="paragraph" w:styleId="Heading1">
    <w:name w:val="heading 1"/>
    <w:basedOn w:val="Normal"/>
    <w:next w:val="Normal"/>
    <w:link w:val="Heading1Char"/>
    <w:uiPriority w:val="9"/>
    <w:qFormat/>
    <w:pPr>
      <w:keepNext/>
      <w:keepLines/>
      <w:spacing w:before="480" w:after="200" w:line="360" w:lineRule="auto"/>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autoRedefine/>
    <w:unhideWhenUsed/>
    <w:qFormat/>
    <w:pPr>
      <w:keepNext/>
      <w:keepLines/>
      <w:spacing w:before="280" w:after="240" w:line="360" w:lineRule="auto"/>
      <w:outlineLvl w:val="1"/>
    </w:pPr>
    <w:rPr>
      <w:rFonts w:ascii="Times New Roman" w:eastAsiaTheme="majorEastAsia" w:hAnsi="Times New Roman" w:cstheme="majorBidi"/>
      <w:b/>
      <w:color w:val="000000" w:themeColor="text1"/>
      <w:sz w:val="28"/>
      <w:szCs w:val="26"/>
      <w:lang w:val="en-GB" w:eastAsia="en-GB"/>
    </w:rPr>
  </w:style>
  <w:style w:type="paragraph" w:styleId="Heading3">
    <w:name w:val="heading 3"/>
    <w:basedOn w:val="Normal"/>
    <w:next w:val="Normal"/>
    <w:link w:val="Heading3Char"/>
    <w:uiPriority w:val="9"/>
    <w:unhideWhenUsed/>
    <w:qFormat/>
    <w:pPr>
      <w:keepNext/>
      <w:keepLines/>
      <w:spacing w:before="160" w:after="80" w:line="240" w:lineRule="auto"/>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rPr>
      <w:color w:val="954F72" w:themeColor="followedHyperlink"/>
      <w:u w:val="single"/>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pPr>
      <w:spacing w:after="0"/>
    </w:p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tabs>
        <w:tab w:val="right" w:leader="dot" w:pos="9350"/>
      </w:tabs>
      <w:spacing w:after="100" w:line="360" w:lineRule="auto"/>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32"/>
      <w:szCs w:val="40"/>
    </w:rPr>
  </w:style>
  <w:style w:type="character" w:customStyle="1" w:styleId="Heading3Char">
    <w:name w:val="Heading 3 Char"/>
    <w:basedOn w:val="DefaultParagraphFont"/>
    <w:link w:val="Heading3"/>
    <w:uiPriority w:val="9"/>
    <w:rPr>
      <w:rFonts w:ascii="Times New Roman" w:eastAsiaTheme="majorEastAsia" w:hAnsi="Times New Roman" w:cstheme="majorBidi"/>
      <w:b/>
      <w:szCs w:val="28"/>
    </w:rPr>
  </w:style>
  <w:style w:type="character" w:customStyle="1" w:styleId="Heading2Char">
    <w:name w:val="Heading 2 Char"/>
    <w:basedOn w:val="DefaultParagraphFont"/>
    <w:link w:val="Heading2"/>
    <w:rPr>
      <w:rFonts w:ascii="Times New Roman" w:eastAsiaTheme="majorEastAsia" w:hAnsi="Times New Roman" w:cstheme="majorBidi"/>
      <w:b/>
      <w:color w:val="000000" w:themeColor="text1"/>
      <w:sz w:val="28"/>
      <w:szCs w:val="26"/>
      <w:lang w:val="en-GB" w:eastAsia="en-GB"/>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ds-markdown-paragraph">
    <w:name w:val="ds-markdown-paragraph"/>
    <w:basedOn w:val="Normal"/>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hAnsiTheme="majorHAnsi"/>
      <w:b w:val="0"/>
      <w:color w:val="2F5496" w:themeColor="accent1" w:themeShade="BF"/>
      <w:kern w:val="0"/>
      <w:szCs w:val="32"/>
      <w14:ligatures w14:val="none"/>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table" w:customStyle="1" w:styleId="GridTable5Dark-Accent11">
    <w:name w:val="Grid Table 5 Dark - Accent 11"/>
    <w:basedOn w:val="TableNormal"/>
    <w:uiPriority w:val="50"/>
    <w:qFormat/>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PlainTable51">
    <w:name w:val="Plain Table 51"/>
    <w:basedOn w:val="TableNormal"/>
    <w:uiPriority w:val="45"/>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capabilities/quantumblack/our-insights/the-state-of-ai"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ckinsey.com/featured-insights/future-of-wor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edium.com/@knocksfuture/world-economic-forum-future-of-jobs-report-2024-2d9be79281b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manpowergroup.com/talent-shortage" TargetMode="External"/><Relationship Id="rId5" Type="http://schemas.openxmlformats.org/officeDocument/2006/relationships/footnotes" Target="footnotes.xml"/><Relationship Id="rId15" Type="http://schemas.openxmlformats.org/officeDocument/2006/relationships/hyperlink" Target="https://www.oecd.org/pensions/pensions-at-a-glance.htm" TargetMode="External"/><Relationship Id="rId10" Type="http://schemas.openxmlformats.org/officeDocument/2006/relationships/hyperlink" Target="https://www2.deloitte.com/us/en/insights/focus/human-capital-trend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crosoft.com/en-us/worklab/work-trend-inde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0912B-6A5F-48B2-B8D7-2013581FB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20</Pages>
  <Words>4480</Words>
  <Characters>28269</Characters>
  <DocSecurity>0</DocSecurity>
  <Lines>642</Lines>
  <Paragraphs>272</Paragraphs>
  <ScaleCrop>false</ScaleCrop>
  <Company/>
  <LinksUpToDate>false</LinksUpToDate>
  <CharactersWithSpaces>32477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2025-11-02T22:05:00Z</dcterms:created>
  <dcterms:modified xsi:type="dcterms:W3CDTF">2025-11-03T14:34:00Z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bcec0724-776f-4e8b-9d5c-2d3d37efca5b</vt:lpwstr>
  </property>
  <property fmtid="{D5CDD505-2E9C-101B-9397-08002B2CF9AE}" pid="3" name="KSOProductBuildVer">
    <vt:lpwstr>1033-12.2.0.23131</vt:lpwstr>
  </property>
  <property fmtid="{D5CDD505-2E9C-101B-9397-08002B2CF9AE}" pid="4" name="ICV">
    <vt:lpwstr>8F7DB5EFDA774EDF8DAB4FE3CBF8CF58_12</vt:lpwstr>
  </property>
</Properties>
</file>