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6138834"/>
        <w:docPartObj>
          <w:docPartGallery w:val="Cover Pages"/>
          <w:docPartUnique/>
        </w:docPartObj>
      </w:sdtPr>
      <w:sdtEndPr/>
      <w:sdtContent>
        <w:p w14:paraId="22E7E07A" w14:textId="7CDDAAEF" w:rsidR="00D803A8" w:rsidRPr="00C20EC6" w:rsidRDefault="00D803A8" w:rsidP="00AF0F10">
          <w:pPr>
            <w:jc w:val="center"/>
          </w:pPr>
          <w:r w:rsidRPr="00C20EC6">
            <w:rPr>
              <w:noProof/>
            </w:rPr>
            <mc:AlternateContent>
              <mc:Choice Requires="wpg">
                <w:drawing>
                  <wp:anchor distT="0" distB="0" distL="114300" distR="114300" simplePos="0" relativeHeight="251659264" behindDoc="1" locked="0" layoutInCell="1" allowOverlap="1" wp14:anchorId="349B7460" wp14:editId="7A321775">
                    <wp:simplePos x="0" y="0"/>
                    <wp:positionH relativeFrom="margin">
                      <wp:align>center</wp:align>
                    </wp:positionH>
                    <wp:positionV relativeFrom="page">
                      <wp:align>top</wp:align>
                    </wp:positionV>
                    <wp:extent cx="6924675" cy="9719310"/>
                    <wp:effectExtent l="0" t="0" r="9525" b="0"/>
                    <wp:wrapNone/>
                    <wp:docPr id="193" name="Group 198"/>
                    <wp:cNvGraphicFramePr/>
                    <a:graphic xmlns:a="http://schemas.openxmlformats.org/drawingml/2006/main">
                      <a:graphicData uri="http://schemas.microsoft.com/office/word/2010/wordprocessingGroup">
                        <wpg:wgp>
                          <wpg:cNvGrpSpPr/>
                          <wpg:grpSpPr>
                            <a:xfrm>
                              <a:off x="0" y="0"/>
                              <a:ext cx="6924675" cy="9719310"/>
                              <a:chOff x="0" y="0"/>
                              <a:chExt cx="6924675" cy="9719310"/>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66675" y="7934325"/>
                                <a:ext cx="6858000" cy="178498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lang w:val="en-GB"/>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34C7BC1" w14:textId="11DAFAA2" w:rsidR="00D803A8" w:rsidRPr="00C20EC6" w:rsidRDefault="00D26C4C">
                                      <w:pPr>
                                        <w:pStyle w:val="NoSpacing"/>
                                        <w:spacing w:before="120"/>
                                        <w:jc w:val="center"/>
                                        <w:rPr>
                                          <w:color w:val="FFFFFF" w:themeColor="background1"/>
                                          <w:lang w:val="en-GB"/>
                                        </w:rPr>
                                      </w:pPr>
                                      <w:r w:rsidRPr="00C20EC6">
                                        <w:rPr>
                                          <w:color w:val="FFFFFF" w:themeColor="background1"/>
                                          <w:lang w:val="en-GB"/>
                                        </w:rPr>
                                        <w:t>Philippa Fitzgerald</w:t>
                                      </w:r>
                                    </w:p>
                                  </w:sdtContent>
                                </w:sdt>
                                <w:p w14:paraId="18345FC0" w14:textId="0F6CA46E" w:rsidR="00D803A8" w:rsidRPr="00C20EC6" w:rsidRDefault="00751F7E">
                                  <w:pPr>
                                    <w:pStyle w:val="NoSpacing"/>
                                    <w:spacing w:before="120"/>
                                    <w:jc w:val="center"/>
                                    <w:rPr>
                                      <w:color w:val="FFFFFF" w:themeColor="background1"/>
                                      <w:lang w:val="en-GB"/>
                                    </w:rPr>
                                  </w:pPr>
                                  <w:sdt>
                                    <w:sdtPr>
                                      <w:rPr>
                                        <w:caps/>
                                        <w:color w:val="FFFFFF" w:themeColor="background1"/>
                                        <w:lang w:val="en-GB"/>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E757C" w:rsidRPr="00C20EC6">
                                        <w:rPr>
                                          <w:caps/>
                                          <w:color w:val="FFFFFF" w:themeColor="background1"/>
                                          <w:lang w:val="en-GB"/>
                                        </w:rPr>
                                        <w:t>UWTSD</w:t>
                                      </w:r>
                                    </w:sdtContent>
                                  </w:sdt>
                                  <w:r w:rsidR="00D803A8" w:rsidRPr="00C20EC6">
                                    <w:rPr>
                                      <w:color w:val="FFFFFF" w:themeColor="background1"/>
                                      <w:lang w:val="en-GB"/>
                                    </w:rPr>
                                    <w:t>  </w:t>
                                  </w:r>
                                  <w:sdt>
                                    <w:sdtPr>
                                      <w:rPr>
                                        <w:color w:val="FFFFFF" w:themeColor="background1"/>
                                        <w:lang w:val="en-GB"/>
                                      </w:rPr>
                                      <w:alias w:val="Address"/>
                                      <w:tag w:val=""/>
                                      <w:id w:val="-253358678"/>
                                      <w:dataBinding w:prefixMappings="xmlns:ns0='http://schemas.microsoft.com/office/2006/coverPageProps' " w:xpath="/ns0:CoverPageProperties[1]/ns0:CompanyAddress[1]" w:storeItemID="{55AF091B-3C7A-41E3-B477-F2FDAA23CFDA}"/>
                                      <w:text/>
                                    </w:sdtPr>
                                    <w:sdtEndPr/>
                                    <w:sdtContent>
                                      <w:r w:rsidR="002E757C" w:rsidRPr="00C20EC6">
                                        <w:rPr>
                                          <w:color w:val="FFFFFF" w:themeColor="background1"/>
                                          <w:lang w:val="en-GB"/>
                                        </w:rPr>
                                        <w:t>1905945</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743075"/>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F917565" w14:textId="40F8D9E1" w:rsidR="00D803A8" w:rsidRPr="00C20EC6" w:rsidRDefault="00256336">
                                      <w:pPr>
                                        <w:pStyle w:val="NoSpacing"/>
                                        <w:jc w:val="center"/>
                                        <w:rPr>
                                          <w:rFonts w:asciiTheme="majorHAnsi" w:eastAsiaTheme="majorEastAsia" w:hAnsiTheme="majorHAnsi" w:cstheme="majorBidi"/>
                                          <w:caps/>
                                          <w:color w:val="156082" w:themeColor="accent1"/>
                                          <w:sz w:val="72"/>
                                          <w:szCs w:val="72"/>
                                          <w:lang w:val="en-GB"/>
                                        </w:rPr>
                                      </w:pPr>
                                      <w:r w:rsidRPr="00C20EC6">
                                        <w:rPr>
                                          <w:rFonts w:asciiTheme="majorHAnsi" w:eastAsiaTheme="majorEastAsia" w:hAnsiTheme="majorHAnsi" w:cstheme="majorBidi"/>
                                          <w:caps/>
                                          <w:color w:val="156082" w:themeColor="accent1"/>
                                          <w:sz w:val="72"/>
                                          <w:szCs w:val="72"/>
                                          <w:lang w:val="en-GB"/>
                                        </w:rPr>
                                        <w:t>MODULE CODE: Action Research Project ECPT6009/7006</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49B7460" id="Group 198" o:spid="_x0000_s1026" style="position:absolute;left:0;text-align:left;margin-left:0;margin-top:0;width:545.25pt;height:765.3pt;z-index:-251657216;mso-position-horizontal:center;mso-position-horizontal-relative:margin;mso-position-vertical:top;mso-position-vertical-relative:page" coordsize="69246,971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left:666;top:79343;width:68580;height:1785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lang w:val="en-GB"/>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34C7BC1" w14:textId="11DAFAA2" w:rsidR="00D803A8" w:rsidRPr="00C20EC6" w:rsidRDefault="00D26C4C">
                                <w:pPr>
                                  <w:pStyle w:val="NoSpacing"/>
                                  <w:spacing w:before="120"/>
                                  <w:jc w:val="center"/>
                                  <w:rPr>
                                    <w:color w:val="FFFFFF" w:themeColor="background1"/>
                                    <w:lang w:val="en-GB"/>
                                  </w:rPr>
                                </w:pPr>
                                <w:r w:rsidRPr="00C20EC6">
                                  <w:rPr>
                                    <w:color w:val="FFFFFF" w:themeColor="background1"/>
                                    <w:lang w:val="en-GB"/>
                                  </w:rPr>
                                  <w:t>Philippa Fitzgerald</w:t>
                                </w:r>
                              </w:p>
                            </w:sdtContent>
                          </w:sdt>
                          <w:p w14:paraId="18345FC0" w14:textId="0F6CA46E" w:rsidR="00D803A8" w:rsidRPr="00C20EC6" w:rsidRDefault="00000000">
                            <w:pPr>
                              <w:pStyle w:val="NoSpacing"/>
                              <w:spacing w:before="120"/>
                              <w:jc w:val="center"/>
                              <w:rPr>
                                <w:color w:val="FFFFFF" w:themeColor="background1"/>
                                <w:lang w:val="en-GB"/>
                              </w:rPr>
                            </w:pPr>
                            <w:sdt>
                              <w:sdtPr>
                                <w:rPr>
                                  <w:caps/>
                                  <w:color w:val="FFFFFF" w:themeColor="background1"/>
                                  <w:lang w:val="en-GB"/>
                                </w:rPr>
                                <w:alias w:val="Company"/>
                                <w:tag w:val=""/>
                                <w:id w:val="1618182777"/>
                                <w:dataBinding w:prefixMappings="xmlns:ns0='http://schemas.openxmlformats.org/officeDocument/2006/extended-properties' " w:xpath="/ns0:Properties[1]/ns0:Company[1]" w:storeItemID="{6668398D-A668-4E3E-A5EB-62B293D839F1}"/>
                                <w:text/>
                              </w:sdtPr>
                              <w:sdtContent>
                                <w:r w:rsidR="002E757C" w:rsidRPr="00C20EC6">
                                  <w:rPr>
                                    <w:caps/>
                                    <w:color w:val="FFFFFF" w:themeColor="background1"/>
                                    <w:lang w:val="en-GB"/>
                                  </w:rPr>
                                  <w:t>UWTSD</w:t>
                                </w:r>
                              </w:sdtContent>
                            </w:sdt>
                            <w:r w:rsidR="00D803A8" w:rsidRPr="00C20EC6">
                              <w:rPr>
                                <w:color w:val="FFFFFF" w:themeColor="background1"/>
                                <w:lang w:val="en-GB"/>
                              </w:rPr>
                              <w:t>  </w:t>
                            </w:r>
                            <w:sdt>
                              <w:sdtPr>
                                <w:rPr>
                                  <w:color w:val="FFFFFF" w:themeColor="background1"/>
                                  <w:lang w:val="en-GB"/>
                                </w:rPr>
                                <w:alias w:val="Address"/>
                                <w:tag w:val=""/>
                                <w:id w:val="-253358678"/>
                                <w:dataBinding w:prefixMappings="xmlns:ns0='http://schemas.microsoft.com/office/2006/coverPageProps' " w:xpath="/ns0:CoverPageProperties[1]/ns0:CompanyAddress[1]" w:storeItemID="{55AF091B-3C7A-41E3-B477-F2FDAA23CFDA}"/>
                                <w:text/>
                              </w:sdtPr>
                              <w:sdtContent>
                                <w:r w:rsidR="002E757C" w:rsidRPr="00C20EC6">
                                  <w:rPr>
                                    <w:color w:val="FFFFFF" w:themeColor="background1"/>
                                    <w:lang w:val="en-GB"/>
                                  </w:rPr>
                                  <w:t>1905945</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7430;width:68580;height:272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F917565" w14:textId="40F8D9E1" w:rsidR="00D803A8" w:rsidRPr="00C20EC6" w:rsidRDefault="00256336">
                                <w:pPr>
                                  <w:pStyle w:val="NoSpacing"/>
                                  <w:jc w:val="center"/>
                                  <w:rPr>
                                    <w:rFonts w:asciiTheme="majorHAnsi" w:eastAsiaTheme="majorEastAsia" w:hAnsiTheme="majorHAnsi" w:cstheme="majorBidi"/>
                                    <w:caps/>
                                    <w:color w:val="156082" w:themeColor="accent1"/>
                                    <w:sz w:val="72"/>
                                    <w:szCs w:val="72"/>
                                    <w:lang w:val="en-GB"/>
                                  </w:rPr>
                                </w:pPr>
                                <w:r w:rsidRPr="00C20EC6">
                                  <w:rPr>
                                    <w:rFonts w:asciiTheme="majorHAnsi" w:eastAsiaTheme="majorEastAsia" w:hAnsiTheme="majorHAnsi" w:cstheme="majorBidi"/>
                                    <w:caps/>
                                    <w:color w:val="156082" w:themeColor="accent1"/>
                                    <w:sz w:val="72"/>
                                    <w:szCs w:val="72"/>
                                    <w:lang w:val="en-GB"/>
                                  </w:rPr>
                                  <w:t>MODULE CODE: Action Research Project ECPT6009/7006</w:t>
                                </w:r>
                              </w:p>
                            </w:sdtContent>
                          </w:sdt>
                        </w:txbxContent>
                      </v:textbox>
                    </v:shape>
                    <w10:wrap anchorx="margin" anchory="page"/>
                  </v:group>
                </w:pict>
              </mc:Fallback>
            </mc:AlternateContent>
          </w:r>
          <w:r w:rsidR="00AF0F10" w:rsidRPr="00C20EC6">
            <w:rPr>
              <w:noProof/>
            </w:rPr>
            <w:drawing>
              <wp:inline distT="0" distB="0" distL="0" distR="0" wp14:anchorId="636DF43D" wp14:editId="073780EC">
                <wp:extent cx="2981325" cy="1188720"/>
                <wp:effectExtent l="0" t="0" r="9525" b="0"/>
                <wp:docPr id="15564790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1325" cy="1188720"/>
                        </a:xfrm>
                        <a:prstGeom prst="rect">
                          <a:avLst/>
                        </a:prstGeom>
                        <a:noFill/>
                      </pic:spPr>
                    </pic:pic>
                  </a:graphicData>
                </a:graphic>
              </wp:inline>
            </w:drawing>
          </w:r>
        </w:p>
        <w:p w14:paraId="62C062DB" w14:textId="77777777" w:rsidR="00460B79" w:rsidRPr="00C20EC6" w:rsidRDefault="007D112C">
          <w:r w:rsidRPr="00C20EC6">
            <w:rPr>
              <w:noProof/>
            </w:rPr>
            <mc:AlternateContent>
              <mc:Choice Requires="wps">
                <w:drawing>
                  <wp:anchor distT="45720" distB="45720" distL="114300" distR="114300" simplePos="0" relativeHeight="251661312" behindDoc="0" locked="0" layoutInCell="1" allowOverlap="1" wp14:anchorId="0E769CA4" wp14:editId="5AA10665">
                    <wp:simplePos x="0" y="0"/>
                    <wp:positionH relativeFrom="margin">
                      <wp:posOffset>847725</wp:posOffset>
                    </wp:positionH>
                    <wp:positionV relativeFrom="paragraph">
                      <wp:posOffset>2128520</wp:posOffset>
                    </wp:positionV>
                    <wp:extent cx="4381500" cy="1404620"/>
                    <wp:effectExtent l="0" t="0" r="19050"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0" cy="1404620"/>
                            </a:xfrm>
                            <a:prstGeom prst="rect">
                              <a:avLst/>
                            </a:prstGeom>
                            <a:solidFill>
                              <a:srgbClr val="FFFFFF"/>
                            </a:solidFill>
                            <a:ln w="9525">
                              <a:solidFill>
                                <a:srgbClr val="000000"/>
                              </a:solidFill>
                              <a:miter lim="800000"/>
                              <a:headEnd/>
                              <a:tailEnd/>
                            </a:ln>
                          </wps:spPr>
                          <wps:txbx>
                            <w:txbxContent>
                              <w:p w14:paraId="1F8115BA" w14:textId="77777777" w:rsidR="007D112C" w:rsidRPr="00C20EC6" w:rsidRDefault="007D112C">
                                <w:pPr>
                                  <w:rPr>
                                    <w:sz w:val="44"/>
                                    <w:szCs w:val="44"/>
                                  </w:rPr>
                                </w:pPr>
                                <w:r w:rsidRPr="00C20EC6">
                                  <w:rPr>
                                    <w:sz w:val="44"/>
                                    <w:szCs w:val="44"/>
                                  </w:rPr>
                                  <w:t xml:space="preserve">ASSESSMENT COMPONENT: </w:t>
                                </w:r>
                              </w:p>
                              <w:p w14:paraId="5C27B425" w14:textId="6E7F2A27" w:rsidR="007D112C" w:rsidRDefault="007D112C">
                                <w:pPr>
                                  <w:rPr>
                                    <w:sz w:val="44"/>
                                    <w:szCs w:val="44"/>
                                  </w:rPr>
                                </w:pPr>
                                <w:r w:rsidRPr="00C20EC6">
                                  <w:rPr>
                                    <w:sz w:val="44"/>
                                    <w:szCs w:val="44"/>
                                  </w:rPr>
                                  <w:t>AC1 The ARP Report</w:t>
                                </w:r>
                              </w:p>
                              <w:p w14:paraId="369D4546" w14:textId="71D83FEF" w:rsidR="00772C4C" w:rsidRPr="00772C4C" w:rsidRDefault="00772C4C" w:rsidP="00772C4C">
                                <w:pPr>
                                  <w:jc w:val="center"/>
                                  <w:rPr>
                                    <w:sz w:val="36"/>
                                    <w:szCs w:val="36"/>
                                  </w:rPr>
                                </w:pPr>
                                <w:r w:rsidRPr="00772C4C">
                                  <w:rPr>
                                    <w:sz w:val="36"/>
                                    <w:szCs w:val="36"/>
                                  </w:rPr>
                                  <w:t>The attitudes of online learners and how does online teaching affect student or teacher engagement and learning outcomes in post-16 education</w:t>
                                </w:r>
                                <w:r>
                                  <w:rPr>
                                    <w:sz w:val="36"/>
                                    <w:szCs w:val="36"/>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E769CA4" id="_x0000_t202" coordsize="21600,21600" o:spt="202" path="m,l,21600r21600,l21600,xe">
                    <v:stroke joinstyle="miter"/>
                    <v:path gradientshapeok="t" o:connecttype="rect"/>
                  </v:shapetype>
                  <v:shape id="Text Box 2" o:spid="_x0000_s1030" type="#_x0000_t202" style="position:absolute;margin-left:66.75pt;margin-top:167.6pt;width:345pt;height:110.6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">
                    <v:textbox style="mso-fit-shape-to-text:t">
                      <w:txbxContent>
                        <w:p w14:paraId="1F8115BA" w14:textId="77777777" w:rsidR="007D112C" w:rsidRPr="00C20EC6" w:rsidRDefault="007D112C">
                          <w:pPr>
                            <w:rPr>
                              <w:sz w:val="44"/>
                              <w:szCs w:val="44"/>
                            </w:rPr>
                          </w:pPr>
                          <w:r w:rsidRPr="00C20EC6">
                            <w:rPr>
                              <w:sz w:val="44"/>
                              <w:szCs w:val="44"/>
                            </w:rPr>
                            <w:t xml:space="preserve">ASSESSMENT COMPONENT: </w:t>
                          </w:r>
                        </w:p>
                        <w:p w14:paraId="5C27B425" w14:textId="6E7F2A27" w:rsidR="007D112C" w:rsidRDefault="007D112C">
                          <w:pPr>
                            <w:rPr>
                              <w:sz w:val="44"/>
                              <w:szCs w:val="44"/>
                            </w:rPr>
                          </w:pPr>
                          <w:r w:rsidRPr="00C20EC6">
                            <w:rPr>
                              <w:sz w:val="44"/>
                              <w:szCs w:val="44"/>
                            </w:rPr>
                            <w:t>AC1 The ARP Report</w:t>
                          </w:r>
                        </w:p>
                        <w:p w14:paraId="369D4546" w14:textId="71D83FEF" w:rsidR="00772C4C" w:rsidRPr="00772C4C" w:rsidRDefault="00772C4C" w:rsidP="00772C4C">
                          <w:pPr>
                            <w:jc w:val="center"/>
                            <w:rPr>
                              <w:sz w:val="36"/>
                              <w:szCs w:val="36"/>
                            </w:rPr>
                          </w:pPr>
                          <w:r w:rsidRPr="00772C4C">
                            <w:rPr>
                              <w:sz w:val="36"/>
                              <w:szCs w:val="36"/>
                            </w:rPr>
                            <w:t>The attitudes of online learners and how does online teaching affect student or teacher engagement and learning outcomes in post-16 education</w:t>
                          </w:r>
                          <w:r>
                            <w:rPr>
                              <w:sz w:val="36"/>
                              <w:szCs w:val="36"/>
                            </w:rPr>
                            <w:t>.</w:t>
                          </w:r>
                        </w:p>
                      </w:txbxContent>
                    </v:textbox>
                    <w10:wrap type="square" anchorx="margin"/>
                  </v:shape>
                </w:pict>
              </mc:Fallback>
            </mc:AlternateContent>
          </w:r>
          <w:r w:rsidR="00D803A8" w:rsidRPr="00C20EC6">
            <w:br w:type="page"/>
          </w:r>
        </w:p>
        <w:p w14:paraId="592A99E0" w14:textId="77777777" w:rsidR="00460B79" w:rsidRPr="00C20EC6" w:rsidRDefault="00460B79" w:rsidP="00460B79">
          <w:pPr>
            <w:spacing w:after="0" w:line="240" w:lineRule="auto"/>
            <w:ind w:left="90"/>
            <w:jc w:val="both"/>
            <w:textAlignment w:val="baseline"/>
            <w:rPr>
              <w:rFonts w:ascii="Arial" w:eastAsia="Times New Roman" w:hAnsi="Arial" w:cs="Arial"/>
              <w:color w:val="000000"/>
              <w:kern w:val="0"/>
              <w:sz w:val="22"/>
              <w:szCs w:val="22"/>
              <w:lang w:eastAsia="zh-CN"/>
              <w14:ligatures w14:val="none"/>
            </w:rPr>
          </w:pPr>
          <w:r w:rsidRPr="00C20EC6">
            <w:rPr>
              <w:rFonts w:ascii="Arial" w:eastAsia="Times New Roman" w:hAnsi="Arial" w:cs="Arial"/>
              <w:b/>
              <w:bCs/>
              <w:color w:val="000000"/>
              <w:kern w:val="0"/>
              <w:sz w:val="22"/>
              <w:szCs w:val="22"/>
              <w:lang w:eastAsia="zh-CN"/>
              <w14:ligatures w14:val="none"/>
            </w:rPr>
            <w:lastRenderedPageBreak/>
            <w:t>Use of Generative AI in Assessment</w:t>
          </w:r>
          <w:r w:rsidRPr="00C20EC6">
            <w:rPr>
              <w:rFonts w:ascii="Arial" w:eastAsia="Times New Roman" w:hAnsi="Arial" w:cs="Arial"/>
              <w:color w:val="000000"/>
              <w:kern w:val="0"/>
              <w:sz w:val="22"/>
              <w:szCs w:val="22"/>
              <w:lang w:eastAsia="zh-CN"/>
              <w14:ligatures w14:val="none"/>
            </w:rPr>
            <w:t> </w:t>
          </w:r>
        </w:p>
        <w:p w14:paraId="525E151E" w14:textId="77777777" w:rsidR="00460B79" w:rsidRPr="00C20EC6" w:rsidRDefault="00460B79" w:rsidP="00460B79">
          <w:pPr>
            <w:spacing w:after="0" w:line="240" w:lineRule="auto"/>
            <w:ind w:left="90"/>
            <w:jc w:val="both"/>
            <w:textAlignment w:val="baseline"/>
            <w:rPr>
              <w:rFonts w:ascii="Segoe UI" w:eastAsia="Times New Roman" w:hAnsi="Segoe UI" w:cs="Segoe UI"/>
              <w:color w:val="0F4761"/>
              <w:kern w:val="0"/>
              <w:sz w:val="18"/>
              <w:szCs w:val="18"/>
              <w:lang w:eastAsia="zh-CN"/>
              <w14:ligatures w14:val="none"/>
            </w:rPr>
          </w:pPr>
        </w:p>
        <w:p w14:paraId="7E5D0B91" w14:textId="77777777" w:rsidR="00460B79" w:rsidRPr="00C20EC6" w:rsidRDefault="00460B79" w:rsidP="00460B79">
          <w:pPr>
            <w:spacing w:after="0" w:line="240" w:lineRule="auto"/>
            <w:ind w:left="90"/>
            <w:jc w:val="both"/>
            <w:textAlignment w:val="baseline"/>
            <w:rPr>
              <w:rFonts w:ascii="Segoe UI" w:eastAsia="Times New Roman" w:hAnsi="Segoe UI" w:cs="Segoe UI"/>
              <w:color w:val="0F4761"/>
              <w:kern w:val="0"/>
              <w:sz w:val="18"/>
              <w:szCs w:val="18"/>
              <w:lang w:eastAsia="zh-CN"/>
              <w14:ligatures w14:val="none"/>
            </w:rPr>
          </w:pPr>
        </w:p>
        <w:p w14:paraId="5291BA8D" w14:textId="77777777" w:rsidR="00460B79" w:rsidRPr="00C20EC6" w:rsidRDefault="00460B79" w:rsidP="00460B79">
          <w:pPr>
            <w:spacing w:after="0" w:line="240" w:lineRule="auto"/>
            <w:ind w:left="90"/>
            <w:jc w:val="both"/>
            <w:textAlignment w:val="baseline"/>
            <w:rPr>
              <w:rFonts w:ascii="Segoe UI" w:eastAsia="Times New Roman" w:hAnsi="Segoe UI" w:cs="Segoe UI"/>
              <w:color w:val="0F4761"/>
              <w:kern w:val="0"/>
              <w:sz w:val="18"/>
              <w:szCs w:val="18"/>
              <w:lang w:eastAsia="zh-CN"/>
              <w14:ligatures w14:val="none"/>
            </w:rPr>
          </w:pPr>
        </w:p>
        <w:p w14:paraId="3BAE9D3F" w14:textId="77777777" w:rsidR="00460B79" w:rsidRPr="00C20EC6" w:rsidRDefault="00460B79" w:rsidP="00460B79">
          <w:pPr>
            <w:spacing w:after="0" w:line="240" w:lineRule="auto"/>
            <w:ind w:left="90"/>
            <w:textAlignment w:val="baseline"/>
            <w:rPr>
              <w:rFonts w:ascii="Segoe UI" w:eastAsia="Times New Roman" w:hAnsi="Segoe UI" w:cs="Segoe UI"/>
              <w:kern w:val="0"/>
              <w:sz w:val="18"/>
              <w:szCs w:val="18"/>
              <w:lang w:eastAsia="zh-CN"/>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7"/>
            <w:gridCol w:w="4917"/>
            <w:gridCol w:w="1306"/>
          </w:tblGrid>
          <w:tr w:rsidR="00460B79" w:rsidRPr="00C20EC6" w14:paraId="354DF02C" w14:textId="77777777" w:rsidTr="00460B79">
            <w:trPr>
              <w:trHeight w:val="300"/>
            </w:trPr>
            <w:tc>
              <w:tcPr>
                <w:tcW w:w="2235" w:type="dxa"/>
                <w:tcBorders>
                  <w:top w:val="single" w:sz="6" w:space="0" w:color="auto"/>
                  <w:left w:val="single" w:sz="6" w:space="0" w:color="auto"/>
                  <w:bottom w:val="single" w:sz="6" w:space="0" w:color="000000"/>
                  <w:right w:val="single" w:sz="6" w:space="0" w:color="000000"/>
                </w:tcBorders>
                <w:shd w:val="clear" w:color="auto" w:fill="auto"/>
                <w:hideMark/>
              </w:tcPr>
              <w:p w14:paraId="34D3548D"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shd w:val="clear" w:color="auto" w:fill="auto"/>
                <w:hideMark/>
              </w:tcPr>
              <w:p w14:paraId="2A5F76D2"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shd w:val="clear" w:color="auto" w:fill="auto"/>
                <w:hideMark/>
              </w:tcPr>
              <w:p w14:paraId="2B5E28B6"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 xml:space="preserve">Yes  </w:t>
                </w:r>
                <w:sdt>
                  <w:sdtPr>
                    <w:rPr>
                      <w:rFonts w:ascii="Arial" w:eastAsia="Times New Roman" w:hAnsi="Arial" w:cs="Arial"/>
                      <w:color w:val="000000"/>
                      <w:kern w:val="0"/>
                      <w:sz w:val="22"/>
                      <w:szCs w:val="22"/>
                      <w:lang w:eastAsia="zh-CN"/>
                      <w14:ligatures w14:val="none"/>
                    </w:rPr>
                    <w:id w:val="-284197479"/>
                    <w14:checkbox>
                      <w14:checked w14:val="0"/>
                      <w14:checkedState w14:val="2612" w14:font="MS Gothic"/>
                      <w14:uncheckedState w14:val="2610" w14:font="MS Gothic"/>
                    </w14:checkbox>
                  </w:sdtPr>
                  <w:sdtEndPr/>
                  <w:sdtContent>
                    <w:r w:rsidRPr="00C20EC6">
                      <w:rPr>
                        <w:rFonts w:ascii="Segoe UI Symbol" w:eastAsia="Times New Roman" w:hAnsi="Segoe UI Symbol" w:cs="Segoe UI Symbol"/>
                        <w:color w:val="000000"/>
                        <w:kern w:val="0"/>
                        <w:sz w:val="22"/>
                        <w:szCs w:val="22"/>
                        <w:lang w:eastAsia="zh-CN"/>
                        <w14:ligatures w14:val="none"/>
                      </w:rPr>
                      <w:t>☐</w:t>
                    </w:r>
                  </w:sdtContent>
                </w:sdt>
              </w:p>
              <w:p w14:paraId="564CA076"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 </w:t>
                </w:r>
              </w:p>
              <w:p w14:paraId="54B4C09B" w14:textId="77777777" w:rsidR="00460B79" w:rsidRPr="00C20EC6" w:rsidRDefault="00460B79" w:rsidP="00460B79">
                <w:pPr>
                  <w:spacing w:after="0" w:line="240" w:lineRule="auto"/>
                  <w:textAlignment w:val="baseline"/>
                  <w:rPr>
                    <w:rFonts w:ascii="MS Gothic" w:eastAsia="MS Gothic" w:hAnsi="MS Gothic" w:cs="Arial"/>
                    <w:color w:val="000000"/>
                    <w:kern w:val="0"/>
                    <w:sz w:val="22"/>
                    <w:szCs w:val="22"/>
                    <w:lang w:eastAsia="zh-CN"/>
                    <w14:ligatures w14:val="none"/>
                  </w:rPr>
                </w:pPr>
              </w:p>
            </w:tc>
          </w:tr>
          <w:tr w:rsidR="00460B79" w:rsidRPr="00C20EC6" w14:paraId="6CDA59B9" w14:textId="77777777" w:rsidTr="00460B79">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0A03971D"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46C8DFD1"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233F3C2E"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 xml:space="preserve">Yes  </w:t>
                </w:r>
                <w:sdt>
                  <w:sdtPr>
                    <w:rPr>
                      <w:rFonts w:ascii="Arial" w:eastAsia="Times New Roman" w:hAnsi="Arial" w:cs="Arial"/>
                      <w:color w:val="000000"/>
                      <w:kern w:val="0"/>
                      <w:sz w:val="22"/>
                      <w:szCs w:val="22"/>
                      <w:lang w:eastAsia="zh-CN"/>
                      <w14:ligatures w14:val="none"/>
                    </w:rPr>
                    <w:id w:val="-1013834311"/>
                    <w14:checkbox>
                      <w14:checked w14:val="0"/>
                      <w14:checkedState w14:val="2612" w14:font="MS Gothic"/>
                      <w14:uncheckedState w14:val="2610" w14:font="MS Gothic"/>
                    </w14:checkbox>
                  </w:sdtPr>
                  <w:sdtEndPr/>
                  <w:sdtContent>
                    <w:r w:rsidRPr="00C20EC6">
                      <w:rPr>
                        <w:rFonts w:ascii="Segoe UI Symbol" w:eastAsia="Times New Roman" w:hAnsi="Segoe UI Symbol" w:cs="Segoe UI Symbol"/>
                        <w:color w:val="000000"/>
                        <w:kern w:val="0"/>
                        <w:sz w:val="22"/>
                        <w:szCs w:val="22"/>
                        <w:lang w:eastAsia="zh-CN"/>
                        <w14:ligatures w14:val="none"/>
                      </w:rPr>
                      <w:t>☐</w:t>
                    </w:r>
                  </w:sdtContent>
                </w:sdt>
              </w:p>
              <w:p w14:paraId="4BF46FBA"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 </w:t>
                </w:r>
              </w:p>
              <w:p w14:paraId="7B6F0331" w14:textId="77777777" w:rsidR="00460B79" w:rsidRPr="00C20EC6" w:rsidRDefault="00460B79" w:rsidP="00460B79">
                <w:pPr>
                  <w:spacing w:after="0" w:line="240" w:lineRule="auto"/>
                  <w:textAlignment w:val="baseline"/>
                  <w:rPr>
                    <w:rFonts w:ascii="Arial" w:eastAsia="Times New Roman" w:hAnsi="Arial" w:cs="Arial"/>
                    <w:color w:val="000000"/>
                    <w:kern w:val="0"/>
                    <w:sz w:val="22"/>
                    <w:szCs w:val="22"/>
                    <w:lang w:eastAsia="zh-CN"/>
                    <w14:ligatures w14:val="none"/>
                  </w:rPr>
                </w:pPr>
              </w:p>
            </w:tc>
          </w:tr>
          <w:tr w:rsidR="00460B79" w:rsidRPr="00C20EC6" w14:paraId="02E27DB4" w14:textId="77777777" w:rsidTr="00460B79">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0FB0EFD8"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11EDD8A9"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C9D7ECB"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 xml:space="preserve">Yes  </w:t>
                </w:r>
                <w:sdt>
                  <w:sdtPr>
                    <w:rPr>
                      <w:rFonts w:ascii="Arial" w:eastAsia="Times New Roman" w:hAnsi="Arial" w:cs="Arial"/>
                      <w:color w:val="000000"/>
                      <w:kern w:val="0"/>
                      <w:sz w:val="22"/>
                      <w:szCs w:val="22"/>
                      <w:lang w:eastAsia="zh-CN"/>
                      <w14:ligatures w14:val="none"/>
                    </w:rPr>
                    <w:id w:val="-1874519917"/>
                    <w14:checkbox>
                      <w14:checked w14:val="0"/>
                      <w14:checkedState w14:val="2612" w14:font="MS Gothic"/>
                      <w14:uncheckedState w14:val="2610" w14:font="MS Gothic"/>
                    </w14:checkbox>
                  </w:sdtPr>
                  <w:sdtEndPr/>
                  <w:sdtContent>
                    <w:r w:rsidRPr="00C20EC6">
                      <w:rPr>
                        <w:rFonts w:ascii="Segoe UI Symbol" w:eastAsia="Times New Roman" w:hAnsi="Segoe UI Symbol" w:cs="Segoe UI Symbol"/>
                        <w:color w:val="000000"/>
                        <w:kern w:val="0"/>
                        <w:sz w:val="22"/>
                        <w:szCs w:val="22"/>
                        <w:lang w:eastAsia="zh-CN"/>
                        <w14:ligatures w14:val="none"/>
                      </w:rPr>
                      <w:t>☐</w:t>
                    </w:r>
                  </w:sdtContent>
                </w:sdt>
              </w:p>
              <w:p w14:paraId="711622CF"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 </w:t>
                </w:r>
              </w:p>
              <w:p w14:paraId="79426325" w14:textId="77777777" w:rsidR="00460B79" w:rsidRPr="00C20EC6" w:rsidRDefault="00460B79" w:rsidP="00460B79">
                <w:pPr>
                  <w:spacing w:after="0" w:line="240" w:lineRule="auto"/>
                  <w:textAlignment w:val="baseline"/>
                  <w:rPr>
                    <w:rFonts w:ascii="Arial" w:eastAsia="Times New Roman" w:hAnsi="Arial" w:cs="Arial"/>
                    <w:color w:val="000000"/>
                    <w:kern w:val="0"/>
                    <w:sz w:val="22"/>
                    <w:szCs w:val="22"/>
                    <w:lang w:eastAsia="zh-CN"/>
                    <w14:ligatures w14:val="none"/>
                  </w:rPr>
                </w:pPr>
              </w:p>
            </w:tc>
          </w:tr>
          <w:tr w:rsidR="00460B79" w:rsidRPr="00C20EC6" w14:paraId="2CDAA7BD" w14:textId="77777777" w:rsidTr="00460B79">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45FD0E39"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18178484"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59438455"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 </w:t>
                </w:r>
              </w:p>
              <w:p w14:paraId="0E389C8E"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 xml:space="preserve">No   </w:t>
                </w:r>
                <w:sdt>
                  <w:sdtPr>
                    <w:rPr>
                      <w:rFonts w:ascii="Arial" w:eastAsia="Times New Roman" w:hAnsi="Arial" w:cs="Arial"/>
                      <w:color w:val="000000"/>
                      <w:kern w:val="0"/>
                      <w:sz w:val="22"/>
                      <w:szCs w:val="22"/>
                      <w:lang w:eastAsia="zh-CN"/>
                      <w14:ligatures w14:val="none"/>
                    </w:rPr>
                    <w:id w:val="15579945"/>
                    <w14:checkbox>
                      <w14:checked w14:val="0"/>
                      <w14:checkedState w14:val="2612" w14:font="MS Gothic"/>
                      <w14:uncheckedState w14:val="2610" w14:font="MS Gothic"/>
                    </w14:checkbox>
                  </w:sdtPr>
                  <w:sdtEndPr/>
                  <w:sdtContent>
                    <w:r w:rsidRPr="00C20EC6">
                      <w:rPr>
                        <w:rFonts w:ascii="Segoe UI Symbol" w:eastAsia="Times New Roman" w:hAnsi="Segoe UI Symbol" w:cs="Segoe UI Symbol"/>
                        <w:color w:val="000000"/>
                        <w:kern w:val="0"/>
                        <w:sz w:val="22"/>
                        <w:szCs w:val="22"/>
                        <w:lang w:eastAsia="zh-CN"/>
                        <w14:ligatures w14:val="none"/>
                      </w:rPr>
                      <w:t>☐</w:t>
                    </w:r>
                  </w:sdtContent>
                </w:sdt>
              </w:p>
            </w:tc>
          </w:tr>
          <w:tr w:rsidR="00460B79" w:rsidRPr="00C20EC6" w14:paraId="13F51A34" w14:textId="77777777" w:rsidTr="00460B79">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5B61C152"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50424174"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18D5D0BE" w14:textId="77777777" w:rsidR="00460B79" w:rsidRPr="00C20EC6" w:rsidRDefault="00460B79" w:rsidP="00460B79">
                <w:pPr>
                  <w:spacing w:after="0" w:line="240" w:lineRule="auto"/>
                  <w:textAlignment w:val="baseline"/>
                  <w:rPr>
                    <w:rFonts w:ascii="Arial" w:eastAsia="Times New Roman" w:hAnsi="Arial" w:cs="Arial"/>
                    <w:color w:val="000000"/>
                    <w:kern w:val="0"/>
                    <w:sz w:val="22"/>
                    <w:szCs w:val="22"/>
                    <w:lang w:eastAsia="zh-CN"/>
                    <w14:ligatures w14:val="none"/>
                  </w:rPr>
                </w:pPr>
              </w:p>
              <w:p w14:paraId="5DB5B514"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 </w:t>
                </w:r>
              </w:p>
              <w:p w14:paraId="1EF0B8FA"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 xml:space="preserve">No   </w:t>
                </w:r>
                <w:sdt>
                  <w:sdtPr>
                    <w:rPr>
                      <w:rFonts w:ascii="Arial" w:eastAsia="Times New Roman" w:hAnsi="Arial" w:cs="Arial"/>
                      <w:color w:val="000000"/>
                      <w:kern w:val="0"/>
                      <w:sz w:val="22"/>
                      <w:szCs w:val="22"/>
                      <w:lang w:eastAsia="zh-CN"/>
                      <w14:ligatures w14:val="none"/>
                    </w:rPr>
                    <w:id w:val="1802728056"/>
                    <w14:checkbox>
                      <w14:checked w14:val="0"/>
                      <w14:checkedState w14:val="2612" w14:font="MS Gothic"/>
                      <w14:uncheckedState w14:val="2610" w14:font="MS Gothic"/>
                    </w14:checkbox>
                  </w:sdtPr>
                  <w:sdtEndPr/>
                  <w:sdtContent>
                    <w:r w:rsidRPr="00C20EC6">
                      <w:rPr>
                        <w:rFonts w:ascii="Segoe UI Symbol" w:eastAsia="Times New Roman" w:hAnsi="Segoe UI Symbol" w:cs="Segoe UI Symbol"/>
                        <w:color w:val="000000"/>
                        <w:kern w:val="0"/>
                        <w:sz w:val="22"/>
                        <w:szCs w:val="22"/>
                        <w:lang w:eastAsia="zh-CN"/>
                        <w14:ligatures w14:val="none"/>
                      </w:rPr>
                      <w:t>☐</w:t>
                    </w:r>
                  </w:sdtContent>
                </w:sdt>
              </w:p>
            </w:tc>
          </w:tr>
          <w:tr w:rsidR="00460B79" w:rsidRPr="00C20EC6" w14:paraId="57F452E7" w14:textId="77777777" w:rsidTr="00460B79">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3CFAE607"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005769AC"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347D97C5" w14:textId="77777777" w:rsidR="00460B79" w:rsidRPr="00C20EC6" w:rsidRDefault="00460B79" w:rsidP="00460B79">
                <w:pPr>
                  <w:spacing w:after="0" w:line="240" w:lineRule="auto"/>
                  <w:textAlignment w:val="baseline"/>
                  <w:rPr>
                    <w:rFonts w:ascii="Arial" w:eastAsia="Times New Roman" w:hAnsi="Arial" w:cs="Arial"/>
                    <w:color w:val="000000"/>
                    <w:kern w:val="0"/>
                    <w:sz w:val="22"/>
                    <w:szCs w:val="22"/>
                    <w:lang w:eastAsia="zh-CN"/>
                    <w14:ligatures w14:val="none"/>
                  </w:rPr>
                </w:pPr>
              </w:p>
              <w:p w14:paraId="51342174"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 xml:space="preserve">No   </w:t>
                </w:r>
                <w:sdt>
                  <w:sdtPr>
                    <w:rPr>
                      <w:rFonts w:ascii="Arial" w:eastAsia="Times New Roman" w:hAnsi="Arial" w:cs="Arial"/>
                      <w:color w:val="000000"/>
                      <w:kern w:val="0"/>
                      <w:sz w:val="22"/>
                      <w:szCs w:val="22"/>
                      <w:lang w:eastAsia="zh-CN"/>
                      <w14:ligatures w14:val="none"/>
                    </w:rPr>
                    <w:id w:val="-794676300"/>
                    <w14:checkbox>
                      <w14:checked w14:val="0"/>
                      <w14:checkedState w14:val="2612" w14:font="MS Gothic"/>
                      <w14:uncheckedState w14:val="2610" w14:font="MS Gothic"/>
                    </w14:checkbox>
                  </w:sdtPr>
                  <w:sdtEndPr/>
                  <w:sdtContent>
                    <w:r w:rsidRPr="00C20EC6">
                      <w:rPr>
                        <w:rFonts w:ascii="Segoe UI Symbol" w:eastAsia="Times New Roman" w:hAnsi="Segoe UI Symbol" w:cs="Segoe UI Symbol"/>
                        <w:color w:val="000000"/>
                        <w:kern w:val="0"/>
                        <w:sz w:val="22"/>
                        <w:szCs w:val="22"/>
                        <w:lang w:eastAsia="zh-CN"/>
                        <w14:ligatures w14:val="none"/>
                      </w:rPr>
                      <w:t>☐</w:t>
                    </w:r>
                  </w:sdtContent>
                </w:sdt>
              </w:p>
            </w:tc>
          </w:tr>
          <w:tr w:rsidR="00460B79" w:rsidRPr="00C20EC6" w14:paraId="296B3E33" w14:textId="77777777" w:rsidTr="00460B79">
            <w:trPr>
              <w:trHeight w:val="300"/>
            </w:trPr>
            <w:tc>
              <w:tcPr>
                <w:tcW w:w="2235" w:type="dxa"/>
                <w:tcBorders>
                  <w:top w:val="single" w:sz="6" w:space="0" w:color="000000"/>
                  <w:left w:val="single" w:sz="6" w:space="0" w:color="auto"/>
                  <w:bottom w:val="single" w:sz="6" w:space="0" w:color="auto"/>
                  <w:right w:val="single" w:sz="6" w:space="0" w:color="000000"/>
                </w:tcBorders>
                <w:shd w:val="clear" w:color="auto" w:fill="auto"/>
                <w:hideMark/>
              </w:tcPr>
              <w:p w14:paraId="531D5A1C"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NONE </w:t>
                </w:r>
              </w:p>
            </w:tc>
            <w:tc>
              <w:tcPr>
                <w:tcW w:w="5355" w:type="dxa"/>
                <w:tcBorders>
                  <w:top w:val="single" w:sz="6" w:space="0" w:color="000000"/>
                  <w:left w:val="single" w:sz="6" w:space="0" w:color="000000"/>
                  <w:bottom w:val="single" w:sz="6" w:space="0" w:color="auto"/>
                  <w:right w:val="single" w:sz="6" w:space="0" w:color="000000"/>
                </w:tcBorders>
                <w:shd w:val="clear" w:color="auto" w:fill="auto"/>
                <w:hideMark/>
              </w:tcPr>
              <w:p w14:paraId="2816B71F"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 xml:space="preserve">For this assessment, you are not allowed to use </w:t>
                </w:r>
                <w:r w:rsidRPr="00C20EC6">
                  <w:rPr>
                    <w:rFonts w:ascii="Arial" w:eastAsia="Times New Roman" w:hAnsi="Arial" w:cs="Arial"/>
                    <w:b/>
                    <w:bCs/>
                    <w:color w:val="000000"/>
                    <w:kern w:val="0"/>
                    <w:sz w:val="22"/>
                    <w:szCs w:val="22"/>
                    <w:lang w:eastAsia="zh-CN"/>
                    <w14:ligatures w14:val="none"/>
                  </w:rPr>
                  <w:t>any</w:t>
                </w:r>
                <w:r w:rsidRPr="00C20EC6">
                  <w:rPr>
                    <w:rFonts w:ascii="Arial" w:eastAsia="Times New Roman" w:hAnsi="Arial" w:cs="Arial"/>
                    <w:color w:val="000000"/>
                    <w:kern w:val="0"/>
                    <w:sz w:val="22"/>
                    <w:szCs w:val="22"/>
                    <w:lang w:eastAsia="zh-CN"/>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shd w:val="clear" w:color="auto" w:fill="auto"/>
                <w:hideMark/>
              </w:tcPr>
              <w:p w14:paraId="0A7BD6AA"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 xml:space="preserve">Yes  </w:t>
                </w:r>
                <w:sdt>
                  <w:sdtPr>
                    <w:rPr>
                      <w:rFonts w:ascii="Arial" w:eastAsia="Times New Roman" w:hAnsi="Arial" w:cs="Arial"/>
                      <w:color w:val="000000"/>
                      <w:kern w:val="0"/>
                      <w:sz w:val="22"/>
                      <w:szCs w:val="22"/>
                      <w:lang w:eastAsia="zh-CN"/>
                      <w14:ligatures w14:val="none"/>
                    </w:rPr>
                    <w:id w:val="-561561739"/>
                    <w14:checkbox>
                      <w14:checked w14:val="0"/>
                      <w14:checkedState w14:val="2612" w14:font="MS Gothic"/>
                      <w14:uncheckedState w14:val="2610" w14:font="MS Gothic"/>
                    </w14:checkbox>
                  </w:sdtPr>
                  <w:sdtEndPr/>
                  <w:sdtContent>
                    <w:r w:rsidRPr="00C20EC6">
                      <w:rPr>
                        <w:rFonts w:ascii="Segoe UI Symbol" w:eastAsia="Times New Roman" w:hAnsi="Segoe UI Symbol" w:cs="Segoe UI Symbol"/>
                        <w:color w:val="000000"/>
                        <w:kern w:val="0"/>
                        <w:sz w:val="22"/>
                        <w:szCs w:val="22"/>
                        <w:lang w:eastAsia="zh-CN"/>
                        <w14:ligatures w14:val="none"/>
                      </w:rPr>
                      <w:t>☐</w:t>
                    </w:r>
                  </w:sdtContent>
                </w:sdt>
              </w:p>
              <w:p w14:paraId="4BE6E64A" w14:textId="77777777" w:rsidR="00460B79" w:rsidRPr="00C20EC6" w:rsidRDefault="00460B79" w:rsidP="00460B79">
                <w:pPr>
                  <w:spacing w:after="0" w:line="240" w:lineRule="auto"/>
                  <w:textAlignment w:val="baseline"/>
                  <w:rPr>
                    <w:rFonts w:ascii="Times New Roman" w:eastAsia="Times New Roman" w:hAnsi="Times New Roman" w:cs="Times New Roman"/>
                    <w:kern w:val="0"/>
                    <w:lang w:eastAsia="zh-CN"/>
                    <w14:ligatures w14:val="none"/>
                  </w:rPr>
                </w:pPr>
                <w:r w:rsidRPr="00C20EC6">
                  <w:rPr>
                    <w:rFonts w:ascii="Arial" w:eastAsia="Times New Roman" w:hAnsi="Arial" w:cs="Arial"/>
                    <w:color w:val="000000"/>
                    <w:kern w:val="0"/>
                    <w:sz w:val="22"/>
                    <w:szCs w:val="22"/>
                    <w:lang w:eastAsia="zh-CN"/>
                    <w14:ligatures w14:val="none"/>
                  </w:rPr>
                  <w:t> </w:t>
                </w:r>
              </w:p>
              <w:p w14:paraId="741D7700" w14:textId="77777777" w:rsidR="00460B79" w:rsidRPr="00C20EC6" w:rsidRDefault="00460B79" w:rsidP="00460B79">
                <w:pPr>
                  <w:spacing w:after="0" w:line="240" w:lineRule="auto"/>
                  <w:textAlignment w:val="baseline"/>
                  <w:rPr>
                    <w:rFonts w:ascii="Arial" w:eastAsia="Times New Roman" w:hAnsi="Arial" w:cs="Arial"/>
                    <w:color w:val="000000"/>
                    <w:kern w:val="0"/>
                    <w:sz w:val="22"/>
                    <w:szCs w:val="22"/>
                    <w:lang w:eastAsia="zh-CN"/>
                    <w14:ligatures w14:val="none"/>
                  </w:rPr>
                </w:pPr>
              </w:p>
            </w:tc>
          </w:tr>
        </w:tbl>
        <w:p w14:paraId="123E0678" w14:textId="77777777" w:rsidR="00460B79" w:rsidRPr="00C20EC6" w:rsidRDefault="00460B79" w:rsidP="00460B79">
          <w:pPr>
            <w:spacing w:after="0" w:line="240" w:lineRule="auto"/>
            <w:textAlignment w:val="baseline"/>
            <w:rPr>
              <w:rFonts w:ascii="Segoe UI" w:eastAsia="Times New Roman" w:hAnsi="Segoe UI" w:cs="Segoe UI"/>
              <w:kern w:val="0"/>
              <w:sz w:val="18"/>
              <w:szCs w:val="18"/>
              <w:lang w:eastAsia="zh-CN"/>
              <w14:ligatures w14:val="none"/>
            </w:rPr>
          </w:pPr>
          <w:r w:rsidRPr="00C20EC6">
            <w:rPr>
              <w:rFonts w:ascii="Aptos" w:eastAsia="Times New Roman" w:hAnsi="Aptos" w:cs="Segoe UI"/>
              <w:kern w:val="0"/>
              <w:sz w:val="32"/>
              <w:szCs w:val="32"/>
              <w:lang w:eastAsia="zh-CN"/>
              <w14:ligatures w14:val="none"/>
            </w:rPr>
            <w:t> </w:t>
          </w:r>
        </w:p>
        <w:p w14:paraId="708AD832" w14:textId="77777777" w:rsidR="00460B79" w:rsidRPr="00C20EC6" w:rsidRDefault="00460B79" w:rsidP="00460B79">
          <w:pPr>
            <w:rPr>
              <w:rFonts w:ascii="Aptos" w:eastAsia="DengXian" w:hAnsi="Aptos" w:cs="Times New Roman"/>
              <w:b/>
              <w:sz w:val="32"/>
              <w:szCs w:val="32"/>
              <w:u w:val="single"/>
              <w:lang w:eastAsia="zh-CN"/>
            </w:rPr>
          </w:pPr>
        </w:p>
        <w:p w14:paraId="1994F59F" w14:textId="77777777" w:rsidR="00460B79" w:rsidRPr="00C20EC6" w:rsidRDefault="00460B79" w:rsidP="00460B79">
          <w:pPr>
            <w:rPr>
              <w:rFonts w:ascii="Aptos" w:eastAsia="DengXian" w:hAnsi="Aptos" w:cs="Times New Roman"/>
              <w:b/>
              <w:sz w:val="32"/>
              <w:szCs w:val="32"/>
              <w:u w:val="single"/>
              <w:lang w:eastAsia="zh-CN"/>
            </w:rPr>
          </w:pPr>
        </w:p>
        <w:p w14:paraId="029F8731" w14:textId="77777777" w:rsidR="00460B79" w:rsidRPr="00C20EC6" w:rsidRDefault="00460B79" w:rsidP="00460B79">
          <w:pPr>
            <w:rPr>
              <w:rFonts w:ascii="Aptos" w:eastAsia="DengXian" w:hAnsi="Aptos" w:cs="Times New Roman"/>
              <w:b/>
              <w:sz w:val="32"/>
              <w:szCs w:val="32"/>
              <w:u w:val="single"/>
              <w:lang w:eastAsia="zh-CN"/>
            </w:rPr>
          </w:pPr>
        </w:p>
        <w:p w14:paraId="3D121FA5" w14:textId="77777777" w:rsidR="00460B79" w:rsidRPr="00C20EC6" w:rsidRDefault="00460B79" w:rsidP="00460B79">
          <w:pPr>
            <w:rPr>
              <w:rFonts w:ascii="Aptos" w:eastAsia="DengXian" w:hAnsi="Aptos" w:cs="Times New Roman"/>
              <w:b/>
              <w:sz w:val="32"/>
              <w:szCs w:val="32"/>
              <w:u w:val="single"/>
              <w:lang w:eastAsia="zh-CN"/>
            </w:rPr>
          </w:pPr>
        </w:p>
        <w:p w14:paraId="7B54C34C" w14:textId="77777777" w:rsidR="00460B79" w:rsidRPr="00C20EC6" w:rsidRDefault="00460B79" w:rsidP="00460B79">
          <w:pPr>
            <w:rPr>
              <w:rFonts w:ascii="Aptos" w:eastAsia="DengXian" w:hAnsi="Aptos" w:cs="Times New Roman"/>
              <w:b/>
              <w:sz w:val="32"/>
              <w:szCs w:val="32"/>
              <w:u w:val="single"/>
              <w:lang w:eastAsia="zh-CN"/>
            </w:rPr>
          </w:pPr>
        </w:p>
        <w:p w14:paraId="7DD540F4" w14:textId="77777777" w:rsidR="00460B79" w:rsidRPr="00C20EC6" w:rsidRDefault="00460B79" w:rsidP="00460B79">
          <w:pPr>
            <w:rPr>
              <w:rFonts w:ascii="Aptos" w:eastAsia="DengXian" w:hAnsi="Aptos" w:cs="Times New Roman"/>
              <w:b/>
              <w:sz w:val="32"/>
              <w:szCs w:val="32"/>
              <w:u w:val="single"/>
              <w:lang w:eastAsia="zh-CN"/>
            </w:rPr>
          </w:pPr>
        </w:p>
        <w:p w14:paraId="7929C4B4" w14:textId="77777777" w:rsidR="00460B79" w:rsidRPr="00C20EC6" w:rsidRDefault="00460B79" w:rsidP="00460B79">
          <w:pPr>
            <w:rPr>
              <w:rFonts w:ascii="Aptos" w:eastAsia="DengXian" w:hAnsi="Aptos" w:cs="Times New Roman"/>
              <w:b/>
              <w:sz w:val="32"/>
              <w:szCs w:val="32"/>
              <w:u w:val="single"/>
              <w:lang w:eastAsia="zh-CN"/>
            </w:rPr>
          </w:pPr>
        </w:p>
        <w:p w14:paraId="526C152A" w14:textId="77777777" w:rsidR="00460B79" w:rsidRPr="00C20EC6" w:rsidRDefault="00460B79" w:rsidP="00460B79">
          <w:pPr>
            <w:rPr>
              <w:rFonts w:ascii="Aptos" w:eastAsia="DengXian" w:hAnsi="Aptos" w:cs="Times New Roman"/>
              <w:b/>
              <w:sz w:val="32"/>
              <w:szCs w:val="32"/>
              <w:u w:val="single"/>
              <w:lang w:eastAsia="zh-CN"/>
            </w:rPr>
          </w:pPr>
        </w:p>
        <w:p w14:paraId="12529A0D" w14:textId="77777777" w:rsidR="0020695A" w:rsidRPr="00C20EC6" w:rsidRDefault="0020695A" w:rsidP="00460B79">
          <w:pPr>
            <w:rPr>
              <w:rFonts w:ascii="Aptos" w:eastAsia="DengXian" w:hAnsi="Aptos" w:cs="Times New Roman"/>
              <w:b/>
              <w:bCs/>
              <w:sz w:val="32"/>
              <w:szCs w:val="32"/>
              <w:lang w:eastAsia="zh-CN"/>
            </w:rPr>
          </w:pPr>
        </w:p>
        <w:p w14:paraId="601933E3" w14:textId="77777777" w:rsidR="0020695A" w:rsidRPr="00C20EC6" w:rsidRDefault="0020695A" w:rsidP="00460B79">
          <w:pPr>
            <w:rPr>
              <w:rFonts w:ascii="Aptos" w:eastAsia="DengXian" w:hAnsi="Aptos" w:cs="Times New Roman"/>
              <w:b/>
              <w:bCs/>
              <w:sz w:val="32"/>
              <w:szCs w:val="32"/>
              <w:lang w:eastAsia="zh-CN"/>
            </w:rPr>
          </w:pPr>
        </w:p>
        <w:p w14:paraId="792D98BB" w14:textId="5BB5A1E8" w:rsidR="00460B79" w:rsidRPr="00F179C6" w:rsidRDefault="00460B79" w:rsidP="00460B79">
          <w:pPr>
            <w:rPr>
              <w:rFonts w:ascii="Aptos" w:eastAsia="DengXian" w:hAnsi="Aptos" w:cs="Times New Roman"/>
              <w:b/>
              <w:bCs/>
              <w:sz w:val="32"/>
              <w:szCs w:val="32"/>
              <w:lang w:eastAsia="zh-CN"/>
            </w:rPr>
          </w:pPr>
          <w:r w:rsidRPr="00C20EC6">
            <w:rPr>
              <w:rFonts w:ascii="Aptos" w:eastAsia="DengXian" w:hAnsi="Aptos" w:cs="Times New Roman"/>
              <w:b/>
              <w:bCs/>
              <w:sz w:val="32"/>
              <w:szCs w:val="32"/>
              <w:lang w:eastAsia="zh-CN"/>
            </w:rPr>
            <w:lastRenderedPageBreak/>
            <w:t xml:space="preserve">AI Acknowledgement  </w:t>
          </w:r>
        </w:p>
        <w:p w14:paraId="6549275B" w14:textId="77777777" w:rsidR="00460B79" w:rsidRPr="00C20EC6" w:rsidRDefault="00460B79" w:rsidP="00460B79">
          <w:pPr>
            <w:rPr>
              <w:rFonts w:ascii="Aptos" w:eastAsia="DengXian" w:hAnsi="Aptos" w:cs="Times New Roman"/>
              <w:lang w:eastAsia="zh-CN"/>
            </w:rPr>
          </w:pPr>
          <w:r w:rsidRPr="00C20EC6">
            <w:rPr>
              <w:rFonts w:ascii="Aptos" w:eastAsia="DengXian" w:hAnsi="Aptos" w:cs="Times New Roman"/>
              <w:lang w:eastAsia="zh-CN"/>
            </w:rPr>
            <w:t xml:space="preserve">I confirm that I have not presented any AI generated materials as my own work. </w:t>
          </w:r>
        </w:p>
        <w:p w14:paraId="4277BDC7" w14:textId="77777777" w:rsidR="00460B79" w:rsidRPr="00C20EC6" w:rsidRDefault="00460B79" w:rsidP="00460B79">
          <w:pPr>
            <w:rPr>
              <w:rFonts w:ascii="Aptos" w:eastAsia="DengXian" w:hAnsi="Aptos" w:cs="Times New Roman"/>
              <w:lang w:eastAsia="zh-CN"/>
            </w:rPr>
          </w:pPr>
          <w:r w:rsidRPr="00C20EC6">
            <w:rPr>
              <w:rFonts w:ascii="Aptos" w:eastAsia="DengXian" w:hAnsi="Aptos" w:cs="Times New Roman"/>
              <w:lang w:eastAsia="zh-CN"/>
            </w:rPr>
            <w:t>I confirm that I have copies of my drafts, notes, and other resources I used, which I may be asked to provide in evidence.</w:t>
          </w:r>
        </w:p>
        <w:p w14:paraId="196D1765" w14:textId="77777777" w:rsidR="000A044F" w:rsidRDefault="000A044F">
          <w:pPr>
            <w:rPr>
              <w:rFonts w:ascii="Aptos" w:eastAsia="DengXian" w:hAnsi="Aptos" w:cs="Times New Roman"/>
              <w:b/>
              <w:bCs/>
              <w:u w:val="single"/>
              <w:lang w:eastAsia="zh-CN"/>
            </w:rPr>
          </w:pPr>
        </w:p>
        <w:p w14:paraId="3F5C92E1" w14:textId="77777777" w:rsidR="000A044F" w:rsidRDefault="000A044F">
          <w:pPr>
            <w:rPr>
              <w:rFonts w:ascii="Aptos" w:eastAsia="DengXian" w:hAnsi="Aptos" w:cs="Times New Roman"/>
              <w:b/>
              <w:bCs/>
              <w:u w:val="single"/>
              <w:lang w:eastAsia="zh-CN"/>
            </w:rPr>
          </w:pPr>
        </w:p>
        <w:p w14:paraId="6AD58562" w14:textId="77777777" w:rsidR="000A044F" w:rsidRDefault="000A044F">
          <w:pPr>
            <w:rPr>
              <w:rFonts w:ascii="Aptos" w:eastAsia="DengXian" w:hAnsi="Aptos" w:cs="Times New Roman"/>
              <w:b/>
              <w:bCs/>
              <w:u w:val="single"/>
              <w:lang w:eastAsia="zh-CN"/>
            </w:rPr>
          </w:pPr>
        </w:p>
        <w:p w14:paraId="4CFCD3C2" w14:textId="77777777" w:rsidR="000A044F" w:rsidRDefault="000A044F">
          <w:pPr>
            <w:rPr>
              <w:rFonts w:ascii="Aptos" w:eastAsia="DengXian" w:hAnsi="Aptos" w:cs="Times New Roman"/>
              <w:b/>
              <w:bCs/>
              <w:u w:val="single"/>
              <w:lang w:eastAsia="zh-CN"/>
            </w:rPr>
          </w:pPr>
        </w:p>
        <w:p w14:paraId="3BE0625D" w14:textId="77777777" w:rsidR="000A044F" w:rsidRDefault="000A044F">
          <w:pPr>
            <w:rPr>
              <w:rFonts w:ascii="Aptos" w:eastAsia="DengXian" w:hAnsi="Aptos" w:cs="Times New Roman"/>
              <w:b/>
              <w:bCs/>
              <w:u w:val="single"/>
              <w:lang w:eastAsia="zh-CN"/>
            </w:rPr>
          </w:pPr>
        </w:p>
        <w:p w14:paraId="3500BC89" w14:textId="77777777" w:rsidR="000A044F" w:rsidRDefault="000A044F">
          <w:pPr>
            <w:rPr>
              <w:rFonts w:ascii="Aptos" w:eastAsia="DengXian" w:hAnsi="Aptos" w:cs="Times New Roman"/>
              <w:b/>
              <w:bCs/>
              <w:u w:val="single"/>
              <w:lang w:eastAsia="zh-CN"/>
            </w:rPr>
          </w:pPr>
        </w:p>
        <w:p w14:paraId="5363D560" w14:textId="77777777" w:rsidR="000A044F" w:rsidRDefault="000A044F">
          <w:pPr>
            <w:rPr>
              <w:rFonts w:ascii="Aptos" w:eastAsia="DengXian" w:hAnsi="Aptos" w:cs="Times New Roman"/>
              <w:b/>
              <w:bCs/>
              <w:u w:val="single"/>
              <w:lang w:eastAsia="zh-CN"/>
            </w:rPr>
          </w:pPr>
        </w:p>
        <w:p w14:paraId="17088D9F" w14:textId="77777777" w:rsidR="000A044F" w:rsidRDefault="000A044F">
          <w:pPr>
            <w:rPr>
              <w:rFonts w:ascii="Aptos" w:eastAsia="DengXian" w:hAnsi="Aptos" w:cs="Times New Roman"/>
              <w:b/>
              <w:bCs/>
              <w:u w:val="single"/>
              <w:lang w:eastAsia="zh-CN"/>
            </w:rPr>
          </w:pPr>
        </w:p>
        <w:p w14:paraId="7E459E08" w14:textId="77777777" w:rsidR="000A044F" w:rsidRDefault="000A044F">
          <w:pPr>
            <w:rPr>
              <w:rFonts w:ascii="Aptos" w:eastAsia="DengXian" w:hAnsi="Aptos" w:cs="Times New Roman"/>
              <w:b/>
              <w:bCs/>
              <w:u w:val="single"/>
              <w:lang w:eastAsia="zh-CN"/>
            </w:rPr>
          </w:pPr>
        </w:p>
        <w:p w14:paraId="78624A2C" w14:textId="77777777" w:rsidR="000A044F" w:rsidRDefault="000A044F">
          <w:pPr>
            <w:rPr>
              <w:rFonts w:ascii="Aptos" w:eastAsia="DengXian" w:hAnsi="Aptos" w:cs="Times New Roman"/>
              <w:b/>
              <w:bCs/>
              <w:u w:val="single"/>
              <w:lang w:eastAsia="zh-CN"/>
            </w:rPr>
          </w:pPr>
        </w:p>
        <w:p w14:paraId="25203A28" w14:textId="77777777" w:rsidR="000A044F" w:rsidRDefault="000A044F">
          <w:pPr>
            <w:rPr>
              <w:rFonts w:ascii="Aptos" w:eastAsia="DengXian" w:hAnsi="Aptos" w:cs="Times New Roman"/>
              <w:b/>
              <w:bCs/>
              <w:u w:val="single"/>
              <w:lang w:eastAsia="zh-CN"/>
            </w:rPr>
          </w:pPr>
        </w:p>
        <w:p w14:paraId="6F6BC67F" w14:textId="77777777" w:rsidR="000A044F" w:rsidRDefault="000A044F">
          <w:pPr>
            <w:rPr>
              <w:rFonts w:ascii="Aptos" w:eastAsia="DengXian" w:hAnsi="Aptos" w:cs="Times New Roman"/>
              <w:b/>
              <w:bCs/>
              <w:u w:val="single"/>
              <w:lang w:eastAsia="zh-CN"/>
            </w:rPr>
          </w:pPr>
        </w:p>
        <w:p w14:paraId="7E54725D" w14:textId="77777777" w:rsidR="000A044F" w:rsidRDefault="000A044F">
          <w:pPr>
            <w:rPr>
              <w:rFonts w:ascii="Aptos" w:eastAsia="DengXian" w:hAnsi="Aptos" w:cs="Times New Roman"/>
              <w:b/>
              <w:bCs/>
              <w:u w:val="single"/>
              <w:lang w:eastAsia="zh-CN"/>
            </w:rPr>
          </w:pPr>
        </w:p>
        <w:p w14:paraId="0C0C5825" w14:textId="77777777" w:rsidR="000A044F" w:rsidRDefault="000A044F">
          <w:pPr>
            <w:rPr>
              <w:rFonts w:ascii="Aptos" w:eastAsia="DengXian" w:hAnsi="Aptos" w:cs="Times New Roman"/>
              <w:b/>
              <w:bCs/>
              <w:u w:val="single"/>
              <w:lang w:eastAsia="zh-CN"/>
            </w:rPr>
          </w:pPr>
        </w:p>
        <w:p w14:paraId="5EDEDBDD" w14:textId="77777777" w:rsidR="000A044F" w:rsidRDefault="000A044F">
          <w:pPr>
            <w:rPr>
              <w:rFonts w:ascii="Aptos" w:eastAsia="DengXian" w:hAnsi="Aptos" w:cs="Times New Roman"/>
              <w:b/>
              <w:bCs/>
              <w:u w:val="single"/>
              <w:lang w:eastAsia="zh-CN"/>
            </w:rPr>
          </w:pPr>
        </w:p>
        <w:p w14:paraId="38DE758C" w14:textId="77777777" w:rsidR="000A044F" w:rsidRDefault="000A044F">
          <w:pPr>
            <w:rPr>
              <w:rFonts w:ascii="Aptos" w:eastAsia="DengXian" w:hAnsi="Aptos" w:cs="Times New Roman"/>
              <w:b/>
              <w:bCs/>
              <w:u w:val="single"/>
              <w:lang w:eastAsia="zh-CN"/>
            </w:rPr>
          </w:pPr>
        </w:p>
        <w:p w14:paraId="26934CA1" w14:textId="77777777" w:rsidR="000A044F" w:rsidRDefault="000A044F">
          <w:pPr>
            <w:rPr>
              <w:rFonts w:ascii="Aptos" w:eastAsia="DengXian" w:hAnsi="Aptos" w:cs="Times New Roman"/>
              <w:b/>
              <w:bCs/>
              <w:u w:val="single"/>
              <w:lang w:eastAsia="zh-CN"/>
            </w:rPr>
          </w:pPr>
        </w:p>
        <w:p w14:paraId="2D817311" w14:textId="77777777" w:rsidR="000A044F" w:rsidRDefault="000A044F">
          <w:pPr>
            <w:rPr>
              <w:rFonts w:ascii="Aptos" w:eastAsia="DengXian" w:hAnsi="Aptos" w:cs="Times New Roman"/>
              <w:b/>
              <w:bCs/>
              <w:u w:val="single"/>
              <w:lang w:eastAsia="zh-CN"/>
            </w:rPr>
          </w:pPr>
        </w:p>
        <w:p w14:paraId="4E1AF4C0" w14:textId="77777777" w:rsidR="000A044F" w:rsidRDefault="000A044F">
          <w:pPr>
            <w:rPr>
              <w:rFonts w:ascii="Aptos" w:eastAsia="DengXian" w:hAnsi="Aptos" w:cs="Times New Roman"/>
              <w:b/>
              <w:bCs/>
              <w:u w:val="single"/>
              <w:lang w:eastAsia="zh-CN"/>
            </w:rPr>
          </w:pPr>
        </w:p>
        <w:p w14:paraId="6E577070" w14:textId="77777777" w:rsidR="000A044F" w:rsidRDefault="000A044F">
          <w:pPr>
            <w:rPr>
              <w:rFonts w:ascii="Aptos" w:eastAsia="DengXian" w:hAnsi="Aptos" w:cs="Times New Roman"/>
              <w:b/>
              <w:bCs/>
              <w:u w:val="single"/>
              <w:lang w:eastAsia="zh-CN"/>
            </w:rPr>
          </w:pPr>
        </w:p>
        <w:p w14:paraId="1C224CF7" w14:textId="77777777" w:rsidR="000A044F" w:rsidRDefault="000A044F">
          <w:pPr>
            <w:rPr>
              <w:rFonts w:ascii="Aptos" w:eastAsia="DengXian" w:hAnsi="Aptos" w:cs="Times New Roman"/>
              <w:b/>
              <w:bCs/>
              <w:u w:val="single"/>
              <w:lang w:eastAsia="zh-CN"/>
            </w:rPr>
          </w:pPr>
        </w:p>
        <w:p w14:paraId="49A2B3E2" w14:textId="77777777" w:rsidR="00F179C6" w:rsidRDefault="00F179C6"/>
        <w:p w14:paraId="76D6B613" w14:textId="6211381E" w:rsidR="00D803A8" w:rsidRPr="00C20EC6" w:rsidRDefault="00751F7E"/>
      </w:sdtContent>
    </w:sdt>
    <w:sdt>
      <w:sdtPr>
        <w:rPr>
          <w:rFonts w:asciiTheme="minorHAnsi" w:eastAsiaTheme="minorHAnsi" w:hAnsiTheme="minorHAnsi" w:cstheme="minorBidi"/>
          <w:color w:val="auto"/>
          <w:kern w:val="2"/>
          <w:sz w:val="24"/>
          <w:szCs w:val="24"/>
          <w:lang w:val="en-GB"/>
          <w14:ligatures w14:val="standardContextual"/>
        </w:rPr>
        <w:id w:val="-460884352"/>
        <w:docPartObj>
          <w:docPartGallery w:val="Table of Contents"/>
          <w:docPartUnique/>
        </w:docPartObj>
      </w:sdtPr>
      <w:sdtEndPr>
        <w:rPr>
          <w:b/>
          <w:bCs/>
        </w:rPr>
      </w:sdtEndPr>
      <w:sdtContent>
        <w:p w14:paraId="741EDCD3" w14:textId="718E118C" w:rsidR="002D46FB" w:rsidRPr="00C20EC6" w:rsidRDefault="002D46FB">
          <w:pPr>
            <w:pStyle w:val="TOCHeading"/>
            <w:rPr>
              <w:lang w:val="en-GB"/>
            </w:rPr>
          </w:pPr>
          <w:r w:rsidRPr="00C20EC6">
            <w:rPr>
              <w:lang w:val="en-GB"/>
            </w:rPr>
            <w:t>Contents</w:t>
          </w:r>
        </w:p>
        <w:p w14:paraId="06C18C11" w14:textId="4865A928" w:rsidR="00451C88" w:rsidRDefault="002D46FB">
          <w:pPr>
            <w:pStyle w:val="TOC1"/>
            <w:tabs>
              <w:tab w:val="right" w:leader="dot" w:pos="9016"/>
            </w:tabs>
            <w:rPr>
              <w:rFonts w:eastAsiaTheme="minorEastAsia"/>
              <w:noProof/>
              <w:lang w:eastAsia="en-GB"/>
            </w:rPr>
          </w:pPr>
          <w:r w:rsidRPr="00C20EC6">
            <w:fldChar w:fldCharType="begin"/>
          </w:r>
          <w:r w:rsidRPr="00C20EC6">
            <w:instrText xml:space="preserve"> TOC \o "1-3" \h \z \u </w:instrText>
          </w:r>
          <w:r w:rsidRPr="00C20EC6">
            <w:fldChar w:fldCharType="separate"/>
          </w:r>
          <w:hyperlink w:anchor="_Toc193974355" w:history="1">
            <w:r w:rsidR="00451C88" w:rsidRPr="009C0AB8">
              <w:rPr>
                <w:rStyle w:val="Hyperlink"/>
                <w:noProof/>
              </w:rPr>
              <w:t>Introduction</w:t>
            </w:r>
            <w:r w:rsidR="00451C88">
              <w:rPr>
                <w:noProof/>
                <w:webHidden/>
              </w:rPr>
              <w:tab/>
            </w:r>
            <w:r w:rsidR="00451C88">
              <w:rPr>
                <w:noProof/>
                <w:webHidden/>
              </w:rPr>
              <w:fldChar w:fldCharType="begin"/>
            </w:r>
            <w:r w:rsidR="00451C88">
              <w:rPr>
                <w:noProof/>
                <w:webHidden/>
              </w:rPr>
              <w:instrText xml:space="preserve"> PAGEREF _Toc193974355 \h </w:instrText>
            </w:r>
            <w:r w:rsidR="00451C88">
              <w:rPr>
                <w:noProof/>
                <w:webHidden/>
              </w:rPr>
            </w:r>
            <w:r w:rsidR="00451C88">
              <w:rPr>
                <w:noProof/>
                <w:webHidden/>
              </w:rPr>
              <w:fldChar w:fldCharType="separate"/>
            </w:r>
            <w:r w:rsidR="00451C88">
              <w:rPr>
                <w:noProof/>
                <w:webHidden/>
              </w:rPr>
              <w:t>4</w:t>
            </w:r>
            <w:r w:rsidR="00451C88">
              <w:rPr>
                <w:noProof/>
                <w:webHidden/>
              </w:rPr>
              <w:fldChar w:fldCharType="end"/>
            </w:r>
          </w:hyperlink>
        </w:p>
        <w:p w14:paraId="4A271BF3" w14:textId="32CCE0A8" w:rsidR="00451C88" w:rsidRDefault="00451C88">
          <w:pPr>
            <w:pStyle w:val="TOC1"/>
            <w:tabs>
              <w:tab w:val="right" w:leader="dot" w:pos="9016"/>
            </w:tabs>
            <w:rPr>
              <w:rFonts w:eastAsiaTheme="minorEastAsia"/>
              <w:noProof/>
              <w:lang w:eastAsia="en-GB"/>
            </w:rPr>
          </w:pPr>
          <w:hyperlink w:anchor="_Toc193974356" w:history="1">
            <w:r w:rsidRPr="009C0AB8">
              <w:rPr>
                <w:rStyle w:val="Hyperlink"/>
                <w:noProof/>
              </w:rPr>
              <w:t>Review of literature (1500 words)</w:t>
            </w:r>
            <w:r>
              <w:rPr>
                <w:noProof/>
                <w:webHidden/>
              </w:rPr>
              <w:tab/>
            </w:r>
            <w:r>
              <w:rPr>
                <w:noProof/>
                <w:webHidden/>
              </w:rPr>
              <w:fldChar w:fldCharType="begin"/>
            </w:r>
            <w:r>
              <w:rPr>
                <w:noProof/>
                <w:webHidden/>
              </w:rPr>
              <w:instrText xml:space="preserve"> PAGEREF _Toc193974356 \h </w:instrText>
            </w:r>
            <w:r>
              <w:rPr>
                <w:noProof/>
                <w:webHidden/>
              </w:rPr>
            </w:r>
            <w:r>
              <w:rPr>
                <w:noProof/>
                <w:webHidden/>
              </w:rPr>
              <w:fldChar w:fldCharType="separate"/>
            </w:r>
            <w:r>
              <w:rPr>
                <w:noProof/>
                <w:webHidden/>
              </w:rPr>
              <w:t>5</w:t>
            </w:r>
            <w:r>
              <w:rPr>
                <w:noProof/>
                <w:webHidden/>
              </w:rPr>
              <w:fldChar w:fldCharType="end"/>
            </w:r>
          </w:hyperlink>
        </w:p>
        <w:p w14:paraId="596826D2" w14:textId="741BC55C" w:rsidR="00451C88" w:rsidRDefault="00451C88">
          <w:pPr>
            <w:pStyle w:val="TOC1"/>
            <w:tabs>
              <w:tab w:val="right" w:leader="dot" w:pos="9016"/>
            </w:tabs>
            <w:rPr>
              <w:rFonts w:eastAsiaTheme="minorEastAsia"/>
              <w:noProof/>
              <w:lang w:eastAsia="en-GB"/>
            </w:rPr>
          </w:pPr>
          <w:hyperlink w:anchor="_Toc193974357" w:history="1">
            <w:r w:rsidRPr="009C0AB8">
              <w:rPr>
                <w:rStyle w:val="Hyperlink"/>
                <w:noProof/>
              </w:rPr>
              <w:t>Methodology used (400 words)</w:t>
            </w:r>
            <w:r>
              <w:rPr>
                <w:noProof/>
                <w:webHidden/>
              </w:rPr>
              <w:tab/>
            </w:r>
            <w:r>
              <w:rPr>
                <w:noProof/>
                <w:webHidden/>
              </w:rPr>
              <w:fldChar w:fldCharType="begin"/>
            </w:r>
            <w:r>
              <w:rPr>
                <w:noProof/>
                <w:webHidden/>
              </w:rPr>
              <w:instrText xml:space="preserve"> PAGEREF _Toc193974357 \h </w:instrText>
            </w:r>
            <w:r>
              <w:rPr>
                <w:noProof/>
                <w:webHidden/>
              </w:rPr>
            </w:r>
            <w:r>
              <w:rPr>
                <w:noProof/>
                <w:webHidden/>
              </w:rPr>
              <w:fldChar w:fldCharType="separate"/>
            </w:r>
            <w:r>
              <w:rPr>
                <w:noProof/>
                <w:webHidden/>
              </w:rPr>
              <w:t>9</w:t>
            </w:r>
            <w:r>
              <w:rPr>
                <w:noProof/>
                <w:webHidden/>
              </w:rPr>
              <w:fldChar w:fldCharType="end"/>
            </w:r>
          </w:hyperlink>
        </w:p>
        <w:p w14:paraId="0BA63590" w14:textId="7A2DC8A7" w:rsidR="00451C88" w:rsidRDefault="00451C88">
          <w:pPr>
            <w:pStyle w:val="TOC1"/>
            <w:tabs>
              <w:tab w:val="right" w:leader="dot" w:pos="9016"/>
            </w:tabs>
            <w:rPr>
              <w:rFonts w:eastAsiaTheme="minorEastAsia"/>
              <w:noProof/>
              <w:lang w:eastAsia="en-GB"/>
            </w:rPr>
          </w:pPr>
          <w:hyperlink w:anchor="_Toc193974358" w:history="1">
            <w:r w:rsidRPr="009C0AB8">
              <w:rPr>
                <w:rStyle w:val="Hyperlink"/>
                <w:noProof/>
              </w:rPr>
              <w:t>Results/discussion (1500 words)</w:t>
            </w:r>
            <w:r>
              <w:rPr>
                <w:noProof/>
                <w:webHidden/>
              </w:rPr>
              <w:tab/>
            </w:r>
            <w:r>
              <w:rPr>
                <w:noProof/>
                <w:webHidden/>
              </w:rPr>
              <w:fldChar w:fldCharType="begin"/>
            </w:r>
            <w:r>
              <w:rPr>
                <w:noProof/>
                <w:webHidden/>
              </w:rPr>
              <w:instrText xml:space="preserve"> PAGEREF _Toc193974358 \h </w:instrText>
            </w:r>
            <w:r>
              <w:rPr>
                <w:noProof/>
                <w:webHidden/>
              </w:rPr>
            </w:r>
            <w:r>
              <w:rPr>
                <w:noProof/>
                <w:webHidden/>
              </w:rPr>
              <w:fldChar w:fldCharType="separate"/>
            </w:r>
            <w:r>
              <w:rPr>
                <w:noProof/>
                <w:webHidden/>
              </w:rPr>
              <w:t>11</w:t>
            </w:r>
            <w:r>
              <w:rPr>
                <w:noProof/>
                <w:webHidden/>
              </w:rPr>
              <w:fldChar w:fldCharType="end"/>
            </w:r>
          </w:hyperlink>
        </w:p>
        <w:p w14:paraId="02617EAD" w14:textId="1F2155EC" w:rsidR="00451C88" w:rsidRDefault="00451C88">
          <w:pPr>
            <w:pStyle w:val="TOC1"/>
            <w:tabs>
              <w:tab w:val="right" w:leader="dot" w:pos="9016"/>
            </w:tabs>
            <w:rPr>
              <w:rFonts w:eastAsiaTheme="minorEastAsia"/>
              <w:noProof/>
              <w:lang w:eastAsia="en-GB"/>
            </w:rPr>
          </w:pPr>
          <w:hyperlink w:anchor="_Toc193974359" w:history="1">
            <w:r w:rsidRPr="009C0AB8">
              <w:rPr>
                <w:rStyle w:val="Hyperlink"/>
                <w:noProof/>
              </w:rPr>
              <w:t>Conclusion</w:t>
            </w:r>
            <w:r>
              <w:rPr>
                <w:noProof/>
                <w:webHidden/>
              </w:rPr>
              <w:tab/>
            </w:r>
            <w:r>
              <w:rPr>
                <w:noProof/>
                <w:webHidden/>
              </w:rPr>
              <w:fldChar w:fldCharType="begin"/>
            </w:r>
            <w:r>
              <w:rPr>
                <w:noProof/>
                <w:webHidden/>
              </w:rPr>
              <w:instrText xml:space="preserve"> PAGEREF _Toc193974359 \h </w:instrText>
            </w:r>
            <w:r>
              <w:rPr>
                <w:noProof/>
                <w:webHidden/>
              </w:rPr>
            </w:r>
            <w:r>
              <w:rPr>
                <w:noProof/>
                <w:webHidden/>
              </w:rPr>
              <w:fldChar w:fldCharType="separate"/>
            </w:r>
            <w:r>
              <w:rPr>
                <w:noProof/>
                <w:webHidden/>
              </w:rPr>
              <w:t>16</w:t>
            </w:r>
            <w:r>
              <w:rPr>
                <w:noProof/>
                <w:webHidden/>
              </w:rPr>
              <w:fldChar w:fldCharType="end"/>
            </w:r>
          </w:hyperlink>
        </w:p>
        <w:p w14:paraId="71457083" w14:textId="0C85EFB7" w:rsidR="00451C88" w:rsidRDefault="00451C88">
          <w:pPr>
            <w:pStyle w:val="TOC1"/>
            <w:tabs>
              <w:tab w:val="right" w:leader="dot" w:pos="9016"/>
            </w:tabs>
            <w:rPr>
              <w:rFonts w:eastAsiaTheme="minorEastAsia"/>
              <w:noProof/>
              <w:lang w:eastAsia="en-GB"/>
            </w:rPr>
          </w:pPr>
          <w:hyperlink w:anchor="_Toc193974360" w:history="1">
            <w:r w:rsidRPr="009C0AB8">
              <w:rPr>
                <w:rStyle w:val="Hyperlink"/>
                <w:noProof/>
              </w:rPr>
              <w:t>References</w:t>
            </w:r>
            <w:r>
              <w:rPr>
                <w:noProof/>
                <w:webHidden/>
              </w:rPr>
              <w:tab/>
            </w:r>
            <w:r>
              <w:rPr>
                <w:noProof/>
                <w:webHidden/>
              </w:rPr>
              <w:fldChar w:fldCharType="begin"/>
            </w:r>
            <w:r>
              <w:rPr>
                <w:noProof/>
                <w:webHidden/>
              </w:rPr>
              <w:instrText xml:space="preserve"> PAGEREF _Toc193974360 \h </w:instrText>
            </w:r>
            <w:r>
              <w:rPr>
                <w:noProof/>
                <w:webHidden/>
              </w:rPr>
            </w:r>
            <w:r>
              <w:rPr>
                <w:noProof/>
                <w:webHidden/>
              </w:rPr>
              <w:fldChar w:fldCharType="separate"/>
            </w:r>
            <w:r>
              <w:rPr>
                <w:noProof/>
                <w:webHidden/>
              </w:rPr>
              <w:t>18</w:t>
            </w:r>
            <w:r>
              <w:rPr>
                <w:noProof/>
                <w:webHidden/>
              </w:rPr>
              <w:fldChar w:fldCharType="end"/>
            </w:r>
          </w:hyperlink>
        </w:p>
        <w:p w14:paraId="5F0A8648" w14:textId="0FFA3E3E" w:rsidR="002D46FB" w:rsidRPr="00C20EC6" w:rsidRDefault="002D46FB">
          <w:r w:rsidRPr="00C20EC6">
            <w:rPr>
              <w:b/>
              <w:bCs/>
            </w:rPr>
            <w:fldChar w:fldCharType="end"/>
          </w:r>
        </w:p>
      </w:sdtContent>
    </w:sdt>
    <w:p w14:paraId="35FA993B" w14:textId="77777777" w:rsidR="00D803A8" w:rsidRPr="00C20EC6" w:rsidRDefault="00D803A8"/>
    <w:p w14:paraId="1152D209" w14:textId="77777777" w:rsidR="00D803A8" w:rsidRPr="00C20EC6" w:rsidRDefault="00D803A8"/>
    <w:p w14:paraId="705F231A" w14:textId="77777777" w:rsidR="00D803A8" w:rsidRPr="00C20EC6" w:rsidRDefault="00D803A8"/>
    <w:p w14:paraId="04BC960E" w14:textId="77777777" w:rsidR="00D803A8" w:rsidRPr="00C20EC6" w:rsidRDefault="00D803A8"/>
    <w:p w14:paraId="7FE4D91C" w14:textId="77777777" w:rsidR="00D803A8" w:rsidRPr="00C20EC6" w:rsidRDefault="00D803A8"/>
    <w:p w14:paraId="419037BB" w14:textId="77777777" w:rsidR="00D803A8" w:rsidRPr="00C20EC6" w:rsidRDefault="00D803A8"/>
    <w:p w14:paraId="0663CA90" w14:textId="77777777" w:rsidR="00D803A8" w:rsidRPr="00C20EC6" w:rsidRDefault="00D803A8"/>
    <w:p w14:paraId="727C695F" w14:textId="77777777" w:rsidR="00D803A8" w:rsidRPr="00C20EC6" w:rsidRDefault="00D803A8"/>
    <w:p w14:paraId="137617D0" w14:textId="77777777" w:rsidR="00D803A8" w:rsidRPr="00C20EC6" w:rsidRDefault="00D803A8"/>
    <w:p w14:paraId="1F63656F" w14:textId="77777777" w:rsidR="00D803A8" w:rsidRPr="00C20EC6" w:rsidRDefault="00D803A8"/>
    <w:p w14:paraId="320C8CA3" w14:textId="77777777" w:rsidR="00D803A8" w:rsidRPr="00C20EC6" w:rsidRDefault="00D803A8"/>
    <w:p w14:paraId="000F67A8" w14:textId="77777777" w:rsidR="00D803A8" w:rsidRPr="00C20EC6" w:rsidRDefault="00D803A8"/>
    <w:p w14:paraId="582F0F77" w14:textId="77777777" w:rsidR="00D803A8" w:rsidRPr="00C20EC6" w:rsidRDefault="00D803A8"/>
    <w:p w14:paraId="2E8B45D8" w14:textId="77777777" w:rsidR="00D803A8" w:rsidRPr="00C20EC6" w:rsidRDefault="00D803A8"/>
    <w:p w14:paraId="054079FE" w14:textId="77777777" w:rsidR="00D803A8" w:rsidRPr="00C20EC6" w:rsidRDefault="00D803A8"/>
    <w:p w14:paraId="05C84C31" w14:textId="77777777" w:rsidR="00D803A8" w:rsidRPr="00C20EC6" w:rsidRDefault="00D803A8"/>
    <w:p w14:paraId="0B1EAC6C" w14:textId="77777777" w:rsidR="00D803A8" w:rsidRPr="00C20EC6" w:rsidRDefault="00D803A8"/>
    <w:p w14:paraId="74376749" w14:textId="77777777" w:rsidR="00D803A8" w:rsidRPr="00C20EC6" w:rsidRDefault="00D803A8"/>
    <w:p w14:paraId="7BFAC882" w14:textId="77777777" w:rsidR="00D803A8" w:rsidRPr="00C20EC6" w:rsidRDefault="00D803A8"/>
    <w:p w14:paraId="7CD22F41" w14:textId="77777777" w:rsidR="00D803A8" w:rsidRPr="00C20EC6" w:rsidRDefault="00D803A8"/>
    <w:p w14:paraId="55E32B63" w14:textId="4D58CA80" w:rsidR="0073295D" w:rsidRPr="00C20EC6" w:rsidRDefault="0073295D" w:rsidP="00914860">
      <w:pPr>
        <w:pStyle w:val="Heading1"/>
        <w:spacing w:line="360" w:lineRule="auto"/>
      </w:pPr>
      <w:bookmarkStart w:id="0" w:name="_Toc193974355"/>
      <w:r w:rsidRPr="00C20EC6">
        <w:lastRenderedPageBreak/>
        <w:t>Introduction</w:t>
      </w:r>
      <w:bookmarkEnd w:id="0"/>
    </w:p>
    <w:p w14:paraId="06F90240" w14:textId="7A608989" w:rsidR="00D26C4C" w:rsidRPr="00C20EC6" w:rsidRDefault="00D26C4C" w:rsidP="00914860">
      <w:pPr>
        <w:pStyle w:val="whitespace-pre-wrap"/>
        <w:spacing w:line="360" w:lineRule="auto"/>
        <w:rPr>
          <w:rFonts w:asciiTheme="minorHAnsi" w:hAnsiTheme="minorHAnsi"/>
        </w:rPr>
      </w:pPr>
      <w:r w:rsidRPr="00C20EC6">
        <w:rPr>
          <w:rFonts w:asciiTheme="minorHAnsi" w:hAnsiTheme="minorHAnsi"/>
        </w:rPr>
        <w:t>The educational landscape has undergone a significant transformation in recent years, with the integration of online learning becoming increasingly prevalent, particularly in post-16 education. This shift has been accelerated by global events such as the COVID-19 pandemic, which necessitated rapid adaptation to remote teaching methodologies</w:t>
      </w:r>
      <w:r w:rsidR="00CF22D3" w:rsidRPr="00C20EC6">
        <w:t xml:space="preserve"> </w:t>
      </w:r>
      <w:r w:rsidR="00CF22D3" w:rsidRPr="00C20EC6">
        <w:rPr>
          <w:rFonts w:asciiTheme="minorHAnsi" w:hAnsiTheme="minorHAnsi"/>
        </w:rPr>
        <w:t>(Hodges et al., 2020; Crawford et al., 2020)</w:t>
      </w:r>
      <w:r w:rsidRPr="00C20EC6">
        <w:rPr>
          <w:rFonts w:asciiTheme="minorHAnsi" w:hAnsiTheme="minorHAnsi"/>
        </w:rPr>
        <w:t xml:space="preserve">. The </w:t>
      </w:r>
      <w:r w:rsidR="00057106" w:rsidRPr="00C20EC6">
        <w:rPr>
          <w:rFonts w:asciiTheme="minorHAnsi" w:hAnsiTheme="minorHAnsi"/>
        </w:rPr>
        <w:t xml:space="preserve">topic </w:t>
      </w:r>
      <w:r w:rsidRPr="00C20EC6">
        <w:rPr>
          <w:rFonts w:asciiTheme="minorHAnsi" w:hAnsiTheme="minorHAnsi"/>
        </w:rPr>
        <w:t xml:space="preserve">under investigation in this </w:t>
      </w:r>
      <w:r w:rsidR="00057106" w:rsidRPr="00C20EC6">
        <w:rPr>
          <w:rFonts w:asciiTheme="minorHAnsi" w:hAnsiTheme="minorHAnsi"/>
        </w:rPr>
        <w:t xml:space="preserve">action </w:t>
      </w:r>
      <w:r w:rsidRPr="00C20EC6">
        <w:rPr>
          <w:rFonts w:asciiTheme="minorHAnsi" w:hAnsiTheme="minorHAnsi"/>
        </w:rPr>
        <w:t xml:space="preserve">research </w:t>
      </w:r>
      <w:r w:rsidR="00A23163" w:rsidRPr="00C20EC6">
        <w:rPr>
          <w:rFonts w:asciiTheme="minorHAnsi" w:hAnsiTheme="minorHAnsi"/>
        </w:rPr>
        <w:t>project</w:t>
      </w:r>
      <w:r w:rsidRPr="00C20EC6">
        <w:rPr>
          <w:rFonts w:asciiTheme="minorHAnsi" w:hAnsiTheme="minorHAnsi"/>
        </w:rPr>
        <w:t xml:space="preserve"> is the attitudes of online learners and the impact of online teaching on student and teacher engagement and learning outcomes in post-16 education.</w:t>
      </w:r>
      <w:r w:rsidR="0068415D" w:rsidRPr="00C20EC6">
        <w:rPr>
          <w:rFonts w:asciiTheme="minorHAnsi" w:hAnsiTheme="minorHAnsi"/>
        </w:rPr>
        <w:t xml:space="preserve"> </w:t>
      </w:r>
      <w:r w:rsidRPr="00C20EC6">
        <w:rPr>
          <w:rFonts w:asciiTheme="minorHAnsi" w:hAnsiTheme="minorHAnsi"/>
        </w:rPr>
        <w:t>The justification for this area of study stems from the persistent challenges observed in post-16 education</w:t>
      </w:r>
      <w:r w:rsidR="0032612F" w:rsidRPr="00C20EC6">
        <w:rPr>
          <w:rFonts w:asciiTheme="minorHAnsi" w:hAnsiTheme="minorHAnsi"/>
        </w:rPr>
        <w:t xml:space="preserve"> from a personal </w:t>
      </w:r>
      <w:r w:rsidR="000A044F" w:rsidRPr="00C20EC6">
        <w:rPr>
          <w:rFonts w:asciiTheme="minorHAnsi" w:hAnsiTheme="minorHAnsi"/>
        </w:rPr>
        <w:t>perspective</w:t>
      </w:r>
      <w:r w:rsidR="00D022DD" w:rsidRPr="00C20EC6">
        <w:rPr>
          <w:rFonts w:asciiTheme="minorHAnsi" w:hAnsiTheme="minorHAnsi"/>
        </w:rPr>
        <w:t xml:space="preserve"> as a student and lecture</w:t>
      </w:r>
      <w:r w:rsidRPr="00C20EC6">
        <w:rPr>
          <w:rFonts w:asciiTheme="minorHAnsi" w:hAnsiTheme="minorHAnsi"/>
        </w:rPr>
        <w:t>. Despite technological advancements and institutional investments in digital infrastructure, research indicates a discernible disparity in student engagement levels and academic achievement between traditional face-to-face and online learning environments (Bond et al., 2023). As educators committed to enhancing pedagogical effectiveness, there is a need to understand the varying attitudes toward online learning among students, ranging from enthusiastic adoption to reluctant participation, which subsequently appears to influence their engagement and overall learning outcomes.</w:t>
      </w:r>
      <w:r w:rsidR="0068415D" w:rsidRPr="00C20EC6">
        <w:rPr>
          <w:rFonts w:asciiTheme="minorHAnsi" w:hAnsiTheme="minorHAnsi"/>
        </w:rPr>
        <w:t xml:space="preserve"> </w:t>
      </w:r>
      <w:r w:rsidRPr="00C20EC6">
        <w:rPr>
          <w:rFonts w:asciiTheme="minorHAnsi" w:hAnsiTheme="minorHAnsi"/>
        </w:rPr>
        <w:t xml:space="preserve">The significance of this research extends beyond personal professional development to address a wider concern within the post-16 education community. With the increasing prevalence of blended and fully online learning models, understanding the factors that influence student and teacher attitudes, engagement, and outcomes in digital learning environments has become crucial for developing effective educational strategies. By systematically </w:t>
      </w:r>
      <w:r w:rsidR="0012300F" w:rsidRPr="00C20EC6">
        <w:rPr>
          <w:rFonts w:asciiTheme="minorHAnsi" w:hAnsiTheme="minorHAnsi"/>
        </w:rPr>
        <w:t>analysing</w:t>
      </w:r>
      <w:r w:rsidRPr="00C20EC6">
        <w:rPr>
          <w:rFonts w:asciiTheme="minorHAnsi" w:hAnsiTheme="minorHAnsi"/>
        </w:rPr>
        <w:t xml:space="preserve"> existing research on these relationships, this </w:t>
      </w:r>
      <w:r w:rsidR="004B4C7D" w:rsidRPr="00C20EC6">
        <w:rPr>
          <w:rFonts w:asciiTheme="minorHAnsi" w:hAnsiTheme="minorHAnsi"/>
        </w:rPr>
        <w:t>project</w:t>
      </w:r>
      <w:r w:rsidRPr="00C20EC6">
        <w:rPr>
          <w:rFonts w:asciiTheme="minorHAnsi" w:hAnsiTheme="minorHAnsi"/>
        </w:rPr>
        <w:t xml:space="preserve"> aims to contribute valuable insights that can inform evidence-based improvements in online teaching practices.</w:t>
      </w:r>
      <w:r w:rsidR="0068415D" w:rsidRPr="00C20EC6">
        <w:rPr>
          <w:rFonts w:asciiTheme="minorHAnsi" w:hAnsiTheme="minorHAnsi"/>
        </w:rPr>
        <w:t xml:space="preserve"> </w:t>
      </w:r>
      <w:r w:rsidRPr="00C20EC6">
        <w:rPr>
          <w:rFonts w:asciiTheme="minorHAnsi" w:hAnsiTheme="minorHAnsi"/>
        </w:rPr>
        <w:t>Furthermore, the timeliness of this research cannot be overstated, as educational institutions continue to navigate the long-term implications of the shift toward online learning. The findings from this secondary research analysis will potentially benefit not only immediate teaching contexts but also the broader post-16 education sector by identifying practical interventions to enhance online learning experiences and outcomes based on the best available evidence.</w:t>
      </w:r>
    </w:p>
    <w:p w14:paraId="0704692F" w14:textId="4B49EC2B" w:rsidR="0073295D" w:rsidRPr="00C20EC6" w:rsidRDefault="0073295D" w:rsidP="00914860">
      <w:pPr>
        <w:pStyle w:val="Heading1"/>
        <w:spacing w:line="360" w:lineRule="auto"/>
      </w:pPr>
      <w:bookmarkStart w:id="1" w:name="_Toc193974356"/>
      <w:r w:rsidRPr="00C20EC6">
        <w:lastRenderedPageBreak/>
        <w:t>Review of literature (1500 words)</w:t>
      </w:r>
      <w:bookmarkEnd w:id="1"/>
    </w:p>
    <w:p w14:paraId="16DED094" w14:textId="77777777" w:rsidR="00CE46FC" w:rsidRPr="00C20EC6" w:rsidRDefault="00CE46FC" w:rsidP="00914860">
      <w:pPr>
        <w:spacing w:line="360" w:lineRule="auto"/>
      </w:pPr>
      <w:r w:rsidRPr="00C20EC6">
        <w:t>Theoretical Frameworks of Adult Learning in Online Contexts</w:t>
      </w:r>
    </w:p>
    <w:p w14:paraId="265EEB17" w14:textId="40118545" w:rsidR="00CE46FC" w:rsidRPr="00C20EC6" w:rsidRDefault="00CE46FC" w:rsidP="00914860">
      <w:pPr>
        <w:spacing w:line="360" w:lineRule="auto"/>
      </w:pPr>
      <w:r w:rsidRPr="00C20EC6">
        <w:t xml:space="preserve">Adult learning in online environments is fundamentally subjective, as individuals experience educational processes differently based on their prior knowledge, learning preferences, and personal circumstances. While Knowles' (1984) theory of andragogy continues to provide a foundational framework for understanding adult learning, recent adaptations of these principles for digital environments have emerged. </w:t>
      </w:r>
      <w:r w:rsidR="009D16F9" w:rsidRPr="009D16F9">
        <w:t>Greene and Larsen (2018</w:t>
      </w:r>
      <w:r w:rsidR="009D16F9">
        <w:t xml:space="preserve">) </w:t>
      </w:r>
      <w:r w:rsidRPr="00C20EC6">
        <w:t>have expanded upon these traditional andragogical concepts, proposing a framework specifically for online adult education that emphasizes digital self-direction, virtual experiential learning, and technology-mediated relevance.</w:t>
      </w:r>
      <w:r w:rsidR="00915708" w:rsidRPr="00C20EC6">
        <w:t xml:space="preserve"> </w:t>
      </w:r>
      <w:r w:rsidRPr="00C20EC6">
        <w:t>The Community of Inquiry (</w:t>
      </w:r>
      <w:proofErr w:type="spellStart"/>
      <w:r w:rsidRPr="00C20EC6">
        <w:t>CoI</w:t>
      </w:r>
      <w:proofErr w:type="spellEnd"/>
      <w:r w:rsidRPr="00C20EC6">
        <w:t xml:space="preserve">) framework remains influential but has been substantially refined in recent years. Castellanos-Reyes (2020) conducted a 20-year review of the </w:t>
      </w:r>
      <w:proofErr w:type="spellStart"/>
      <w:r w:rsidRPr="00C20EC6">
        <w:t>CoI</w:t>
      </w:r>
      <w:proofErr w:type="spellEnd"/>
      <w:r w:rsidRPr="00C20EC6">
        <w:t xml:space="preserve"> model, highlighting its continued relevance while identifying new dimensions that have emerged in contemporary online learning environments. Garrison (20</w:t>
      </w:r>
      <w:r w:rsidR="000C6E59">
        <w:t>09</w:t>
      </w:r>
      <w:r w:rsidRPr="00C20EC6">
        <w:t>) ha</w:t>
      </w:r>
      <w:r w:rsidR="007061EC">
        <w:t>s</w:t>
      </w:r>
      <w:r w:rsidRPr="00C20EC6">
        <w:t xml:space="preserve"> further expanded the framework to address the complexities of synchronous and asynchronous modalities, particularly emphasizing the interplay between teaching presence and cognitive presence in facilitating critical thinking.</w:t>
      </w:r>
      <w:r w:rsidR="00915708" w:rsidRPr="00C20EC6">
        <w:t xml:space="preserve"> </w:t>
      </w:r>
      <w:r w:rsidRPr="00C20EC6">
        <w:t xml:space="preserve">Recent research by </w:t>
      </w:r>
      <w:proofErr w:type="spellStart"/>
      <w:r w:rsidRPr="00C20EC6">
        <w:t>Rapanta</w:t>
      </w:r>
      <w:proofErr w:type="spellEnd"/>
      <w:r w:rsidRPr="00C20EC6">
        <w:t xml:space="preserve"> et al. (2021) builds upon these theoretical foundations to examine how these elements manifest in contemporary online learning contexts. Their analysis of pandemic</w:t>
      </w:r>
      <w:r w:rsidR="008D3512" w:rsidRPr="00C20EC6">
        <w:t xml:space="preserve"> </w:t>
      </w:r>
      <w:r w:rsidRPr="00C20EC6">
        <w:t>era online learning indicates that the effectiveness of online learning for adults is significantly influenced by instructor presence, pedagogical care, and cognitive bridging strategies. Similarly, Raes et al. (2020) introduced the concept of "hybrid presence" to address the increasing reality of simultaneously teaching online and face-to-face learners, a situation particularly relevant to post-16 education institutions that have adopted blended approaches.</w:t>
      </w:r>
    </w:p>
    <w:p w14:paraId="226D8BF4" w14:textId="77777777" w:rsidR="00CE46FC" w:rsidRPr="00C20EC6" w:rsidRDefault="00CE46FC" w:rsidP="00914860">
      <w:pPr>
        <w:spacing w:line="360" w:lineRule="auto"/>
      </w:pPr>
      <w:r w:rsidRPr="00C20EC6">
        <w:t>Attitudes Toward Online Learning</w:t>
      </w:r>
    </w:p>
    <w:p w14:paraId="3EFF5FA6" w14:textId="26287BFC" w:rsidR="00CE46FC" w:rsidRPr="00C20EC6" w:rsidRDefault="00CE46FC" w:rsidP="00914860">
      <w:pPr>
        <w:spacing w:line="360" w:lineRule="auto"/>
      </w:pPr>
      <w:r w:rsidRPr="00C20EC6">
        <w:t xml:space="preserve">Research on learner attitudes toward online education reveals a complex interplay of factors that influence perceptions and experiences. Tang et al. (2021) conducted a </w:t>
      </w:r>
      <w:r w:rsidR="00475172" w:rsidRPr="00C20EC6">
        <w:t>meta-analysis</w:t>
      </w:r>
      <w:r w:rsidRPr="00C20EC6">
        <w:t xml:space="preserve"> identifying key determinants of student attitudes in post-pandemic online learning, including technological self-efficacy, perceived usefulness, instructor </w:t>
      </w:r>
      <w:r w:rsidRPr="00C20EC6">
        <w:lastRenderedPageBreak/>
        <w:t>support quality, and prior experience with digital learning environments. These findings expand upon the Technology Acceptance Model with specific applications to educational contexts, emphasizing the critical role of both technological and pedagogical factors in shaping student perceptions.</w:t>
      </w:r>
      <w:r w:rsidR="00915708" w:rsidRPr="00C20EC6">
        <w:t xml:space="preserve"> </w:t>
      </w:r>
      <w:r w:rsidRPr="00C20EC6">
        <w:t>In the post-16 context, Watermeyer et al. (2021) observed that student attitudes toward online learning are increasingly shaped by broader sociocultural factors, including digital inequality, socioeconomic circumstances, and varying levels of digital literacy. Their large-scale study across multiple educational institutions highlights the importance of considering these contextual factors when interpreting student attitudes and designing inclusive online learning experiences.</w:t>
      </w:r>
      <w:r w:rsidR="00915708" w:rsidRPr="00C20EC6">
        <w:t xml:space="preserve"> </w:t>
      </w:r>
      <w:r w:rsidRPr="00C20EC6">
        <w:t>A study by Iglesias-</w:t>
      </w:r>
      <w:proofErr w:type="spellStart"/>
      <w:r w:rsidRPr="00C20EC6">
        <w:t>Pradas</w:t>
      </w:r>
      <w:proofErr w:type="spellEnd"/>
      <w:r w:rsidRPr="00C20EC6">
        <w:t xml:space="preserve"> et al. (2021) examining changes in student attitudes toward emergency remote teaching versus designed-for-purpose online learning found that initial </w:t>
      </w:r>
      <w:r w:rsidR="001317A1" w:rsidRPr="00C20EC6">
        <w:t>scepticism</w:t>
      </w:r>
      <w:r w:rsidRPr="00C20EC6">
        <w:t xml:space="preserve"> often gives way to more positive perceptions as both instructors and learners develop competency in digital education environments. However, this transition was strongly mediated by the quality of instructional design, with poorly designed online experiences reinforcing negative attitudes. Ma et al. (2023) similarly found that post-16 students show significant variance in attitude</w:t>
      </w:r>
      <w:r w:rsidR="00CA0375" w:rsidRPr="00C20EC6">
        <w:t>s</w:t>
      </w:r>
      <w:r w:rsidRPr="00C20EC6">
        <w:t xml:space="preserve"> based on their perception of </w:t>
      </w:r>
      <w:r w:rsidR="00232CCE" w:rsidRPr="00C20EC6">
        <w:t>instructor’s</w:t>
      </w:r>
      <w:r w:rsidRPr="00C20EC6">
        <w:t xml:space="preserve"> digital competence.</w:t>
      </w:r>
      <w:r w:rsidR="00915708" w:rsidRPr="00C20EC6">
        <w:t xml:space="preserve"> </w:t>
      </w:r>
      <w:r w:rsidRPr="00C20EC6">
        <w:t xml:space="preserve">The theory of transactional distance continues to evolve in contemporary research. Yilmaz and Keser (2022) reconceptualized transactional distance for post-pandemic education, identifying new dimensions of "technological transactional distance" and "socio-emotional transactional distance" that affect learner perceptions and engagement. Their research demonstrates that these additional dimensions significantly predict student satisfaction and perceived learning outcomes in online courses. </w:t>
      </w:r>
    </w:p>
    <w:p w14:paraId="66052E4E" w14:textId="77777777" w:rsidR="00CE46FC" w:rsidRPr="00C20EC6" w:rsidRDefault="00CE46FC" w:rsidP="00914860">
      <w:pPr>
        <w:spacing w:line="360" w:lineRule="auto"/>
      </w:pPr>
      <w:r w:rsidRPr="00C20EC6">
        <w:t>Engagement in Online Learning Environments</w:t>
      </w:r>
    </w:p>
    <w:p w14:paraId="502340EE" w14:textId="6C331BD1" w:rsidR="00D61153" w:rsidRPr="00C20EC6" w:rsidRDefault="00CE46FC" w:rsidP="00914860">
      <w:pPr>
        <w:spacing w:line="360" w:lineRule="auto"/>
      </w:pPr>
      <w:r w:rsidRPr="00C20EC6">
        <w:t xml:space="preserve">Recent research has significantly advanced our understanding of student engagement in online learning environments. </w:t>
      </w:r>
      <w:proofErr w:type="spellStart"/>
      <w:r w:rsidRPr="00C20EC6">
        <w:t>Bedenlier</w:t>
      </w:r>
      <w:proofErr w:type="spellEnd"/>
      <w:r w:rsidRPr="00C20EC6">
        <w:t xml:space="preserve"> et al. (2020) propose a refined model of engagement that encompasses </w:t>
      </w:r>
      <w:r w:rsidR="001317A1" w:rsidRPr="00C20EC6">
        <w:t>behavioural</w:t>
      </w:r>
      <w:r w:rsidRPr="00C20EC6">
        <w:t>, emotional, and cognitive dimensions while specifically addressing the unique aspects of technology</w:t>
      </w:r>
      <w:r w:rsidR="00AA6DBF" w:rsidRPr="00C20EC6">
        <w:t xml:space="preserve"> </w:t>
      </w:r>
      <w:r w:rsidRPr="00C20EC6">
        <w:t xml:space="preserve">mediated learning. Their Educational Technology and Student Engagement Framework (ETSEF) provides a comprehensive approach to understanding how digital tools and pedagogical strategies </w:t>
      </w:r>
      <w:r w:rsidRPr="00C20EC6">
        <w:lastRenderedPageBreak/>
        <w:t>interact to influence different facets of engagement.</w:t>
      </w:r>
      <w:r w:rsidR="00915708" w:rsidRPr="00C20EC6">
        <w:t xml:space="preserve"> </w:t>
      </w:r>
      <w:r w:rsidRPr="00C20EC6">
        <w:t>Bond et al. (2023) conducted an updated systematic review of research on engagement in online learning, incorporating studies from the pandemic period. The analysis identified key facilitators of engagement that have gained prominence in recent years, including multimodal content delivery, synchronous interaction opportunities, personalized learning pathways, and emotionally supportive learning communities. They also identified emerging barriers to engagement, including digital fatigue, privacy concerns, inconsistent technology access, and the challenges of maintaining attention in home learning environments.</w:t>
      </w:r>
    </w:p>
    <w:p w14:paraId="00854D41" w14:textId="5B57BE10" w:rsidR="00CE46FC" w:rsidRPr="00C20EC6" w:rsidRDefault="00CE46FC" w:rsidP="00914860">
      <w:pPr>
        <w:spacing w:line="360" w:lineRule="auto"/>
      </w:pPr>
      <w:r w:rsidRPr="00C20EC6">
        <w:t>From my personal perspective as both a student and lecturer, remote learning presents significant challenges when it comes to maintaining engagement and focus. The home environment can be filled with distractions that are not present in dedicated learning spaces, from household responsibilities and family interruptions to the temptation of entertainment devices and social media notifications. These everyday distractions can severely fragment attention and disrupt the deep focus required for effective learning. Without the structure of physical class attendance and face-to-face accountability, it becomes easier to postpone engagement with learning materials or participate passively rather than actively in online discussions and activities. This experiential reality aligns with findings from Watermeyer et al. (2021), who documented similar challenges across diverse student populations.</w:t>
      </w:r>
    </w:p>
    <w:p w14:paraId="14F169B8" w14:textId="21BB6A5A" w:rsidR="00CE46FC" w:rsidRPr="00C20EC6" w:rsidRDefault="00CE46FC" w:rsidP="00914860">
      <w:pPr>
        <w:spacing w:line="360" w:lineRule="auto"/>
      </w:pPr>
      <w:r w:rsidRPr="00C20EC6">
        <w:t>As an instructor, these engagement challenges can be particularly frustrating. Designing engaging online learning experiences requires significant effort and creativity, only to face the reality that many students may be struggling with attention and motivation in their home environments. The inability to directly observe student engagement or intervene in real-time when attention wanes</w:t>
      </w:r>
      <w:r w:rsidR="001317A1" w:rsidRPr="00C20EC6">
        <w:t>,</w:t>
      </w:r>
      <w:r w:rsidRPr="00C20EC6">
        <w:t xml:space="preserve"> creates a sense of disconnection that can be demoralizing for educators committed to effective teaching. As Ní Shé et al. (2022) note in their research on teacher experiences, this uncertainty about student engagement represents one of the most significant sources of stress and frustration for online educators.</w:t>
      </w:r>
    </w:p>
    <w:p w14:paraId="0C7166AE" w14:textId="33B8BF4C" w:rsidR="00CE46FC" w:rsidRPr="00C20EC6" w:rsidRDefault="00CE46FC" w:rsidP="00914860">
      <w:pPr>
        <w:spacing w:line="360" w:lineRule="auto"/>
      </w:pPr>
      <w:r w:rsidRPr="00C20EC6">
        <w:t xml:space="preserve">The concept of presence continues to be refined in contemporary research on online engagement. </w:t>
      </w:r>
      <w:r w:rsidR="005115B3">
        <w:t>Conklin</w:t>
      </w:r>
      <w:r w:rsidRPr="00C20EC6">
        <w:t xml:space="preserve"> et al. (202</w:t>
      </w:r>
      <w:r w:rsidR="00E526F3">
        <w:t>1</w:t>
      </w:r>
      <w:r w:rsidRPr="00C20EC6">
        <w:t xml:space="preserve">) analysis of teaching presence strategies identified </w:t>
      </w:r>
      <w:r w:rsidRPr="00C20EC6">
        <w:lastRenderedPageBreak/>
        <w:t>that "instructor social presence" has emerged as a distinct but related construct that significantly influences student engagement. Their research demonstrated that instructor self-disclosure, empathy expression, and conversational communication style significantly predicted student emotional engagement in online courses. Similarly, Eradze et al. (2021) examined how emerging technologies such as immersive virtual environments and AI-powered learning companions can enhance social presence in ways that positively influence cognitive engagement.</w:t>
      </w:r>
    </w:p>
    <w:p w14:paraId="06FF15B3" w14:textId="1078BAB3" w:rsidR="00CE46FC" w:rsidRPr="00C20EC6" w:rsidRDefault="00CE46FC" w:rsidP="00914860">
      <w:pPr>
        <w:spacing w:line="360" w:lineRule="auto"/>
      </w:pPr>
      <w:r w:rsidRPr="00C20EC6">
        <w:t>The effectiveness of online learning in producing desired learning outcomes continues to be extensively researched in contemporary education literature. Iglesias-</w:t>
      </w:r>
      <w:proofErr w:type="spellStart"/>
      <w:r w:rsidRPr="00C20EC6">
        <w:t>Pradas</w:t>
      </w:r>
      <w:proofErr w:type="spellEnd"/>
      <w:r w:rsidRPr="00C20EC6">
        <w:t xml:space="preserve"> et al. (2021) </w:t>
      </w:r>
      <w:r w:rsidR="00DF7C0A" w:rsidRPr="00C20EC6">
        <w:t xml:space="preserve">as mentioned earlier </w:t>
      </w:r>
      <w:r w:rsidRPr="00C20EC6">
        <w:t>conducted a meta-analysis of pandemic-era emergency remote teaching versus designed for purpose online learning, finding significant differences in learning outcomes based on design quality rather than modality itself. This analysis reinforces the understanding that the medium itself is less important than how it is implemented.</w:t>
      </w:r>
      <w:r w:rsidR="00D61153" w:rsidRPr="00C20EC6">
        <w:t xml:space="preserve"> </w:t>
      </w:r>
      <w:r w:rsidRPr="00C20EC6">
        <w:t>Recent research has focused on identifying the specific conditions under which online learning leads to positive outcomes in post-16 education. Hofer et al. (2021) found that the alignment between learning objectives, activities, and assessments was a stronger predictor of learning outcomes than the mode of delivery. Their study of blended learning implementations in vocational education demonstrates that constructive alignment principles apply equally to online and in-person instruction, with clear implications for post-16 educators designing online learning experiences.</w:t>
      </w:r>
      <w:r w:rsidR="007E00BE">
        <w:t xml:space="preserve"> </w:t>
      </w:r>
      <w:r w:rsidRPr="00C20EC6">
        <w:t xml:space="preserve">For post-16 learners specifically, </w:t>
      </w:r>
      <w:r w:rsidR="00751F7E" w:rsidRPr="00C20EC6">
        <w:t>their</w:t>
      </w:r>
      <w:r w:rsidRPr="00C20EC6">
        <w:t xml:space="preserve"> research emphasizes the importance of scaffolding the transition to more independent learning while providing appropriate technological and pedagogical support, which is particularly relevant for students in the post-16 sector who are developing the skills needed for higher education or employment.</w:t>
      </w:r>
      <w:r w:rsidR="00D61153" w:rsidRPr="00C20EC6">
        <w:t xml:space="preserve"> </w:t>
      </w:r>
      <w:r w:rsidRPr="00C20EC6">
        <w:t xml:space="preserve">The development of digital literacy and self-regulated learning skills emerges as both an outcome of and a prerequisite for successful online learning. Wong et al. (2022) conducted a systematic review of self-regulation in online learning environments, finding that contemporary digital self-regulation encompasses not only traditional aspects like time management and metacognition but also digital-specific competencies such as digital distraction management, online help-seeking behaviors, and technology boundary-setting. Their </w:t>
      </w:r>
      <w:r w:rsidRPr="00C20EC6">
        <w:lastRenderedPageBreak/>
        <w:t>research suggests that effective online learning environments should explicitly develop these skills through embedded scaffolds and metacognitive prompts.</w:t>
      </w:r>
    </w:p>
    <w:p w14:paraId="7DE49282" w14:textId="28394892" w:rsidR="00CE46FC" w:rsidRDefault="00CE46FC" w:rsidP="00914860">
      <w:pPr>
        <w:spacing w:line="360" w:lineRule="auto"/>
      </w:pPr>
      <w:r w:rsidRPr="00C20EC6">
        <w:t>While the rapidly expanding literature provides valuable insights into various aspects of online learning in post-16 education, several significant gaps remain. First, despite the surge in research during the pandemic, there remains limited focus on post-16 education specifically, with most studies concentrating on higher education or K-12 settings. The post-16 sector represents a critical transition period that merits targeted investigation. Second, as noted by Pokhrel and Chhetri (2021), there is a need for more research that simultaneously examines student and teacher experiences, particularly regarding the reciprocal relationships between attitudes, engagement, and outcomes. Finally, Carrillo and Flores (2020) identified that most studies continue to adopt primarily quantitative approaches that, while valuable for identifying broad patterns, may not capture the contextual complexity and lived experiences that qualitative methodologies can reveal.</w:t>
      </w:r>
      <w:r w:rsidR="006B5BA4" w:rsidRPr="00C20EC6">
        <w:t xml:space="preserve"> </w:t>
      </w:r>
      <w:r w:rsidRPr="00C20EC6">
        <w:t>This action research project aims to address these gaps by investigating the research question: "</w:t>
      </w:r>
      <w:r w:rsidR="00823F63">
        <w:t>The att</w:t>
      </w:r>
      <w:r w:rsidR="00ED5A38">
        <w:t xml:space="preserve">itudes of online learners and how </w:t>
      </w:r>
      <w:r w:rsidR="00DF46E3">
        <w:t>does online teaching affect student or teacher engagement and learning outcomes</w:t>
      </w:r>
      <w:r w:rsidR="00B05B8E">
        <w:t xml:space="preserve"> in post-16 education?</w:t>
      </w:r>
      <w:r w:rsidRPr="00C20EC6">
        <w:t>" By implementing and evaluating specific strategies drawn from the literature</w:t>
      </w:r>
      <w:r w:rsidR="00B05B8E">
        <w:t xml:space="preserve"> and</w:t>
      </w:r>
      <w:r w:rsidRPr="00C20EC6">
        <w:t xml:space="preserve"> within my own teaching practice, this project will contribute practical insights to our understanding of effective online teaching in the post-16 sector.</w:t>
      </w:r>
    </w:p>
    <w:p w14:paraId="108F997F" w14:textId="77777777" w:rsidR="00971207" w:rsidRDefault="00971207" w:rsidP="00914860">
      <w:pPr>
        <w:spacing w:line="360" w:lineRule="auto"/>
      </w:pPr>
    </w:p>
    <w:p w14:paraId="597D0D8C" w14:textId="77777777" w:rsidR="00971207" w:rsidRDefault="00971207" w:rsidP="00914860">
      <w:pPr>
        <w:spacing w:line="360" w:lineRule="auto"/>
      </w:pPr>
    </w:p>
    <w:p w14:paraId="7B68E4F9" w14:textId="77777777" w:rsidR="00451C88" w:rsidRDefault="00451C88" w:rsidP="00914860">
      <w:pPr>
        <w:spacing w:line="360" w:lineRule="auto"/>
      </w:pPr>
    </w:p>
    <w:p w14:paraId="0F867A65" w14:textId="77777777" w:rsidR="00451C88" w:rsidRDefault="00451C88" w:rsidP="00914860">
      <w:pPr>
        <w:spacing w:line="360" w:lineRule="auto"/>
      </w:pPr>
    </w:p>
    <w:p w14:paraId="185EBFF9" w14:textId="77777777" w:rsidR="00451C88" w:rsidRDefault="00451C88" w:rsidP="00914860">
      <w:pPr>
        <w:spacing w:line="360" w:lineRule="auto"/>
      </w:pPr>
    </w:p>
    <w:p w14:paraId="221DF78D" w14:textId="77777777" w:rsidR="00933855" w:rsidRPr="00C20EC6" w:rsidRDefault="00933855" w:rsidP="00914860">
      <w:pPr>
        <w:spacing w:line="360" w:lineRule="auto"/>
      </w:pPr>
    </w:p>
    <w:p w14:paraId="4F43D8FC" w14:textId="77777777" w:rsidR="0073295D" w:rsidRPr="00C20EC6" w:rsidRDefault="0073295D" w:rsidP="00914860">
      <w:pPr>
        <w:pStyle w:val="Heading1"/>
        <w:spacing w:line="360" w:lineRule="auto"/>
      </w:pPr>
      <w:bookmarkStart w:id="2" w:name="_Toc193974357"/>
      <w:r w:rsidRPr="00C20EC6">
        <w:lastRenderedPageBreak/>
        <w:t>Methodology used (400 words)</w:t>
      </w:r>
      <w:bookmarkEnd w:id="2"/>
    </w:p>
    <w:p w14:paraId="7FAF7C8C" w14:textId="73B2DFFB" w:rsidR="009617C2" w:rsidRPr="00C20EC6" w:rsidRDefault="009617C2" w:rsidP="009617C2">
      <w:pPr>
        <w:spacing w:line="360" w:lineRule="auto"/>
      </w:pPr>
      <w:r w:rsidRPr="00C20EC6">
        <w:t>This action research project adopts a pragmatic epistemological and ontological perspective (McAteer, 2013), which values knowledge based on its utility in addressing real-world problems rather than abstract philosophical positions (Creswell &amp; Creswell, 2018). This perspective aligns well with the practical goals of improving my teaching practice and enhancing student learning experiences.</w:t>
      </w:r>
      <w:r w:rsidR="00D01752" w:rsidRPr="00C20EC6">
        <w:t xml:space="preserve"> </w:t>
      </w:r>
      <w:r w:rsidRPr="00C20EC6">
        <w:t>Following McAteer's (2013) guidance on educational action research, I designed a cyclical process of planning, action, observation, and reflection across two complete cycles during a 1</w:t>
      </w:r>
      <w:r w:rsidR="00D01752" w:rsidRPr="00C20EC6">
        <w:t xml:space="preserve">0 </w:t>
      </w:r>
      <w:r w:rsidRPr="00C20EC6">
        <w:t>week teaching period. This framework was informed by both systematic literature review and my previous teaching observations in post-16 education settings.</w:t>
      </w:r>
    </w:p>
    <w:p w14:paraId="0A4A01F8" w14:textId="77777777" w:rsidR="009617C2" w:rsidRPr="00C20EC6" w:rsidRDefault="009617C2" w:rsidP="009617C2">
      <w:pPr>
        <w:spacing w:line="360" w:lineRule="auto"/>
      </w:pPr>
      <w:r w:rsidRPr="00C20EC6">
        <w:t>Secondary Research Component</w:t>
      </w:r>
    </w:p>
    <w:p w14:paraId="5B69A7BE" w14:textId="2370FAF2" w:rsidR="009617C2" w:rsidRPr="00C20EC6" w:rsidRDefault="009617C2" w:rsidP="009617C2">
      <w:pPr>
        <w:spacing w:line="360" w:lineRule="auto"/>
      </w:pPr>
      <w:r w:rsidRPr="00C20EC6">
        <w:t xml:space="preserve">The methodology employed a comprehensive secondary research approach following Zhao and </w:t>
      </w:r>
      <w:proofErr w:type="spellStart"/>
      <w:r w:rsidRPr="00C20EC6">
        <w:t>Watterston's</w:t>
      </w:r>
      <w:proofErr w:type="spellEnd"/>
      <w:r w:rsidRPr="00C20EC6">
        <w:t xml:space="preserve"> (2021) recommendations for educational technology research synthesis. This process began with a systematic literature search using databases, with particular emphasis on post-pandemic literature addressing the rapid evolution of online learning practices. Search terms included combinations of "online learning," "post-16 education," "student attitudes," "engagement," "learning outcomes," "digital pedagogy," and "vocational education."</w:t>
      </w:r>
      <w:r w:rsidR="00D64E98" w:rsidRPr="00C20EC6">
        <w:t xml:space="preserve"> </w:t>
      </w:r>
      <w:r w:rsidRPr="00C20EC6">
        <w:t>Identified studies were evaluated using quality criteria adapted from Bond et al. (2023), including methodological rigor, sample adequacy, contextual relevance to post-16 settings, and clarity of findings. Studies with significant methodological weaknesses, very small sample sizes, or limited relevance to post-16 contexts were excluded from the final analysis.</w:t>
      </w:r>
    </w:p>
    <w:p w14:paraId="7F54FB03" w14:textId="77777777" w:rsidR="009617C2" w:rsidRPr="00C20EC6" w:rsidRDefault="009617C2" w:rsidP="009617C2">
      <w:pPr>
        <w:spacing w:line="360" w:lineRule="auto"/>
      </w:pPr>
      <w:r w:rsidRPr="00C20EC6">
        <w:t>Previous Teaching Observations</w:t>
      </w:r>
    </w:p>
    <w:p w14:paraId="7A2E9DDE" w14:textId="7781E358" w:rsidR="009617C2" w:rsidRPr="00C20EC6" w:rsidRDefault="009617C2" w:rsidP="009617C2">
      <w:pPr>
        <w:spacing w:line="360" w:lineRule="auto"/>
      </w:pPr>
      <w:r w:rsidRPr="00C20EC6">
        <w:t xml:space="preserve">Prior to implementing action research cycles, I drew extensively on my previous teaching observations and experiences with </w:t>
      </w:r>
      <w:r w:rsidR="007F3620" w:rsidRPr="00C20EC6">
        <w:t>my</w:t>
      </w:r>
      <w:r w:rsidRPr="00C20EC6">
        <w:t xml:space="preserve"> post-16 students in my online </w:t>
      </w:r>
      <w:r w:rsidR="007F3620" w:rsidRPr="00C20EC6">
        <w:t>Digital</w:t>
      </w:r>
      <w:r w:rsidR="00756EFA" w:rsidRPr="00C20EC6">
        <w:t xml:space="preserve"> Skills</w:t>
      </w:r>
      <w:r w:rsidR="007F3620" w:rsidRPr="00C20EC6">
        <w:t xml:space="preserve"> </w:t>
      </w:r>
      <w:r w:rsidRPr="00C20EC6">
        <w:t>classes. These observations spanned two academic terms and included informal engagement tracking</w:t>
      </w:r>
      <w:r w:rsidR="00C82B79" w:rsidRPr="00C20EC6">
        <w:t xml:space="preserve">, </w:t>
      </w:r>
      <w:r w:rsidRPr="00C20EC6">
        <w:t>noting student behaviors and responses to different teaching approaches, patterns</w:t>
      </w:r>
      <w:r w:rsidR="00C82B79" w:rsidRPr="00C20EC6">
        <w:t xml:space="preserve"> emerged</w:t>
      </w:r>
      <w:r w:rsidRPr="00C20EC6">
        <w:t xml:space="preserve"> in student achievement across different types of </w:t>
      </w:r>
      <w:r w:rsidRPr="00C20EC6">
        <w:lastRenderedPageBreak/>
        <w:t xml:space="preserve">learning activities, and informal comments and feedback from students </w:t>
      </w:r>
      <w:r w:rsidR="00626CF9" w:rsidRPr="00C20EC6">
        <w:t>were mentally</w:t>
      </w:r>
      <w:r w:rsidR="00B560E3" w:rsidRPr="00C20EC6">
        <w:t xml:space="preserve"> noted</w:t>
      </w:r>
      <w:r w:rsidRPr="00C20EC6">
        <w:t xml:space="preserve"> during regular </w:t>
      </w:r>
      <w:r w:rsidR="00B560E3" w:rsidRPr="00C20EC6">
        <w:t xml:space="preserve">verbal </w:t>
      </w:r>
      <w:r w:rsidRPr="00C20EC6">
        <w:t>course evaluations.</w:t>
      </w:r>
    </w:p>
    <w:p w14:paraId="696B508C" w14:textId="77777777" w:rsidR="009617C2" w:rsidRPr="00C20EC6" w:rsidRDefault="009617C2" w:rsidP="009617C2">
      <w:pPr>
        <w:spacing w:line="360" w:lineRule="auto"/>
      </w:pPr>
      <w:r w:rsidRPr="00C20EC6">
        <w:t>Data Analysis</w:t>
      </w:r>
    </w:p>
    <w:p w14:paraId="5791BB51" w14:textId="5365F0BF" w:rsidR="009617C2" w:rsidRPr="00C20EC6" w:rsidRDefault="009617C2" w:rsidP="009617C2">
      <w:pPr>
        <w:spacing w:line="360" w:lineRule="auto"/>
      </w:pPr>
      <w:r w:rsidRPr="00C20EC6">
        <w:t>The analytical process followed Braun and Clarke's (2021) thematic approach, organizing both secondary research findings and previous teaching observations into categories aligned with my research questions. This was complemented by the constant comparative method recommended by Carrillo and Flores (2020) to integrate findings from diverse sources.</w:t>
      </w:r>
      <w:r w:rsidR="00B560E3" w:rsidRPr="00C20EC6">
        <w:t xml:space="preserve"> </w:t>
      </w:r>
      <w:r w:rsidRPr="00C20EC6">
        <w:t>The final analytical framework integrated three established models</w:t>
      </w:r>
      <w:r w:rsidR="00A4065F">
        <w:t>,</w:t>
      </w:r>
      <w:r w:rsidRPr="00C20EC6">
        <w:t xml:space="preserve"> the Community of Inquiry model for examining teaching presence, the Educational Technology and Student Engagement Framework (</w:t>
      </w:r>
      <w:proofErr w:type="spellStart"/>
      <w:r w:rsidRPr="00C20EC6">
        <w:t>Bedenlier</w:t>
      </w:r>
      <w:proofErr w:type="spellEnd"/>
      <w:r w:rsidRPr="00C20EC6">
        <w:t xml:space="preserve"> et al., 2020) for </w:t>
      </w:r>
      <w:r w:rsidR="00DC4298" w:rsidRPr="00C20EC6">
        <w:t>analysing</w:t>
      </w:r>
      <w:r w:rsidRPr="00C20EC6">
        <w:t xml:space="preserve"> engagement patterns, and the Digital Self-Regulation Framework (Wong et al., 2022) for understanding skill development in online contexts.</w:t>
      </w:r>
    </w:p>
    <w:p w14:paraId="79CE0F91" w14:textId="77777777" w:rsidR="00403B7E" w:rsidRPr="00C20EC6" w:rsidRDefault="00403B7E" w:rsidP="00914860">
      <w:pPr>
        <w:spacing w:line="360" w:lineRule="auto"/>
      </w:pPr>
    </w:p>
    <w:p w14:paraId="3FA0ADE6" w14:textId="77777777" w:rsidR="00F67003" w:rsidRPr="00C20EC6" w:rsidRDefault="00F67003" w:rsidP="00914860">
      <w:pPr>
        <w:spacing w:line="360" w:lineRule="auto"/>
      </w:pPr>
    </w:p>
    <w:p w14:paraId="2647D7FD" w14:textId="77777777" w:rsidR="00F67003" w:rsidRPr="00C20EC6" w:rsidRDefault="00F67003" w:rsidP="00914860">
      <w:pPr>
        <w:spacing w:line="360" w:lineRule="auto"/>
      </w:pPr>
    </w:p>
    <w:p w14:paraId="578B1419" w14:textId="77777777" w:rsidR="00F67003" w:rsidRPr="00C20EC6" w:rsidRDefault="00F67003" w:rsidP="00914860">
      <w:pPr>
        <w:spacing w:line="360" w:lineRule="auto"/>
      </w:pPr>
    </w:p>
    <w:p w14:paraId="4EAB1245" w14:textId="77777777" w:rsidR="00F67003" w:rsidRPr="00C20EC6" w:rsidRDefault="00F67003" w:rsidP="00914860">
      <w:pPr>
        <w:spacing w:line="360" w:lineRule="auto"/>
      </w:pPr>
    </w:p>
    <w:p w14:paraId="0E9A9082" w14:textId="77777777" w:rsidR="00F67003" w:rsidRPr="00C20EC6" w:rsidRDefault="00F67003" w:rsidP="00914860">
      <w:pPr>
        <w:spacing w:line="360" w:lineRule="auto"/>
      </w:pPr>
    </w:p>
    <w:p w14:paraId="09258CA0" w14:textId="77777777" w:rsidR="00F67003" w:rsidRPr="00C20EC6" w:rsidRDefault="00F67003" w:rsidP="00914860">
      <w:pPr>
        <w:spacing w:line="360" w:lineRule="auto"/>
      </w:pPr>
    </w:p>
    <w:p w14:paraId="113D4EAC" w14:textId="77777777" w:rsidR="00B560E3" w:rsidRPr="00C20EC6" w:rsidRDefault="00B560E3" w:rsidP="00914860">
      <w:pPr>
        <w:spacing w:line="360" w:lineRule="auto"/>
      </w:pPr>
    </w:p>
    <w:p w14:paraId="2DE22AA2" w14:textId="77777777" w:rsidR="00B560E3" w:rsidRPr="00C20EC6" w:rsidRDefault="00B560E3" w:rsidP="00914860">
      <w:pPr>
        <w:spacing w:line="360" w:lineRule="auto"/>
      </w:pPr>
    </w:p>
    <w:p w14:paraId="54B5C204" w14:textId="77777777" w:rsidR="00B560E3" w:rsidRPr="00C20EC6" w:rsidRDefault="00B560E3" w:rsidP="00914860">
      <w:pPr>
        <w:spacing w:line="360" w:lineRule="auto"/>
      </w:pPr>
    </w:p>
    <w:p w14:paraId="6CD7032B" w14:textId="77777777" w:rsidR="00F67003" w:rsidRPr="00C20EC6" w:rsidRDefault="00F67003" w:rsidP="00914860">
      <w:pPr>
        <w:spacing w:line="360" w:lineRule="auto"/>
      </w:pPr>
    </w:p>
    <w:p w14:paraId="78E81C20" w14:textId="77777777" w:rsidR="0073295D" w:rsidRPr="00C20EC6" w:rsidRDefault="0073295D" w:rsidP="00914860">
      <w:pPr>
        <w:pStyle w:val="Heading1"/>
        <w:spacing w:line="360" w:lineRule="auto"/>
      </w:pPr>
      <w:bookmarkStart w:id="3" w:name="_Toc193974358"/>
      <w:r w:rsidRPr="00C20EC6">
        <w:lastRenderedPageBreak/>
        <w:t>Results/discussion (1500 words)</w:t>
      </w:r>
      <w:bookmarkEnd w:id="3"/>
    </w:p>
    <w:p w14:paraId="44DCC25F" w14:textId="59902169" w:rsidR="00FE64FB" w:rsidRPr="00C20EC6" w:rsidRDefault="00FE64FB" w:rsidP="00FE64FB">
      <w:pPr>
        <w:spacing w:line="360" w:lineRule="auto"/>
      </w:pPr>
      <w:r w:rsidRPr="00C20EC6">
        <w:t xml:space="preserve">Research reveals diverse attitudes toward online learning in post-16 education. Tang et al. (2021) found that students expressed positive attitudes, </w:t>
      </w:r>
      <w:r w:rsidR="002F237A">
        <w:t xml:space="preserve">some </w:t>
      </w:r>
      <w:r w:rsidRPr="00C20EC6">
        <w:t xml:space="preserve">reported mixed feelings, and </w:t>
      </w:r>
      <w:r w:rsidR="002F237A">
        <w:t xml:space="preserve">others </w:t>
      </w:r>
      <w:r w:rsidRPr="00C20EC6">
        <w:t>maintained negative perceptions. These attitudes varied by discipline, with humanities students generally reporting more positive views than those in laboratory-intensive sciences or practice-based arts. Student attitudes are primarily influenced by prior digital learning experiences, technological self-efficacy, and perceived future utility. Those with previous successful online experiences demonstrated significantly more positive predispositions, highlighting the importance of early digital learning encounters in shaping preferences. Watermeyer et al. (2021) identified factors fostering positive attitudes through qualitative analysis</w:t>
      </w:r>
      <w:r w:rsidR="00896CFD">
        <w:t xml:space="preserve">, </w:t>
      </w:r>
      <w:r w:rsidRPr="00C20EC6">
        <w:t>temporal flexibility allowing personalized scheduling</w:t>
      </w:r>
      <w:r w:rsidR="00B71BE6">
        <w:t xml:space="preserve">, </w:t>
      </w:r>
      <w:r w:rsidRPr="00C20EC6">
        <w:t>elimination of commuting time</w:t>
      </w:r>
      <w:r w:rsidR="00B71BE6">
        <w:t>,</w:t>
      </w:r>
      <w:r w:rsidRPr="00C20EC6">
        <w:t xml:space="preserve"> content replay options supporting individualized learning paces</w:t>
      </w:r>
      <w:r w:rsidR="00896CFD">
        <w:t>,</w:t>
      </w:r>
      <w:r w:rsidRPr="00C20EC6">
        <w:t xml:space="preserve"> and enhanced accessibility for diverse learning needs. Conversely, negative </w:t>
      </w:r>
      <w:r w:rsidR="00896CFD" w:rsidRPr="00C20EC6">
        <w:t xml:space="preserve">attitudes </w:t>
      </w:r>
      <w:r w:rsidR="00896CFD">
        <w:t>centred</w:t>
      </w:r>
      <w:r w:rsidRPr="00C20EC6">
        <w:t xml:space="preserve"> around isolation, motivation challenges in home environments, technical difficulties, and concerns about practical skill development. Socioeconomic factors significantly moderated these perceptions. Students lacking reliable internet, adequate devices, or private study spaces reported more negative experiences regardless of course design quality. This digital equity dimension suggests attitudes toward online learning cannot be separated from broader access considerations. Iglesias-</w:t>
      </w:r>
      <w:proofErr w:type="spellStart"/>
      <w:r w:rsidRPr="00C20EC6">
        <w:t>Pradas</w:t>
      </w:r>
      <w:proofErr w:type="spellEnd"/>
      <w:r w:rsidRPr="00C20EC6">
        <w:t xml:space="preserve"> et al. (2021) found that negative attitudes decreased significantly over time with well-designed learning experiences. Initial scepticism often transformed into acceptance and eventually positive engagement with thoughtfully constructed environments. However, </w:t>
      </w:r>
      <w:r w:rsidR="00482CF8">
        <w:t xml:space="preserve">a minority </w:t>
      </w:r>
      <w:r w:rsidRPr="00C20EC6">
        <w:t>maintained negative attitudes regardless of experience duration or design quality, suggesting individual learning preferences play an important role.</w:t>
      </w:r>
      <w:r w:rsidR="00DE3DB6">
        <w:t xml:space="preserve"> </w:t>
      </w:r>
      <w:r w:rsidRPr="00C20EC6">
        <w:t xml:space="preserve">Ma et al. (2023) highlighted that instructor digital competence strongly predicted student attitudes. When students perceived instructors as technologically skilled and comfortable online, their own attitudes were significantly more positive regardless of course content. This suggests faculty professional development may substantially impact student receptiveness to online learning. For teaching staff, Ní Shé et al. (2022) found attitudes were influenced by institutional support structures, preparation time, technical </w:t>
      </w:r>
      <w:r w:rsidRPr="00C20EC6">
        <w:lastRenderedPageBreak/>
        <w:t>assistance, and recognition of effort required for quality online instruction. Their research identified substantial variation in teacher attitudes based on institutional contexts rather than individual characteristics.</w:t>
      </w:r>
    </w:p>
    <w:p w14:paraId="641980B0" w14:textId="3DC27D0F" w:rsidR="00FE64FB" w:rsidRPr="00C20EC6" w:rsidRDefault="00FE64FB" w:rsidP="00FE64FB">
      <w:pPr>
        <w:spacing w:line="360" w:lineRule="auto"/>
      </w:pPr>
      <w:r w:rsidRPr="00C20EC6">
        <w:t>Bond et al. (2023</w:t>
      </w:r>
      <w:r w:rsidR="000379A3">
        <w:t>)</w:t>
      </w:r>
      <w:r w:rsidR="000379A3" w:rsidRPr="000379A3">
        <w:t xml:space="preserve"> described engagement as having multiple dimensions</w:t>
      </w:r>
      <w:r w:rsidR="000379A3">
        <w:t xml:space="preserve">, </w:t>
      </w:r>
      <w:r w:rsidR="000379A3" w:rsidRPr="000379A3">
        <w:t>behavioural (what students do), emotional (how students feel), and cognitive (how students think). Each dimension is affected by different factors in online learning.</w:t>
      </w:r>
      <w:r w:rsidR="001202AA">
        <w:t xml:space="preserve"> </w:t>
      </w:r>
      <w:r w:rsidR="000379A3" w:rsidRPr="000379A3">
        <w:t xml:space="preserve">For </w:t>
      </w:r>
      <w:r w:rsidR="001202AA" w:rsidRPr="000379A3">
        <w:t>behavioural</w:t>
      </w:r>
      <w:r w:rsidR="000379A3" w:rsidRPr="000379A3">
        <w:t xml:space="preserve"> engagement</w:t>
      </w:r>
      <w:r w:rsidR="002B2E5F">
        <w:t xml:space="preserve">, </w:t>
      </w:r>
      <w:r w:rsidR="000379A3" w:rsidRPr="000379A3">
        <w:t>which includes visible participation and completing tasks</w:t>
      </w:r>
      <w:r w:rsidR="005844BE">
        <w:t xml:space="preserve">, </w:t>
      </w:r>
      <w:r w:rsidR="000379A3" w:rsidRPr="000379A3">
        <w:t xml:space="preserve">the structure of the course and the instructor's presence are particularly important. Eradze </w:t>
      </w:r>
      <w:r w:rsidR="005844BE">
        <w:t>et</w:t>
      </w:r>
      <w:r w:rsidR="008F27E2">
        <w:t xml:space="preserve"> al. </w:t>
      </w:r>
      <w:r w:rsidR="000379A3" w:rsidRPr="000379A3">
        <w:t xml:space="preserve">(2021) studied courses and discovered that when courses had clear organization and regular, predictable instructor interaction, students were much more active than in less organized courses. Their research showed that well-organized courses with clear expectations and regular check-ins from instructors led to better </w:t>
      </w:r>
      <w:r w:rsidR="008F27E2" w:rsidRPr="000379A3">
        <w:t>behavioural</w:t>
      </w:r>
      <w:r w:rsidR="000379A3" w:rsidRPr="000379A3">
        <w:t xml:space="preserve"> engagement, as measured by how often students logged in and completed assignments.</w:t>
      </w:r>
    </w:p>
    <w:p w14:paraId="131E3D78" w14:textId="24902EA3" w:rsidR="00C56B67" w:rsidRPr="00C20EC6" w:rsidRDefault="00FE64FB" w:rsidP="00FE64FB">
      <w:pPr>
        <w:spacing w:line="360" w:lineRule="auto"/>
      </w:pPr>
      <w:r w:rsidRPr="00C20EC6">
        <w:t xml:space="preserve">From a personal perspective as a student, remote learning presents unique challenges to maintaining focus amid home distractions and competing responsibilities. Without the physical class structures and social accountability of in-person settings, it becomes easier to postpone engagement or multitask during learning activities. For lecturers, these engagement challenges are particularly frustrating, as </w:t>
      </w:r>
      <w:r w:rsidR="000D1444">
        <w:t>we</w:t>
      </w:r>
      <w:r w:rsidRPr="00C20EC6">
        <w:t xml:space="preserve"> invest significant effort in designing learning experiences</w:t>
      </w:r>
      <w:r w:rsidR="0050218B">
        <w:t>,</w:t>
      </w:r>
      <w:r w:rsidRPr="00C20EC6">
        <w:t xml:space="preserve"> without being able to directly observe student engagement or make real-time adjustments based on nonverbal feedback.</w:t>
      </w:r>
      <w:r w:rsidR="0050218B">
        <w:t xml:space="preserve"> </w:t>
      </w:r>
      <w:r w:rsidR="00C56B67" w:rsidRPr="00C56B67">
        <w:t>Emotional engagement</w:t>
      </w:r>
      <w:r w:rsidR="00C56B67">
        <w:t xml:space="preserve"> </w:t>
      </w:r>
      <w:r w:rsidR="00C56B67" w:rsidRPr="00C56B67">
        <w:t>which includes interest, enthusiasm, and feeling like you belong</w:t>
      </w:r>
      <w:r w:rsidR="00C56B67">
        <w:t xml:space="preserve">, </w:t>
      </w:r>
      <w:r w:rsidR="00C56B67" w:rsidRPr="00C56B67">
        <w:t xml:space="preserve">improves greatly when instructors establish a social presence online. </w:t>
      </w:r>
      <w:r w:rsidR="00937C58">
        <w:t>Conklin</w:t>
      </w:r>
      <w:r w:rsidR="00C56B67" w:rsidRPr="00C56B67">
        <w:t xml:space="preserve"> </w:t>
      </w:r>
      <w:r w:rsidR="00BD461E">
        <w:t>et al</w:t>
      </w:r>
      <w:r w:rsidR="00C56B67" w:rsidRPr="00C56B67">
        <w:t xml:space="preserve"> (202</w:t>
      </w:r>
      <w:r w:rsidR="00937C58">
        <w:t>1</w:t>
      </w:r>
      <w:r w:rsidR="00C56B67" w:rsidRPr="00C56B67">
        <w:t>) discovered that students felt more emotionally engaged when instructors shared personal details, used casual conversation styles, and showed understanding of student experiences. The research showed that making online learning more human through instructor openness, personalized comments on work, and genuine communication helped students feel more connected. In my own teaching, I've found this approach leads to better engagement and students are more relaxed while learning.</w:t>
      </w:r>
      <w:r w:rsidR="00B808EA">
        <w:t xml:space="preserve"> </w:t>
      </w:r>
      <w:r w:rsidR="00C56B67" w:rsidRPr="00C56B67">
        <w:t>Cognitive engagement</w:t>
      </w:r>
      <w:r w:rsidR="00B808EA">
        <w:t xml:space="preserve">, </w:t>
      </w:r>
      <w:r w:rsidR="00C56B67" w:rsidRPr="00C56B67">
        <w:t xml:space="preserve">the deep thinking, critical analysis, and </w:t>
      </w:r>
      <w:r w:rsidR="00CB190C" w:rsidRPr="00C56B67">
        <w:t>Self-Management</w:t>
      </w:r>
      <w:r w:rsidR="00C56B67" w:rsidRPr="00C56B67">
        <w:t xml:space="preserve"> of learning</w:t>
      </w:r>
      <w:r w:rsidR="00CB190C">
        <w:t xml:space="preserve">, </w:t>
      </w:r>
      <w:r w:rsidR="00C56B67" w:rsidRPr="00C56B67">
        <w:t xml:space="preserve">improves with real-world tasks that require students to solve </w:t>
      </w:r>
      <w:r w:rsidR="00C56B67" w:rsidRPr="00C56B67">
        <w:lastRenderedPageBreak/>
        <w:t>problems together (</w:t>
      </w:r>
      <w:proofErr w:type="spellStart"/>
      <w:r w:rsidR="00C56B67" w:rsidRPr="00C56B67">
        <w:t>Bedenlier</w:t>
      </w:r>
      <w:proofErr w:type="spellEnd"/>
      <w:r w:rsidR="00C56B67" w:rsidRPr="00C56B67">
        <w:t xml:space="preserve"> et al., 2020). Their research found that simply delivering content passively resulted in little mental effort from students, while challenging activities that required applying knowledge created much higher engagement. For post-16 students specifically, </w:t>
      </w:r>
      <w:r w:rsidR="007F700E">
        <w:t>Roslin</w:t>
      </w:r>
      <w:r w:rsidR="00C56B67" w:rsidRPr="00C56B67">
        <w:t xml:space="preserve"> </w:t>
      </w:r>
      <w:r w:rsidR="007A771D">
        <w:t>et al</w:t>
      </w:r>
      <w:r w:rsidR="001A37EF">
        <w:t>.</w:t>
      </w:r>
      <w:r w:rsidR="00C56B67" w:rsidRPr="00C56B67">
        <w:t xml:space="preserve"> (202</w:t>
      </w:r>
      <w:r w:rsidR="00B73D64">
        <w:t>2</w:t>
      </w:r>
      <w:r w:rsidR="00C56B67" w:rsidRPr="00C56B67">
        <w:t>) found that linking activities to workplace situations significantly improved engagement in all areas. In my experience, using these types of tasks in small group settings like breakout rooms has produced better results in my classes, a practice I now use for both online and in-person teaching.</w:t>
      </w:r>
    </w:p>
    <w:p w14:paraId="4453E2FB" w14:textId="15BFF5AD" w:rsidR="00FE64FB" w:rsidRPr="00C20EC6" w:rsidRDefault="00FE64FB" w:rsidP="00FE64FB">
      <w:pPr>
        <w:spacing w:line="360" w:lineRule="auto"/>
      </w:pPr>
      <w:r w:rsidRPr="00C20EC6">
        <w:t>Hofer et al. (2021) found no significant difference in content knowledge acquisition between well-designed online and face-to-face instruction across diverse disciplines. Their meta-analysis emphasized that constructive alignment between learning objectives, activities, and assessment approaches emerged as the strongest predictor of positive outcomes regardless of modality. Theoretical knowledge acquisition showed equivalent results across modalities, while practical skills showed differential patterns. Technical skills with clear procedural elements could be effectively developed online with appropriate demonstration and feedback, while interpersonal skills showed more variable results. Beyond traditional metrics, Wong et al. (2022) found well-designed online courses can significantly enhance digital self-regulation skills with substantial transfer value. Their analysis identified key design elements promoting this development: metacognitive prompts encouraging reflection, explicit strategy instruction, progressive autonomy development, and structured reflection opportunities.</w:t>
      </w:r>
    </w:p>
    <w:p w14:paraId="61378A0D" w14:textId="29EDB265" w:rsidR="00FE64FB" w:rsidRPr="00C20EC6" w:rsidRDefault="00FE64FB" w:rsidP="00FE64FB">
      <w:pPr>
        <w:spacing w:line="360" w:lineRule="auto"/>
      </w:pPr>
      <w:r w:rsidRPr="00C20EC6">
        <w:t xml:space="preserve">Three key intervention areas have emerged as particularly effective in enhancing online learning. Firstly, enhanced teaching presence strategies significantly improve student perceptions and engagement. </w:t>
      </w:r>
      <w:r w:rsidR="00937C58">
        <w:t>Conklin</w:t>
      </w:r>
      <w:r w:rsidRPr="00C20EC6">
        <w:t xml:space="preserve"> et al. (202</w:t>
      </w:r>
      <w:r w:rsidR="00937C58">
        <w:t>1</w:t>
      </w:r>
      <w:r w:rsidRPr="00C20EC6">
        <w:t>) found multimodal communication combining video announcements, audio feedback, text responses, and synchronous sessions created stronger teaching presence than text-only approaches. Garrison (20</w:t>
      </w:r>
      <w:r w:rsidR="00B6114A">
        <w:t>09</w:t>
      </w:r>
      <w:r w:rsidRPr="00C20EC6">
        <w:t>) identified "presence pacing"</w:t>
      </w:r>
      <w:r w:rsidR="007C397C">
        <w:t xml:space="preserve">, </w:t>
      </w:r>
      <w:r w:rsidRPr="00C20EC6">
        <w:t>strategically intensifying instructor visibility during critical learning junctures</w:t>
      </w:r>
      <w:r w:rsidR="00E6704B">
        <w:t xml:space="preserve">, </w:t>
      </w:r>
      <w:r w:rsidRPr="00C20EC6">
        <w:t xml:space="preserve">as particularly effective for maintaining momentum. For post-16 contexts, Ní Shé et al. (2022) found balancing support with autonomy development was essential, gradually transitioning students toward greater self-direction. Second, structured collaborative learning approaches enhance engagement </w:t>
      </w:r>
      <w:r w:rsidRPr="00C20EC6">
        <w:lastRenderedPageBreak/>
        <w:t xml:space="preserve">when thoughtfully implemented. Bond et al. (2023) found online collaboration requires more explicit structure than face-to-face equivalents, with clear role assignments and staged deliverables improving group functioning. For post-16 learners, </w:t>
      </w:r>
      <w:r w:rsidR="00B73D64">
        <w:t>Roslin</w:t>
      </w:r>
      <w:r w:rsidRPr="00C20EC6">
        <w:t xml:space="preserve"> et al. (202</w:t>
      </w:r>
      <w:r w:rsidR="009670DD">
        <w:t>2</w:t>
      </w:r>
      <w:r w:rsidRPr="00C20EC6">
        <w:t>) found authentic collaborative tasks connected to workplace scenarios were particularly effective for developing both content knowledge and transferable skills. Third, digital self-regulation support enhances outcomes across diverse student populations. Wong et al. (2022) found explicit instruction in digital-specific learning strategies significantly improved student performance. Watermeyer et al. (2021) demonstrated that differentiated support options offering varying levels of structure reduced achievement gaps between students with different levels of digital experience.</w:t>
      </w:r>
    </w:p>
    <w:p w14:paraId="2AB810E1" w14:textId="5D867C58" w:rsidR="00FE64FB" w:rsidRPr="00C20EC6" w:rsidRDefault="00FE64FB" w:rsidP="00FE64FB">
      <w:pPr>
        <w:spacing w:line="360" w:lineRule="auto"/>
      </w:pPr>
      <w:r w:rsidRPr="00C20EC6">
        <w:t xml:space="preserve">Research </w:t>
      </w:r>
      <w:r w:rsidR="00C82533">
        <w:t xml:space="preserve">also </w:t>
      </w:r>
      <w:r w:rsidRPr="00C20EC6">
        <w:t>shows strong connections between attitudes, engagement, and learning outcomes. Tang et al. (2021) found these relationships work bidirectionally</w:t>
      </w:r>
      <w:r w:rsidR="002E3B43">
        <w:t>,</w:t>
      </w:r>
      <w:r w:rsidRPr="00C20EC6">
        <w:t xml:space="preserve"> students with positive attitudes participate more actively, and early participation successes improve attitudes. This creates beneficial cycles where positive attitudes enhance engagement, leading to better outcomes, which further reinforce positive attitudes or conversely, negative spirals when initial experiences generate frustration</w:t>
      </w:r>
      <w:r w:rsidR="009E26B2">
        <w:t>,</w:t>
      </w:r>
      <w:r w:rsidRPr="00C20EC6">
        <w:t xml:space="preserve"> these relationships vary across student populations. Attitudes had the strongest impact on engagement for students with lower technological confidence, while engagement showed the strongest relationship with learning outcomes for academically vulnerable students. This suggests interventions may have differential benefits, with the greatest impact among those needing most support. Carrillo and Flores (2020) documented characteristic progression patterns as students adapt to online environments</w:t>
      </w:r>
      <w:r w:rsidR="00EA2F7E">
        <w:t>,</w:t>
      </w:r>
      <w:r w:rsidRPr="00C20EC6">
        <w:t xml:space="preserve"> initially focusing on technological familiarization</w:t>
      </w:r>
      <w:r w:rsidR="00EA2F7E">
        <w:t>,</w:t>
      </w:r>
      <w:r w:rsidRPr="00C20EC6">
        <w:t xml:space="preserve"> subsequently developing social connections</w:t>
      </w:r>
      <w:r w:rsidR="00761AE5">
        <w:t>,</w:t>
      </w:r>
      <w:r w:rsidRPr="00C20EC6">
        <w:t xml:space="preserve"> and finally engaging deeply with content. Their studies showed attempts to accelerate this progression typically proved counterproductive. I have witnessed this pattern in both online and face-to-face settings, finding that allowing students time to understand the technology enables them to relax before deeper learning occurs</w:t>
      </w:r>
      <w:r w:rsidR="009533DE">
        <w:t>.</w:t>
      </w:r>
      <w:r w:rsidRPr="00C20EC6">
        <w:t xml:space="preserve"> </w:t>
      </w:r>
      <w:r w:rsidR="009533DE" w:rsidRPr="009533DE">
        <w:t xml:space="preserve">According to Ní Shé </w:t>
      </w:r>
      <w:r w:rsidR="009533DE">
        <w:t>et al</w:t>
      </w:r>
      <w:r w:rsidR="00ED676A">
        <w:t>.</w:t>
      </w:r>
      <w:r w:rsidR="009533DE" w:rsidRPr="009533DE">
        <w:t xml:space="preserve"> (2022), teachers develop in stages when teaching online</w:t>
      </w:r>
      <w:r w:rsidR="00ED676A">
        <w:t>,</w:t>
      </w:r>
      <w:r w:rsidR="009533DE" w:rsidRPr="009533DE">
        <w:t xml:space="preserve"> first focusing on technical issues, then building relationships, and finally creating innovative teaching methods. Teachers who feel positive about online teaching put more effort into connecting with students. When students respond well, it strengthens teachers' </w:t>
      </w:r>
      <w:r w:rsidR="009533DE" w:rsidRPr="009533DE">
        <w:lastRenderedPageBreak/>
        <w:t>commitment, creating a positive cycle that improves the learning experience for everyone</w:t>
      </w:r>
      <w:r w:rsidR="00C0538C">
        <w:t xml:space="preserve">. </w:t>
      </w:r>
      <w:r w:rsidRPr="00C20EC6">
        <w:t>Eradze et al. (2021) discovered that teacher presence affects nearly every aspect of the online learning experience. When teachers consistently interact in meaningful ways, it creates a chain reaction</w:t>
      </w:r>
      <w:r w:rsidR="007A5818">
        <w:t>,</w:t>
      </w:r>
      <w:r w:rsidRPr="00C20EC6">
        <w:t xml:space="preserve"> improved student attitudes, increased engagement, and enhanced learning outcomes.</w:t>
      </w:r>
    </w:p>
    <w:p w14:paraId="50EBD54A" w14:textId="7D136EEA" w:rsidR="00E465D7" w:rsidRPr="00C20EC6" w:rsidRDefault="00FE64FB" w:rsidP="00FE64FB">
      <w:pPr>
        <w:spacing w:line="360" w:lineRule="auto"/>
      </w:pPr>
      <w:r w:rsidRPr="00C20EC6">
        <w:t xml:space="preserve">These findings align with </w:t>
      </w:r>
      <w:r w:rsidR="00E04736" w:rsidRPr="00E04736">
        <w:t>Greene and Larsen (2018</w:t>
      </w:r>
      <w:r w:rsidR="00E04736">
        <w:t xml:space="preserve">) </w:t>
      </w:r>
      <w:r w:rsidRPr="00C20EC6">
        <w:t>digital andragogy framework, which conceptualizes online learning as an interconnected ecosystem rather than a linear process. This ecological perspective suggests comprehensive approaches addressing multiple aspects simultaneously are more effective than interventions targeting isolated elements, recognizing the complex interdependencies between psychological, social, and cognitive dimensions of online learning. The research highlights the importance of establishing strong teaching presence, implementing digital self-regulation support, structuring collaborative activities with clear guidelines, offering differentiated learning pathways, and recognizing the developmental nature of adaptation to online learning. These strategies address the multidimensional nature of online learning experiences, creating conditions for positive cycles of attitude, engagement, and achievement in post-16 educational contexts.</w:t>
      </w:r>
    </w:p>
    <w:p w14:paraId="58AD4D35" w14:textId="77777777" w:rsidR="004D7649" w:rsidRPr="00C20EC6" w:rsidRDefault="004D7649" w:rsidP="00FE64FB">
      <w:pPr>
        <w:spacing w:line="360" w:lineRule="auto"/>
      </w:pPr>
    </w:p>
    <w:p w14:paraId="113F69A1" w14:textId="77777777" w:rsidR="004D7649" w:rsidRPr="00C20EC6" w:rsidRDefault="004D7649" w:rsidP="00FE64FB">
      <w:pPr>
        <w:spacing w:line="360" w:lineRule="auto"/>
      </w:pPr>
    </w:p>
    <w:p w14:paraId="4362ED9C" w14:textId="77777777" w:rsidR="004D7649" w:rsidRPr="00C20EC6" w:rsidRDefault="004D7649" w:rsidP="00FE64FB">
      <w:pPr>
        <w:spacing w:line="360" w:lineRule="auto"/>
      </w:pPr>
    </w:p>
    <w:p w14:paraId="78E60C43" w14:textId="77777777" w:rsidR="004D7649" w:rsidRDefault="004D7649" w:rsidP="00FE64FB">
      <w:pPr>
        <w:spacing w:line="360" w:lineRule="auto"/>
      </w:pPr>
    </w:p>
    <w:p w14:paraId="701F0D1A" w14:textId="77777777" w:rsidR="00E5201F" w:rsidRDefault="00E5201F" w:rsidP="00FE64FB">
      <w:pPr>
        <w:spacing w:line="360" w:lineRule="auto"/>
      </w:pPr>
    </w:p>
    <w:p w14:paraId="17EE12C0" w14:textId="77777777" w:rsidR="00E5201F" w:rsidRDefault="00E5201F" w:rsidP="00FE64FB">
      <w:pPr>
        <w:spacing w:line="360" w:lineRule="auto"/>
      </w:pPr>
    </w:p>
    <w:p w14:paraId="1DA00ABE" w14:textId="77777777" w:rsidR="00E5201F" w:rsidRDefault="00E5201F" w:rsidP="00FE64FB">
      <w:pPr>
        <w:spacing w:line="360" w:lineRule="auto"/>
      </w:pPr>
    </w:p>
    <w:p w14:paraId="670A1C22" w14:textId="77777777" w:rsidR="00E5201F" w:rsidRDefault="00E5201F" w:rsidP="00FE64FB">
      <w:pPr>
        <w:spacing w:line="360" w:lineRule="auto"/>
      </w:pPr>
    </w:p>
    <w:p w14:paraId="70B4A2CB" w14:textId="77777777" w:rsidR="002D46FB" w:rsidRPr="00C20EC6" w:rsidRDefault="002D46FB" w:rsidP="00FE64FB">
      <w:pPr>
        <w:spacing w:line="360" w:lineRule="auto"/>
      </w:pPr>
    </w:p>
    <w:p w14:paraId="7B8BFCFE" w14:textId="2A5F562D" w:rsidR="0073295D" w:rsidRPr="00C20EC6" w:rsidRDefault="0073295D" w:rsidP="00914860">
      <w:pPr>
        <w:pStyle w:val="Heading1"/>
        <w:spacing w:line="360" w:lineRule="auto"/>
      </w:pPr>
      <w:bookmarkStart w:id="4" w:name="_Toc193974359"/>
      <w:r w:rsidRPr="00C20EC6">
        <w:lastRenderedPageBreak/>
        <w:t>Conclusion</w:t>
      </w:r>
      <w:bookmarkEnd w:id="4"/>
      <w:r w:rsidRPr="00C20EC6">
        <w:t xml:space="preserve"> </w:t>
      </w:r>
    </w:p>
    <w:p w14:paraId="347C64B4" w14:textId="41E69D15" w:rsidR="00B809D4" w:rsidRPr="00C20EC6" w:rsidRDefault="009853E1" w:rsidP="00152C78">
      <w:pPr>
        <w:spacing w:line="360" w:lineRule="auto"/>
      </w:pPr>
      <w:r w:rsidRPr="00C20EC6">
        <w:t xml:space="preserve">Research into online learning in post-16 education reveals a complex ecosystem of interconnected factors that influence educational effectiveness. The evidence demonstrates that successful online learning depends not on the medium itself but on thoughtful implementation that addresses attitudes, engagement, and skill development simultaneously. Student and teacher perceptions of online learning are dynamically shaped by prior experiences, technological self-efficacy, and institutional support, with instructor digital competence emerging as particularly influential. These attitudes create foundations for engagement, which manifests across </w:t>
      </w:r>
      <w:r w:rsidR="00F358C4" w:rsidRPr="00C20EC6">
        <w:t>behavioural</w:t>
      </w:r>
      <w:r w:rsidRPr="00C20EC6">
        <w:t>, emotional, and cognitive dimensions. Well-designed online environments can produce academic outcomes comparable to traditional instruction while developing valuable transferable skills in digital self-regulation, collaboration, and information literacy that extend beyond specific course content. The most effective approaches incorporate enhanced teaching presence through multimodal communication and strategic presence pacing; structured collaborative activities with clear protocols and authentic contexts; and explicit support for digital self-regulation tailored to diverse student needs. Particularly significant is the discovery of reciprocal relationships between these elements, where positive attitudes facilitate engagement, which improves outcomes, which in turn reinforces positive attitudes</w:t>
      </w:r>
      <w:r w:rsidR="00561615">
        <w:t xml:space="preserve">, </w:t>
      </w:r>
      <w:r w:rsidRPr="00C20EC6">
        <w:t>creating either virtuous or challenging cycles depending on initial experiences. Teacher presence emerges as a pivotal factor that influences multiple aspects of the online learning experience simultaneously. As post-16 education continues to incorporate digital approaches, these insights suggest that comprehensive strategies addressing technological, pedagogical, and social dimensions will be most effective. The research underscores the importance of intentional design, appropriate technological integration, and development of digital learning competencies as essential elements of effective online learning experiences. Moving forward, educational approaches that conceptualize online learning as an interconnected ecosystem rather than a linear process will likely produce the most positive outcomes for post-16 learners.</w:t>
      </w:r>
      <w:r w:rsidR="0020423E" w:rsidRPr="00C20EC6">
        <w:t xml:space="preserve"> </w:t>
      </w:r>
    </w:p>
    <w:p w14:paraId="11D51917" w14:textId="688180F3" w:rsidR="0020423E" w:rsidRPr="00C20EC6" w:rsidRDefault="00152C78" w:rsidP="00152C78">
      <w:pPr>
        <w:spacing w:line="360" w:lineRule="auto"/>
      </w:pPr>
      <w:r w:rsidRPr="00C20EC6">
        <w:lastRenderedPageBreak/>
        <w:t>Looking ahead, I plan to continue refining these teaching approaches in my practice. This action research has deepened my understanding of effective online pedagogy beyond technical skills, reshaping my perspective on how meaningful learning occurs in digital spaces.</w:t>
      </w:r>
      <w:r w:rsidR="00B809D4" w:rsidRPr="00C20EC6">
        <w:t xml:space="preserve"> </w:t>
      </w:r>
      <w:r w:rsidRPr="00C20EC6">
        <w:t>I now recognize that effective online education requires leveraging the unique affordances of digital environments rather than simply replicating traditional classroom experiences. The insights about teacher presence, structured collaboration, and self-regulation scaffolding have applications beyond my online courses and have begun to influence my face</w:t>
      </w:r>
      <w:r w:rsidR="000E1A7E">
        <w:t xml:space="preserve"> </w:t>
      </w:r>
      <w:r w:rsidRPr="00C20EC6">
        <w:t>to</w:t>
      </w:r>
      <w:r w:rsidR="000E1A7E">
        <w:t xml:space="preserve"> </w:t>
      </w:r>
      <w:r w:rsidRPr="00C20EC6">
        <w:t>face teaching as well.</w:t>
      </w:r>
      <w:r w:rsidR="00B809D4" w:rsidRPr="00C20EC6">
        <w:t xml:space="preserve"> </w:t>
      </w:r>
      <w:r w:rsidRPr="00C20EC6">
        <w:t>This research has reinforced my commitment to evidence</w:t>
      </w:r>
      <w:r w:rsidR="00DF079F">
        <w:t xml:space="preserve"> </w:t>
      </w:r>
      <w:r w:rsidRPr="00C20EC6">
        <w:t>based teaching. By approaching online education as a space for systematic inquiry, I've discovered that virtual environments can be rich spaces for educational innovation. I look forward to continuing this reflective process, enhancing my teaching practice and the learning experiences I create for my students in digital contexts.</w:t>
      </w:r>
    </w:p>
    <w:p w14:paraId="3D34CF81" w14:textId="373036A3" w:rsidR="000B4EEF" w:rsidRDefault="000B4EEF" w:rsidP="00914860">
      <w:pPr>
        <w:spacing w:line="360" w:lineRule="auto"/>
      </w:pPr>
    </w:p>
    <w:p w14:paraId="2E95B30A" w14:textId="77777777" w:rsidR="00F227AF" w:rsidRDefault="00F227AF" w:rsidP="00914860">
      <w:pPr>
        <w:spacing w:line="360" w:lineRule="auto"/>
      </w:pPr>
    </w:p>
    <w:p w14:paraId="3527E00C" w14:textId="77777777" w:rsidR="00F227AF" w:rsidRDefault="00F227AF" w:rsidP="00914860">
      <w:pPr>
        <w:spacing w:line="360" w:lineRule="auto"/>
      </w:pPr>
    </w:p>
    <w:p w14:paraId="3D85B562" w14:textId="77777777" w:rsidR="00F227AF" w:rsidRDefault="00F227AF" w:rsidP="00914860">
      <w:pPr>
        <w:spacing w:line="360" w:lineRule="auto"/>
      </w:pPr>
    </w:p>
    <w:p w14:paraId="43506572" w14:textId="77777777" w:rsidR="00F227AF" w:rsidRDefault="00F227AF" w:rsidP="00914860">
      <w:pPr>
        <w:spacing w:line="360" w:lineRule="auto"/>
      </w:pPr>
    </w:p>
    <w:p w14:paraId="45540D6F" w14:textId="77777777" w:rsidR="00F227AF" w:rsidRDefault="00F227AF" w:rsidP="00914860">
      <w:pPr>
        <w:spacing w:line="360" w:lineRule="auto"/>
      </w:pPr>
    </w:p>
    <w:p w14:paraId="55620344" w14:textId="77777777" w:rsidR="00F227AF" w:rsidRDefault="00F227AF" w:rsidP="00914860">
      <w:pPr>
        <w:spacing w:line="360" w:lineRule="auto"/>
      </w:pPr>
    </w:p>
    <w:p w14:paraId="6AE8A414" w14:textId="77777777" w:rsidR="00F227AF" w:rsidRDefault="00F227AF" w:rsidP="00914860">
      <w:pPr>
        <w:spacing w:line="360" w:lineRule="auto"/>
      </w:pPr>
    </w:p>
    <w:p w14:paraId="78B19C58" w14:textId="77777777" w:rsidR="00F227AF" w:rsidRDefault="00F227AF" w:rsidP="00914860">
      <w:pPr>
        <w:spacing w:line="360" w:lineRule="auto"/>
      </w:pPr>
    </w:p>
    <w:p w14:paraId="308B730E" w14:textId="77777777" w:rsidR="00F227AF" w:rsidRDefault="00F227AF" w:rsidP="00914860">
      <w:pPr>
        <w:spacing w:line="360" w:lineRule="auto"/>
      </w:pPr>
    </w:p>
    <w:p w14:paraId="0C5A4714" w14:textId="77777777" w:rsidR="00F227AF" w:rsidRDefault="00F227AF" w:rsidP="00914860">
      <w:pPr>
        <w:spacing w:line="360" w:lineRule="auto"/>
      </w:pPr>
    </w:p>
    <w:p w14:paraId="315E4538" w14:textId="77777777" w:rsidR="00F227AF" w:rsidRPr="00C20EC6" w:rsidRDefault="00F227AF" w:rsidP="00914860">
      <w:pPr>
        <w:spacing w:line="360" w:lineRule="auto"/>
      </w:pPr>
    </w:p>
    <w:p w14:paraId="5A121499" w14:textId="4BB3A7A2" w:rsidR="00283DB1" w:rsidRPr="00C20EC6" w:rsidRDefault="00283DB1" w:rsidP="00283DB1">
      <w:pPr>
        <w:pStyle w:val="Heading1"/>
      </w:pPr>
      <w:bookmarkStart w:id="5" w:name="_Toc193974360"/>
      <w:r w:rsidRPr="00C20EC6">
        <w:lastRenderedPageBreak/>
        <w:t>References</w:t>
      </w:r>
      <w:bookmarkEnd w:id="5"/>
    </w:p>
    <w:p w14:paraId="42652DD8" w14:textId="77777777" w:rsidR="003F30E6" w:rsidRPr="00C20EC6" w:rsidRDefault="003F30E6" w:rsidP="004D5354">
      <w:proofErr w:type="spellStart"/>
      <w:r w:rsidRPr="00C20EC6">
        <w:t>Bedenlier</w:t>
      </w:r>
      <w:proofErr w:type="spellEnd"/>
      <w:r w:rsidRPr="00C20EC6">
        <w:t xml:space="preserve">, S., Bond, M., Buntins, K., Zawacki-Richter, O., &amp; </w:t>
      </w:r>
      <w:proofErr w:type="spellStart"/>
      <w:r w:rsidRPr="00C20EC6">
        <w:t>Kerres</w:t>
      </w:r>
      <w:proofErr w:type="spellEnd"/>
      <w:r w:rsidRPr="00C20EC6">
        <w:t>, M. (2020). Facilitating student engagement through educational technology in higher education: A systematic review in the field of arts and humanities. Australasian Journal of Educational Technology, 36(4), 126-150.</w:t>
      </w:r>
    </w:p>
    <w:p w14:paraId="3E9C9E6C" w14:textId="77777777" w:rsidR="003F30E6" w:rsidRPr="00C20EC6" w:rsidRDefault="003F30E6" w:rsidP="004D5354">
      <w:r w:rsidRPr="00C20EC6">
        <w:t xml:space="preserve">Bond, M., </w:t>
      </w:r>
      <w:proofErr w:type="spellStart"/>
      <w:r w:rsidRPr="00C20EC6">
        <w:t>Bedenlier</w:t>
      </w:r>
      <w:proofErr w:type="spellEnd"/>
      <w:r w:rsidRPr="00C20EC6">
        <w:t>, S., Marín, V. I., &amp; Händel, M. (2023). The interplay of educational technology and student engagement: A critical systematic review of education research. Computers &amp; Education, 196, 104764.</w:t>
      </w:r>
    </w:p>
    <w:p w14:paraId="19765EBE" w14:textId="77777777" w:rsidR="003F30E6" w:rsidRPr="00C20EC6" w:rsidRDefault="003F30E6" w:rsidP="004D5354">
      <w:r w:rsidRPr="00C20EC6">
        <w:t>Braun, V., &amp; Clarke, V. (2021). Thematic analysis: A practical guide. SAGE Publications.</w:t>
      </w:r>
    </w:p>
    <w:p w14:paraId="6D1D59C4" w14:textId="77777777" w:rsidR="003F30E6" w:rsidRPr="00C20EC6" w:rsidRDefault="003F30E6" w:rsidP="004D5354">
      <w:r w:rsidRPr="00C20EC6">
        <w:t>Carrillo, C., &amp; Flores, M. A. (2020). COVID-19 and teacher education: a literature review of online teaching and learning practices. European Journal of Teacher Education, 43(4), 466-487.</w:t>
      </w:r>
    </w:p>
    <w:p w14:paraId="1A099DA1" w14:textId="77777777" w:rsidR="003F30E6" w:rsidRPr="00C20EC6" w:rsidRDefault="003F30E6" w:rsidP="004D5354">
      <w:r w:rsidRPr="00C20EC6">
        <w:t xml:space="preserve">Castellanos-Reyes, D. (2020). 20 Years of the Community of Inquiry Framework. </w:t>
      </w:r>
      <w:proofErr w:type="spellStart"/>
      <w:r w:rsidRPr="00C20EC6">
        <w:t>TechTrends</w:t>
      </w:r>
      <w:proofErr w:type="spellEnd"/>
      <w:r w:rsidRPr="00C20EC6">
        <w:t>, 64, 557-560.</w:t>
      </w:r>
    </w:p>
    <w:p w14:paraId="7DF0F2D7" w14:textId="77777777" w:rsidR="003F30E6" w:rsidRPr="00C20EC6" w:rsidRDefault="003F30E6" w:rsidP="004D5354">
      <w:r w:rsidRPr="00E96B5B">
        <w:t>Conklin, S. and Garrett Dikkers, A. (202</w:t>
      </w:r>
      <w:r>
        <w:t>1</w:t>
      </w:r>
      <w:r w:rsidRPr="00E96B5B">
        <w:t>) 'Instructor Social Presence and Connectedness in a Quick Shift from Face-to-Face to Online Instruction', Online Learning, 2</w:t>
      </w:r>
      <w:r>
        <w:t>5</w:t>
      </w:r>
      <w:r w:rsidRPr="00E96B5B">
        <w:t>(1), pp. 1-22</w:t>
      </w:r>
      <w:r>
        <w:t>.</w:t>
      </w:r>
    </w:p>
    <w:p w14:paraId="1FA11BA4" w14:textId="77777777" w:rsidR="003F30E6" w:rsidRPr="00C20EC6" w:rsidRDefault="003F30E6" w:rsidP="00283DB1">
      <w:r w:rsidRPr="00C20EC6">
        <w:t xml:space="preserve">Crawford, J., Butler-Henderson, K., Rudolph, J., </w:t>
      </w:r>
      <w:proofErr w:type="spellStart"/>
      <w:r w:rsidRPr="00C20EC6">
        <w:t>Malkawi</w:t>
      </w:r>
      <w:proofErr w:type="spellEnd"/>
      <w:r w:rsidRPr="00C20EC6">
        <w:t xml:space="preserve">, B., </w:t>
      </w:r>
      <w:proofErr w:type="spellStart"/>
      <w:r w:rsidRPr="00C20EC6">
        <w:t>Glowatz</w:t>
      </w:r>
      <w:proofErr w:type="spellEnd"/>
      <w:r w:rsidRPr="00C20EC6">
        <w:t>, M., Burton, R., Magni, P., &amp; Lam, S. (2020). COVID-19: 20 countries' higher education intra-period digital pedagogy responses. Journal of Applied Learning &amp; Teaching, 3(1), 1-20.</w:t>
      </w:r>
    </w:p>
    <w:p w14:paraId="02AE2E09" w14:textId="77777777" w:rsidR="003F30E6" w:rsidRPr="00C20EC6" w:rsidRDefault="003F30E6" w:rsidP="004D5354">
      <w:r w:rsidRPr="00C20EC6">
        <w:t xml:space="preserve">Creswell, J. W., &amp; Creswell, J. D. (2018). Research design: Qualitative, quantitative, and mixed methods </w:t>
      </w:r>
      <w:proofErr w:type="gramStart"/>
      <w:r w:rsidRPr="00C20EC6">
        <w:t>approaches</w:t>
      </w:r>
      <w:proofErr w:type="gramEnd"/>
      <w:r w:rsidRPr="00C20EC6">
        <w:t xml:space="preserve"> (5th ed.). SAGE Publications.</w:t>
      </w:r>
    </w:p>
    <w:p w14:paraId="6F28BF5F" w14:textId="77777777" w:rsidR="003F30E6" w:rsidRPr="00C20EC6" w:rsidRDefault="003F30E6" w:rsidP="004D5354">
      <w:r w:rsidRPr="00C20EC6">
        <w:t xml:space="preserve">Eradze, M., Rodríguez-Triana, M. J., &amp; </w:t>
      </w:r>
      <w:proofErr w:type="spellStart"/>
      <w:r w:rsidRPr="00C20EC6">
        <w:t>Laanpere</w:t>
      </w:r>
      <w:proofErr w:type="spellEnd"/>
      <w:r w:rsidRPr="00C20EC6">
        <w:t>, M. (2021). How to aggregate lesson observation data into learning analytics datasets? Proceedings of the 11th International Conference on Learning Analytics and Knowledge, 131-141.</w:t>
      </w:r>
    </w:p>
    <w:p w14:paraId="094290E2" w14:textId="602F6096" w:rsidR="003F30E6" w:rsidRDefault="003F30E6" w:rsidP="004D5354">
      <w:r w:rsidRPr="00C20EC6">
        <w:t>Garrison, D. R., (20</w:t>
      </w:r>
      <w:r>
        <w:t>09</w:t>
      </w:r>
      <w:r w:rsidRPr="00C20EC6">
        <w:t>). Communit</w:t>
      </w:r>
      <w:r>
        <w:t>ies</w:t>
      </w:r>
      <w:r w:rsidRPr="00C20EC6">
        <w:t xml:space="preserve"> of Inquiry</w:t>
      </w:r>
      <w:r>
        <w:t xml:space="preserve"> in online learning</w:t>
      </w:r>
      <w:r w:rsidR="003C2B81">
        <w:t>.</w:t>
      </w:r>
      <w:r w:rsidRPr="00C20EC6">
        <w:t xml:space="preserve"> </w:t>
      </w:r>
      <w:r w:rsidR="003C2B81">
        <w:t xml:space="preserve">Available at: </w:t>
      </w:r>
      <w:r w:rsidRPr="006B1B16">
        <w:t>https://www.researchgate.net/publication/284740159_Communities_of_Inquiry_in_Online_Learning</w:t>
      </w:r>
      <w:r>
        <w:t xml:space="preserve">. </w:t>
      </w:r>
      <w:r w:rsidRPr="00E77A6B">
        <w:t>doi</w:t>
      </w:r>
      <w:r>
        <w:t>:</w:t>
      </w:r>
      <w:r w:rsidRPr="00E77A6B">
        <w:t>10.4018/978-1-60566-198-8.ch052</w:t>
      </w:r>
    </w:p>
    <w:p w14:paraId="59BCF1C3" w14:textId="77777777" w:rsidR="003F30E6" w:rsidRPr="00C20EC6" w:rsidRDefault="003F30E6" w:rsidP="004D5354">
      <w:r w:rsidRPr="00A86B08">
        <w:t>Greene, K. and Larsen, L. (2018) 'Virtual andragogy: a new paradigm for serving adult online learners', International Journal of Digital Society, 9(2).</w:t>
      </w:r>
    </w:p>
    <w:p w14:paraId="4093A081" w14:textId="77777777" w:rsidR="003F30E6" w:rsidRPr="00C20EC6" w:rsidRDefault="003F30E6" w:rsidP="00283DB1">
      <w:r w:rsidRPr="00C20EC6">
        <w:t>Hodges, C., Moore, S., Lockee, B., Trust, T., &amp; Bond, A. (2020). The difference between emergency remote teaching and online learning. Educause Review, 27(1), 1-9.</w:t>
      </w:r>
    </w:p>
    <w:p w14:paraId="7A814675" w14:textId="77777777" w:rsidR="003F30E6" w:rsidRPr="00C20EC6" w:rsidRDefault="003F30E6" w:rsidP="004D5354">
      <w:r w:rsidRPr="00C20EC6">
        <w:lastRenderedPageBreak/>
        <w:t xml:space="preserve">Hofer, S. I., Nistor, N., &amp; </w:t>
      </w:r>
      <w:proofErr w:type="spellStart"/>
      <w:r w:rsidRPr="00C20EC6">
        <w:t>Scheibenzuber</w:t>
      </w:r>
      <w:proofErr w:type="spellEnd"/>
      <w:r w:rsidRPr="00C20EC6">
        <w:t>, C. (2021). Online teaching and learning in higher education: Lessons learned in crisis situations. Computers in Human Behavior, 121, 106789.</w:t>
      </w:r>
    </w:p>
    <w:p w14:paraId="4C78EF4A" w14:textId="77777777" w:rsidR="003F30E6" w:rsidRPr="00C20EC6" w:rsidRDefault="003F30E6" w:rsidP="004D5354">
      <w:r w:rsidRPr="00C20EC6">
        <w:t>Iglesias-</w:t>
      </w:r>
      <w:proofErr w:type="spellStart"/>
      <w:r w:rsidRPr="00C20EC6">
        <w:t>Pradas</w:t>
      </w:r>
      <w:proofErr w:type="spellEnd"/>
      <w:r w:rsidRPr="00C20EC6">
        <w:t>, S., Hernández-García, Á., Chaparro-Peláez, J., &amp; Prieto, J. L. (2021). Emergency remote teaching and students' academic performance in higher education during the COVID-19 pandemic: A case study. Computers in Human Behavior, 119, 106713.</w:t>
      </w:r>
    </w:p>
    <w:p w14:paraId="5680BC3A" w14:textId="77777777" w:rsidR="003F30E6" w:rsidRPr="00C20EC6" w:rsidRDefault="003F30E6" w:rsidP="004D5354">
      <w:r w:rsidRPr="00C20EC6">
        <w:t>Knowles, M. S. (1984). Andragogy in action: Applying modern principles of adult learning. Jossey-Bass.</w:t>
      </w:r>
    </w:p>
    <w:p w14:paraId="23C1EED0" w14:textId="77777777" w:rsidR="003F30E6" w:rsidRPr="00C20EC6" w:rsidRDefault="003F30E6" w:rsidP="004D5354">
      <w:r w:rsidRPr="00C20EC6">
        <w:t xml:space="preserve">Ma, K., </w:t>
      </w:r>
      <w:proofErr w:type="spellStart"/>
      <w:r w:rsidRPr="00C20EC6">
        <w:t>Chutiyami</w:t>
      </w:r>
      <w:proofErr w:type="spellEnd"/>
      <w:r w:rsidRPr="00C20EC6">
        <w:t>, M., Zhang, Y., &amp; Nicoll, S. (2023). Online learning self-efficacy</w:t>
      </w:r>
      <w:r w:rsidRPr="00EB629C">
        <w:t xml:space="preserve"> during COVID-19: changes, its associated factors and moderators</w:t>
      </w:r>
      <w:r w:rsidRPr="00C20EC6">
        <w:t>. Education and Information Technologies, 28(5), 5825-5848.</w:t>
      </w:r>
    </w:p>
    <w:p w14:paraId="61F3710F" w14:textId="77777777" w:rsidR="003F30E6" w:rsidRPr="00C20EC6" w:rsidRDefault="003F30E6" w:rsidP="004D5354">
      <w:r w:rsidRPr="00C20EC6">
        <w:t>McAteer, M. (2013). Action Research in Education. London: Sage Publications Inc.</w:t>
      </w:r>
    </w:p>
    <w:p w14:paraId="534541F0" w14:textId="77777777" w:rsidR="003F30E6" w:rsidRPr="00C20EC6" w:rsidRDefault="003F30E6" w:rsidP="004D5354">
      <w:r w:rsidRPr="00C20EC6">
        <w:t>Ní Shé, C., Farrell, O., Brunton, J., Costello, E., Donlon, E., Trevaskis, S., &amp; Eccles, S. (2022). Teaching online is different: Critical perspectives from the literature. Dublin City University.</w:t>
      </w:r>
    </w:p>
    <w:p w14:paraId="22FF66D6" w14:textId="77777777" w:rsidR="003F30E6" w:rsidRPr="00C20EC6" w:rsidRDefault="003F30E6" w:rsidP="004D5354">
      <w:r w:rsidRPr="00C20EC6">
        <w:t>Pokhrel, S., &amp; Chhetri, R. (2021). A literature review on impact of COVID-19 pandemic on teaching and learning. Higher Education for the Future, 8(1), 133-141.</w:t>
      </w:r>
    </w:p>
    <w:p w14:paraId="3B18E0A1" w14:textId="77777777" w:rsidR="003F30E6" w:rsidRPr="00C20EC6" w:rsidRDefault="003F30E6" w:rsidP="004D5354">
      <w:r w:rsidRPr="00C20EC6">
        <w:t>Raes, A., Detienne, L., Windey, I., &amp; Depaepe, F. (2020). A systematic literature review on synchronous hybrid learning: Gaps identified. Learning Environments Research, 23(3), 269-290.</w:t>
      </w:r>
    </w:p>
    <w:p w14:paraId="446E65DE" w14:textId="77777777" w:rsidR="003F30E6" w:rsidRPr="00C20EC6" w:rsidRDefault="003F30E6" w:rsidP="004D5354">
      <w:proofErr w:type="spellStart"/>
      <w:r w:rsidRPr="00C20EC6">
        <w:t>Rapanta</w:t>
      </w:r>
      <w:proofErr w:type="spellEnd"/>
      <w:r w:rsidRPr="00C20EC6">
        <w:t xml:space="preserve">, C., </w:t>
      </w:r>
      <w:proofErr w:type="spellStart"/>
      <w:r w:rsidRPr="00C20EC6">
        <w:t>Botturi</w:t>
      </w:r>
      <w:proofErr w:type="spellEnd"/>
      <w:r w:rsidRPr="00C20EC6">
        <w:t xml:space="preserve">, L., Goodyear, P., Guàrdia, L., &amp; Koole, M. (2021). Balancing technology, pedagogy and the new normal: Post-pandemic challenges for higher education. </w:t>
      </w:r>
      <w:proofErr w:type="spellStart"/>
      <w:r w:rsidRPr="00C20EC6">
        <w:t>Postdigital</w:t>
      </w:r>
      <w:proofErr w:type="spellEnd"/>
      <w:r w:rsidRPr="00C20EC6">
        <w:t xml:space="preserve"> Science and Education, 3(3), 715-742.</w:t>
      </w:r>
    </w:p>
    <w:p w14:paraId="5A46C645" w14:textId="77777777" w:rsidR="003F30E6" w:rsidRDefault="003F30E6" w:rsidP="004D5354">
      <w:r w:rsidRPr="009929F1">
        <w:t>Roslin, A. R., Rahmatullah, B., Mohamed Zain, N. Z. and Purnama, S. (2022) 'Online learning for vocational education: uncovering emerging themes on perceptions and experiences', Journal of Vocational Education Studies, 5(1). https://doi.org/10.12928/joves.v5i1.6097</w:t>
      </w:r>
    </w:p>
    <w:p w14:paraId="68312FFD" w14:textId="77777777" w:rsidR="003F30E6" w:rsidRPr="00C20EC6" w:rsidRDefault="003F30E6" w:rsidP="004D5354">
      <w:r w:rsidRPr="00C20EC6">
        <w:t>Tang, Y. M., Chen, P. C., Law, K. M., Wu, C. H., Lau, Y. Y., Guan, J., ... &amp; Ho, G. T. (2021). Comparative analysis of Student's live online learning readiness during the coronavirus (COVID-19) pandemic in the higher education sector. Computers &amp; Education, 168, 104211.</w:t>
      </w:r>
    </w:p>
    <w:p w14:paraId="420ADE78" w14:textId="77777777" w:rsidR="003F30E6" w:rsidRPr="00C20EC6" w:rsidRDefault="003F30E6" w:rsidP="004D5354">
      <w:r w:rsidRPr="00C20EC6">
        <w:t>Watermeyer, R., Crick, T., Knight, C., &amp; Goodall, J. (2021). COVID-19 and digital disruption in UK universities: Afflictions and affordances of emergency online migration. Higher Education, 81(3), 623-641.</w:t>
      </w:r>
    </w:p>
    <w:p w14:paraId="3605681A" w14:textId="77777777" w:rsidR="003F30E6" w:rsidRPr="00C20EC6" w:rsidRDefault="003F30E6" w:rsidP="004D5354">
      <w:r w:rsidRPr="00C20EC6">
        <w:lastRenderedPageBreak/>
        <w:t>Wong, J., Baars, M., de Koning, B. B., &amp; Paas, F. (2022). Self-regulation strategies in online learning environments: A systematic review. Educational Research Review, 37, 100455.</w:t>
      </w:r>
    </w:p>
    <w:p w14:paraId="0877845E" w14:textId="77777777" w:rsidR="003F30E6" w:rsidRPr="00C20EC6" w:rsidRDefault="003F30E6" w:rsidP="004D5354">
      <w:r w:rsidRPr="00C20EC6">
        <w:t>Yilmaz, R., &amp; Keser, H. (2022). Reconceptualizing transactional distance theory in synchronous online learning environments: A systematic review. Interactive Learning Environments, 30(7), 1225-1240.</w:t>
      </w:r>
    </w:p>
    <w:p w14:paraId="6C1DB23C" w14:textId="77777777" w:rsidR="003F30E6" w:rsidRPr="00C20EC6" w:rsidRDefault="003F30E6" w:rsidP="004D5354">
      <w:r w:rsidRPr="00C20EC6">
        <w:t xml:space="preserve">Zhao, Y., &amp; </w:t>
      </w:r>
      <w:proofErr w:type="spellStart"/>
      <w:r w:rsidRPr="00C20EC6">
        <w:t>Watterston</w:t>
      </w:r>
      <w:proofErr w:type="spellEnd"/>
      <w:r w:rsidRPr="00C20EC6">
        <w:t>, J. (2021). The changes we need: Education post COVID-19. Journal of Educational Change, 22(1), 3-12.</w:t>
      </w:r>
    </w:p>
    <w:p w14:paraId="5FDCF90E" w14:textId="77777777" w:rsidR="00D34D7D" w:rsidRPr="00C20EC6" w:rsidRDefault="00D34D7D" w:rsidP="004D5354"/>
    <w:p w14:paraId="566EA5D0" w14:textId="77777777" w:rsidR="00D34D7D" w:rsidRPr="00C20EC6" w:rsidRDefault="00D34D7D" w:rsidP="004D5354"/>
    <w:p w14:paraId="2845EC44" w14:textId="77777777" w:rsidR="00D34D7D" w:rsidRDefault="00D34D7D" w:rsidP="00D34D7D"/>
    <w:sectPr w:rsidR="00D34D7D" w:rsidSect="00D803A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050CD3"/>
    <w:multiLevelType w:val="hybridMultilevel"/>
    <w:tmpl w:val="6304F2A8"/>
    <w:lvl w:ilvl="0" w:tplc="C8B8D7AC">
      <w:start w:val="1"/>
      <w:numFmt w:val="bullet"/>
      <w:lvlText w:val=""/>
      <w:lvlJc w:val="left"/>
      <w:pPr>
        <w:ind w:left="720" w:hanging="360"/>
      </w:pPr>
      <w:rPr>
        <w:rFonts w:ascii="Symbol" w:hAnsi="Symbol" w:hint="default"/>
      </w:rPr>
    </w:lvl>
    <w:lvl w:ilvl="1" w:tplc="70586312">
      <w:start w:val="1"/>
      <w:numFmt w:val="bullet"/>
      <w:lvlText w:val="o"/>
      <w:lvlJc w:val="left"/>
      <w:pPr>
        <w:ind w:left="1440" w:hanging="360"/>
      </w:pPr>
      <w:rPr>
        <w:rFonts w:ascii="Courier New" w:hAnsi="Courier New" w:cs="Times New Roman" w:hint="default"/>
      </w:rPr>
    </w:lvl>
    <w:lvl w:ilvl="2" w:tplc="2A52EA02">
      <w:start w:val="1"/>
      <w:numFmt w:val="bullet"/>
      <w:lvlText w:val=""/>
      <w:lvlJc w:val="left"/>
      <w:pPr>
        <w:ind w:left="2160" w:hanging="360"/>
      </w:pPr>
      <w:rPr>
        <w:rFonts w:ascii="Wingdings" w:hAnsi="Wingdings" w:hint="default"/>
      </w:rPr>
    </w:lvl>
    <w:lvl w:ilvl="3" w:tplc="FB6E6428">
      <w:start w:val="1"/>
      <w:numFmt w:val="bullet"/>
      <w:lvlText w:val=""/>
      <w:lvlJc w:val="left"/>
      <w:pPr>
        <w:ind w:left="2880" w:hanging="360"/>
      </w:pPr>
      <w:rPr>
        <w:rFonts w:ascii="Symbol" w:hAnsi="Symbol" w:hint="default"/>
      </w:rPr>
    </w:lvl>
    <w:lvl w:ilvl="4" w:tplc="BEA0B86A">
      <w:start w:val="1"/>
      <w:numFmt w:val="bullet"/>
      <w:lvlText w:val="o"/>
      <w:lvlJc w:val="left"/>
      <w:pPr>
        <w:ind w:left="3600" w:hanging="360"/>
      </w:pPr>
      <w:rPr>
        <w:rFonts w:ascii="Courier New" w:hAnsi="Courier New" w:cs="Times New Roman" w:hint="default"/>
      </w:rPr>
    </w:lvl>
    <w:lvl w:ilvl="5" w:tplc="56AED0A0">
      <w:start w:val="1"/>
      <w:numFmt w:val="bullet"/>
      <w:lvlText w:val=""/>
      <w:lvlJc w:val="left"/>
      <w:pPr>
        <w:ind w:left="4320" w:hanging="360"/>
      </w:pPr>
      <w:rPr>
        <w:rFonts w:ascii="Wingdings" w:hAnsi="Wingdings" w:hint="default"/>
      </w:rPr>
    </w:lvl>
    <w:lvl w:ilvl="6" w:tplc="39CEF146">
      <w:start w:val="1"/>
      <w:numFmt w:val="bullet"/>
      <w:lvlText w:val=""/>
      <w:lvlJc w:val="left"/>
      <w:pPr>
        <w:ind w:left="5040" w:hanging="360"/>
      </w:pPr>
      <w:rPr>
        <w:rFonts w:ascii="Symbol" w:hAnsi="Symbol" w:hint="default"/>
      </w:rPr>
    </w:lvl>
    <w:lvl w:ilvl="7" w:tplc="A3660CA4">
      <w:start w:val="1"/>
      <w:numFmt w:val="bullet"/>
      <w:lvlText w:val="o"/>
      <w:lvlJc w:val="left"/>
      <w:pPr>
        <w:ind w:left="5760" w:hanging="360"/>
      </w:pPr>
      <w:rPr>
        <w:rFonts w:ascii="Courier New" w:hAnsi="Courier New" w:cs="Times New Roman" w:hint="default"/>
      </w:rPr>
    </w:lvl>
    <w:lvl w:ilvl="8" w:tplc="47F61DA4">
      <w:start w:val="1"/>
      <w:numFmt w:val="bullet"/>
      <w:lvlText w:val=""/>
      <w:lvlJc w:val="left"/>
      <w:pPr>
        <w:ind w:left="6480" w:hanging="360"/>
      </w:pPr>
      <w:rPr>
        <w:rFonts w:ascii="Wingdings" w:hAnsi="Wingdings" w:hint="default"/>
      </w:rPr>
    </w:lvl>
  </w:abstractNum>
  <w:num w:numId="1" w16cid:durableId="21317796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3A8"/>
    <w:rsid w:val="00001757"/>
    <w:rsid w:val="00013826"/>
    <w:rsid w:val="000139AF"/>
    <w:rsid w:val="000379A3"/>
    <w:rsid w:val="000423B7"/>
    <w:rsid w:val="00051620"/>
    <w:rsid w:val="00057106"/>
    <w:rsid w:val="000639E7"/>
    <w:rsid w:val="0006561F"/>
    <w:rsid w:val="000830AD"/>
    <w:rsid w:val="000957D1"/>
    <w:rsid w:val="000A044F"/>
    <w:rsid w:val="000A2D52"/>
    <w:rsid w:val="000B465F"/>
    <w:rsid w:val="000B4EEF"/>
    <w:rsid w:val="000C6E59"/>
    <w:rsid w:val="000D1444"/>
    <w:rsid w:val="000E1A7E"/>
    <w:rsid w:val="001105CE"/>
    <w:rsid w:val="00115F18"/>
    <w:rsid w:val="001202AA"/>
    <w:rsid w:val="0012300F"/>
    <w:rsid w:val="001317A1"/>
    <w:rsid w:val="00152C78"/>
    <w:rsid w:val="00155A78"/>
    <w:rsid w:val="001702D9"/>
    <w:rsid w:val="00194767"/>
    <w:rsid w:val="001A37EF"/>
    <w:rsid w:val="001A657B"/>
    <w:rsid w:val="001D1B31"/>
    <w:rsid w:val="0020423E"/>
    <w:rsid w:val="0020695A"/>
    <w:rsid w:val="00210183"/>
    <w:rsid w:val="00210EA1"/>
    <w:rsid w:val="00220DEF"/>
    <w:rsid w:val="00226346"/>
    <w:rsid w:val="00232BBF"/>
    <w:rsid w:val="00232CCE"/>
    <w:rsid w:val="00233A5B"/>
    <w:rsid w:val="002413B1"/>
    <w:rsid w:val="00255995"/>
    <w:rsid w:val="00256336"/>
    <w:rsid w:val="00266AA2"/>
    <w:rsid w:val="00272671"/>
    <w:rsid w:val="00282304"/>
    <w:rsid w:val="00283DB1"/>
    <w:rsid w:val="002A5B42"/>
    <w:rsid w:val="002A66BB"/>
    <w:rsid w:val="002A6C08"/>
    <w:rsid w:val="002B20AE"/>
    <w:rsid w:val="002B2E5F"/>
    <w:rsid w:val="002D46FB"/>
    <w:rsid w:val="002E1863"/>
    <w:rsid w:val="002E3B43"/>
    <w:rsid w:val="002E757C"/>
    <w:rsid w:val="002F237A"/>
    <w:rsid w:val="002F6AAB"/>
    <w:rsid w:val="00307CED"/>
    <w:rsid w:val="00312720"/>
    <w:rsid w:val="0032612F"/>
    <w:rsid w:val="00340E0C"/>
    <w:rsid w:val="00341FE9"/>
    <w:rsid w:val="00367797"/>
    <w:rsid w:val="00370F1F"/>
    <w:rsid w:val="003743A0"/>
    <w:rsid w:val="003851BC"/>
    <w:rsid w:val="003C111A"/>
    <w:rsid w:val="003C2480"/>
    <w:rsid w:val="003C2B81"/>
    <w:rsid w:val="003F181B"/>
    <w:rsid w:val="003F30E6"/>
    <w:rsid w:val="00403B7E"/>
    <w:rsid w:val="00405341"/>
    <w:rsid w:val="00425B61"/>
    <w:rsid w:val="00432F9C"/>
    <w:rsid w:val="00451C88"/>
    <w:rsid w:val="0045321E"/>
    <w:rsid w:val="00460B79"/>
    <w:rsid w:val="004743CA"/>
    <w:rsid w:val="00475172"/>
    <w:rsid w:val="00482CF8"/>
    <w:rsid w:val="00484B04"/>
    <w:rsid w:val="004B1C30"/>
    <w:rsid w:val="004B4C7D"/>
    <w:rsid w:val="004C3383"/>
    <w:rsid w:val="004D5354"/>
    <w:rsid w:val="004D7649"/>
    <w:rsid w:val="0050218B"/>
    <w:rsid w:val="005115B3"/>
    <w:rsid w:val="00561615"/>
    <w:rsid w:val="00576B5E"/>
    <w:rsid w:val="005844BE"/>
    <w:rsid w:val="0059564A"/>
    <w:rsid w:val="00595A01"/>
    <w:rsid w:val="005A79AB"/>
    <w:rsid w:val="005B54BE"/>
    <w:rsid w:val="005C3D10"/>
    <w:rsid w:val="005D4D1C"/>
    <w:rsid w:val="005E530A"/>
    <w:rsid w:val="005E7558"/>
    <w:rsid w:val="005F4895"/>
    <w:rsid w:val="005F4BEA"/>
    <w:rsid w:val="005F7FF1"/>
    <w:rsid w:val="006209AD"/>
    <w:rsid w:val="00625226"/>
    <w:rsid w:val="00626CF9"/>
    <w:rsid w:val="00637FB4"/>
    <w:rsid w:val="00643CBA"/>
    <w:rsid w:val="00667D84"/>
    <w:rsid w:val="00675B17"/>
    <w:rsid w:val="00682D1E"/>
    <w:rsid w:val="0068415D"/>
    <w:rsid w:val="006B1B16"/>
    <w:rsid w:val="006B5BA4"/>
    <w:rsid w:val="006C3796"/>
    <w:rsid w:val="006C3C42"/>
    <w:rsid w:val="006C6535"/>
    <w:rsid w:val="006D5FE8"/>
    <w:rsid w:val="006E16A0"/>
    <w:rsid w:val="006E4AF5"/>
    <w:rsid w:val="006F74B9"/>
    <w:rsid w:val="0070311F"/>
    <w:rsid w:val="00704320"/>
    <w:rsid w:val="0070440C"/>
    <w:rsid w:val="00705316"/>
    <w:rsid w:val="007061EC"/>
    <w:rsid w:val="007079CA"/>
    <w:rsid w:val="0073295D"/>
    <w:rsid w:val="007435B8"/>
    <w:rsid w:val="00751F7E"/>
    <w:rsid w:val="00756EFA"/>
    <w:rsid w:val="00761AE5"/>
    <w:rsid w:val="00764B20"/>
    <w:rsid w:val="00772C4C"/>
    <w:rsid w:val="007815B3"/>
    <w:rsid w:val="00783B85"/>
    <w:rsid w:val="00790593"/>
    <w:rsid w:val="007933AA"/>
    <w:rsid w:val="007A11D0"/>
    <w:rsid w:val="007A39C5"/>
    <w:rsid w:val="007A5818"/>
    <w:rsid w:val="007A771D"/>
    <w:rsid w:val="007B3F87"/>
    <w:rsid w:val="007C397C"/>
    <w:rsid w:val="007C4F51"/>
    <w:rsid w:val="007C677E"/>
    <w:rsid w:val="007D112C"/>
    <w:rsid w:val="007D34E8"/>
    <w:rsid w:val="007D47D1"/>
    <w:rsid w:val="007D5518"/>
    <w:rsid w:val="007D555A"/>
    <w:rsid w:val="007E00BE"/>
    <w:rsid w:val="007F3620"/>
    <w:rsid w:val="007F567B"/>
    <w:rsid w:val="007F700E"/>
    <w:rsid w:val="00823F63"/>
    <w:rsid w:val="00840A29"/>
    <w:rsid w:val="00865510"/>
    <w:rsid w:val="008954D9"/>
    <w:rsid w:val="0089621D"/>
    <w:rsid w:val="00896CFD"/>
    <w:rsid w:val="008A069F"/>
    <w:rsid w:val="008A519C"/>
    <w:rsid w:val="008D3512"/>
    <w:rsid w:val="008E61E4"/>
    <w:rsid w:val="008F27E2"/>
    <w:rsid w:val="008F34D6"/>
    <w:rsid w:val="00902FFE"/>
    <w:rsid w:val="00906BF7"/>
    <w:rsid w:val="00914860"/>
    <w:rsid w:val="00915708"/>
    <w:rsid w:val="00921435"/>
    <w:rsid w:val="009230A0"/>
    <w:rsid w:val="0092319F"/>
    <w:rsid w:val="00924062"/>
    <w:rsid w:val="00933855"/>
    <w:rsid w:val="00937C58"/>
    <w:rsid w:val="009533DE"/>
    <w:rsid w:val="009617C2"/>
    <w:rsid w:val="00963FF6"/>
    <w:rsid w:val="009670DD"/>
    <w:rsid w:val="0096765E"/>
    <w:rsid w:val="00971207"/>
    <w:rsid w:val="009853E1"/>
    <w:rsid w:val="009929F1"/>
    <w:rsid w:val="00997720"/>
    <w:rsid w:val="009A2CDE"/>
    <w:rsid w:val="009A5F96"/>
    <w:rsid w:val="009B35BC"/>
    <w:rsid w:val="009B5445"/>
    <w:rsid w:val="009C40E7"/>
    <w:rsid w:val="009D16F9"/>
    <w:rsid w:val="009D2D13"/>
    <w:rsid w:val="009D451D"/>
    <w:rsid w:val="009D64A9"/>
    <w:rsid w:val="009E26B2"/>
    <w:rsid w:val="009E4BC4"/>
    <w:rsid w:val="009F571B"/>
    <w:rsid w:val="00A02C04"/>
    <w:rsid w:val="00A02F46"/>
    <w:rsid w:val="00A113B2"/>
    <w:rsid w:val="00A23163"/>
    <w:rsid w:val="00A4065F"/>
    <w:rsid w:val="00A4640B"/>
    <w:rsid w:val="00A5074E"/>
    <w:rsid w:val="00A803C3"/>
    <w:rsid w:val="00A86B08"/>
    <w:rsid w:val="00A9001F"/>
    <w:rsid w:val="00A925CB"/>
    <w:rsid w:val="00AA4FDD"/>
    <w:rsid w:val="00AA6A22"/>
    <w:rsid w:val="00AA6DBF"/>
    <w:rsid w:val="00AB06CB"/>
    <w:rsid w:val="00AC17C7"/>
    <w:rsid w:val="00AC39CB"/>
    <w:rsid w:val="00AC709F"/>
    <w:rsid w:val="00AD0645"/>
    <w:rsid w:val="00AD1177"/>
    <w:rsid w:val="00AD68A4"/>
    <w:rsid w:val="00AE177D"/>
    <w:rsid w:val="00AE721A"/>
    <w:rsid w:val="00AF0F10"/>
    <w:rsid w:val="00AF1BA7"/>
    <w:rsid w:val="00AF533A"/>
    <w:rsid w:val="00B04148"/>
    <w:rsid w:val="00B05B8E"/>
    <w:rsid w:val="00B20799"/>
    <w:rsid w:val="00B242ED"/>
    <w:rsid w:val="00B368FE"/>
    <w:rsid w:val="00B37871"/>
    <w:rsid w:val="00B44FC0"/>
    <w:rsid w:val="00B46247"/>
    <w:rsid w:val="00B50CA7"/>
    <w:rsid w:val="00B560E3"/>
    <w:rsid w:val="00B6114A"/>
    <w:rsid w:val="00B61AFD"/>
    <w:rsid w:val="00B71BE6"/>
    <w:rsid w:val="00B73D64"/>
    <w:rsid w:val="00B808EA"/>
    <w:rsid w:val="00B809D4"/>
    <w:rsid w:val="00B9437B"/>
    <w:rsid w:val="00BA0C63"/>
    <w:rsid w:val="00BC28BE"/>
    <w:rsid w:val="00BD3388"/>
    <w:rsid w:val="00BD461E"/>
    <w:rsid w:val="00BF3551"/>
    <w:rsid w:val="00C02822"/>
    <w:rsid w:val="00C0538C"/>
    <w:rsid w:val="00C20EC6"/>
    <w:rsid w:val="00C30F35"/>
    <w:rsid w:val="00C33C2A"/>
    <w:rsid w:val="00C56B67"/>
    <w:rsid w:val="00C62570"/>
    <w:rsid w:val="00C81684"/>
    <w:rsid w:val="00C82533"/>
    <w:rsid w:val="00C82B79"/>
    <w:rsid w:val="00C86869"/>
    <w:rsid w:val="00CA0375"/>
    <w:rsid w:val="00CA6423"/>
    <w:rsid w:val="00CB190C"/>
    <w:rsid w:val="00CB2CA7"/>
    <w:rsid w:val="00CB5D58"/>
    <w:rsid w:val="00CC0DA3"/>
    <w:rsid w:val="00CD6D06"/>
    <w:rsid w:val="00CE46FC"/>
    <w:rsid w:val="00CE619C"/>
    <w:rsid w:val="00CF22D3"/>
    <w:rsid w:val="00CF2BFF"/>
    <w:rsid w:val="00CF437D"/>
    <w:rsid w:val="00D01752"/>
    <w:rsid w:val="00D022DD"/>
    <w:rsid w:val="00D2362D"/>
    <w:rsid w:val="00D25B79"/>
    <w:rsid w:val="00D26C4C"/>
    <w:rsid w:val="00D27241"/>
    <w:rsid w:val="00D33068"/>
    <w:rsid w:val="00D34D7D"/>
    <w:rsid w:val="00D52C1D"/>
    <w:rsid w:val="00D61153"/>
    <w:rsid w:val="00D64E98"/>
    <w:rsid w:val="00D70F79"/>
    <w:rsid w:val="00D803A8"/>
    <w:rsid w:val="00D8339E"/>
    <w:rsid w:val="00D83853"/>
    <w:rsid w:val="00D91583"/>
    <w:rsid w:val="00DC4298"/>
    <w:rsid w:val="00DD0C6B"/>
    <w:rsid w:val="00DE0571"/>
    <w:rsid w:val="00DE0714"/>
    <w:rsid w:val="00DE3DB6"/>
    <w:rsid w:val="00DF079F"/>
    <w:rsid w:val="00DF1B97"/>
    <w:rsid w:val="00DF46E3"/>
    <w:rsid w:val="00DF7C0A"/>
    <w:rsid w:val="00DF7CCE"/>
    <w:rsid w:val="00E04736"/>
    <w:rsid w:val="00E22A10"/>
    <w:rsid w:val="00E430F8"/>
    <w:rsid w:val="00E45486"/>
    <w:rsid w:val="00E465D7"/>
    <w:rsid w:val="00E47765"/>
    <w:rsid w:val="00E5201F"/>
    <w:rsid w:val="00E526F3"/>
    <w:rsid w:val="00E6704B"/>
    <w:rsid w:val="00E73E11"/>
    <w:rsid w:val="00E77A6B"/>
    <w:rsid w:val="00E86127"/>
    <w:rsid w:val="00E872E2"/>
    <w:rsid w:val="00E90601"/>
    <w:rsid w:val="00E95129"/>
    <w:rsid w:val="00E96B5B"/>
    <w:rsid w:val="00EA2F7E"/>
    <w:rsid w:val="00EA7BF0"/>
    <w:rsid w:val="00EB22A9"/>
    <w:rsid w:val="00EB3CA5"/>
    <w:rsid w:val="00EB629C"/>
    <w:rsid w:val="00ED5A38"/>
    <w:rsid w:val="00ED6135"/>
    <w:rsid w:val="00ED676A"/>
    <w:rsid w:val="00EE25F1"/>
    <w:rsid w:val="00EF1A28"/>
    <w:rsid w:val="00EF6589"/>
    <w:rsid w:val="00F14C6C"/>
    <w:rsid w:val="00F164C5"/>
    <w:rsid w:val="00F179C6"/>
    <w:rsid w:val="00F227AF"/>
    <w:rsid w:val="00F358C4"/>
    <w:rsid w:val="00F35AD3"/>
    <w:rsid w:val="00F51301"/>
    <w:rsid w:val="00F56BA4"/>
    <w:rsid w:val="00F579EC"/>
    <w:rsid w:val="00F67003"/>
    <w:rsid w:val="00F87747"/>
    <w:rsid w:val="00FA7B5D"/>
    <w:rsid w:val="00FB5AFD"/>
    <w:rsid w:val="00FB6984"/>
    <w:rsid w:val="00FC6DE1"/>
    <w:rsid w:val="00FC78DA"/>
    <w:rsid w:val="00FD0803"/>
    <w:rsid w:val="00FD284D"/>
    <w:rsid w:val="00FD30E5"/>
    <w:rsid w:val="00FE32B3"/>
    <w:rsid w:val="00FE64FB"/>
    <w:rsid w:val="00FF1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8AFC2"/>
  <w15:chartTrackingRefBased/>
  <w15:docId w15:val="{506369C2-0FBF-4F2D-8CF0-185A7B54A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79AB"/>
  </w:style>
  <w:style w:type="paragraph" w:styleId="Heading1">
    <w:name w:val="heading 1"/>
    <w:basedOn w:val="Normal"/>
    <w:next w:val="Normal"/>
    <w:link w:val="Heading1Char"/>
    <w:uiPriority w:val="9"/>
    <w:qFormat/>
    <w:rsid w:val="00D803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03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03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03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03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03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03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03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03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03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03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03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03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03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03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03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03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03A8"/>
    <w:rPr>
      <w:rFonts w:eastAsiaTheme="majorEastAsia" w:cstheme="majorBidi"/>
      <w:color w:val="272727" w:themeColor="text1" w:themeTint="D8"/>
    </w:rPr>
  </w:style>
  <w:style w:type="paragraph" w:styleId="Title">
    <w:name w:val="Title"/>
    <w:basedOn w:val="Normal"/>
    <w:next w:val="Normal"/>
    <w:link w:val="TitleChar"/>
    <w:uiPriority w:val="10"/>
    <w:qFormat/>
    <w:rsid w:val="00D803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03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03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03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03A8"/>
    <w:pPr>
      <w:spacing w:before="160"/>
      <w:jc w:val="center"/>
    </w:pPr>
    <w:rPr>
      <w:i/>
      <w:iCs/>
      <w:color w:val="404040" w:themeColor="text1" w:themeTint="BF"/>
    </w:rPr>
  </w:style>
  <w:style w:type="character" w:customStyle="1" w:styleId="QuoteChar">
    <w:name w:val="Quote Char"/>
    <w:basedOn w:val="DefaultParagraphFont"/>
    <w:link w:val="Quote"/>
    <w:uiPriority w:val="29"/>
    <w:rsid w:val="00D803A8"/>
    <w:rPr>
      <w:i/>
      <w:iCs/>
      <w:color w:val="404040" w:themeColor="text1" w:themeTint="BF"/>
    </w:rPr>
  </w:style>
  <w:style w:type="paragraph" w:styleId="ListParagraph">
    <w:name w:val="List Paragraph"/>
    <w:basedOn w:val="Normal"/>
    <w:uiPriority w:val="34"/>
    <w:qFormat/>
    <w:rsid w:val="00D803A8"/>
    <w:pPr>
      <w:ind w:left="720"/>
      <w:contextualSpacing/>
    </w:pPr>
  </w:style>
  <w:style w:type="character" w:styleId="IntenseEmphasis">
    <w:name w:val="Intense Emphasis"/>
    <w:basedOn w:val="DefaultParagraphFont"/>
    <w:uiPriority w:val="21"/>
    <w:qFormat/>
    <w:rsid w:val="00D803A8"/>
    <w:rPr>
      <w:i/>
      <w:iCs/>
      <w:color w:val="0F4761" w:themeColor="accent1" w:themeShade="BF"/>
    </w:rPr>
  </w:style>
  <w:style w:type="paragraph" w:styleId="IntenseQuote">
    <w:name w:val="Intense Quote"/>
    <w:basedOn w:val="Normal"/>
    <w:next w:val="Normal"/>
    <w:link w:val="IntenseQuoteChar"/>
    <w:uiPriority w:val="30"/>
    <w:qFormat/>
    <w:rsid w:val="00D803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03A8"/>
    <w:rPr>
      <w:i/>
      <w:iCs/>
      <w:color w:val="0F4761" w:themeColor="accent1" w:themeShade="BF"/>
    </w:rPr>
  </w:style>
  <w:style w:type="character" w:styleId="IntenseReference">
    <w:name w:val="Intense Reference"/>
    <w:basedOn w:val="DefaultParagraphFont"/>
    <w:uiPriority w:val="32"/>
    <w:qFormat/>
    <w:rsid w:val="00D803A8"/>
    <w:rPr>
      <w:b/>
      <w:bCs/>
      <w:smallCaps/>
      <w:color w:val="0F4761" w:themeColor="accent1" w:themeShade="BF"/>
      <w:spacing w:val="5"/>
    </w:rPr>
  </w:style>
  <w:style w:type="paragraph" w:styleId="NoSpacing">
    <w:name w:val="No Spacing"/>
    <w:link w:val="NoSpacingChar"/>
    <w:uiPriority w:val="1"/>
    <w:qFormat/>
    <w:rsid w:val="00D803A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803A8"/>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D803A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F4BEA"/>
    <w:pPr>
      <w:spacing w:after="100"/>
    </w:pPr>
  </w:style>
  <w:style w:type="character" w:styleId="Hyperlink">
    <w:name w:val="Hyperlink"/>
    <w:basedOn w:val="DefaultParagraphFont"/>
    <w:uiPriority w:val="99"/>
    <w:unhideWhenUsed/>
    <w:rsid w:val="005F4BEA"/>
    <w:rPr>
      <w:color w:val="467886" w:themeColor="hyperlink"/>
      <w:u w:val="single"/>
    </w:rPr>
  </w:style>
  <w:style w:type="paragraph" w:customStyle="1" w:styleId="whitespace-pre-wrap">
    <w:name w:val="whitespace-pre-wrap"/>
    <w:basedOn w:val="Normal"/>
    <w:rsid w:val="00D26C4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EF65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527153">
      <w:bodyDiv w:val="1"/>
      <w:marLeft w:val="0"/>
      <w:marRight w:val="0"/>
      <w:marTop w:val="0"/>
      <w:marBottom w:val="0"/>
      <w:divBdr>
        <w:top w:val="none" w:sz="0" w:space="0" w:color="auto"/>
        <w:left w:val="none" w:sz="0" w:space="0" w:color="auto"/>
        <w:bottom w:val="none" w:sz="0" w:space="0" w:color="auto"/>
        <w:right w:val="none" w:sz="0" w:space="0" w:color="auto"/>
      </w:divBdr>
    </w:div>
    <w:div w:id="611863603">
      <w:bodyDiv w:val="1"/>
      <w:marLeft w:val="0"/>
      <w:marRight w:val="0"/>
      <w:marTop w:val="0"/>
      <w:marBottom w:val="0"/>
      <w:divBdr>
        <w:top w:val="none" w:sz="0" w:space="0" w:color="auto"/>
        <w:left w:val="none" w:sz="0" w:space="0" w:color="auto"/>
        <w:bottom w:val="none" w:sz="0" w:space="0" w:color="auto"/>
        <w:right w:val="none" w:sz="0" w:space="0" w:color="auto"/>
      </w:divBdr>
    </w:div>
    <w:div w:id="694423800">
      <w:bodyDiv w:val="1"/>
      <w:marLeft w:val="0"/>
      <w:marRight w:val="0"/>
      <w:marTop w:val="0"/>
      <w:marBottom w:val="0"/>
      <w:divBdr>
        <w:top w:val="none" w:sz="0" w:space="0" w:color="auto"/>
        <w:left w:val="none" w:sz="0" w:space="0" w:color="auto"/>
        <w:bottom w:val="none" w:sz="0" w:space="0" w:color="auto"/>
        <w:right w:val="none" w:sz="0" w:space="0" w:color="auto"/>
      </w:divBdr>
    </w:div>
    <w:div w:id="944658826">
      <w:bodyDiv w:val="1"/>
      <w:marLeft w:val="0"/>
      <w:marRight w:val="0"/>
      <w:marTop w:val="0"/>
      <w:marBottom w:val="0"/>
      <w:divBdr>
        <w:top w:val="none" w:sz="0" w:space="0" w:color="auto"/>
        <w:left w:val="none" w:sz="0" w:space="0" w:color="auto"/>
        <w:bottom w:val="none" w:sz="0" w:space="0" w:color="auto"/>
        <w:right w:val="none" w:sz="0" w:space="0" w:color="auto"/>
      </w:divBdr>
    </w:div>
    <w:div w:id="1049694852">
      <w:bodyDiv w:val="1"/>
      <w:marLeft w:val="0"/>
      <w:marRight w:val="0"/>
      <w:marTop w:val="0"/>
      <w:marBottom w:val="0"/>
      <w:divBdr>
        <w:top w:val="none" w:sz="0" w:space="0" w:color="auto"/>
        <w:left w:val="none" w:sz="0" w:space="0" w:color="auto"/>
        <w:bottom w:val="none" w:sz="0" w:space="0" w:color="auto"/>
        <w:right w:val="none" w:sz="0" w:space="0" w:color="auto"/>
      </w:divBdr>
    </w:div>
    <w:div w:id="1056781217">
      <w:bodyDiv w:val="1"/>
      <w:marLeft w:val="0"/>
      <w:marRight w:val="0"/>
      <w:marTop w:val="0"/>
      <w:marBottom w:val="0"/>
      <w:divBdr>
        <w:top w:val="none" w:sz="0" w:space="0" w:color="auto"/>
        <w:left w:val="none" w:sz="0" w:space="0" w:color="auto"/>
        <w:bottom w:val="none" w:sz="0" w:space="0" w:color="auto"/>
        <w:right w:val="none" w:sz="0" w:space="0" w:color="auto"/>
      </w:divBdr>
    </w:div>
    <w:div w:id="1669020451">
      <w:bodyDiv w:val="1"/>
      <w:marLeft w:val="0"/>
      <w:marRight w:val="0"/>
      <w:marTop w:val="0"/>
      <w:marBottom w:val="0"/>
      <w:divBdr>
        <w:top w:val="none" w:sz="0" w:space="0" w:color="auto"/>
        <w:left w:val="none" w:sz="0" w:space="0" w:color="auto"/>
        <w:bottom w:val="none" w:sz="0" w:space="0" w:color="auto"/>
        <w:right w:val="none" w:sz="0" w:space="0" w:color="auto"/>
      </w:divBdr>
    </w:div>
    <w:div w:id="1761565545">
      <w:bodyDiv w:val="1"/>
      <w:marLeft w:val="0"/>
      <w:marRight w:val="0"/>
      <w:marTop w:val="0"/>
      <w:marBottom w:val="0"/>
      <w:divBdr>
        <w:top w:val="none" w:sz="0" w:space="0" w:color="auto"/>
        <w:left w:val="none" w:sz="0" w:space="0" w:color="auto"/>
        <w:bottom w:val="none" w:sz="0" w:space="0" w:color="auto"/>
        <w:right w:val="none" w:sz="0" w:space="0" w:color="auto"/>
      </w:divBdr>
    </w:div>
    <w:div w:id="1851749104">
      <w:bodyDiv w:val="1"/>
      <w:marLeft w:val="0"/>
      <w:marRight w:val="0"/>
      <w:marTop w:val="0"/>
      <w:marBottom w:val="0"/>
      <w:divBdr>
        <w:top w:val="none" w:sz="0" w:space="0" w:color="auto"/>
        <w:left w:val="none" w:sz="0" w:space="0" w:color="auto"/>
        <w:bottom w:val="none" w:sz="0" w:space="0" w:color="auto"/>
        <w:right w:val="none" w:sz="0" w:space="0" w:color="auto"/>
      </w:divBdr>
    </w:div>
    <w:div w:id="1943605567">
      <w:bodyDiv w:val="1"/>
      <w:marLeft w:val="0"/>
      <w:marRight w:val="0"/>
      <w:marTop w:val="0"/>
      <w:marBottom w:val="0"/>
      <w:divBdr>
        <w:top w:val="none" w:sz="0" w:space="0" w:color="auto"/>
        <w:left w:val="none" w:sz="0" w:space="0" w:color="auto"/>
        <w:bottom w:val="none" w:sz="0" w:space="0" w:color="auto"/>
        <w:right w:val="none" w:sz="0" w:space="0" w:color="auto"/>
      </w:divBdr>
    </w:div>
    <w:div w:id="1949655523">
      <w:bodyDiv w:val="1"/>
      <w:marLeft w:val="0"/>
      <w:marRight w:val="0"/>
      <w:marTop w:val="0"/>
      <w:marBottom w:val="0"/>
      <w:divBdr>
        <w:top w:val="none" w:sz="0" w:space="0" w:color="auto"/>
        <w:left w:val="none" w:sz="0" w:space="0" w:color="auto"/>
        <w:bottom w:val="none" w:sz="0" w:space="0" w:color="auto"/>
        <w:right w:val="none" w:sz="0" w:space="0" w:color="auto"/>
      </w:divBdr>
    </w:div>
    <w:div w:id="2060931997">
      <w:bodyDiv w:val="1"/>
      <w:marLeft w:val="0"/>
      <w:marRight w:val="0"/>
      <w:marTop w:val="0"/>
      <w:marBottom w:val="0"/>
      <w:divBdr>
        <w:top w:val="none" w:sz="0" w:space="0" w:color="auto"/>
        <w:left w:val="none" w:sz="0" w:space="0" w:color="auto"/>
        <w:bottom w:val="none" w:sz="0" w:space="0" w:color="auto"/>
        <w:right w:val="none" w:sz="0" w:space="0" w:color="auto"/>
      </w:divBdr>
    </w:div>
    <w:div w:id="2074303708">
      <w:bodyDiv w:val="1"/>
      <w:marLeft w:val="0"/>
      <w:marRight w:val="0"/>
      <w:marTop w:val="0"/>
      <w:marBottom w:val="0"/>
      <w:divBdr>
        <w:top w:val="none" w:sz="0" w:space="0" w:color="auto"/>
        <w:left w:val="none" w:sz="0" w:space="0" w:color="auto"/>
        <w:bottom w:val="none" w:sz="0" w:space="0" w:color="auto"/>
        <w:right w:val="none" w:sz="0" w:space="0" w:color="auto"/>
      </w:divBdr>
    </w:div>
    <w:div w:id="2145729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1905945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03F9CB-AC05-4291-BC60-B3D2ABB893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4862</TotalTime>
  <Pages>22</Pages>
  <Words>5785</Words>
  <Characters>32978</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MODULE CODE: Action Research Project ECPT6009/7006</vt:lpstr>
    </vt:vector>
  </TitlesOfParts>
  <Company>UWTSD</Company>
  <LinksUpToDate>false</LinksUpToDate>
  <CharactersWithSpaces>38686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CODE: Action Research Project ECPT6009/7006</dc:title>
  <dc:subject/>
  <dc:creator>Philippa Fitzgerald</dc:creator>
  <cp:keywords/>
  <dc:description/>
  <cp:lastModifiedBy>Philippa Fitzgerald (1905945)</cp:lastModifiedBy>
  <cp:revision>336</cp:revision>
  <dcterms:created xsi:type="dcterms:W3CDTF">2024-10-07T13:39:00Z</dcterms:created>
  <dcterms:modified xsi:type="dcterms:W3CDTF">2025-03-28T15:11:00Z</dcterms:modified>
</cp:coreProperties>
</file>