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812B8ED" w14:textId="77777777" w:rsidR="00AE6766" w:rsidRDefault="00AE6766" w:rsidP="00AE6766">
      <w:pPr>
        <w:pStyle w:val="Body"/>
        <w:jc w:val="both"/>
        <w:rPr>
          <w:rFonts w:ascii="Arial" w:hAnsi="Arial"/>
          <w:b/>
          <w:bCs/>
          <w:sz w:val="28"/>
          <w:szCs w:val="28"/>
          <w:u w:val="single"/>
        </w:rPr>
      </w:pPr>
      <w:r w:rsidRPr="00A406E5">
        <w:rPr>
          <w:rFonts w:ascii="Arial" w:hAnsi="Arial" w:cs="Arial"/>
          <w:noProof/>
        </w:rPr>
        <w:drawing>
          <wp:anchor distT="0" distB="0" distL="114300" distR="114300" simplePos="0" relativeHeight="251659264" behindDoc="0" locked="0" layoutInCell="1" allowOverlap="1" wp14:anchorId="28CD9263" wp14:editId="7175AD10">
            <wp:simplePos x="0" y="0"/>
            <wp:positionH relativeFrom="column">
              <wp:posOffset>0</wp:posOffset>
            </wp:positionH>
            <wp:positionV relativeFrom="paragraph">
              <wp:posOffset>0</wp:posOffset>
            </wp:positionV>
            <wp:extent cx="3035300" cy="1243330"/>
            <wp:effectExtent l="0" t="0" r="0" b="0"/>
            <wp:wrapSquare wrapText="bothSides"/>
            <wp:docPr id="20" name="Picture 2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35300" cy="1243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4D1411" w14:textId="77777777" w:rsidR="00AE6766" w:rsidRDefault="00AE6766" w:rsidP="00AE6766">
      <w:pPr>
        <w:spacing w:line="276" w:lineRule="auto"/>
        <w:jc w:val="center"/>
        <w:rPr>
          <w:rFonts w:ascii="Arial" w:hAnsi="Arial" w:cs="Arial"/>
          <w:b/>
          <w:bCs/>
          <w:sz w:val="36"/>
          <w:szCs w:val="36"/>
        </w:rPr>
      </w:pPr>
    </w:p>
    <w:p w14:paraId="3507C451" w14:textId="77777777" w:rsidR="00AE6766" w:rsidRDefault="00AE6766" w:rsidP="00AE6766">
      <w:pPr>
        <w:spacing w:line="276" w:lineRule="auto"/>
        <w:jc w:val="center"/>
        <w:rPr>
          <w:rFonts w:ascii="Arial" w:hAnsi="Arial" w:cs="Arial"/>
          <w:b/>
          <w:bCs/>
          <w:sz w:val="36"/>
          <w:szCs w:val="36"/>
        </w:rPr>
      </w:pPr>
    </w:p>
    <w:p w14:paraId="06031FE3" w14:textId="77777777" w:rsidR="00AE6766" w:rsidRDefault="00AE6766" w:rsidP="00AE6766">
      <w:pPr>
        <w:spacing w:line="276" w:lineRule="auto"/>
        <w:jc w:val="center"/>
        <w:rPr>
          <w:rFonts w:ascii="Arial" w:hAnsi="Arial" w:cs="Arial"/>
          <w:b/>
          <w:bCs/>
          <w:sz w:val="36"/>
          <w:szCs w:val="36"/>
        </w:rPr>
      </w:pPr>
    </w:p>
    <w:p w14:paraId="40EAED61" w14:textId="77777777" w:rsidR="00AE6766" w:rsidRDefault="00AE6766" w:rsidP="00AE6766">
      <w:pPr>
        <w:spacing w:line="276" w:lineRule="auto"/>
        <w:jc w:val="center"/>
        <w:rPr>
          <w:rFonts w:ascii="Arial" w:hAnsi="Arial" w:cs="Arial"/>
          <w:b/>
          <w:bCs/>
          <w:sz w:val="36"/>
          <w:szCs w:val="36"/>
        </w:rPr>
      </w:pPr>
    </w:p>
    <w:p w14:paraId="0FA178A2" w14:textId="77777777" w:rsidR="00AE6766" w:rsidRDefault="00AE6766" w:rsidP="00AE6766">
      <w:pPr>
        <w:spacing w:line="276" w:lineRule="auto"/>
        <w:rPr>
          <w:rFonts w:ascii="Arial" w:hAnsi="Arial" w:cs="Arial"/>
          <w:b/>
          <w:bCs/>
          <w:sz w:val="36"/>
          <w:szCs w:val="36"/>
        </w:rPr>
      </w:pPr>
    </w:p>
    <w:p w14:paraId="409DA2E3" w14:textId="77777777" w:rsidR="00AE6766" w:rsidRDefault="00AE6766" w:rsidP="00AE6766">
      <w:pPr>
        <w:spacing w:line="276" w:lineRule="auto"/>
        <w:jc w:val="center"/>
        <w:rPr>
          <w:rFonts w:ascii="Arial" w:hAnsi="Arial" w:cs="Arial"/>
          <w:b/>
          <w:bCs/>
          <w:sz w:val="36"/>
          <w:szCs w:val="36"/>
        </w:rPr>
      </w:pPr>
    </w:p>
    <w:p w14:paraId="7A7EB59A" w14:textId="77777777" w:rsidR="00AE6766" w:rsidRPr="00C136C1" w:rsidRDefault="00AE6766" w:rsidP="00AE6766">
      <w:pPr>
        <w:spacing w:line="276" w:lineRule="auto"/>
        <w:jc w:val="center"/>
        <w:rPr>
          <w:rFonts w:ascii="Arial" w:hAnsi="Arial" w:cs="Arial"/>
          <w:b/>
          <w:bCs/>
          <w:sz w:val="36"/>
          <w:szCs w:val="36"/>
        </w:rPr>
      </w:pPr>
      <w:r w:rsidRPr="00C136C1">
        <w:rPr>
          <w:rFonts w:ascii="Arial" w:hAnsi="Arial" w:cs="Arial"/>
          <w:b/>
          <w:bCs/>
          <w:sz w:val="36"/>
          <w:szCs w:val="36"/>
        </w:rPr>
        <w:t>UNIVERSITY OF WALES – TRINITY SAINT DAVID</w:t>
      </w:r>
    </w:p>
    <w:p w14:paraId="6A09DEA9" w14:textId="77777777" w:rsidR="00AE6766" w:rsidRDefault="00AE6766" w:rsidP="00AE6766">
      <w:pPr>
        <w:spacing w:line="276" w:lineRule="auto"/>
        <w:jc w:val="center"/>
        <w:rPr>
          <w:rFonts w:ascii="Arial" w:hAnsi="Arial" w:cs="Arial"/>
          <w:b/>
          <w:bCs/>
          <w:sz w:val="48"/>
          <w:szCs w:val="48"/>
        </w:rPr>
      </w:pPr>
    </w:p>
    <w:p w14:paraId="17AFF434" w14:textId="77777777" w:rsidR="00AE6766" w:rsidRDefault="00AE6766" w:rsidP="00AE6766">
      <w:pPr>
        <w:spacing w:line="360" w:lineRule="auto"/>
        <w:jc w:val="center"/>
        <w:rPr>
          <w:rFonts w:ascii="Arial" w:hAnsi="Arial" w:cs="Arial"/>
          <w:b/>
          <w:bCs/>
          <w:sz w:val="32"/>
          <w:szCs w:val="32"/>
        </w:rPr>
      </w:pPr>
    </w:p>
    <w:p w14:paraId="54383D90" w14:textId="77777777" w:rsidR="00AE6766" w:rsidRPr="00C136C1" w:rsidRDefault="00AE6766" w:rsidP="00AE6766">
      <w:pPr>
        <w:spacing w:line="360" w:lineRule="auto"/>
        <w:jc w:val="center"/>
        <w:rPr>
          <w:rFonts w:ascii="Arial" w:hAnsi="Arial" w:cs="Arial"/>
          <w:b/>
          <w:bCs/>
          <w:sz w:val="32"/>
          <w:szCs w:val="32"/>
        </w:rPr>
      </w:pPr>
    </w:p>
    <w:p w14:paraId="0C9EB2E1" w14:textId="77777777" w:rsidR="00AE6766" w:rsidRDefault="00AE6766" w:rsidP="00AE6766">
      <w:pPr>
        <w:spacing w:line="360" w:lineRule="auto"/>
        <w:jc w:val="center"/>
        <w:rPr>
          <w:rFonts w:ascii="Arial" w:hAnsi="Arial" w:cs="Arial"/>
          <w:sz w:val="32"/>
          <w:szCs w:val="32"/>
        </w:rPr>
      </w:pPr>
      <w:r w:rsidRPr="00C136C1">
        <w:rPr>
          <w:rFonts w:ascii="Arial" w:hAnsi="Arial" w:cs="Arial"/>
          <w:b/>
          <w:bCs/>
          <w:sz w:val="32"/>
          <w:szCs w:val="32"/>
        </w:rPr>
        <w:t xml:space="preserve">Student name: </w:t>
      </w:r>
      <w:r>
        <w:rPr>
          <w:rFonts w:ascii="Arial" w:hAnsi="Arial" w:cs="Arial"/>
          <w:sz w:val="32"/>
          <w:szCs w:val="32"/>
        </w:rPr>
        <w:t xml:space="preserve">Alexandru Danciuc </w:t>
      </w:r>
    </w:p>
    <w:p w14:paraId="3F4114FD" w14:textId="77777777" w:rsidR="00AE6766" w:rsidRPr="00C136C1" w:rsidRDefault="00AE6766" w:rsidP="00AE6766">
      <w:pPr>
        <w:spacing w:line="360" w:lineRule="auto"/>
        <w:jc w:val="center"/>
        <w:rPr>
          <w:rFonts w:ascii="Arial" w:hAnsi="Arial" w:cs="Arial"/>
          <w:sz w:val="32"/>
          <w:szCs w:val="32"/>
        </w:rPr>
      </w:pPr>
    </w:p>
    <w:p w14:paraId="3ECF110A" w14:textId="22BF8A28" w:rsidR="00AE6766" w:rsidRDefault="00AE6766" w:rsidP="00AE6766">
      <w:pPr>
        <w:spacing w:line="360" w:lineRule="auto"/>
        <w:jc w:val="center"/>
        <w:rPr>
          <w:rFonts w:ascii="Arial" w:hAnsi="Arial" w:cs="Arial"/>
          <w:b/>
          <w:bCs/>
          <w:sz w:val="32"/>
          <w:szCs w:val="32"/>
        </w:rPr>
      </w:pPr>
      <w:r w:rsidRPr="00C136C1">
        <w:rPr>
          <w:rFonts w:ascii="Arial" w:hAnsi="Arial" w:cs="Arial"/>
          <w:b/>
          <w:bCs/>
          <w:sz w:val="32"/>
          <w:szCs w:val="32"/>
        </w:rPr>
        <w:t>Student id: 233</w:t>
      </w:r>
      <w:r>
        <w:rPr>
          <w:rFonts w:ascii="Arial" w:hAnsi="Arial" w:cs="Arial"/>
          <w:b/>
          <w:bCs/>
          <w:sz w:val="32"/>
          <w:szCs w:val="32"/>
        </w:rPr>
        <w:t>0349</w:t>
      </w:r>
    </w:p>
    <w:p w14:paraId="2923DD26" w14:textId="5FE7D29E" w:rsidR="00AE6766" w:rsidRDefault="00AE6766" w:rsidP="00AE6766">
      <w:pPr>
        <w:spacing w:line="360" w:lineRule="auto"/>
        <w:jc w:val="center"/>
        <w:rPr>
          <w:rFonts w:ascii="Arial" w:hAnsi="Arial" w:cs="Arial"/>
          <w:b/>
          <w:bCs/>
          <w:sz w:val="32"/>
          <w:szCs w:val="32"/>
        </w:rPr>
      </w:pPr>
    </w:p>
    <w:p w14:paraId="5B87F31B" w14:textId="335155DF" w:rsidR="00AE6766" w:rsidRDefault="00AE6766" w:rsidP="00AE6766">
      <w:pPr>
        <w:spacing w:line="360" w:lineRule="auto"/>
        <w:jc w:val="center"/>
        <w:rPr>
          <w:rFonts w:ascii="Arial" w:hAnsi="Arial" w:cs="Arial"/>
          <w:sz w:val="32"/>
          <w:szCs w:val="32"/>
        </w:rPr>
      </w:pPr>
      <w:r>
        <w:rPr>
          <w:rFonts w:ascii="Arial" w:hAnsi="Arial" w:cs="Arial"/>
          <w:b/>
          <w:bCs/>
          <w:sz w:val="32"/>
          <w:szCs w:val="32"/>
        </w:rPr>
        <w:t xml:space="preserve">Module: </w:t>
      </w:r>
      <w:r>
        <w:rPr>
          <w:rFonts w:ascii="Arial" w:hAnsi="Arial" w:cs="Arial"/>
          <w:sz w:val="32"/>
          <w:szCs w:val="32"/>
        </w:rPr>
        <w:t>Design Thinking and Innovation</w:t>
      </w:r>
    </w:p>
    <w:p w14:paraId="52580D20" w14:textId="77777777" w:rsidR="00AE6766" w:rsidRDefault="00AE6766" w:rsidP="00AE6766">
      <w:pPr>
        <w:spacing w:line="360" w:lineRule="auto"/>
        <w:jc w:val="center"/>
        <w:rPr>
          <w:rFonts w:ascii="Arial" w:hAnsi="Arial" w:cs="Arial"/>
          <w:sz w:val="32"/>
          <w:szCs w:val="32"/>
        </w:rPr>
      </w:pPr>
    </w:p>
    <w:p w14:paraId="168C5F34" w14:textId="7546AC6A" w:rsidR="00AE6766" w:rsidRPr="00AE6766" w:rsidRDefault="00AE6766" w:rsidP="00AE6766">
      <w:pPr>
        <w:spacing w:line="360" w:lineRule="auto"/>
        <w:jc w:val="center"/>
        <w:rPr>
          <w:rFonts w:ascii="Arial" w:hAnsi="Arial" w:cs="Arial"/>
          <w:sz w:val="32"/>
          <w:szCs w:val="32"/>
        </w:rPr>
      </w:pPr>
      <w:r>
        <w:rPr>
          <w:rFonts w:ascii="Arial" w:hAnsi="Arial" w:cs="Arial"/>
          <w:sz w:val="32"/>
          <w:szCs w:val="32"/>
        </w:rPr>
        <w:t>Design Thinking and Innovation through Digital Transformation</w:t>
      </w:r>
    </w:p>
    <w:p w14:paraId="366F61DB" w14:textId="4A7D3B7E" w:rsidR="00AE6766" w:rsidRDefault="00AE6766" w:rsidP="00AE6766">
      <w:pPr>
        <w:pStyle w:val="Heading1"/>
      </w:pPr>
    </w:p>
    <w:p w14:paraId="15F50775" w14:textId="0D966E58" w:rsidR="00AE6766" w:rsidRDefault="00AE6766" w:rsidP="00AE6766">
      <w:pPr>
        <w:pStyle w:val="Heading1"/>
      </w:pPr>
    </w:p>
    <w:p w14:paraId="5F13E19C" w14:textId="18C30DFE" w:rsidR="00AE6766" w:rsidRDefault="00AE6766" w:rsidP="00AE6766">
      <w:pPr>
        <w:pStyle w:val="Heading1"/>
      </w:pPr>
    </w:p>
    <w:p w14:paraId="0DFC8778" w14:textId="2BE5B0EE" w:rsidR="00AE6766" w:rsidRDefault="00AE6766" w:rsidP="00AE6766">
      <w:pPr>
        <w:pStyle w:val="Heading1"/>
      </w:pPr>
    </w:p>
    <w:p w14:paraId="25C165FE" w14:textId="07727859" w:rsidR="00AE6766" w:rsidRDefault="00AE6766" w:rsidP="00AE6766">
      <w:pPr>
        <w:pStyle w:val="Heading1"/>
      </w:pPr>
    </w:p>
    <w:p w14:paraId="4D7FB537" w14:textId="3757D260" w:rsidR="00AE6766" w:rsidRDefault="00AE6766" w:rsidP="00AE6766">
      <w:pPr>
        <w:pStyle w:val="Heading1"/>
      </w:pPr>
    </w:p>
    <w:sdt>
      <w:sdtPr>
        <w:rPr>
          <w:rFonts w:asciiTheme="minorHAnsi" w:eastAsiaTheme="minorHAnsi" w:hAnsiTheme="minorHAnsi" w:cstheme="minorBidi"/>
          <w:b w:val="0"/>
          <w:bCs w:val="0"/>
          <w:color w:val="auto"/>
          <w:sz w:val="24"/>
          <w:szCs w:val="24"/>
          <w:lang w:val="en-GB"/>
        </w:rPr>
        <w:id w:val="1327937033"/>
        <w:docPartObj>
          <w:docPartGallery w:val="Table of Contents"/>
          <w:docPartUnique/>
        </w:docPartObj>
      </w:sdtPr>
      <w:sdtEndPr>
        <w:rPr>
          <w:noProof/>
        </w:rPr>
      </w:sdtEndPr>
      <w:sdtContent>
        <w:p w14:paraId="188B42B6" w14:textId="7D866310" w:rsidR="00AE6766" w:rsidRDefault="00AE6766">
          <w:pPr>
            <w:pStyle w:val="TOCHeading"/>
          </w:pPr>
          <w:r>
            <w:t>Table of Contents</w:t>
          </w:r>
        </w:p>
        <w:p w14:paraId="7B879FE1" w14:textId="1618D559" w:rsidR="00AE6766" w:rsidRDefault="00AE676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4946092" w:history="1">
            <w:r w:rsidRPr="00693A70">
              <w:rPr>
                <w:rStyle w:val="Hyperlink"/>
                <w:noProof/>
              </w:rPr>
              <w:t>Task 1: Design Thinking Analysis of Innovation and New-Venture Opportunities in the UK Digital Economy</w:t>
            </w:r>
            <w:r>
              <w:rPr>
                <w:noProof/>
                <w:webHidden/>
              </w:rPr>
              <w:tab/>
            </w:r>
            <w:r>
              <w:rPr>
                <w:noProof/>
                <w:webHidden/>
              </w:rPr>
              <w:fldChar w:fldCharType="begin"/>
            </w:r>
            <w:r>
              <w:rPr>
                <w:noProof/>
                <w:webHidden/>
              </w:rPr>
              <w:instrText xml:space="preserve"> PAGEREF _Toc234946092 \h </w:instrText>
            </w:r>
            <w:r>
              <w:rPr>
                <w:noProof/>
                <w:webHidden/>
              </w:rPr>
            </w:r>
            <w:r>
              <w:rPr>
                <w:noProof/>
                <w:webHidden/>
              </w:rPr>
              <w:fldChar w:fldCharType="separate"/>
            </w:r>
            <w:r>
              <w:rPr>
                <w:noProof/>
                <w:webHidden/>
              </w:rPr>
              <w:t>1</w:t>
            </w:r>
            <w:r>
              <w:rPr>
                <w:noProof/>
                <w:webHidden/>
              </w:rPr>
              <w:fldChar w:fldCharType="end"/>
            </w:r>
          </w:hyperlink>
        </w:p>
        <w:p w14:paraId="1D0D7506" w14:textId="530A6244" w:rsidR="00AE6766" w:rsidRDefault="00AE6766">
          <w:pPr>
            <w:pStyle w:val="TOC2"/>
            <w:tabs>
              <w:tab w:val="right" w:leader="dot" w:pos="9016"/>
            </w:tabs>
            <w:rPr>
              <w:noProof/>
            </w:rPr>
          </w:pPr>
          <w:hyperlink w:anchor="_Toc234946093" w:history="1">
            <w:r w:rsidRPr="00693A70">
              <w:rPr>
                <w:rStyle w:val="Hyperlink"/>
                <w:noProof/>
              </w:rPr>
              <w:t>1.1 Introduction</w:t>
            </w:r>
            <w:r>
              <w:rPr>
                <w:noProof/>
                <w:webHidden/>
              </w:rPr>
              <w:tab/>
            </w:r>
            <w:r>
              <w:rPr>
                <w:noProof/>
                <w:webHidden/>
              </w:rPr>
              <w:fldChar w:fldCharType="begin"/>
            </w:r>
            <w:r>
              <w:rPr>
                <w:noProof/>
                <w:webHidden/>
              </w:rPr>
              <w:instrText xml:space="preserve"> PAGEREF _Toc234946093 \h </w:instrText>
            </w:r>
            <w:r>
              <w:rPr>
                <w:noProof/>
                <w:webHidden/>
              </w:rPr>
            </w:r>
            <w:r>
              <w:rPr>
                <w:noProof/>
                <w:webHidden/>
              </w:rPr>
              <w:fldChar w:fldCharType="separate"/>
            </w:r>
            <w:r>
              <w:rPr>
                <w:noProof/>
                <w:webHidden/>
              </w:rPr>
              <w:t>1</w:t>
            </w:r>
            <w:r>
              <w:rPr>
                <w:noProof/>
                <w:webHidden/>
              </w:rPr>
              <w:fldChar w:fldCharType="end"/>
            </w:r>
          </w:hyperlink>
        </w:p>
        <w:p w14:paraId="284F2B71" w14:textId="14B4AA99" w:rsidR="00AE6766" w:rsidRDefault="00AE6766">
          <w:pPr>
            <w:pStyle w:val="TOC2"/>
            <w:tabs>
              <w:tab w:val="right" w:leader="dot" w:pos="9016"/>
            </w:tabs>
            <w:rPr>
              <w:noProof/>
            </w:rPr>
          </w:pPr>
          <w:hyperlink w:anchor="_Toc234946094" w:history="1">
            <w:r w:rsidRPr="00693A70">
              <w:rPr>
                <w:rStyle w:val="Hyperlink"/>
                <w:noProof/>
              </w:rPr>
              <w:t>1.2 Empathise: Understanding User Needs and Pain Points</w:t>
            </w:r>
            <w:r>
              <w:rPr>
                <w:noProof/>
                <w:webHidden/>
              </w:rPr>
              <w:tab/>
            </w:r>
            <w:r>
              <w:rPr>
                <w:noProof/>
                <w:webHidden/>
              </w:rPr>
              <w:fldChar w:fldCharType="begin"/>
            </w:r>
            <w:r>
              <w:rPr>
                <w:noProof/>
                <w:webHidden/>
              </w:rPr>
              <w:instrText xml:space="preserve"> PAGEREF _Toc234946094 \h </w:instrText>
            </w:r>
            <w:r>
              <w:rPr>
                <w:noProof/>
                <w:webHidden/>
              </w:rPr>
            </w:r>
            <w:r>
              <w:rPr>
                <w:noProof/>
                <w:webHidden/>
              </w:rPr>
              <w:fldChar w:fldCharType="separate"/>
            </w:r>
            <w:r>
              <w:rPr>
                <w:noProof/>
                <w:webHidden/>
              </w:rPr>
              <w:t>2</w:t>
            </w:r>
            <w:r>
              <w:rPr>
                <w:noProof/>
                <w:webHidden/>
              </w:rPr>
              <w:fldChar w:fldCharType="end"/>
            </w:r>
          </w:hyperlink>
        </w:p>
        <w:p w14:paraId="004253BD" w14:textId="69137BF2" w:rsidR="00AE6766" w:rsidRDefault="00AE6766">
          <w:pPr>
            <w:pStyle w:val="TOC2"/>
            <w:tabs>
              <w:tab w:val="right" w:leader="dot" w:pos="9016"/>
            </w:tabs>
            <w:rPr>
              <w:noProof/>
            </w:rPr>
          </w:pPr>
          <w:hyperlink w:anchor="_Toc234946095" w:history="1">
            <w:r w:rsidRPr="00693A70">
              <w:rPr>
                <w:rStyle w:val="Hyperlink"/>
                <w:noProof/>
              </w:rPr>
              <w:t>1.3 Identifying the Central Innovation Challenge</w:t>
            </w:r>
            <w:r>
              <w:rPr>
                <w:noProof/>
                <w:webHidden/>
              </w:rPr>
              <w:tab/>
            </w:r>
            <w:r>
              <w:rPr>
                <w:noProof/>
                <w:webHidden/>
              </w:rPr>
              <w:fldChar w:fldCharType="begin"/>
            </w:r>
            <w:r>
              <w:rPr>
                <w:noProof/>
                <w:webHidden/>
              </w:rPr>
              <w:instrText xml:space="preserve"> PAGEREF _Toc234946095 \h </w:instrText>
            </w:r>
            <w:r>
              <w:rPr>
                <w:noProof/>
                <w:webHidden/>
              </w:rPr>
            </w:r>
            <w:r>
              <w:rPr>
                <w:noProof/>
                <w:webHidden/>
              </w:rPr>
              <w:fldChar w:fldCharType="separate"/>
            </w:r>
            <w:r>
              <w:rPr>
                <w:noProof/>
                <w:webHidden/>
              </w:rPr>
              <w:t>3</w:t>
            </w:r>
            <w:r>
              <w:rPr>
                <w:noProof/>
                <w:webHidden/>
              </w:rPr>
              <w:fldChar w:fldCharType="end"/>
            </w:r>
          </w:hyperlink>
        </w:p>
        <w:p w14:paraId="0B932A4B" w14:textId="08A94CA9" w:rsidR="00AE6766" w:rsidRDefault="00AE6766">
          <w:pPr>
            <w:pStyle w:val="TOC2"/>
            <w:tabs>
              <w:tab w:val="right" w:leader="dot" w:pos="9016"/>
            </w:tabs>
            <w:rPr>
              <w:noProof/>
            </w:rPr>
          </w:pPr>
          <w:hyperlink w:anchor="_Toc234946096" w:history="1">
            <w:r w:rsidRPr="00693A70">
              <w:rPr>
                <w:rStyle w:val="Hyperlink"/>
                <w:noProof/>
              </w:rPr>
              <w:t>1.4 Key Opportunity Areas</w:t>
            </w:r>
            <w:r>
              <w:rPr>
                <w:noProof/>
                <w:webHidden/>
              </w:rPr>
              <w:tab/>
            </w:r>
            <w:r>
              <w:rPr>
                <w:noProof/>
                <w:webHidden/>
              </w:rPr>
              <w:fldChar w:fldCharType="begin"/>
            </w:r>
            <w:r>
              <w:rPr>
                <w:noProof/>
                <w:webHidden/>
              </w:rPr>
              <w:instrText xml:space="preserve"> PAGEREF _Toc234946096 \h </w:instrText>
            </w:r>
            <w:r>
              <w:rPr>
                <w:noProof/>
                <w:webHidden/>
              </w:rPr>
            </w:r>
            <w:r>
              <w:rPr>
                <w:noProof/>
                <w:webHidden/>
              </w:rPr>
              <w:fldChar w:fldCharType="separate"/>
            </w:r>
            <w:r>
              <w:rPr>
                <w:noProof/>
                <w:webHidden/>
              </w:rPr>
              <w:t>4</w:t>
            </w:r>
            <w:r>
              <w:rPr>
                <w:noProof/>
                <w:webHidden/>
              </w:rPr>
              <w:fldChar w:fldCharType="end"/>
            </w:r>
          </w:hyperlink>
        </w:p>
        <w:p w14:paraId="27CA2E4E" w14:textId="7E528D19" w:rsidR="00AE6766" w:rsidRDefault="00AE6766">
          <w:pPr>
            <w:pStyle w:val="TOC3"/>
            <w:tabs>
              <w:tab w:val="right" w:leader="dot" w:pos="9016"/>
            </w:tabs>
            <w:rPr>
              <w:noProof/>
            </w:rPr>
          </w:pPr>
          <w:hyperlink w:anchor="_Toc234946097" w:history="1">
            <w:r w:rsidRPr="00693A70">
              <w:rPr>
                <w:rStyle w:val="Hyperlink"/>
                <w:rFonts w:ascii="Times New Roman" w:eastAsia="Times New Roman" w:hAnsi="Times New Roman" w:cs="Times New Roman"/>
                <w:b/>
                <w:bCs/>
                <w:noProof/>
                <w:lang w:eastAsia="en-GB"/>
              </w:rPr>
              <w:t>1.4.1 Integrated Digital Commerce Platform for Micro-Businesses</w:t>
            </w:r>
            <w:r>
              <w:rPr>
                <w:noProof/>
                <w:webHidden/>
              </w:rPr>
              <w:tab/>
            </w:r>
            <w:r>
              <w:rPr>
                <w:noProof/>
                <w:webHidden/>
              </w:rPr>
              <w:fldChar w:fldCharType="begin"/>
            </w:r>
            <w:r>
              <w:rPr>
                <w:noProof/>
                <w:webHidden/>
              </w:rPr>
              <w:instrText xml:space="preserve"> PAGEREF _Toc234946097 \h </w:instrText>
            </w:r>
            <w:r>
              <w:rPr>
                <w:noProof/>
                <w:webHidden/>
              </w:rPr>
            </w:r>
            <w:r>
              <w:rPr>
                <w:noProof/>
                <w:webHidden/>
              </w:rPr>
              <w:fldChar w:fldCharType="separate"/>
            </w:r>
            <w:r>
              <w:rPr>
                <w:noProof/>
                <w:webHidden/>
              </w:rPr>
              <w:t>4</w:t>
            </w:r>
            <w:r>
              <w:rPr>
                <w:noProof/>
                <w:webHidden/>
              </w:rPr>
              <w:fldChar w:fldCharType="end"/>
            </w:r>
          </w:hyperlink>
        </w:p>
        <w:p w14:paraId="125F2AE4" w14:textId="27C780B8" w:rsidR="00AE6766" w:rsidRDefault="00AE6766">
          <w:pPr>
            <w:pStyle w:val="TOC3"/>
            <w:tabs>
              <w:tab w:val="right" w:leader="dot" w:pos="9016"/>
            </w:tabs>
            <w:rPr>
              <w:noProof/>
            </w:rPr>
          </w:pPr>
          <w:hyperlink w:anchor="_Toc234946098" w:history="1">
            <w:r w:rsidRPr="00693A70">
              <w:rPr>
                <w:rStyle w:val="Hyperlink"/>
                <w:rFonts w:ascii="Times New Roman" w:eastAsia="Times New Roman" w:hAnsi="Times New Roman" w:cs="Times New Roman"/>
                <w:b/>
                <w:bCs/>
                <w:noProof/>
                <w:lang w:eastAsia="en-GB"/>
              </w:rPr>
              <w:t>1.4.2 Managed Digital Adoption and Marketing Services</w:t>
            </w:r>
            <w:r>
              <w:rPr>
                <w:noProof/>
                <w:webHidden/>
              </w:rPr>
              <w:tab/>
            </w:r>
            <w:r>
              <w:rPr>
                <w:noProof/>
                <w:webHidden/>
              </w:rPr>
              <w:fldChar w:fldCharType="begin"/>
            </w:r>
            <w:r>
              <w:rPr>
                <w:noProof/>
                <w:webHidden/>
              </w:rPr>
              <w:instrText xml:space="preserve"> PAGEREF _Toc234946098 \h </w:instrText>
            </w:r>
            <w:r>
              <w:rPr>
                <w:noProof/>
                <w:webHidden/>
              </w:rPr>
            </w:r>
            <w:r>
              <w:rPr>
                <w:noProof/>
                <w:webHidden/>
              </w:rPr>
              <w:fldChar w:fldCharType="separate"/>
            </w:r>
            <w:r>
              <w:rPr>
                <w:noProof/>
                <w:webHidden/>
              </w:rPr>
              <w:t>5</w:t>
            </w:r>
            <w:r>
              <w:rPr>
                <w:noProof/>
                <w:webHidden/>
              </w:rPr>
              <w:fldChar w:fldCharType="end"/>
            </w:r>
          </w:hyperlink>
        </w:p>
        <w:p w14:paraId="67FD18C5" w14:textId="2EA2A55C" w:rsidR="00AE6766" w:rsidRDefault="00AE6766">
          <w:pPr>
            <w:pStyle w:val="TOC3"/>
            <w:tabs>
              <w:tab w:val="right" w:leader="dot" w:pos="9016"/>
            </w:tabs>
            <w:rPr>
              <w:noProof/>
            </w:rPr>
          </w:pPr>
          <w:hyperlink w:anchor="_Toc234946099" w:history="1">
            <w:r w:rsidRPr="00693A70">
              <w:rPr>
                <w:rStyle w:val="Hyperlink"/>
                <w:rFonts w:ascii="Times New Roman" w:eastAsia="Times New Roman" w:hAnsi="Times New Roman" w:cs="Times New Roman"/>
                <w:b/>
                <w:bCs/>
                <w:noProof/>
                <w:lang w:eastAsia="en-GB"/>
              </w:rPr>
              <w:t>1.4.3 Hyperlocal and Rural Producer Marketplaces</w:t>
            </w:r>
            <w:r>
              <w:rPr>
                <w:noProof/>
                <w:webHidden/>
              </w:rPr>
              <w:tab/>
            </w:r>
            <w:r>
              <w:rPr>
                <w:noProof/>
                <w:webHidden/>
              </w:rPr>
              <w:fldChar w:fldCharType="begin"/>
            </w:r>
            <w:r>
              <w:rPr>
                <w:noProof/>
                <w:webHidden/>
              </w:rPr>
              <w:instrText xml:space="preserve"> PAGEREF _Toc234946099 \h </w:instrText>
            </w:r>
            <w:r>
              <w:rPr>
                <w:noProof/>
                <w:webHidden/>
              </w:rPr>
            </w:r>
            <w:r>
              <w:rPr>
                <w:noProof/>
                <w:webHidden/>
              </w:rPr>
              <w:fldChar w:fldCharType="separate"/>
            </w:r>
            <w:r>
              <w:rPr>
                <w:noProof/>
                <w:webHidden/>
              </w:rPr>
              <w:t>6</w:t>
            </w:r>
            <w:r>
              <w:rPr>
                <w:noProof/>
                <w:webHidden/>
              </w:rPr>
              <w:fldChar w:fldCharType="end"/>
            </w:r>
          </w:hyperlink>
        </w:p>
        <w:p w14:paraId="73AC3F01" w14:textId="797A3C77" w:rsidR="00AE6766" w:rsidRDefault="00AE6766">
          <w:pPr>
            <w:pStyle w:val="TOC3"/>
            <w:tabs>
              <w:tab w:val="right" w:leader="dot" w:pos="9016"/>
            </w:tabs>
            <w:rPr>
              <w:noProof/>
            </w:rPr>
          </w:pPr>
          <w:hyperlink w:anchor="_Toc234946100" w:history="1">
            <w:r w:rsidRPr="00693A70">
              <w:rPr>
                <w:rStyle w:val="Hyperlink"/>
                <w:rFonts w:ascii="Times New Roman" w:eastAsia="Times New Roman" w:hAnsi="Times New Roman" w:cs="Times New Roman"/>
                <w:b/>
                <w:bCs/>
                <w:noProof/>
                <w:lang w:eastAsia="en-GB"/>
              </w:rPr>
              <w:t>1.4.4 Sustainable Last-Mile Delivery and Returns Networks</w:t>
            </w:r>
            <w:r>
              <w:rPr>
                <w:noProof/>
                <w:webHidden/>
              </w:rPr>
              <w:tab/>
            </w:r>
            <w:r>
              <w:rPr>
                <w:noProof/>
                <w:webHidden/>
              </w:rPr>
              <w:fldChar w:fldCharType="begin"/>
            </w:r>
            <w:r>
              <w:rPr>
                <w:noProof/>
                <w:webHidden/>
              </w:rPr>
              <w:instrText xml:space="preserve"> PAGEREF _Toc234946100 \h </w:instrText>
            </w:r>
            <w:r>
              <w:rPr>
                <w:noProof/>
                <w:webHidden/>
              </w:rPr>
            </w:r>
            <w:r>
              <w:rPr>
                <w:noProof/>
                <w:webHidden/>
              </w:rPr>
              <w:fldChar w:fldCharType="separate"/>
            </w:r>
            <w:r>
              <w:rPr>
                <w:noProof/>
                <w:webHidden/>
              </w:rPr>
              <w:t>7</w:t>
            </w:r>
            <w:r>
              <w:rPr>
                <w:noProof/>
                <w:webHidden/>
              </w:rPr>
              <w:fldChar w:fldCharType="end"/>
            </w:r>
          </w:hyperlink>
        </w:p>
        <w:p w14:paraId="31F9EE11" w14:textId="6DF0D2D9" w:rsidR="00AE6766" w:rsidRDefault="00AE6766">
          <w:pPr>
            <w:pStyle w:val="TOC2"/>
            <w:tabs>
              <w:tab w:val="right" w:leader="dot" w:pos="9016"/>
            </w:tabs>
            <w:rPr>
              <w:noProof/>
            </w:rPr>
          </w:pPr>
          <w:hyperlink w:anchor="_Toc234946101" w:history="1">
            <w:r w:rsidRPr="00693A70">
              <w:rPr>
                <w:rStyle w:val="Hyperlink"/>
                <w:noProof/>
              </w:rPr>
              <w:t>1.5 Evaluation and Prioritisation of Opportunities</w:t>
            </w:r>
            <w:r>
              <w:rPr>
                <w:noProof/>
                <w:webHidden/>
              </w:rPr>
              <w:tab/>
            </w:r>
            <w:r>
              <w:rPr>
                <w:noProof/>
                <w:webHidden/>
              </w:rPr>
              <w:fldChar w:fldCharType="begin"/>
            </w:r>
            <w:r>
              <w:rPr>
                <w:noProof/>
                <w:webHidden/>
              </w:rPr>
              <w:instrText xml:space="preserve"> PAGEREF _Toc234946101 \h </w:instrText>
            </w:r>
            <w:r>
              <w:rPr>
                <w:noProof/>
                <w:webHidden/>
              </w:rPr>
            </w:r>
            <w:r>
              <w:rPr>
                <w:noProof/>
                <w:webHidden/>
              </w:rPr>
              <w:fldChar w:fldCharType="separate"/>
            </w:r>
            <w:r>
              <w:rPr>
                <w:noProof/>
                <w:webHidden/>
              </w:rPr>
              <w:t>8</w:t>
            </w:r>
            <w:r>
              <w:rPr>
                <w:noProof/>
                <w:webHidden/>
              </w:rPr>
              <w:fldChar w:fldCharType="end"/>
            </w:r>
          </w:hyperlink>
        </w:p>
        <w:p w14:paraId="5C2EE0CF" w14:textId="008C0FA7" w:rsidR="00AE6766" w:rsidRDefault="00AE6766">
          <w:pPr>
            <w:pStyle w:val="TOC2"/>
            <w:tabs>
              <w:tab w:val="right" w:leader="dot" w:pos="9016"/>
            </w:tabs>
            <w:rPr>
              <w:noProof/>
            </w:rPr>
          </w:pPr>
          <w:hyperlink w:anchor="_Toc234946102" w:history="1">
            <w:r w:rsidRPr="00693A70">
              <w:rPr>
                <w:rStyle w:val="Hyperlink"/>
                <w:noProof/>
              </w:rPr>
              <w:t>1.6 Prototype and Test</w:t>
            </w:r>
            <w:r>
              <w:rPr>
                <w:noProof/>
                <w:webHidden/>
              </w:rPr>
              <w:tab/>
            </w:r>
            <w:r>
              <w:rPr>
                <w:noProof/>
                <w:webHidden/>
              </w:rPr>
              <w:fldChar w:fldCharType="begin"/>
            </w:r>
            <w:r>
              <w:rPr>
                <w:noProof/>
                <w:webHidden/>
              </w:rPr>
              <w:instrText xml:space="preserve"> PAGEREF _Toc234946102 \h </w:instrText>
            </w:r>
            <w:r>
              <w:rPr>
                <w:noProof/>
                <w:webHidden/>
              </w:rPr>
            </w:r>
            <w:r>
              <w:rPr>
                <w:noProof/>
                <w:webHidden/>
              </w:rPr>
              <w:fldChar w:fldCharType="separate"/>
            </w:r>
            <w:r>
              <w:rPr>
                <w:noProof/>
                <w:webHidden/>
              </w:rPr>
              <w:t>9</w:t>
            </w:r>
            <w:r>
              <w:rPr>
                <w:noProof/>
                <w:webHidden/>
              </w:rPr>
              <w:fldChar w:fldCharType="end"/>
            </w:r>
          </w:hyperlink>
        </w:p>
        <w:p w14:paraId="0D734EDA" w14:textId="2FF67B9F" w:rsidR="00AE6766" w:rsidRDefault="00AE6766">
          <w:pPr>
            <w:pStyle w:val="TOC1"/>
            <w:tabs>
              <w:tab w:val="right" w:leader="dot" w:pos="9016"/>
            </w:tabs>
            <w:rPr>
              <w:noProof/>
            </w:rPr>
          </w:pPr>
          <w:hyperlink w:anchor="_Toc234946103" w:history="1">
            <w:r w:rsidRPr="00693A70">
              <w:rPr>
                <w:rStyle w:val="Hyperlink"/>
                <w:noProof/>
              </w:rPr>
              <w:t>Task 2: Applying Design Thinking to Develop LocalFlow</w:t>
            </w:r>
            <w:r>
              <w:rPr>
                <w:noProof/>
                <w:webHidden/>
              </w:rPr>
              <w:tab/>
            </w:r>
            <w:r>
              <w:rPr>
                <w:noProof/>
                <w:webHidden/>
              </w:rPr>
              <w:fldChar w:fldCharType="begin"/>
            </w:r>
            <w:r>
              <w:rPr>
                <w:noProof/>
                <w:webHidden/>
              </w:rPr>
              <w:instrText xml:space="preserve"> PAGEREF _Toc234946103 \h </w:instrText>
            </w:r>
            <w:r>
              <w:rPr>
                <w:noProof/>
                <w:webHidden/>
              </w:rPr>
            </w:r>
            <w:r>
              <w:rPr>
                <w:noProof/>
                <w:webHidden/>
              </w:rPr>
              <w:fldChar w:fldCharType="separate"/>
            </w:r>
            <w:r>
              <w:rPr>
                <w:noProof/>
                <w:webHidden/>
              </w:rPr>
              <w:t>10</w:t>
            </w:r>
            <w:r>
              <w:rPr>
                <w:noProof/>
                <w:webHidden/>
              </w:rPr>
              <w:fldChar w:fldCharType="end"/>
            </w:r>
          </w:hyperlink>
        </w:p>
        <w:p w14:paraId="1BA4B905" w14:textId="2B38BE05" w:rsidR="00AE6766" w:rsidRDefault="00AE6766">
          <w:pPr>
            <w:pStyle w:val="TOC2"/>
            <w:tabs>
              <w:tab w:val="right" w:leader="dot" w:pos="9016"/>
            </w:tabs>
            <w:rPr>
              <w:noProof/>
            </w:rPr>
          </w:pPr>
          <w:hyperlink w:anchor="_Toc234946104" w:history="1">
            <w:r w:rsidRPr="00693A70">
              <w:rPr>
                <w:rStyle w:val="Hyperlink"/>
                <w:noProof/>
              </w:rPr>
              <w:t>2.1 Introduction</w:t>
            </w:r>
            <w:r>
              <w:rPr>
                <w:noProof/>
                <w:webHidden/>
              </w:rPr>
              <w:tab/>
            </w:r>
            <w:r>
              <w:rPr>
                <w:noProof/>
                <w:webHidden/>
              </w:rPr>
              <w:fldChar w:fldCharType="begin"/>
            </w:r>
            <w:r>
              <w:rPr>
                <w:noProof/>
                <w:webHidden/>
              </w:rPr>
              <w:instrText xml:space="preserve"> PAGEREF _Toc234946104 \h </w:instrText>
            </w:r>
            <w:r>
              <w:rPr>
                <w:noProof/>
                <w:webHidden/>
              </w:rPr>
            </w:r>
            <w:r>
              <w:rPr>
                <w:noProof/>
                <w:webHidden/>
              </w:rPr>
              <w:fldChar w:fldCharType="separate"/>
            </w:r>
            <w:r>
              <w:rPr>
                <w:noProof/>
                <w:webHidden/>
              </w:rPr>
              <w:t>10</w:t>
            </w:r>
            <w:r>
              <w:rPr>
                <w:noProof/>
                <w:webHidden/>
              </w:rPr>
              <w:fldChar w:fldCharType="end"/>
            </w:r>
          </w:hyperlink>
        </w:p>
        <w:p w14:paraId="195AB4A8" w14:textId="7864C03B" w:rsidR="00AE6766" w:rsidRDefault="00AE6766">
          <w:pPr>
            <w:pStyle w:val="TOC2"/>
            <w:tabs>
              <w:tab w:val="right" w:leader="dot" w:pos="9016"/>
            </w:tabs>
            <w:rPr>
              <w:noProof/>
            </w:rPr>
          </w:pPr>
          <w:hyperlink w:anchor="_Toc234946105" w:history="1">
            <w:r w:rsidRPr="00693A70">
              <w:rPr>
                <w:rStyle w:val="Hyperlink"/>
                <w:noProof/>
              </w:rPr>
              <w:t>2.2 Empathise</w:t>
            </w:r>
            <w:r>
              <w:rPr>
                <w:noProof/>
                <w:webHidden/>
              </w:rPr>
              <w:tab/>
            </w:r>
            <w:r>
              <w:rPr>
                <w:noProof/>
                <w:webHidden/>
              </w:rPr>
              <w:fldChar w:fldCharType="begin"/>
            </w:r>
            <w:r>
              <w:rPr>
                <w:noProof/>
                <w:webHidden/>
              </w:rPr>
              <w:instrText xml:space="preserve"> PAGEREF _Toc234946105 \h </w:instrText>
            </w:r>
            <w:r>
              <w:rPr>
                <w:noProof/>
                <w:webHidden/>
              </w:rPr>
            </w:r>
            <w:r>
              <w:rPr>
                <w:noProof/>
                <w:webHidden/>
              </w:rPr>
              <w:fldChar w:fldCharType="separate"/>
            </w:r>
            <w:r>
              <w:rPr>
                <w:noProof/>
                <w:webHidden/>
              </w:rPr>
              <w:t>10</w:t>
            </w:r>
            <w:r>
              <w:rPr>
                <w:noProof/>
                <w:webHidden/>
              </w:rPr>
              <w:fldChar w:fldCharType="end"/>
            </w:r>
          </w:hyperlink>
        </w:p>
        <w:p w14:paraId="47D16194" w14:textId="3CBFF684" w:rsidR="00AE6766" w:rsidRDefault="00AE6766">
          <w:pPr>
            <w:pStyle w:val="TOC2"/>
            <w:tabs>
              <w:tab w:val="right" w:leader="dot" w:pos="9016"/>
            </w:tabs>
            <w:rPr>
              <w:noProof/>
            </w:rPr>
          </w:pPr>
          <w:hyperlink w:anchor="_Toc234946106" w:history="1">
            <w:r w:rsidRPr="00693A70">
              <w:rPr>
                <w:rStyle w:val="Hyperlink"/>
                <w:noProof/>
              </w:rPr>
              <w:t>2.3 Define</w:t>
            </w:r>
            <w:r>
              <w:rPr>
                <w:noProof/>
                <w:webHidden/>
              </w:rPr>
              <w:tab/>
            </w:r>
            <w:r>
              <w:rPr>
                <w:noProof/>
                <w:webHidden/>
              </w:rPr>
              <w:fldChar w:fldCharType="begin"/>
            </w:r>
            <w:r>
              <w:rPr>
                <w:noProof/>
                <w:webHidden/>
              </w:rPr>
              <w:instrText xml:space="preserve"> PAGEREF _Toc234946106 \h </w:instrText>
            </w:r>
            <w:r>
              <w:rPr>
                <w:noProof/>
                <w:webHidden/>
              </w:rPr>
            </w:r>
            <w:r>
              <w:rPr>
                <w:noProof/>
                <w:webHidden/>
              </w:rPr>
              <w:fldChar w:fldCharType="separate"/>
            </w:r>
            <w:r>
              <w:rPr>
                <w:noProof/>
                <w:webHidden/>
              </w:rPr>
              <w:t>11</w:t>
            </w:r>
            <w:r>
              <w:rPr>
                <w:noProof/>
                <w:webHidden/>
              </w:rPr>
              <w:fldChar w:fldCharType="end"/>
            </w:r>
          </w:hyperlink>
        </w:p>
        <w:p w14:paraId="46994EB8" w14:textId="25167B6D" w:rsidR="00AE6766" w:rsidRDefault="00AE6766">
          <w:pPr>
            <w:pStyle w:val="TOC2"/>
            <w:tabs>
              <w:tab w:val="right" w:leader="dot" w:pos="9016"/>
            </w:tabs>
            <w:rPr>
              <w:noProof/>
            </w:rPr>
          </w:pPr>
          <w:hyperlink w:anchor="_Toc234946107" w:history="1">
            <w:r w:rsidRPr="00693A70">
              <w:rPr>
                <w:rStyle w:val="Hyperlink"/>
                <w:noProof/>
              </w:rPr>
              <w:t>2.4 Ideate</w:t>
            </w:r>
            <w:r>
              <w:rPr>
                <w:noProof/>
                <w:webHidden/>
              </w:rPr>
              <w:tab/>
            </w:r>
            <w:r>
              <w:rPr>
                <w:noProof/>
                <w:webHidden/>
              </w:rPr>
              <w:fldChar w:fldCharType="begin"/>
            </w:r>
            <w:r>
              <w:rPr>
                <w:noProof/>
                <w:webHidden/>
              </w:rPr>
              <w:instrText xml:space="preserve"> PAGEREF _Toc234946107 \h </w:instrText>
            </w:r>
            <w:r>
              <w:rPr>
                <w:noProof/>
                <w:webHidden/>
              </w:rPr>
            </w:r>
            <w:r>
              <w:rPr>
                <w:noProof/>
                <w:webHidden/>
              </w:rPr>
              <w:fldChar w:fldCharType="separate"/>
            </w:r>
            <w:r>
              <w:rPr>
                <w:noProof/>
                <w:webHidden/>
              </w:rPr>
              <w:t>12</w:t>
            </w:r>
            <w:r>
              <w:rPr>
                <w:noProof/>
                <w:webHidden/>
              </w:rPr>
              <w:fldChar w:fldCharType="end"/>
            </w:r>
          </w:hyperlink>
        </w:p>
        <w:p w14:paraId="026DCE87" w14:textId="3A156194" w:rsidR="00AE6766" w:rsidRDefault="00AE6766">
          <w:pPr>
            <w:pStyle w:val="TOC2"/>
            <w:tabs>
              <w:tab w:val="right" w:leader="dot" w:pos="9016"/>
            </w:tabs>
            <w:rPr>
              <w:noProof/>
            </w:rPr>
          </w:pPr>
          <w:hyperlink w:anchor="_Toc234946108" w:history="1">
            <w:r w:rsidRPr="00693A70">
              <w:rPr>
                <w:rStyle w:val="Hyperlink"/>
                <w:noProof/>
              </w:rPr>
              <w:t>2.5 Prototype</w:t>
            </w:r>
            <w:r>
              <w:rPr>
                <w:noProof/>
                <w:webHidden/>
              </w:rPr>
              <w:tab/>
            </w:r>
            <w:r>
              <w:rPr>
                <w:noProof/>
                <w:webHidden/>
              </w:rPr>
              <w:fldChar w:fldCharType="begin"/>
            </w:r>
            <w:r>
              <w:rPr>
                <w:noProof/>
                <w:webHidden/>
              </w:rPr>
              <w:instrText xml:space="preserve"> PAGEREF _Toc234946108 \h </w:instrText>
            </w:r>
            <w:r>
              <w:rPr>
                <w:noProof/>
                <w:webHidden/>
              </w:rPr>
            </w:r>
            <w:r>
              <w:rPr>
                <w:noProof/>
                <w:webHidden/>
              </w:rPr>
              <w:fldChar w:fldCharType="separate"/>
            </w:r>
            <w:r>
              <w:rPr>
                <w:noProof/>
                <w:webHidden/>
              </w:rPr>
              <w:t>12</w:t>
            </w:r>
            <w:r>
              <w:rPr>
                <w:noProof/>
                <w:webHidden/>
              </w:rPr>
              <w:fldChar w:fldCharType="end"/>
            </w:r>
          </w:hyperlink>
        </w:p>
        <w:p w14:paraId="4998B0D0" w14:textId="75D3FC09" w:rsidR="00AE6766" w:rsidRDefault="00AE6766">
          <w:pPr>
            <w:pStyle w:val="TOC2"/>
            <w:tabs>
              <w:tab w:val="right" w:leader="dot" w:pos="9016"/>
            </w:tabs>
            <w:rPr>
              <w:noProof/>
            </w:rPr>
          </w:pPr>
          <w:hyperlink w:anchor="_Toc234946109" w:history="1">
            <w:r w:rsidRPr="00693A70">
              <w:rPr>
                <w:rStyle w:val="Hyperlink"/>
                <w:noProof/>
              </w:rPr>
              <w:t>2.6 Test and Refine</w:t>
            </w:r>
            <w:r>
              <w:rPr>
                <w:noProof/>
                <w:webHidden/>
              </w:rPr>
              <w:tab/>
            </w:r>
            <w:r>
              <w:rPr>
                <w:noProof/>
                <w:webHidden/>
              </w:rPr>
              <w:fldChar w:fldCharType="begin"/>
            </w:r>
            <w:r>
              <w:rPr>
                <w:noProof/>
                <w:webHidden/>
              </w:rPr>
              <w:instrText xml:space="preserve"> PAGEREF _Toc234946109 \h </w:instrText>
            </w:r>
            <w:r>
              <w:rPr>
                <w:noProof/>
                <w:webHidden/>
              </w:rPr>
            </w:r>
            <w:r>
              <w:rPr>
                <w:noProof/>
                <w:webHidden/>
              </w:rPr>
              <w:fldChar w:fldCharType="separate"/>
            </w:r>
            <w:r>
              <w:rPr>
                <w:noProof/>
                <w:webHidden/>
              </w:rPr>
              <w:t>13</w:t>
            </w:r>
            <w:r>
              <w:rPr>
                <w:noProof/>
                <w:webHidden/>
              </w:rPr>
              <w:fldChar w:fldCharType="end"/>
            </w:r>
          </w:hyperlink>
        </w:p>
        <w:p w14:paraId="01C3F602" w14:textId="0A3C0E64" w:rsidR="00AE6766" w:rsidRDefault="00AE6766">
          <w:pPr>
            <w:pStyle w:val="TOC2"/>
            <w:tabs>
              <w:tab w:val="right" w:leader="dot" w:pos="9016"/>
            </w:tabs>
            <w:rPr>
              <w:noProof/>
            </w:rPr>
          </w:pPr>
          <w:hyperlink w:anchor="_Toc234946110" w:history="1">
            <w:r w:rsidRPr="00693A70">
              <w:rPr>
                <w:rStyle w:val="Hyperlink"/>
                <w:noProof/>
              </w:rPr>
              <w:t>2.7 Conclusion</w:t>
            </w:r>
            <w:r>
              <w:rPr>
                <w:noProof/>
                <w:webHidden/>
              </w:rPr>
              <w:tab/>
            </w:r>
            <w:r>
              <w:rPr>
                <w:noProof/>
                <w:webHidden/>
              </w:rPr>
              <w:fldChar w:fldCharType="begin"/>
            </w:r>
            <w:r>
              <w:rPr>
                <w:noProof/>
                <w:webHidden/>
              </w:rPr>
              <w:instrText xml:space="preserve"> PAGEREF _Toc234946110 \h </w:instrText>
            </w:r>
            <w:r>
              <w:rPr>
                <w:noProof/>
                <w:webHidden/>
              </w:rPr>
            </w:r>
            <w:r>
              <w:rPr>
                <w:noProof/>
                <w:webHidden/>
              </w:rPr>
              <w:fldChar w:fldCharType="separate"/>
            </w:r>
            <w:r>
              <w:rPr>
                <w:noProof/>
                <w:webHidden/>
              </w:rPr>
              <w:t>13</w:t>
            </w:r>
            <w:r>
              <w:rPr>
                <w:noProof/>
                <w:webHidden/>
              </w:rPr>
              <w:fldChar w:fldCharType="end"/>
            </w:r>
          </w:hyperlink>
        </w:p>
        <w:p w14:paraId="55C1580F" w14:textId="2BEED382" w:rsidR="00AE6766" w:rsidRDefault="00AE6766">
          <w:pPr>
            <w:pStyle w:val="TOC1"/>
            <w:tabs>
              <w:tab w:val="right" w:leader="dot" w:pos="9016"/>
            </w:tabs>
            <w:rPr>
              <w:noProof/>
            </w:rPr>
          </w:pPr>
          <w:hyperlink w:anchor="_Toc234946111" w:history="1">
            <w:r w:rsidRPr="00693A70">
              <w:rPr>
                <w:rStyle w:val="Hyperlink"/>
                <w:noProof/>
              </w:rPr>
              <w:t>References</w:t>
            </w:r>
            <w:r>
              <w:rPr>
                <w:noProof/>
                <w:webHidden/>
              </w:rPr>
              <w:tab/>
            </w:r>
            <w:r>
              <w:rPr>
                <w:noProof/>
                <w:webHidden/>
              </w:rPr>
              <w:fldChar w:fldCharType="begin"/>
            </w:r>
            <w:r>
              <w:rPr>
                <w:noProof/>
                <w:webHidden/>
              </w:rPr>
              <w:instrText xml:space="preserve"> PAGEREF _Toc234946111 \h </w:instrText>
            </w:r>
            <w:r>
              <w:rPr>
                <w:noProof/>
                <w:webHidden/>
              </w:rPr>
            </w:r>
            <w:r>
              <w:rPr>
                <w:noProof/>
                <w:webHidden/>
              </w:rPr>
              <w:fldChar w:fldCharType="separate"/>
            </w:r>
            <w:r>
              <w:rPr>
                <w:noProof/>
                <w:webHidden/>
              </w:rPr>
              <w:t>14</w:t>
            </w:r>
            <w:r>
              <w:rPr>
                <w:noProof/>
                <w:webHidden/>
              </w:rPr>
              <w:fldChar w:fldCharType="end"/>
            </w:r>
          </w:hyperlink>
        </w:p>
        <w:p w14:paraId="318AFA1D" w14:textId="0434ED75" w:rsidR="00AE6766" w:rsidRDefault="00AE6766">
          <w:r>
            <w:rPr>
              <w:b/>
              <w:bCs/>
              <w:noProof/>
            </w:rPr>
            <w:fldChar w:fldCharType="end"/>
          </w:r>
        </w:p>
      </w:sdtContent>
    </w:sdt>
    <w:p w14:paraId="3F2E8D15" w14:textId="16FC588C" w:rsidR="00AE6766" w:rsidRDefault="00AE6766" w:rsidP="00AE6766">
      <w:pPr>
        <w:pStyle w:val="Heading1"/>
      </w:pPr>
    </w:p>
    <w:p w14:paraId="69DDB71E" w14:textId="79C6E5F1" w:rsidR="00AE6766" w:rsidRDefault="00AE6766" w:rsidP="00AE6766">
      <w:pPr>
        <w:pStyle w:val="Heading1"/>
      </w:pPr>
    </w:p>
    <w:p w14:paraId="5E704BE7" w14:textId="151CD8C7" w:rsidR="00AE6766" w:rsidRDefault="00AE6766" w:rsidP="00AE6766">
      <w:pPr>
        <w:pStyle w:val="Heading1"/>
      </w:pPr>
    </w:p>
    <w:p w14:paraId="0EB50770" w14:textId="51EB0F8E" w:rsidR="00AE6766" w:rsidRDefault="00AE6766" w:rsidP="00AE6766">
      <w:pPr>
        <w:pStyle w:val="Heading1"/>
      </w:pPr>
    </w:p>
    <w:p w14:paraId="41C09972" w14:textId="14CB829C" w:rsidR="00AE6766" w:rsidRDefault="00AE6766" w:rsidP="00AE6766">
      <w:pPr>
        <w:pStyle w:val="Heading1"/>
      </w:pPr>
    </w:p>
    <w:p w14:paraId="5E5E4621" w14:textId="61B54750" w:rsidR="00AE6766" w:rsidRDefault="00AE6766" w:rsidP="00AE6766">
      <w:pPr>
        <w:pStyle w:val="Heading1"/>
      </w:pPr>
    </w:p>
    <w:p w14:paraId="3F49613E" w14:textId="77777777" w:rsidR="00AE6766" w:rsidRDefault="00AE6766" w:rsidP="00AE6766">
      <w:pPr>
        <w:pStyle w:val="Heading1"/>
      </w:pPr>
    </w:p>
    <w:p w14:paraId="5914CA01" w14:textId="77777777" w:rsidR="00AE6766" w:rsidRDefault="00AE6766" w:rsidP="00AE6766">
      <w:pPr>
        <w:pStyle w:val="Heading1"/>
      </w:pPr>
    </w:p>
    <w:p w14:paraId="65151471" w14:textId="243D272E" w:rsidR="00AE6766" w:rsidRPr="00AE6766" w:rsidRDefault="00AE6766" w:rsidP="00AE6766">
      <w:pPr>
        <w:pStyle w:val="Heading1"/>
      </w:pPr>
      <w:bookmarkStart w:id="0" w:name="_Toc234946092"/>
      <w:r w:rsidRPr="00AE6766">
        <w:lastRenderedPageBreak/>
        <w:t>Task 1: Design Thinking Analysis of Innovation and New-Venture Opportunities in the UK Digital Economy</w:t>
      </w:r>
      <w:bookmarkEnd w:id="0"/>
    </w:p>
    <w:p w14:paraId="74BE22FE" w14:textId="00EA9D16" w:rsidR="00AE6766" w:rsidRPr="00AE6766" w:rsidRDefault="00AE6766" w:rsidP="00AE6766">
      <w:pPr>
        <w:pStyle w:val="Heading2"/>
      </w:pPr>
      <w:bookmarkStart w:id="1" w:name="_Toc234946093"/>
      <w:r w:rsidRPr="00AE6766">
        <w:t>1.</w:t>
      </w:r>
      <w:r>
        <w:t>1</w:t>
      </w:r>
      <w:r w:rsidRPr="00AE6766">
        <w:t xml:space="preserve"> Introduction</w:t>
      </w:r>
      <w:bookmarkEnd w:id="1"/>
    </w:p>
    <w:p w14:paraId="3D515259"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COVID-19 pandemic significantly accelerated the adoption of digital technologies across the UK economy. Although online shopping, contactless payments and remote service delivery were already developing before the pandemic, restrictions on physical movement encouraged consumers and businesses to adopt these technologies much more rapidly. Many of the behaviours established during this period have continued, suggesting that the movement towards digital commerce represents a structural transformation rather than a temporary response to a crisis.</w:t>
      </w:r>
    </w:p>
    <w:p w14:paraId="73D105B5"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continuing importance of online commerce is demonstrated by recent retail and logistics data. Online retail sales values in Great Britain were 12.2% higher in May 2026 than in May 2025, while approximately 28% of retail expenditure continued to take place online during early 2026 (Office for National Statistics, 2026). Similarly, Ofcom reported that total measured UK parcel volumes increased by 7.1% to approximately 4.2 billion items in 2024–25, exceeding the volumes recorded during the pandemic. Domestic parcel volumes alone reached approximately 3.6 billion items (Ofcom, 2025a). These figures demonstrate that consumers have retained a strong preference for home delivery and online purchasing.</w:t>
      </w:r>
    </w:p>
    <w:p w14:paraId="34D4E7BE"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However, the expansion of digital demand does not mean that all businesses possess the capabilities required to compete effectively. Many micro-businesses and small and medium-sized enterprises continue to face difficulties related to cost, digital skills, time, system integration and uncertainty regarding the return on investment from new technologies. Research commissioned by the Department for Business and Trade found that these barriers remain particularly significant among smaller organisations with limited internal technical expertise (Ipsos and Department for Business and Trade, 2025). This creates a gap between the increasingly sophisticated digital expectations of consumers and the limited digital capacity of many independent businesses.</w:t>
      </w:r>
    </w:p>
    <w:p w14:paraId="3AD9CF72" w14:textId="42D27BC7" w:rsidR="00AE6766" w:rsidRPr="00AE6766" w:rsidRDefault="00AE6766" w:rsidP="00AE6766">
      <w:pPr>
        <w:pStyle w:val="Heading2"/>
      </w:pPr>
      <w:bookmarkStart w:id="2" w:name="_Toc234946094"/>
      <w:r>
        <w:t>1.</w:t>
      </w:r>
      <w:r w:rsidRPr="00AE6766">
        <w:t>2 Empathise: Understanding User Needs and Pain Points</w:t>
      </w:r>
      <w:bookmarkEnd w:id="2"/>
    </w:p>
    <w:p w14:paraId="50F81F55"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 xml:space="preserve">The empathise stage requires entrepreneurs to develop a detailed understanding of the experiences, motivations and frustrations of the people affected by digital transformation. </w:t>
      </w:r>
      <w:r w:rsidRPr="00AE6766">
        <w:rPr>
          <w:rFonts w:ascii="Times New Roman" w:eastAsia="Times New Roman" w:hAnsi="Times New Roman" w:cs="Times New Roman"/>
          <w:lang w:eastAsia="en-GB"/>
        </w:rPr>
        <w:lastRenderedPageBreak/>
        <w:t>Within the scenario, the principal users include SME owners, independent retailers, service providers, rural producers, consumers, delivery companies and local communities. Although these groups have different priorities, they are connected through the wider digital commerce ecosystem.</w:t>
      </w:r>
    </w:p>
    <w:p w14:paraId="59D6CE54"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Micro-business and SME owners represent one of the most important user groups. This category includes independent retailers, hairdressers, personal trainers, tutors, market traders, farmers and professional service providers. Their main objective is not simply to purchase software. Instead, they need to attract customers, receive orders or bookings, process payments, manage stock or appointments and maintain customer relationships without creating excessive administrative work.</w:t>
      </w:r>
    </w:p>
    <w:p w14:paraId="20B64D2D"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Many small businesses currently rely on a fragmented combination of platforms. For example, a hairdresser may use one application for bookings, another system for card payments, social media for promotion and a spreadsheet for customer information. A farm shop may receive orders through Facebook, WhatsApp, email and telephone calls, while separately arranging delivery and payment. This fragmentation increases the risk of duplicated work, missed messages, incorrect stock records and poor customer communication.</w:t>
      </w:r>
    </w:p>
    <w:p w14:paraId="0CBB76F7"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Cost is also a major concern. The financial burden of technology adoption extends beyond the monthly software subscription. Businesses may also need to pay for implementation, staff training, data migration, website maintenance and technical support. For a micro-business with limited cash flow, these additional costs may make digital investment appear risky. Research by Ipsos and the Department for Business and Trade found that ease of use was the most important factor when SMEs selected technology providers, followed by price and compatibility with existing systems (Ipsos and Department for Business and Trade, 2025). This suggests that successful ventures must prioritise simplicity and integration rather than offering increasingly complex features.</w:t>
      </w:r>
    </w:p>
    <w:p w14:paraId="0ECF9D60"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Another important issue is trust. Small-business owners may find it difficult to compare software providers because of technical terminology, information overload and uncertainty regarding the reliability of marketing claims. Many therefore prefer demonstrations, free trials and recommendations from trusted peers, accountants or professional associations. The need for human guidance is especially strong among businesses that have limited digital experience.</w:t>
      </w:r>
    </w:p>
    <w:p w14:paraId="4DD535D4"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lastRenderedPageBreak/>
        <w:t>Consumers form a second major user group. The rapid growth of e-commerce has increased expectations regarding convenience, speed and transparency. Customers increasingly expect businesses of all sizes to provide mobile-responsive websites, secure payments, accurate stock information, convenient delivery options and clear communication regarding orders. These expectations create a challenge for smaller firms, which may not have the financial or technical resources available to larger platforms.</w:t>
      </w:r>
    </w:p>
    <w:p w14:paraId="48712530"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Research into rural digital inclusion has shown that access to technology depends on more than broadband infrastructure. It also requires affordable devices, suitable digital skills and services that can operate effectively under weak connectivity conditions (Building Digital UK, 2024). This means that solutions designed for urban businesses cannot automatically be transferred to rural areas without adaptation.</w:t>
      </w:r>
    </w:p>
    <w:p w14:paraId="37AC7FE0"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Delivery companies and local communities also experience pain points. Courier businesses must manage growing parcel volumes while controlling fuel, labour and vehicle costs. Consumers frequently experience missed deliveries, uncertain time windows and complicated complaint procedures. Ofcom found that although most parcel recipients were generally satisfied with delivery companies, many were dissatisfied with the process of contacting a provider when something went wrong (Ofcom, 2025a).</w:t>
      </w:r>
    </w:p>
    <w:p w14:paraId="6FB27B41"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Local communities experience the wider environmental and social effects of delivery growth. These include traffic congestion, increased van movements, unsuccessful delivery attempts, packaging waste and poor air quality. Therefore, last-mile innovation should not be judged only by delivery speed. Reliability, affordability, accessibility and environmental impact should also be considered.</w:t>
      </w:r>
    </w:p>
    <w:p w14:paraId="2D2F6660" w14:textId="0F310F53" w:rsidR="00AE6766" w:rsidRPr="00AE6766" w:rsidRDefault="00AE6766" w:rsidP="00AE6766">
      <w:pPr>
        <w:pStyle w:val="Heading2"/>
      </w:pPr>
      <w:bookmarkStart w:id="3" w:name="_Toc234946095"/>
      <w:r>
        <w:t>1.</w:t>
      </w:r>
      <w:r w:rsidRPr="00AE6766">
        <w:t>3 Identifying the Central Innovation Challenge</w:t>
      </w:r>
      <w:bookmarkEnd w:id="3"/>
    </w:p>
    <w:p w14:paraId="0E772ACC"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empathy stage indicates that the central problem is not the complete absence of digital tools. There are already many website builders, payment processors, booking systems, delivery platforms and social-media services available within the UK market. The deeper problem is that these systems are often fragmented, difficult to compare and poorly suited to the needs of very small businesses.</w:t>
      </w:r>
    </w:p>
    <w:p w14:paraId="0CB19740"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 xml:space="preserve">Many SMEs must connect several separate applications to complete a single customer journey. A business may need one system for marketing, another for bookings, another for payment, </w:t>
      </w:r>
      <w:r w:rsidRPr="00AE6766">
        <w:rPr>
          <w:rFonts w:ascii="Times New Roman" w:eastAsia="Times New Roman" w:hAnsi="Times New Roman" w:cs="Times New Roman"/>
          <w:lang w:eastAsia="en-GB"/>
        </w:rPr>
        <w:lastRenderedPageBreak/>
        <w:t>another for stock control and another for delivery. These systems may not share information effectively, forcing owners to transfer data manually. The resulting complexity reduces productivity and increases the possibility of mistakes.</w:t>
      </w:r>
    </w:p>
    <w:p w14:paraId="21E12E5B" w14:textId="6E5340E1" w:rsidR="00AE6766" w:rsidRPr="00AE6766" w:rsidRDefault="00AE6766" w:rsidP="00AE6766">
      <w:pPr>
        <w:pStyle w:val="Heading2"/>
      </w:pPr>
      <w:bookmarkStart w:id="4" w:name="_Toc234946096"/>
      <w:r>
        <w:t>1.</w:t>
      </w:r>
      <w:r w:rsidRPr="00AE6766">
        <w:t>4 Key Opportunity Areas</w:t>
      </w:r>
      <w:bookmarkEnd w:id="4"/>
    </w:p>
    <w:p w14:paraId="56BC2230" w14:textId="3D476906" w:rsidR="00AE6766" w:rsidRPr="00AE6766" w:rsidRDefault="00AE6766" w:rsidP="00AE6766">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5" w:name="_Toc234946097"/>
      <w:r>
        <w:rPr>
          <w:rFonts w:ascii="Times New Roman" w:eastAsia="Times New Roman" w:hAnsi="Times New Roman" w:cs="Times New Roman"/>
          <w:b/>
          <w:bCs/>
          <w:sz w:val="27"/>
          <w:szCs w:val="27"/>
          <w:lang w:eastAsia="en-GB"/>
        </w:rPr>
        <w:t>1.</w:t>
      </w:r>
      <w:r w:rsidRPr="00AE6766">
        <w:rPr>
          <w:rFonts w:ascii="Times New Roman" w:eastAsia="Times New Roman" w:hAnsi="Times New Roman" w:cs="Times New Roman"/>
          <w:b/>
          <w:bCs/>
          <w:sz w:val="27"/>
          <w:szCs w:val="27"/>
          <w:lang w:eastAsia="en-GB"/>
        </w:rPr>
        <w:t>4.1 Integrated Digital Commerce Platform for Micro-Businesses</w:t>
      </w:r>
      <w:bookmarkEnd w:id="5"/>
    </w:p>
    <w:p w14:paraId="0A787012"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strongest opportunity is the development of an integrated digital commerce platform designed specifically for micro-businesses. Rather than providing only a website or payment function, the system would support the complete customer journey. It could combine online storefronts, booking management, payment processing, stock control, customer communication, delivery options and basic accounting integration within one platform.</w:t>
      </w:r>
    </w:p>
    <w:p w14:paraId="497013D7"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main user pain point addressed by this opportunity is fragmentation. A small business owner often spends considerable time moving between applications and manually updating information. An integrated system would reduce this administrative burden by ensuring that orders, appointments, payments and stock levels are updated automatically.</w:t>
      </w:r>
    </w:p>
    <w:p w14:paraId="6BB60CE0"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market gap exists because many existing solutions are positioned at one of two extremes. Basic website builders are relatively affordable but often require users to configure additional integrations independently. Enterprise retail-management systems offer advanced functionality but are usually too expensive and complicated for micro-businesses. There is therefore an opportunity to create a simplified, sector-specific system that provides the essential functions required by particular industries.</w:t>
      </w:r>
    </w:p>
    <w:p w14:paraId="4218CB2F"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For example, a version designed for hairdressers could combine online appointments, deposits, reminders, client notes and loyalty rewards. A version for tutors could offer lesson bookings, payments, learning-material distribution and attendance records. A version for local food producers could include online ordering, stock availability, subscription boxes and delivery management. This vertical approach would allow the platform to match the specific working practices of each sector.</w:t>
      </w:r>
    </w:p>
    <w:p w14:paraId="0FF97E44" w14:textId="6C5F660E"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 xml:space="preserve">The opportunity is supported by several technological enablers. Cloud computing makes it </w:t>
      </w:r>
    </w:p>
    <w:p w14:paraId="716DB26B"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lastRenderedPageBreak/>
        <w:t>The platform would have strong scalability potential because its central infrastructure could be reused across different sectors. Once the core booking, payment and customer-management functions had been created, additional sector-specific templates could be added. Revenue could be generated through monthly subscriptions, transaction fees and optional marketing or delivery services.</w:t>
      </w:r>
    </w:p>
    <w:p w14:paraId="1862AA29"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opportunity also has sustainability benefits. Better stock management could reduce over-ordering and waste, while digital records could reduce paper use. Economically, the platform could strengthen the competitiveness of independent businesses. Socially, it could support local employment and improve access to digital markets. Nevertheless, the provider would need to use energy-efficient cloud infrastructure, protect customer data and ensure that interfaces remain accessible to users with different levels of digital confidence.</w:t>
      </w:r>
    </w:p>
    <w:p w14:paraId="1C26A0F7" w14:textId="250BEF09" w:rsidR="00AE6766" w:rsidRPr="00AE6766" w:rsidRDefault="00AE6766" w:rsidP="00AE6766">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6" w:name="_Toc234946098"/>
      <w:r>
        <w:rPr>
          <w:rFonts w:ascii="Times New Roman" w:eastAsia="Times New Roman" w:hAnsi="Times New Roman" w:cs="Times New Roman"/>
          <w:b/>
          <w:bCs/>
          <w:sz w:val="27"/>
          <w:szCs w:val="27"/>
          <w:lang w:eastAsia="en-GB"/>
        </w:rPr>
        <w:t>1.</w:t>
      </w:r>
      <w:r w:rsidRPr="00AE6766">
        <w:rPr>
          <w:rFonts w:ascii="Times New Roman" w:eastAsia="Times New Roman" w:hAnsi="Times New Roman" w:cs="Times New Roman"/>
          <w:b/>
          <w:bCs/>
          <w:sz w:val="27"/>
          <w:szCs w:val="27"/>
          <w:lang w:eastAsia="en-GB"/>
        </w:rPr>
        <w:t>4.2 Managed Digital Adoption and Marketing Services</w:t>
      </w:r>
      <w:bookmarkEnd w:id="6"/>
    </w:p>
    <w:p w14:paraId="10F9F4CE"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A second highly viable opportunity is the creation of a managed digital adoption service. This venture would assist SMEs in selecting, implementing and using digital technologies rather than simply selling them software.</w:t>
      </w:r>
    </w:p>
    <w:p w14:paraId="60314AD7"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need for this service emerges from the fact that many businesses understand the importance of digital transformation but do not know how to begin. Owners may lack the time to compare providers, configure systems and train employees. They may also struggle to evaluate whether a proposed technology will improve performance.</w:t>
      </w:r>
    </w:p>
    <w:p w14:paraId="5E11094C"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A managed service could begin with an assessment of the business’s existing digital capability. The provider could then recommend suitable software, create or improve the website, configure online booking, connect payment and accounting systems, provide staff training and monitor performance. The service could also manage digital advertising, local search visibility and social-media activity.</w:t>
      </w:r>
    </w:p>
    <w:p w14:paraId="4E9E97BA"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market gap exists between traditional digital agencies and inexpensive individual services. Full-service agencies may charge fees that are unaffordable for very small firms, while freelancers may provide only isolated tasks such as website design or social-media management. Software companies also tend to promote their own products rather than assess what is most suitable for the business as a whole.</w:t>
      </w:r>
    </w:p>
    <w:p w14:paraId="352FA2B9"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lastRenderedPageBreak/>
        <w:t>The new venture could position itself as an independent and trusted digital partner. This would be consistent with the findings of the SME Digital Adoption Taskforce, which emphasised the importance of support from trusted local and industry-based organisations, including accountants, trade bodies and technology advisers (Department for Business and Trade, 2025).</w:t>
      </w:r>
    </w:p>
    <w:p w14:paraId="4C6254EC" w14:textId="55DDEF7B" w:rsid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From a sustainability perspective, the model could improve digital capability within local economies rather than replacing existing businesses. It could also create employment in regional digital-support roles. By helping SMEs use technology effectively, the service may improve productivity and increase business survival rates.</w:t>
      </w:r>
    </w:p>
    <w:p w14:paraId="627017E8"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p>
    <w:p w14:paraId="3C8366E6" w14:textId="2F7D19E1" w:rsidR="00AE6766" w:rsidRPr="00AE6766" w:rsidRDefault="00AE6766" w:rsidP="00AE6766">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7" w:name="_Toc234946099"/>
      <w:r>
        <w:rPr>
          <w:rFonts w:ascii="Times New Roman" w:eastAsia="Times New Roman" w:hAnsi="Times New Roman" w:cs="Times New Roman"/>
          <w:b/>
          <w:bCs/>
          <w:sz w:val="27"/>
          <w:szCs w:val="27"/>
          <w:lang w:eastAsia="en-GB"/>
        </w:rPr>
        <w:t>1.</w:t>
      </w:r>
      <w:r w:rsidRPr="00AE6766">
        <w:rPr>
          <w:rFonts w:ascii="Times New Roman" w:eastAsia="Times New Roman" w:hAnsi="Times New Roman" w:cs="Times New Roman"/>
          <w:b/>
          <w:bCs/>
          <w:sz w:val="27"/>
          <w:szCs w:val="27"/>
          <w:lang w:eastAsia="en-GB"/>
        </w:rPr>
        <w:t>4.3 Hyperlocal and Rural Producer Marketplaces</w:t>
      </w:r>
      <w:bookmarkEnd w:id="7"/>
    </w:p>
    <w:p w14:paraId="180F6158" w14:textId="11F5711D"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A third opportunity is the development of a geographically focused marketplace connecting consumers with local farms, independent food producers, retailers and service providers. This would be particularly valuable in suburban and rural communities where businesses are geographically dispersed, and individual delivery costs are high.</w:t>
      </w:r>
    </w:p>
    <w:p w14:paraId="21163401"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Consumers often wish to support local producers but face inconvenience because each business has a separate ordering system, opening time and delivery charge. Producers may also receive orders through several channels, including Facebook, Instagram, WhatsApp, telephone and email. This makes it difficult to maintain accurate records and provide a consistent customer experience.</w:t>
      </w:r>
    </w:p>
    <w:p w14:paraId="6BD5C554"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A hyperlocal marketplace could allow consumers to purchase products from several nearby businesses within one transaction. Orders could be combined and delivered during a shared time window or collected from a local hub. The platform could also support subscriptions for products such as vegetable boxes, bread, meat, dairy products or household essentials.</w:t>
      </w:r>
    </w:p>
    <w:p w14:paraId="030025D9"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market gap exists because national marketplaces may charge high commissions and expose local businesses to intense price competition. Individual websites, by contrast, do not solve the problem of low order density. A successful local platform would create value by aggregating suppliers, customer demand and delivery activity.</w:t>
      </w:r>
    </w:p>
    <w:p w14:paraId="37B8B2E6"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lastRenderedPageBreak/>
        <w:t>The main technological enablers include mobile-responsive websites, mapping technology, route optimisation, subscription payments and digital stock management. Progressive web applications could also be designed to function under weak internet conditions. Orders placed through WhatsApp or text messaging could potentially be transferred automatically into the central system, allowing the service to remain accessible to less digitally confident users.</w:t>
      </w:r>
    </w:p>
    <w:p w14:paraId="3271FCEF" w14:textId="2ECE7E1F" w:rsidR="00AE6766" w:rsidRPr="00AE6766" w:rsidRDefault="00AE6766" w:rsidP="00AE6766">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8" w:name="_Toc234946100"/>
      <w:r>
        <w:rPr>
          <w:rFonts w:ascii="Times New Roman" w:eastAsia="Times New Roman" w:hAnsi="Times New Roman" w:cs="Times New Roman"/>
          <w:b/>
          <w:bCs/>
          <w:sz w:val="27"/>
          <w:szCs w:val="27"/>
          <w:lang w:eastAsia="en-GB"/>
        </w:rPr>
        <w:t>1.</w:t>
      </w:r>
      <w:r w:rsidRPr="00AE6766">
        <w:rPr>
          <w:rFonts w:ascii="Times New Roman" w:eastAsia="Times New Roman" w:hAnsi="Times New Roman" w:cs="Times New Roman"/>
          <w:b/>
          <w:bCs/>
          <w:sz w:val="27"/>
          <w:szCs w:val="27"/>
          <w:lang w:eastAsia="en-GB"/>
        </w:rPr>
        <w:t>4.4 Sustainable Last-Mile Delivery and Returns Networks</w:t>
      </w:r>
      <w:bookmarkEnd w:id="8"/>
    </w:p>
    <w:p w14:paraId="5A013949"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continuing growth of parcel volumes creates a major opportunity for innovation in last-mile delivery. The final stage of delivery is often the most expensive and environmentally damaging part of the logistics process because it involves numerous vehicles travelling to individual homes and businesses.</w:t>
      </w:r>
    </w:p>
    <w:p w14:paraId="7BFF84E6"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Consumers frequently experience missed deliveries, uncertain time slots and difficult returns. SMEs also have limited control over delivery quality, even though poor delivery performance may damage their reputation. Courier companies face increasing fuel, vehicle, labour and customer-service costs, while communities experience congestion and emissions.</w:t>
      </w:r>
    </w:p>
    <w:p w14:paraId="149A7487"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Out-of-home delivery services, including parcel lockers and convenience-store collection points, represented approximately 12% of measured parcel volumes during 2024–25 (Ofcom, 2025a). This shows that customers are willing to use alternatives to home delivery, but it also indicates considerable potential for further development.</w:t>
      </w:r>
    </w:p>
    <w:p w14:paraId="04751405"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A new venture could create a carrier-neutral network of parcel lockers, local collection points and micro-distribution hubs. Unlike networks restricted to one courier, the service could accept parcels from several providers and support both deliveries and returns. Local retailers could also use the network to offer convenient customer collection.</w:t>
      </w:r>
    </w:p>
    <w:p w14:paraId="1A8DC768"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In towns and urban areas, electric vans or cargo bikes could be used to complete deliveries from local hubs. In rural areas, the model could use existing transport capacity or community facilities. For example, scheduled local transport routes could potentially move parcels or products alongside passengers where regulations and capacity allow.</w:t>
      </w:r>
    </w:p>
    <w:p w14:paraId="4C278E1D"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 xml:space="preserve">The technological enablers include smart-locker systems, real-time tracking, electronic proof of delivery, route-optimisation software and carrier application programming interfaces. </w:t>
      </w:r>
      <w:r w:rsidRPr="00AE6766">
        <w:rPr>
          <w:rFonts w:ascii="Times New Roman" w:eastAsia="Times New Roman" w:hAnsi="Times New Roman" w:cs="Times New Roman"/>
          <w:lang w:eastAsia="en-GB"/>
        </w:rPr>
        <w:lastRenderedPageBreak/>
        <w:t>Location data could be used to identify suitable hub locations and reduce unnecessary travel. Artificial intelligence could also forecast parcel demand and optimise vehicle use.</w:t>
      </w:r>
    </w:p>
    <w:p w14:paraId="2483C441"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This opportunity offers strong environmental potential because consolidated deliveries can reduce repeated journeys. The use of cargo bikes and low-emission vehicles may also reduce congestion and air pollution in suitable locations. However, the venture is more capital intensive than a software platform. Lockers, vehicles and distribution hubs require substantial investment.</w:t>
      </w:r>
    </w:p>
    <w:p w14:paraId="3E211761" w14:textId="3CB19025" w:rsidR="00AE6766" w:rsidRPr="00AE6766" w:rsidRDefault="00AE6766" w:rsidP="00AE6766">
      <w:pPr>
        <w:pStyle w:val="Heading2"/>
      </w:pPr>
      <w:bookmarkStart w:id="9" w:name="_Toc234946101"/>
      <w:r>
        <w:t>1.</w:t>
      </w:r>
      <w:r w:rsidRPr="00AE6766">
        <w:t>5 Evaluation and Prioritisation of Opportunities</w:t>
      </w:r>
      <w:bookmarkEnd w:id="9"/>
    </w:p>
    <w:p w14:paraId="168AB7F0"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identified opportunities can be compared using the design-thinking criteria of user desirability, technical feasibility, scalability and sustainability. The scores below represent an analytical assessment rather than a financial forecast.</w:t>
      </w:r>
    </w:p>
    <w:tbl>
      <w:tblPr>
        <w:tblStyle w:val="TableGrid"/>
        <w:tblW w:w="0" w:type="auto"/>
        <w:tblLook w:val="04A0" w:firstRow="1" w:lastRow="0" w:firstColumn="1" w:lastColumn="0" w:noHBand="0" w:noVBand="1"/>
      </w:tblPr>
      <w:tblGrid>
        <w:gridCol w:w="1775"/>
        <w:gridCol w:w="1442"/>
        <w:gridCol w:w="1344"/>
        <w:gridCol w:w="1297"/>
        <w:gridCol w:w="1747"/>
        <w:gridCol w:w="1411"/>
      </w:tblGrid>
      <w:tr w:rsidR="00AE6766" w:rsidRPr="00AE6766" w14:paraId="36F48D5A" w14:textId="77777777" w:rsidTr="00AE6766">
        <w:tc>
          <w:tcPr>
            <w:tcW w:w="0" w:type="auto"/>
            <w:hideMark/>
          </w:tcPr>
          <w:p w14:paraId="62BF218A" w14:textId="77777777" w:rsidR="00AE6766" w:rsidRPr="00AE6766" w:rsidRDefault="00AE6766" w:rsidP="00AE6766">
            <w:pPr>
              <w:spacing w:line="360" w:lineRule="auto"/>
              <w:jc w:val="both"/>
              <w:rPr>
                <w:rFonts w:ascii="Times New Roman" w:eastAsia="Times New Roman" w:hAnsi="Times New Roman" w:cs="Times New Roman"/>
                <w:b/>
                <w:bCs/>
                <w:lang w:eastAsia="en-GB"/>
              </w:rPr>
            </w:pPr>
            <w:r w:rsidRPr="00AE6766">
              <w:rPr>
                <w:rFonts w:ascii="Times New Roman" w:eastAsia="Times New Roman" w:hAnsi="Times New Roman" w:cs="Times New Roman"/>
                <w:b/>
                <w:bCs/>
                <w:lang w:eastAsia="en-GB"/>
              </w:rPr>
              <w:t>Opportunity</w:t>
            </w:r>
          </w:p>
        </w:tc>
        <w:tc>
          <w:tcPr>
            <w:tcW w:w="0" w:type="auto"/>
            <w:hideMark/>
          </w:tcPr>
          <w:p w14:paraId="5976A38B" w14:textId="77777777" w:rsidR="00AE6766" w:rsidRPr="00AE6766" w:rsidRDefault="00AE6766" w:rsidP="00AE6766">
            <w:pPr>
              <w:spacing w:line="360" w:lineRule="auto"/>
              <w:jc w:val="both"/>
              <w:rPr>
                <w:rFonts w:ascii="Times New Roman" w:eastAsia="Times New Roman" w:hAnsi="Times New Roman" w:cs="Times New Roman"/>
                <w:b/>
                <w:bCs/>
                <w:lang w:eastAsia="en-GB"/>
              </w:rPr>
            </w:pPr>
            <w:r w:rsidRPr="00AE6766">
              <w:rPr>
                <w:rFonts w:ascii="Times New Roman" w:eastAsia="Times New Roman" w:hAnsi="Times New Roman" w:cs="Times New Roman"/>
                <w:b/>
                <w:bCs/>
                <w:lang w:eastAsia="en-GB"/>
              </w:rPr>
              <w:t>User desirability</w:t>
            </w:r>
          </w:p>
        </w:tc>
        <w:tc>
          <w:tcPr>
            <w:tcW w:w="0" w:type="auto"/>
            <w:hideMark/>
          </w:tcPr>
          <w:p w14:paraId="376CE15D" w14:textId="77777777" w:rsidR="00AE6766" w:rsidRPr="00AE6766" w:rsidRDefault="00AE6766" w:rsidP="00AE6766">
            <w:pPr>
              <w:spacing w:line="360" w:lineRule="auto"/>
              <w:jc w:val="both"/>
              <w:rPr>
                <w:rFonts w:ascii="Times New Roman" w:eastAsia="Times New Roman" w:hAnsi="Times New Roman" w:cs="Times New Roman"/>
                <w:b/>
                <w:bCs/>
                <w:lang w:eastAsia="en-GB"/>
              </w:rPr>
            </w:pPr>
            <w:r w:rsidRPr="00AE6766">
              <w:rPr>
                <w:rFonts w:ascii="Times New Roman" w:eastAsia="Times New Roman" w:hAnsi="Times New Roman" w:cs="Times New Roman"/>
                <w:b/>
                <w:bCs/>
                <w:lang w:eastAsia="en-GB"/>
              </w:rPr>
              <w:t>Technical feasibility</w:t>
            </w:r>
          </w:p>
        </w:tc>
        <w:tc>
          <w:tcPr>
            <w:tcW w:w="0" w:type="auto"/>
            <w:hideMark/>
          </w:tcPr>
          <w:p w14:paraId="670E8CC4" w14:textId="77777777" w:rsidR="00AE6766" w:rsidRPr="00AE6766" w:rsidRDefault="00AE6766" w:rsidP="00AE6766">
            <w:pPr>
              <w:spacing w:line="360" w:lineRule="auto"/>
              <w:jc w:val="both"/>
              <w:rPr>
                <w:rFonts w:ascii="Times New Roman" w:eastAsia="Times New Roman" w:hAnsi="Times New Roman" w:cs="Times New Roman"/>
                <w:b/>
                <w:bCs/>
                <w:lang w:eastAsia="en-GB"/>
              </w:rPr>
            </w:pPr>
            <w:r w:rsidRPr="00AE6766">
              <w:rPr>
                <w:rFonts w:ascii="Times New Roman" w:eastAsia="Times New Roman" w:hAnsi="Times New Roman" w:cs="Times New Roman"/>
                <w:b/>
                <w:bCs/>
                <w:lang w:eastAsia="en-GB"/>
              </w:rPr>
              <w:t>Scalability</w:t>
            </w:r>
          </w:p>
        </w:tc>
        <w:tc>
          <w:tcPr>
            <w:tcW w:w="0" w:type="auto"/>
            <w:hideMark/>
          </w:tcPr>
          <w:p w14:paraId="343B2F31" w14:textId="77777777" w:rsidR="00AE6766" w:rsidRPr="00AE6766" w:rsidRDefault="00AE6766" w:rsidP="00AE6766">
            <w:pPr>
              <w:spacing w:line="360" w:lineRule="auto"/>
              <w:jc w:val="both"/>
              <w:rPr>
                <w:rFonts w:ascii="Times New Roman" w:eastAsia="Times New Roman" w:hAnsi="Times New Roman" w:cs="Times New Roman"/>
                <w:b/>
                <w:bCs/>
                <w:lang w:eastAsia="en-GB"/>
              </w:rPr>
            </w:pPr>
            <w:r w:rsidRPr="00AE6766">
              <w:rPr>
                <w:rFonts w:ascii="Times New Roman" w:eastAsia="Times New Roman" w:hAnsi="Times New Roman" w:cs="Times New Roman"/>
                <w:b/>
                <w:bCs/>
                <w:lang w:eastAsia="en-GB"/>
              </w:rPr>
              <w:t>Sustainability potential</w:t>
            </w:r>
          </w:p>
        </w:tc>
        <w:tc>
          <w:tcPr>
            <w:tcW w:w="0" w:type="auto"/>
            <w:hideMark/>
          </w:tcPr>
          <w:p w14:paraId="5D8E4B88" w14:textId="77777777" w:rsidR="00AE6766" w:rsidRPr="00AE6766" w:rsidRDefault="00AE6766" w:rsidP="00AE6766">
            <w:pPr>
              <w:spacing w:line="360" w:lineRule="auto"/>
              <w:jc w:val="both"/>
              <w:rPr>
                <w:rFonts w:ascii="Times New Roman" w:eastAsia="Times New Roman" w:hAnsi="Times New Roman" w:cs="Times New Roman"/>
                <w:b/>
                <w:bCs/>
                <w:lang w:eastAsia="en-GB"/>
              </w:rPr>
            </w:pPr>
            <w:r w:rsidRPr="00AE6766">
              <w:rPr>
                <w:rFonts w:ascii="Times New Roman" w:eastAsia="Times New Roman" w:hAnsi="Times New Roman" w:cs="Times New Roman"/>
                <w:b/>
                <w:bCs/>
                <w:lang w:eastAsia="en-GB"/>
              </w:rPr>
              <w:t>Overall priority</w:t>
            </w:r>
          </w:p>
        </w:tc>
      </w:tr>
      <w:tr w:rsidR="00AE6766" w:rsidRPr="00AE6766" w14:paraId="48D4E4F7" w14:textId="77777777" w:rsidTr="00AE6766">
        <w:tc>
          <w:tcPr>
            <w:tcW w:w="0" w:type="auto"/>
            <w:hideMark/>
          </w:tcPr>
          <w:p w14:paraId="5EDF9394"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Integrated SME commerce platform</w:t>
            </w:r>
          </w:p>
        </w:tc>
        <w:tc>
          <w:tcPr>
            <w:tcW w:w="0" w:type="auto"/>
            <w:hideMark/>
          </w:tcPr>
          <w:p w14:paraId="422D8575"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w:t>
            </w:r>
          </w:p>
        </w:tc>
        <w:tc>
          <w:tcPr>
            <w:tcW w:w="0" w:type="auto"/>
            <w:hideMark/>
          </w:tcPr>
          <w:p w14:paraId="6765BA89"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44B1FC3A"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w:t>
            </w:r>
          </w:p>
        </w:tc>
        <w:tc>
          <w:tcPr>
            <w:tcW w:w="0" w:type="auto"/>
            <w:hideMark/>
          </w:tcPr>
          <w:p w14:paraId="7B260A78"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7D6C8FC8"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1</w:t>
            </w:r>
          </w:p>
        </w:tc>
      </w:tr>
      <w:tr w:rsidR="00AE6766" w:rsidRPr="00AE6766" w14:paraId="33A5E58E" w14:textId="77777777" w:rsidTr="00AE6766">
        <w:tc>
          <w:tcPr>
            <w:tcW w:w="0" w:type="auto"/>
            <w:hideMark/>
          </w:tcPr>
          <w:p w14:paraId="2A60B491"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Managed digital adoption service</w:t>
            </w:r>
          </w:p>
        </w:tc>
        <w:tc>
          <w:tcPr>
            <w:tcW w:w="0" w:type="auto"/>
            <w:hideMark/>
          </w:tcPr>
          <w:p w14:paraId="5AFBFA89"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w:t>
            </w:r>
          </w:p>
        </w:tc>
        <w:tc>
          <w:tcPr>
            <w:tcW w:w="0" w:type="auto"/>
            <w:hideMark/>
          </w:tcPr>
          <w:p w14:paraId="0FC74E23"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w:t>
            </w:r>
          </w:p>
        </w:tc>
        <w:tc>
          <w:tcPr>
            <w:tcW w:w="0" w:type="auto"/>
            <w:hideMark/>
          </w:tcPr>
          <w:p w14:paraId="6C0D4B8F"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5518ABA7"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2E7E0581"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2</w:t>
            </w:r>
          </w:p>
        </w:tc>
      </w:tr>
      <w:tr w:rsidR="00AE6766" w:rsidRPr="00AE6766" w14:paraId="2A17F503" w14:textId="77777777" w:rsidTr="00AE6766">
        <w:tc>
          <w:tcPr>
            <w:tcW w:w="0" w:type="auto"/>
            <w:hideMark/>
          </w:tcPr>
          <w:p w14:paraId="7E643B32"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Sustainable last-mile network</w:t>
            </w:r>
          </w:p>
        </w:tc>
        <w:tc>
          <w:tcPr>
            <w:tcW w:w="0" w:type="auto"/>
            <w:hideMark/>
          </w:tcPr>
          <w:p w14:paraId="663FD95C"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w:t>
            </w:r>
          </w:p>
        </w:tc>
        <w:tc>
          <w:tcPr>
            <w:tcW w:w="0" w:type="auto"/>
            <w:hideMark/>
          </w:tcPr>
          <w:p w14:paraId="3A82835A"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3</w:t>
            </w:r>
          </w:p>
        </w:tc>
        <w:tc>
          <w:tcPr>
            <w:tcW w:w="0" w:type="auto"/>
            <w:hideMark/>
          </w:tcPr>
          <w:p w14:paraId="3BF5E0DF"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62C0A84C"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w:t>
            </w:r>
          </w:p>
        </w:tc>
        <w:tc>
          <w:tcPr>
            <w:tcW w:w="0" w:type="auto"/>
            <w:hideMark/>
          </w:tcPr>
          <w:p w14:paraId="14054AEC"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3</w:t>
            </w:r>
          </w:p>
        </w:tc>
      </w:tr>
      <w:tr w:rsidR="00AE6766" w:rsidRPr="00AE6766" w14:paraId="065A2891" w14:textId="77777777" w:rsidTr="00AE6766">
        <w:tc>
          <w:tcPr>
            <w:tcW w:w="0" w:type="auto"/>
            <w:hideMark/>
          </w:tcPr>
          <w:p w14:paraId="741F2D2F"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Hyperlocal producer marketplace</w:t>
            </w:r>
          </w:p>
        </w:tc>
        <w:tc>
          <w:tcPr>
            <w:tcW w:w="0" w:type="auto"/>
            <w:hideMark/>
          </w:tcPr>
          <w:p w14:paraId="6B154DA5"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2B50B099"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3</w:t>
            </w:r>
          </w:p>
        </w:tc>
        <w:tc>
          <w:tcPr>
            <w:tcW w:w="0" w:type="auto"/>
            <w:hideMark/>
          </w:tcPr>
          <w:p w14:paraId="5193A896"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28B75584"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w:t>
            </w:r>
          </w:p>
        </w:tc>
        <w:tc>
          <w:tcPr>
            <w:tcW w:w="0" w:type="auto"/>
            <w:hideMark/>
          </w:tcPr>
          <w:p w14:paraId="1C586652"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r>
      <w:tr w:rsidR="00AE6766" w:rsidRPr="00AE6766" w14:paraId="570A831E" w14:textId="77777777" w:rsidTr="00AE6766">
        <w:tc>
          <w:tcPr>
            <w:tcW w:w="0" w:type="auto"/>
            <w:hideMark/>
          </w:tcPr>
          <w:p w14:paraId="4BD2EECF"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Integrated payment solution</w:t>
            </w:r>
          </w:p>
        </w:tc>
        <w:tc>
          <w:tcPr>
            <w:tcW w:w="0" w:type="auto"/>
            <w:hideMark/>
          </w:tcPr>
          <w:p w14:paraId="76205483"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51571336"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4</w:t>
            </w:r>
          </w:p>
        </w:tc>
        <w:tc>
          <w:tcPr>
            <w:tcW w:w="0" w:type="auto"/>
            <w:hideMark/>
          </w:tcPr>
          <w:p w14:paraId="1488CE92"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w:t>
            </w:r>
          </w:p>
        </w:tc>
        <w:tc>
          <w:tcPr>
            <w:tcW w:w="0" w:type="auto"/>
            <w:hideMark/>
          </w:tcPr>
          <w:p w14:paraId="5F69633F"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3</w:t>
            </w:r>
          </w:p>
        </w:tc>
        <w:tc>
          <w:tcPr>
            <w:tcW w:w="0" w:type="auto"/>
            <w:hideMark/>
          </w:tcPr>
          <w:p w14:paraId="6911482B" w14:textId="77777777" w:rsidR="00AE6766" w:rsidRPr="00AE6766" w:rsidRDefault="00AE6766" w:rsidP="00AE6766">
            <w:pPr>
              <w:spacing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5 as a standalone venture</w:t>
            </w:r>
          </w:p>
        </w:tc>
      </w:tr>
    </w:tbl>
    <w:p w14:paraId="49550C82"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lastRenderedPageBreak/>
        <w:t>The integrated SME commerce platform represents the strongest opportunity because it addresses an extensive and clearly evidenced problem. It also offers recurring revenue, relatively low geographical constraints and the potential to expand into several industries.</w:t>
      </w:r>
    </w:p>
    <w:p w14:paraId="5ECDC5AB"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Managed digital adoption services are ranked second because they respond directly to the lack of confidence, time and expertise among SMEs. In practice, these first two opportunities could be combined. The service business could help SMEs adopt the platform, while the platform could gradually reduce the cost of providing support.</w:t>
      </w:r>
    </w:p>
    <w:p w14:paraId="17252749"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last-mile delivery and rural marketplace opportunities offer strong social and environmental benefits, but they are more operationally complex. Their viability depends on local supplier and customer density. They may therefore be better suited to regional pilot projects than immediate national expansion.</w:t>
      </w:r>
    </w:p>
    <w:p w14:paraId="2A8420B2" w14:textId="48FF2E8A" w:rsidR="00AE6766" w:rsidRPr="00AE6766" w:rsidRDefault="00AE6766" w:rsidP="00AE6766">
      <w:pPr>
        <w:pStyle w:val="Heading2"/>
      </w:pPr>
      <w:bookmarkStart w:id="10" w:name="_Toc234946102"/>
      <w:r>
        <w:t>1.</w:t>
      </w:r>
      <w:r w:rsidRPr="00AE6766">
        <w:t>6 Prototype and Test</w:t>
      </w:r>
      <w:bookmarkEnd w:id="10"/>
    </w:p>
    <w:p w14:paraId="29E70F0D"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prototype stage of design thinking requires the entrepreneur to develop a simplified version of the proposed service. This allows assumptions to be tested before substantial financial investment takes place. Brown (2008) argues that successful innovation must balance desirability, feasibility and commercial viability, while Ries (2011) emphasises the importance of testing ideas through a minimum viable product.</w:t>
      </w:r>
    </w:p>
    <w:p w14:paraId="20393D04"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first stage of the testing process should involve direct research with users. Approximately 25 to 30 micro-business owners could be interviewed across sectors such as retail, beauty, tutoring, personal training and local food production. The research should include both digitally confident users and businesses that have resisted technology adoption.</w:t>
      </w:r>
    </w:p>
    <w:p w14:paraId="4EE68D61"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Observational research would also be valuable. Researchers could examine how owners currently receive orders, record payments, update stock and communicate with customers. Customer journey maps and service blueprints could then be used to identify where delays, duplication and frustration occur.</w:t>
      </w:r>
    </w:p>
    <w:p w14:paraId="7DCAB4A6"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findings should be converted into a clear Jobs-to-be-Done statement. A likely example would be:</w:t>
      </w:r>
    </w:p>
    <w:p w14:paraId="64815284"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lastRenderedPageBreak/>
        <w:t>“When I receive orders or appointments through several channels, I need one simple system that updates availability, stock, payments and customer communication so that I can manage the business without spending excessive time on administration.”</w:t>
      </w:r>
    </w:p>
    <w:p w14:paraId="504788DD"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initial prototype should focus on a small number of essential functions. Rather than constructing a complete software system, the venture could use existing no-code tools behind a simplified interface. Some processes could initially be completed manually by the development team. This is sometimes described as a concierge minimum viable product.</w:t>
      </w:r>
    </w:p>
    <w:p w14:paraId="635A6A3D" w14:textId="77777777" w:rsidR="00AE6766" w:rsidRP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A pilot could involve between ten and twenty businesses. Each business could receive a simple digital storefront or booking page, integrated payment links, automated customer confirmations, a basic order dashboard and one delivery or collection option. The pilot could operate for approximately eight to twelve weeks.</w:t>
      </w:r>
    </w:p>
    <w:p w14:paraId="4DA844EF" w14:textId="24B9EDFC" w:rsidR="00AE6766" w:rsidRDefault="00AE6766" w:rsidP="00AE6766">
      <w:pPr>
        <w:spacing w:before="100" w:beforeAutospacing="1" w:after="100" w:afterAutospacing="1" w:line="360" w:lineRule="auto"/>
        <w:jc w:val="both"/>
        <w:rPr>
          <w:rFonts w:ascii="Times New Roman" w:eastAsia="Times New Roman" w:hAnsi="Times New Roman" w:cs="Times New Roman"/>
          <w:lang w:eastAsia="en-GB"/>
        </w:rPr>
      </w:pPr>
      <w:r w:rsidRPr="00AE6766">
        <w:rPr>
          <w:rFonts w:ascii="Times New Roman" w:eastAsia="Times New Roman" w:hAnsi="Times New Roman" w:cs="Times New Roman"/>
          <w:lang w:eastAsia="en-GB"/>
        </w:rPr>
        <w:t>The most important measures would include onboarding time, active usage, administrative hours saved, number of online orders, appointment conversion, transaction value, repeat purchases, customer satisfaction, support requests and willingness to pay. The venture should also measure delivery performance, accessibility, data security and environmental impact where relevant.</w:t>
      </w:r>
    </w:p>
    <w:p w14:paraId="2F8FF511" w14:textId="77777777" w:rsidR="00AE6766" w:rsidRPr="00AE6766" w:rsidRDefault="00AE6766" w:rsidP="00AE6766">
      <w:pPr>
        <w:pStyle w:val="Heading1"/>
      </w:pPr>
      <w:bookmarkStart w:id="11" w:name="_Toc234946103"/>
      <w:r w:rsidRPr="00AE6766">
        <w:t xml:space="preserve">Task 2: Applying Design Thinking to Develop </w:t>
      </w:r>
      <w:proofErr w:type="spellStart"/>
      <w:r w:rsidRPr="00AE6766">
        <w:t>LocalFlow</w:t>
      </w:r>
      <w:bookmarkEnd w:id="11"/>
      <w:proofErr w:type="spellEnd"/>
    </w:p>
    <w:p w14:paraId="40B96046" w14:textId="08F6EEFF" w:rsidR="00AE6766" w:rsidRDefault="00AE6766" w:rsidP="00AE6766">
      <w:pPr>
        <w:pStyle w:val="Heading2"/>
        <w:spacing w:line="360" w:lineRule="auto"/>
        <w:jc w:val="both"/>
      </w:pPr>
      <w:bookmarkStart w:id="12" w:name="_Toc234946104"/>
      <w:r>
        <w:t>2.1 Introduction</w:t>
      </w:r>
      <w:bookmarkEnd w:id="12"/>
    </w:p>
    <w:p w14:paraId="22AF21C4" w14:textId="0BEBA7A1" w:rsidR="00AE6766" w:rsidRDefault="00AE6766" w:rsidP="00AE6766">
      <w:pPr>
        <w:pStyle w:val="NormalWeb"/>
        <w:spacing w:line="360" w:lineRule="auto"/>
        <w:jc w:val="both"/>
      </w:pPr>
      <w:r>
        <w:t xml:space="preserve">The proposed venture is </w:t>
      </w:r>
      <w:proofErr w:type="spellStart"/>
      <w:r>
        <w:rPr>
          <w:rStyle w:val="Strong"/>
        </w:rPr>
        <w:t>LocalFlow</w:t>
      </w:r>
      <w:proofErr w:type="spellEnd"/>
      <w:r>
        <w:t xml:space="preserve">, an integrated digital commerce platform for independent retailers and rural producers in the United Kingdom. It would allow small businesses to manage product listings, orders, payments, customer communication, collection and delivery through one system. The opportunity is supported by continuing digital demand: online sales represented 28.8% of retail spending in Great Britain in May 2026, while online sales values were 12.2% higher than in May 2025 (Office for National Statistics, 2026). Design thinking is appropriate because its five stages—Empathise, Define, Ideate, Prototype and Test—place users and experimentation at the centre of venture development (Stanford </w:t>
      </w:r>
      <w:proofErr w:type="spellStart"/>
      <w:proofErr w:type="gramStart"/>
      <w:r>
        <w:t>d.school</w:t>
      </w:r>
      <w:proofErr w:type="spellEnd"/>
      <w:proofErr w:type="gramEnd"/>
      <w:r>
        <w:t>, 2018).</w:t>
      </w:r>
    </w:p>
    <w:p w14:paraId="6A8A7F1D" w14:textId="5E3B5B24" w:rsidR="00AE6766" w:rsidRDefault="00AE6766" w:rsidP="00AE6766">
      <w:pPr>
        <w:pStyle w:val="NormalWeb"/>
        <w:spacing w:line="360" w:lineRule="auto"/>
        <w:jc w:val="both"/>
      </w:pPr>
    </w:p>
    <w:p w14:paraId="26246B97" w14:textId="77777777" w:rsidR="00AE6766" w:rsidRDefault="00AE6766" w:rsidP="00AE6766">
      <w:pPr>
        <w:pStyle w:val="NormalWeb"/>
        <w:spacing w:line="360" w:lineRule="auto"/>
        <w:jc w:val="both"/>
      </w:pPr>
    </w:p>
    <w:p w14:paraId="33AF28DB" w14:textId="4486EA5B" w:rsidR="00AE6766" w:rsidRDefault="00AE6766" w:rsidP="00AE6766">
      <w:pPr>
        <w:pStyle w:val="Heading2"/>
        <w:spacing w:line="360" w:lineRule="auto"/>
        <w:jc w:val="both"/>
      </w:pPr>
      <w:bookmarkStart w:id="13" w:name="_Toc234946105"/>
      <w:r>
        <w:lastRenderedPageBreak/>
        <w:t>2.2 Empathise</w:t>
      </w:r>
      <w:bookmarkEnd w:id="13"/>
    </w:p>
    <w:p w14:paraId="61BF2C6D" w14:textId="77777777" w:rsidR="00AE6766" w:rsidRDefault="00AE6766" w:rsidP="00AE6766">
      <w:pPr>
        <w:pStyle w:val="NormalWeb"/>
        <w:spacing w:line="360" w:lineRule="auto"/>
        <w:jc w:val="both"/>
      </w:pPr>
      <w:r>
        <w:t>The first stage would investigate how small retailers, rural producers, consumers and delivery partners experience local e-commerce. Interviews and observations would involve approximately 20 farm shops, market traders, bakeries and independent convenience retailers. The research would examine how these businesses advertise products, receive orders, confirm stock, collect payments and arrange delivery.</w:t>
      </w:r>
    </w:p>
    <w:p w14:paraId="7E184DC0" w14:textId="77777777" w:rsidR="00AE6766" w:rsidRDefault="00AE6766" w:rsidP="00AE6766">
      <w:pPr>
        <w:pStyle w:val="NormalWeb"/>
        <w:spacing w:line="360" w:lineRule="auto"/>
        <w:jc w:val="both"/>
      </w:pPr>
      <w:r>
        <w:t>The likely pain point is not an absence of digital applications but the burden of using disconnected systems. A producer may advertise through Instagram, receive orders through WhatsApp, accept bank transfers and contact couriers separately. This creates additional administrative work and increases the risk of missed messages, inaccurate stock information and unclear delivery arrangements. Government evidence identifies capability, cost and awareness as important barriers to SME digital adoption. The SME Digital Adoption Taskforce also argues that digital support must prioritise simplicity, usability and accessibility (Department for Business and Trade, 2025; 2026).</w:t>
      </w:r>
    </w:p>
    <w:p w14:paraId="056BBE22" w14:textId="77777777" w:rsidR="00AE6766" w:rsidRDefault="00AE6766" w:rsidP="00AE6766">
      <w:pPr>
        <w:pStyle w:val="NormalWeb"/>
        <w:spacing w:line="360" w:lineRule="auto"/>
        <w:jc w:val="both"/>
      </w:pPr>
      <w:r>
        <w:t>Consumers would also be interviewed about product visibility, delivery charges and collection arrangements. Delivery partners would be consulted regarding low order density, inefficient routes and unsuccessful deliveries. Ofcom found that overall satisfaction with parcel delivery was 78% in 2025, but satisfaction with the process of contacting parcel operators was only 45% (Ofcom, 2025). The empathy stage would therefore examine the complete service journey rather than concentrating only on the digital interface.</w:t>
      </w:r>
    </w:p>
    <w:p w14:paraId="1169C9BD" w14:textId="4FECA51B" w:rsidR="00AE6766" w:rsidRDefault="00AE6766" w:rsidP="00AE6766">
      <w:pPr>
        <w:pStyle w:val="Heading2"/>
        <w:spacing w:line="360" w:lineRule="auto"/>
        <w:jc w:val="both"/>
      </w:pPr>
      <w:bookmarkStart w:id="14" w:name="_Toc234946106"/>
      <w:r>
        <w:t>2.3 Define</w:t>
      </w:r>
      <w:bookmarkEnd w:id="14"/>
    </w:p>
    <w:p w14:paraId="226D11A8" w14:textId="77777777" w:rsidR="00AE6766" w:rsidRDefault="00AE6766" w:rsidP="00AE6766">
      <w:pPr>
        <w:pStyle w:val="NormalWeb"/>
        <w:spacing w:line="360" w:lineRule="auto"/>
        <w:jc w:val="both"/>
      </w:pPr>
      <w:r>
        <w:t>The research findings would be organised into personas, customer-journey maps and Jobs-to-be-Done statements. The central problem would be defined as follows:</w:t>
      </w:r>
    </w:p>
    <w:p w14:paraId="4D4B2423" w14:textId="487F697C" w:rsidR="00AE6766" w:rsidRPr="00AE6766" w:rsidRDefault="00AE6766" w:rsidP="00AE6766">
      <w:pPr>
        <w:pStyle w:val="NormalWeb"/>
        <w:spacing w:line="360" w:lineRule="auto"/>
        <w:jc w:val="both"/>
        <w:rPr>
          <w:rStyle w:val="Strong"/>
          <w:b w:val="0"/>
          <w:bCs w:val="0"/>
        </w:rPr>
      </w:pPr>
      <w:r w:rsidRPr="00AE6766">
        <w:rPr>
          <w:rStyle w:val="Strong"/>
          <w:b w:val="0"/>
          <w:bCs w:val="0"/>
        </w:rPr>
        <w:t>Independent retailers and rural producers need an affordable and straightforward way to combine online selling, payment and local fulfilment because existing processes are fragmented and difficult to manage without specialist digital knowledge.</w:t>
      </w:r>
    </w:p>
    <w:p w14:paraId="5AFE9EAD" w14:textId="751A2A83" w:rsidR="00AE6766" w:rsidRDefault="00AE6766" w:rsidP="00AE6766">
      <w:pPr>
        <w:pStyle w:val="NormalWeb"/>
        <w:spacing w:line="360" w:lineRule="auto"/>
        <w:jc w:val="both"/>
        <w:rPr>
          <w:rStyle w:val="Strong"/>
        </w:rPr>
      </w:pPr>
    </w:p>
    <w:p w14:paraId="07DDD15D" w14:textId="77777777" w:rsidR="00AE6766" w:rsidRDefault="00AE6766" w:rsidP="00AE6766">
      <w:pPr>
        <w:pStyle w:val="NormalWeb"/>
        <w:spacing w:line="360" w:lineRule="auto"/>
        <w:jc w:val="both"/>
      </w:pPr>
    </w:p>
    <w:p w14:paraId="56B61ED7" w14:textId="77777777" w:rsidR="00AE6766" w:rsidRDefault="00AE6766" w:rsidP="00AE6766">
      <w:pPr>
        <w:pStyle w:val="NormalWeb"/>
        <w:spacing w:line="360" w:lineRule="auto"/>
        <w:jc w:val="both"/>
      </w:pPr>
      <w:r>
        <w:lastRenderedPageBreak/>
        <w:t>The corresponding design question would be:</w:t>
      </w:r>
    </w:p>
    <w:p w14:paraId="23CA0CED" w14:textId="77777777" w:rsidR="00AE6766" w:rsidRPr="00AE6766" w:rsidRDefault="00AE6766" w:rsidP="00AE6766">
      <w:pPr>
        <w:pStyle w:val="NormalWeb"/>
        <w:spacing w:line="360" w:lineRule="auto"/>
        <w:jc w:val="both"/>
        <w:rPr>
          <w:b/>
          <w:bCs/>
        </w:rPr>
      </w:pPr>
      <w:r w:rsidRPr="00AE6766">
        <w:rPr>
          <w:rStyle w:val="Strong"/>
          <w:b w:val="0"/>
          <w:bCs w:val="0"/>
        </w:rPr>
        <w:t xml:space="preserve">How might </w:t>
      </w:r>
      <w:proofErr w:type="spellStart"/>
      <w:r w:rsidRPr="00AE6766">
        <w:rPr>
          <w:rStyle w:val="Strong"/>
          <w:b w:val="0"/>
          <w:bCs w:val="0"/>
        </w:rPr>
        <w:t>LocalFlow</w:t>
      </w:r>
      <w:proofErr w:type="spellEnd"/>
      <w:r w:rsidRPr="00AE6766">
        <w:rPr>
          <w:rStyle w:val="Strong"/>
          <w:b w:val="0"/>
          <w:bCs w:val="0"/>
        </w:rPr>
        <w:t xml:space="preserve"> enable small local businesses to sell collectively online and provide reliable fulfilment without requiring owners to operate several complex platforms?</w:t>
      </w:r>
    </w:p>
    <w:p w14:paraId="195EAC61" w14:textId="77777777" w:rsidR="00AE6766" w:rsidRDefault="00AE6766" w:rsidP="00AE6766">
      <w:pPr>
        <w:pStyle w:val="NormalWeb"/>
        <w:spacing w:line="360" w:lineRule="auto"/>
        <w:jc w:val="both"/>
      </w:pPr>
      <w:r>
        <w:t>This definition avoids assuming that businesses simply require another website. Instead, it identifies integration, ease of use and shared local fulfilment as the underlying challenges.</w:t>
      </w:r>
    </w:p>
    <w:p w14:paraId="6007B544" w14:textId="3FB55114" w:rsidR="00AE6766" w:rsidRDefault="00AE6766" w:rsidP="00AE6766">
      <w:pPr>
        <w:pStyle w:val="Heading2"/>
        <w:spacing w:line="360" w:lineRule="auto"/>
        <w:jc w:val="both"/>
      </w:pPr>
      <w:bookmarkStart w:id="15" w:name="_Toc234946107"/>
      <w:r>
        <w:t>2.4 Ideate</w:t>
      </w:r>
      <w:bookmarkEnd w:id="15"/>
    </w:p>
    <w:p w14:paraId="22C1DC1A" w14:textId="77777777" w:rsidR="00AE6766" w:rsidRDefault="00AE6766" w:rsidP="00AE6766">
      <w:pPr>
        <w:pStyle w:val="NormalWeb"/>
        <w:spacing w:line="360" w:lineRule="auto"/>
        <w:jc w:val="both"/>
      </w:pPr>
      <w:r>
        <w:t>Co-design workshops would involve business owners, consumers and delivery partners. Initial ideas could include a local online marketplace, shared collection points, WhatsApp ordering, subscription produce boxes and an integrated commerce dashboard.</w:t>
      </w:r>
    </w:p>
    <w:p w14:paraId="0225A897" w14:textId="77777777" w:rsidR="00AE6766" w:rsidRDefault="00AE6766" w:rsidP="00AE6766">
      <w:pPr>
        <w:pStyle w:val="NormalWeb"/>
        <w:spacing w:line="360" w:lineRule="auto"/>
        <w:jc w:val="both"/>
      </w:pPr>
      <w:r>
        <w:t xml:space="preserve">The selected concept would combine these features within </w:t>
      </w:r>
      <w:proofErr w:type="spellStart"/>
      <w:r>
        <w:t>LocalFlow</w:t>
      </w:r>
      <w:proofErr w:type="spellEnd"/>
      <w:r>
        <w:t xml:space="preserve">. Each participating business would receive a simple digital storefront connected to a shared regional marketplace. Customers could place one order containing products from several local sellers and choose either home delivery or collection from a local hub. </w:t>
      </w:r>
      <w:proofErr w:type="spellStart"/>
      <w:r>
        <w:t>LocalFlow</w:t>
      </w:r>
      <w:proofErr w:type="spellEnd"/>
      <w:r>
        <w:t xml:space="preserve"> would automatically divide payments between businesses, update stock levels and send order notifications.</w:t>
      </w:r>
    </w:p>
    <w:p w14:paraId="79C165D8" w14:textId="77777777" w:rsidR="00AE6766" w:rsidRDefault="00AE6766" w:rsidP="00AE6766">
      <w:pPr>
        <w:pStyle w:val="NormalWeb"/>
        <w:spacing w:line="360" w:lineRule="auto"/>
        <w:jc w:val="both"/>
      </w:pPr>
      <w:r>
        <w:t>Businesses could add products through a mobile dashboard, while orders received through WhatsApp could be transferred into the same system. Route-optimisation software would group deliveries according to location, helping to reduce the cost of fulfilling small and geographically dispersed orders. The venture would generate income through a low monthly seller subscription and a small commission on completed sales.</w:t>
      </w:r>
    </w:p>
    <w:p w14:paraId="0B6D0A22" w14:textId="77777777" w:rsidR="00AE6766" w:rsidRDefault="00AE6766" w:rsidP="00AE6766">
      <w:pPr>
        <w:pStyle w:val="NormalWeb"/>
        <w:spacing w:line="360" w:lineRule="auto"/>
        <w:jc w:val="both"/>
      </w:pPr>
      <w:r>
        <w:t>The concept reflects the Value Proposition Canvas because it connects platform features with the pains and gains experienced by each user group (Osterwalder et al., 2014). Sellers would gain wider market access and reduced administration, consumers would benefit from accessing several local producers through one transaction, and delivery partners would receive more predictable and efficient routes.</w:t>
      </w:r>
    </w:p>
    <w:p w14:paraId="712A6BBA" w14:textId="58015789" w:rsidR="00AE6766" w:rsidRDefault="00AE6766" w:rsidP="00AE6766">
      <w:pPr>
        <w:pStyle w:val="Heading2"/>
        <w:spacing w:line="360" w:lineRule="auto"/>
        <w:jc w:val="both"/>
      </w:pPr>
      <w:bookmarkStart w:id="16" w:name="_Toc234946108"/>
      <w:r>
        <w:t>2.5 Prototype</w:t>
      </w:r>
      <w:bookmarkEnd w:id="16"/>
    </w:p>
    <w:p w14:paraId="0373B350" w14:textId="0D19E7A8" w:rsidR="00AE6766" w:rsidRDefault="00AE6766" w:rsidP="00AE6766">
      <w:pPr>
        <w:pStyle w:val="NormalWeb"/>
        <w:spacing w:line="360" w:lineRule="auto"/>
        <w:jc w:val="both"/>
      </w:pPr>
      <w:r>
        <w:t xml:space="preserve">The minimum viable product would be piloted in one UK town and its surrounding rural area. Rather than immediately developing expensive proprietary software, the first version would </w:t>
      </w:r>
      <w:r>
        <w:lastRenderedPageBreak/>
        <w:t>combine a mobile-responsive marketplace, an existing payment provider, a basic stock-management dashboard and manual delivery coordination.</w:t>
      </w:r>
    </w:p>
    <w:p w14:paraId="08B2B78B" w14:textId="77777777" w:rsidR="00AE6766" w:rsidRDefault="00AE6766" w:rsidP="00AE6766">
      <w:pPr>
        <w:pStyle w:val="NormalWeb"/>
        <w:spacing w:line="360" w:lineRule="auto"/>
        <w:jc w:val="both"/>
      </w:pPr>
      <w:r>
        <w:t>This concierge MVP would allow the entrepreneur to test customer demand before every process was automated, following Lean Startup principles (Ries, 2011). The pilot would involve approximately ten businesses and 100 consumers. It would initially offer a limited product range and two scheduled delivery days each week.</w:t>
      </w:r>
    </w:p>
    <w:p w14:paraId="4B37FACE" w14:textId="77777777" w:rsidR="00AE6766" w:rsidRDefault="00AE6766" w:rsidP="00AE6766">
      <w:pPr>
        <w:pStyle w:val="NormalWeb"/>
        <w:spacing w:line="360" w:lineRule="auto"/>
        <w:jc w:val="both"/>
      </w:pPr>
      <w:r>
        <w:t xml:space="preserve">Customers would be able to browse participating sellers, create a combined basket, make an online payment and choose delivery or collection. Businesses would receive order summaries through the dashboard, while the </w:t>
      </w:r>
      <w:proofErr w:type="spellStart"/>
      <w:r>
        <w:t>LocalFlow</w:t>
      </w:r>
      <w:proofErr w:type="spellEnd"/>
      <w:r>
        <w:t xml:space="preserve"> team would manually coordinate the first delivery routes. Manual coordination would help the entrepreneur understand operational difficulties before investing in more advanced route-planning technology.</w:t>
      </w:r>
    </w:p>
    <w:p w14:paraId="3D9D8A3A" w14:textId="5CE80A9F" w:rsidR="00AE6766" w:rsidRDefault="00AE6766" w:rsidP="00AE6766">
      <w:pPr>
        <w:pStyle w:val="Heading2"/>
        <w:spacing w:line="360" w:lineRule="auto"/>
        <w:jc w:val="both"/>
      </w:pPr>
      <w:bookmarkStart w:id="17" w:name="_Toc234946109"/>
      <w:r>
        <w:t>2.6 Test and Refine</w:t>
      </w:r>
      <w:bookmarkEnd w:id="17"/>
    </w:p>
    <w:p w14:paraId="5FCCA14B" w14:textId="77777777" w:rsidR="00AE6766" w:rsidRDefault="00AE6766" w:rsidP="00AE6766">
      <w:pPr>
        <w:pStyle w:val="NormalWeb"/>
        <w:spacing w:line="360" w:lineRule="auto"/>
        <w:jc w:val="both"/>
      </w:pPr>
      <w:r>
        <w:t>The MVP would operate for approximately eight to twelve weeks. Testing would assess customer desirability, technical feasibility and commercial viability rather than simply determining whether the platform functions correctly (Brown, 2008). Measures would include seller onboarding, weekly active users, order frequency, repeat purchases, average basket value, delivery cost, failed deliveries, administrative time saved and willingness to pay.</w:t>
      </w:r>
    </w:p>
    <w:p w14:paraId="4854AC5D" w14:textId="77777777" w:rsidR="00AE6766" w:rsidRDefault="00AE6766" w:rsidP="00AE6766">
      <w:pPr>
        <w:pStyle w:val="NormalWeb"/>
        <w:spacing w:line="360" w:lineRule="auto"/>
        <w:jc w:val="both"/>
      </w:pPr>
      <w:r>
        <w:t>Feedback would be gathered through interviews, short customer surveys and direct observation. Business owners would be asked to complete common tasks such as adding products, changing availability and processing orders. Consumers would test product searches, checkout and delivery tracking. Testing would include older consumers, users with low-bandwidth internet connections and people with accessibility requirements.</w:t>
      </w:r>
    </w:p>
    <w:p w14:paraId="736537C2" w14:textId="77777777" w:rsidR="00AE6766" w:rsidRDefault="00AE6766" w:rsidP="00AE6766">
      <w:pPr>
        <w:pStyle w:val="NormalWeb"/>
        <w:spacing w:line="360" w:lineRule="auto"/>
        <w:jc w:val="both"/>
      </w:pPr>
      <w:r>
        <w:t xml:space="preserve">The service would then be refined according to the evidence collected. If businesses struggle to update stock, the dashboard could be simplified or connected to barcode scanning. If delivery costs remain too high, </w:t>
      </w:r>
      <w:proofErr w:type="spellStart"/>
      <w:r>
        <w:t>LocalFlow</w:t>
      </w:r>
      <w:proofErr w:type="spellEnd"/>
      <w:r>
        <w:t xml:space="preserve"> could introduce minimum order values, shared collection hubs or narrower delivery windows. If consumers frequently abandon their baskets, different delivery charges and pricing structures could be tested.</w:t>
      </w:r>
    </w:p>
    <w:p w14:paraId="0D1914BA" w14:textId="77777777" w:rsidR="00AE6766" w:rsidRDefault="00AE6766" w:rsidP="00AE6766">
      <w:pPr>
        <w:pStyle w:val="NormalWeb"/>
        <w:spacing w:line="360" w:lineRule="auto"/>
        <w:jc w:val="both"/>
      </w:pPr>
      <w:r>
        <w:t xml:space="preserve">The venture would expand into another region only when the pilot demonstrated repeat usage, reliable fulfilment, seller retention and a sustainable contribution margin. This reflects the </w:t>
      </w:r>
      <w:r>
        <w:lastRenderedPageBreak/>
        <w:t>government’s recommended “test and learn” approach, in which digital interventions are piloted, measured and adjusted using SME feedback (Department for Business and Trade, 2025).</w:t>
      </w:r>
    </w:p>
    <w:p w14:paraId="163CD1CE" w14:textId="27EDF795" w:rsidR="00AE6766" w:rsidRDefault="00AE6766" w:rsidP="00AE6766">
      <w:pPr>
        <w:pStyle w:val="Heading2"/>
        <w:spacing w:line="360" w:lineRule="auto"/>
        <w:jc w:val="both"/>
      </w:pPr>
      <w:bookmarkStart w:id="18" w:name="_Toc234946110"/>
      <w:r>
        <w:t>2.7 Conclusion</w:t>
      </w:r>
      <w:bookmarkEnd w:id="18"/>
    </w:p>
    <w:p w14:paraId="36498216" w14:textId="7F442182" w:rsidR="00AE6766" w:rsidRDefault="00AE6766" w:rsidP="00AE6766">
      <w:pPr>
        <w:pStyle w:val="NormalWeb"/>
        <w:spacing w:line="360" w:lineRule="auto"/>
        <w:jc w:val="both"/>
      </w:pPr>
      <w:proofErr w:type="spellStart"/>
      <w:r>
        <w:t>LocalFlow</w:t>
      </w:r>
      <w:proofErr w:type="spellEnd"/>
      <w:r>
        <w:t xml:space="preserve"> applies design thinking to a clearly identified problem within UK digital commerce. By researching affected users, defining fragmentation as the central problem, co-designing an integrated solution and testing it through a regional MVP, the entrepreneur can reduce uncertainty before attempting to scale. The venture’s long-term success would depend on delivering measurable time savings for businesses, greater convenience for consumers and sufficient order density to support affordable local delivery.</w:t>
      </w:r>
    </w:p>
    <w:p w14:paraId="73C66CBD" w14:textId="1E4679E3" w:rsidR="00AE6766" w:rsidRDefault="00AE6766" w:rsidP="00AE6766">
      <w:pPr>
        <w:pStyle w:val="NormalWeb"/>
      </w:pPr>
    </w:p>
    <w:p w14:paraId="10BEAA3F" w14:textId="63B5944E" w:rsidR="00AE6766" w:rsidRDefault="00AE6766" w:rsidP="00AE6766">
      <w:pPr>
        <w:pStyle w:val="NormalWeb"/>
      </w:pPr>
    </w:p>
    <w:p w14:paraId="48076507" w14:textId="5EBB9E93" w:rsidR="00AE6766" w:rsidRDefault="00AE6766" w:rsidP="00AE6766">
      <w:pPr>
        <w:pStyle w:val="NormalWeb"/>
      </w:pPr>
    </w:p>
    <w:p w14:paraId="5EBF4FDB" w14:textId="6C677852" w:rsidR="00AE6766" w:rsidRDefault="00AE6766" w:rsidP="00AE6766">
      <w:pPr>
        <w:pStyle w:val="NormalWeb"/>
      </w:pPr>
    </w:p>
    <w:p w14:paraId="587FD3FB" w14:textId="3AF41721" w:rsidR="00AE6766" w:rsidRDefault="00AE6766" w:rsidP="00AE6766">
      <w:pPr>
        <w:pStyle w:val="NormalWeb"/>
      </w:pPr>
    </w:p>
    <w:p w14:paraId="412829C0" w14:textId="3CD67FA5" w:rsidR="00AE6766" w:rsidRDefault="00AE6766" w:rsidP="00AE6766">
      <w:pPr>
        <w:pStyle w:val="NormalWeb"/>
      </w:pPr>
    </w:p>
    <w:p w14:paraId="0BEBAF11" w14:textId="6BA7D5A5" w:rsidR="00AE6766" w:rsidRDefault="00AE6766" w:rsidP="00AE6766">
      <w:pPr>
        <w:pStyle w:val="NormalWeb"/>
      </w:pPr>
    </w:p>
    <w:p w14:paraId="20BC1D2B" w14:textId="6BB7C8C5" w:rsidR="00AE6766" w:rsidRDefault="00AE6766" w:rsidP="00AE6766">
      <w:pPr>
        <w:pStyle w:val="NormalWeb"/>
      </w:pPr>
    </w:p>
    <w:p w14:paraId="049E18B8" w14:textId="4026F4BB" w:rsidR="00AE6766" w:rsidRDefault="00AE6766" w:rsidP="00AE6766">
      <w:pPr>
        <w:pStyle w:val="NormalWeb"/>
      </w:pPr>
    </w:p>
    <w:p w14:paraId="31877204" w14:textId="342DD341" w:rsidR="00AE6766" w:rsidRDefault="00AE6766" w:rsidP="00AE6766">
      <w:pPr>
        <w:pStyle w:val="NormalWeb"/>
      </w:pPr>
    </w:p>
    <w:p w14:paraId="5D0E293F" w14:textId="03513E6A" w:rsidR="00AE6766" w:rsidRDefault="00AE6766" w:rsidP="00AE6766">
      <w:pPr>
        <w:pStyle w:val="NormalWeb"/>
      </w:pPr>
    </w:p>
    <w:p w14:paraId="5ED42AE5" w14:textId="0C7E6A7D" w:rsidR="00AE6766" w:rsidRDefault="00AE6766" w:rsidP="00AE6766">
      <w:pPr>
        <w:pStyle w:val="NormalWeb"/>
      </w:pPr>
    </w:p>
    <w:p w14:paraId="68C7F8FA" w14:textId="5AA7782B" w:rsidR="00AE6766" w:rsidRDefault="00AE6766" w:rsidP="00AE6766">
      <w:pPr>
        <w:pStyle w:val="NormalWeb"/>
      </w:pPr>
    </w:p>
    <w:p w14:paraId="65B9F24B" w14:textId="29911DEF" w:rsidR="00AE6766" w:rsidRDefault="00AE6766" w:rsidP="00AE6766">
      <w:pPr>
        <w:pStyle w:val="NormalWeb"/>
      </w:pPr>
    </w:p>
    <w:p w14:paraId="51C20F18" w14:textId="77777777" w:rsidR="00AE6766" w:rsidRDefault="00AE6766" w:rsidP="00AE6766">
      <w:pPr>
        <w:pStyle w:val="NormalWeb"/>
      </w:pPr>
    </w:p>
    <w:p w14:paraId="7C205F07" w14:textId="77777777" w:rsidR="00AE6766" w:rsidRDefault="00AE6766" w:rsidP="00AE6766">
      <w:pPr>
        <w:pStyle w:val="Heading1"/>
      </w:pPr>
    </w:p>
    <w:p w14:paraId="097C0735" w14:textId="77777777" w:rsidR="00AE6766" w:rsidRDefault="00AE6766" w:rsidP="00AE6766">
      <w:pPr>
        <w:pStyle w:val="Heading1"/>
      </w:pPr>
      <w:r>
        <w:lastRenderedPageBreak/>
        <w:t>References</w:t>
      </w:r>
    </w:p>
    <w:p w14:paraId="762D2251" w14:textId="77777777" w:rsidR="00AE6766" w:rsidRDefault="00AE6766" w:rsidP="00AE6766">
      <w:pPr>
        <w:pStyle w:val="NormalWeb"/>
      </w:pPr>
      <w:r>
        <w:t xml:space="preserve">Brown, T. (2008) ‘Design thinking’, </w:t>
      </w:r>
      <w:r>
        <w:rPr>
          <w:rStyle w:val="Emphasis"/>
        </w:rPr>
        <w:t>Harvard Business Review</w:t>
      </w:r>
      <w:r>
        <w:t xml:space="preserve">, 86(6), pp. 84–92. Available at: </w:t>
      </w:r>
      <w:hyperlink r:id="rId9" w:history="1">
        <w:r>
          <w:rPr>
            <w:rStyle w:val="Hyperlink"/>
          </w:rPr>
          <w:t>https://hbr.org/2008/06/design-thinking</w:t>
        </w:r>
      </w:hyperlink>
      <w:r>
        <w:t xml:space="preserve"> (Accessed: 14 July 2026).</w:t>
      </w:r>
    </w:p>
    <w:p w14:paraId="3C8A61C1" w14:textId="77777777" w:rsidR="00AE6766" w:rsidRDefault="00AE6766" w:rsidP="00AE6766">
      <w:pPr>
        <w:pStyle w:val="NormalWeb"/>
      </w:pPr>
      <w:r>
        <w:t xml:space="preserve">Building Digital UK (2024) </w:t>
      </w:r>
      <w:r>
        <w:rPr>
          <w:rStyle w:val="Emphasis"/>
        </w:rPr>
        <w:t>Beyond the digital divide: Realising wellbeing through a digital needs hierarchy</w:t>
      </w:r>
      <w:r>
        <w:t xml:space="preserve">. Available at: </w:t>
      </w:r>
      <w:hyperlink r:id="rId10" w:history="1">
        <w:r>
          <w:rPr>
            <w:rStyle w:val="Hyperlink"/>
          </w:rPr>
          <w:t>https://www.gov.uk/government/publications/beyond-the-digital-divide/beyond-the-digital-divide-realising-wellbeing-through-a-digital-needs-hierarchy</w:t>
        </w:r>
      </w:hyperlink>
      <w:r>
        <w:t xml:space="preserve"> (Accessed: 14 July 2026).</w:t>
      </w:r>
    </w:p>
    <w:p w14:paraId="23D50B59" w14:textId="77777777" w:rsidR="00AE6766" w:rsidRDefault="00AE6766" w:rsidP="00AE6766">
      <w:pPr>
        <w:pStyle w:val="NormalWeb"/>
      </w:pPr>
      <w:r>
        <w:t xml:space="preserve">Christensen, C.M., Hall, T., Dillon, K. and Duncan, D.S. (2016) </w:t>
      </w:r>
      <w:r>
        <w:rPr>
          <w:rStyle w:val="Emphasis"/>
        </w:rPr>
        <w:t>Competing Against Luck: The Story of Innovation and Customer Choice</w:t>
      </w:r>
      <w:r>
        <w:t xml:space="preserve">. New York: </w:t>
      </w:r>
      <w:proofErr w:type="spellStart"/>
      <w:r>
        <w:t>HarperBusiness</w:t>
      </w:r>
      <w:proofErr w:type="spellEnd"/>
      <w:r>
        <w:t>.</w:t>
      </w:r>
    </w:p>
    <w:p w14:paraId="3F210DD4" w14:textId="77777777" w:rsidR="00AE6766" w:rsidRDefault="00AE6766" w:rsidP="00AE6766">
      <w:pPr>
        <w:pStyle w:val="NormalWeb"/>
      </w:pPr>
      <w:r>
        <w:t xml:space="preserve">Department for Business and Trade (2025) </w:t>
      </w:r>
      <w:r>
        <w:rPr>
          <w:rStyle w:val="Emphasis"/>
        </w:rPr>
        <w:t>SME Digital Adoption Taskforce: Final report</w:t>
      </w:r>
      <w:r>
        <w:t xml:space="preserve">. Available at: </w:t>
      </w:r>
      <w:hyperlink r:id="rId11" w:history="1">
        <w:r>
          <w:rPr>
            <w:rStyle w:val="Hyperlink"/>
          </w:rPr>
          <w:t>https://www.gov.uk/government/publications/sme-digital-adoption-taskforce-final-report</w:t>
        </w:r>
      </w:hyperlink>
      <w:r>
        <w:t xml:space="preserve"> (Accessed: 14 July 2026).</w:t>
      </w:r>
    </w:p>
    <w:p w14:paraId="721C5634" w14:textId="77777777" w:rsidR="00AE6766" w:rsidRDefault="00AE6766" w:rsidP="00AE6766">
      <w:pPr>
        <w:pStyle w:val="NormalWeb"/>
      </w:pPr>
      <w:r>
        <w:t xml:space="preserve">Department for Business and Trade (2026) </w:t>
      </w:r>
      <w:r>
        <w:rPr>
          <w:rStyle w:val="Emphasis"/>
        </w:rPr>
        <w:t>SME Digital Adoption Taskforce: 2026 update</w:t>
      </w:r>
      <w:r>
        <w:t xml:space="preserve">. Available at: </w:t>
      </w:r>
      <w:hyperlink r:id="rId12" w:history="1">
        <w:r>
          <w:rPr>
            <w:rStyle w:val="Hyperlink"/>
          </w:rPr>
          <w:t>https://www.gov.uk/government/publications/sme-digital-adoption-taskforce-2026-update</w:t>
        </w:r>
      </w:hyperlink>
      <w:r>
        <w:t xml:space="preserve"> (Accessed: 14 July 2026).</w:t>
      </w:r>
    </w:p>
    <w:p w14:paraId="44240113" w14:textId="77777777" w:rsidR="00AE6766" w:rsidRDefault="00AE6766" w:rsidP="00AE6766">
      <w:pPr>
        <w:pStyle w:val="NormalWeb"/>
      </w:pPr>
      <w:r>
        <w:t xml:space="preserve">Design Council (n.d.) </w:t>
      </w:r>
      <w:r>
        <w:rPr>
          <w:rStyle w:val="Emphasis"/>
        </w:rPr>
        <w:t>The Double Diamond</w:t>
      </w:r>
      <w:r>
        <w:t xml:space="preserve">. Available at: </w:t>
      </w:r>
      <w:hyperlink r:id="rId13" w:history="1">
        <w:r>
          <w:rPr>
            <w:rStyle w:val="Hyperlink"/>
          </w:rPr>
          <w:t>https://www.designcouncil.org.uk/resources/the-double-diamond/</w:t>
        </w:r>
      </w:hyperlink>
      <w:r>
        <w:t xml:space="preserve"> (Accessed: 14 July 2026).</w:t>
      </w:r>
    </w:p>
    <w:p w14:paraId="344A1D3B" w14:textId="77777777" w:rsidR="00AE6766" w:rsidRDefault="00AE6766" w:rsidP="00AE6766">
      <w:pPr>
        <w:pStyle w:val="NormalWeb"/>
      </w:pPr>
      <w:r>
        <w:t xml:space="preserve">Elkington, J. (1997) </w:t>
      </w:r>
      <w:r>
        <w:rPr>
          <w:rStyle w:val="Emphasis"/>
        </w:rPr>
        <w:t>Cannibals with Forks: The Triple Bottom Line of 21st Century Business</w:t>
      </w:r>
      <w:r>
        <w:t>. Oxford: Capstone Publishing.</w:t>
      </w:r>
    </w:p>
    <w:p w14:paraId="1A50266B" w14:textId="77777777" w:rsidR="00AE6766" w:rsidRDefault="00AE6766" w:rsidP="00AE6766">
      <w:pPr>
        <w:pStyle w:val="NormalWeb"/>
      </w:pPr>
      <w:r>
        <w:t xml:space="preserve">Ipsos and Department for Business and Trade (2025) </w:t>
      </w:r>
      <w:r>
        <w:rPr>
          <w:rStyle w:val="Emphasis"/>
        </w:rPr>
        <w:t>Understanding technology adoption among UK SMEs</w:t>
      </w:r>
      <w:r>
        <w:t xml:space="preserve">. Available at: </w:t>
      </w:r>
      <w:hyperlink r:id="rId14" w:history="1">
        <w:r>
          <w:rPr>
            <w:rStyle w:val="Hyperlink"/>
          </w:rPr>
          <w:t>https://www.gov.uk/government/publications/understanding-technology-adoption-among-uk-smes</w:t>
        </w:r>
      </w:hyperlink>
      <w:r>
        <w:t xml:space="preserve"> (Accessed: 14 July 2026).</w:t>
      </w:r>
    </w:p>
    <w:p w14:paraId="0FDEA360" w14:textId="77777777" w:rsidR="00AE6766" w:rsidRDefault="00AE6766" w:rsidP="00AE6766">
      <w:pPr>
        <w:pStyle w:val="NormalWeb"/>
      </w:pPr>
      <w:r>
        <w:t xml:space="preserve">Liedtka, J. (2018) ‘Why design thinking works’, </w:t>
      </w:r>
      <w:r>
        <w:rPr>
          <w:rStyle w:val="Emphasis"/>
        </w:rPr>
        <w:t>Harvard Business Review</w:t>
      </w:r>
      <w:r>
        <w:t xml:space="preserve">, 96(5), pp. 72–79. Available at: </w:t>
      </w:r>
      <w:hyperlink r:id="rId15" w:history="1">
        <w:r>
          <w:rPr>
            <w:rStyle w:val="Hyperlink"/>
          </w:rPr>
          <w:t>https://hbr.org/2018/09/why-design-thinking-works</w:t>
        </w:r>
      </w:hyperlink>
      <w:r>
        <w:t xml:space="preserve"> (Accessed: 14 July 2026).</w:t>
      </w:r>
    </w:p>
    <w:p w14:paraId="6B2E5ECF" w14:textId="77777777" w:rsidR="00AE6766" w:rsidRDefault="00AE6766" w:rsidP="00AE6766">
      <w:pPr>
        <w:pStyle w:val="NormalWeb"/>
      </w:pPr>
      <w:r>
        <w:t xml:space="preserve">Office for National Statistics (2026) </w:t>
      </w:r>
      <w:r>
        <w:rPr>
          <w:rStyle w:val="Emphasis"/>
        </w:rPr>
        <w:t>Retail sales, Great Britain: May 2026</w:t>
      </w:r>
      <w:r>
        <w:t xml:space="preserve">. Available at: </w:t>
      </w:r>
      <w:hyperlink r:id="rId16" w:history="1">
        <w:r>
          <w:rPr>
            <w:rStyle w:val="Hyperlink"/>
          </w:rPr>
          <w:t>https://www.ons.gov.uk/businessindustryandtrade/retailindustry/bulletins/retailsales/may2026</w:t>
        </w:r>
      </w:hyperlink>
      <w:r>
        <w:t xml:space="preserve"> (Accessed: 14 July 2026).</w:t>
      </w:r>
    </w:p>
    <w:p w14:paraId="6CF8093B" w14:textId="77777777" w:rsidR="00AE6766" w:rsidRDefault="00AE6766" w:rsidP="00AE6766">
      <w:pPr>
        <w:pStyle w:val="NormalWeb"/>
      </w:pPr>
      <w:r>
        <w:t xml:space="preserve">Ofcom (2025a) </w:t>
      </w:r>
      <w:r>
        <w:rPr>
          <w:rStyle w:val="Emphasis"/>
        </w:rPr>
        <w:t>Post monitoring report: Postal services in the financial year 2024–25</w:t>
      </w:r>
      <w:r>
        <w:t xml:space="preserve">. Available at: </w:t>
      </w:r>
      <w:hyperlink r:id="rId17" w:history="1">
        <w:r>
          <w:rPr>
            <w:rStyle w:val="Hyperlink"/>
          </w:rPr>
          <w:t>https://www.ofcom.org.uk/siteassets/resources/documents/postal-services/monitoring-reports/2024-25/post-monitoring-report---postal-services-in-the-financial-year-2024-25.pdf</w:t>
        </w:r>
      </w:hyperlink>
      <w:r>
        <w:t xml:space="preserve"> (Accessed: 14 July 2026).</w:t>
      </w:r>
    </w:p>
    <w:p w14:paraId="02871B24" w14:textId="77777777" w:rsidR="00AE6766" w:rsidRDefault="00AE6766" w:rsidP="00AE6766">
      <w:pPr>
        <w:pStyle w:val="NormalWeb"/>
      </w:pPr>
      <w:r>
        <w:t xml:space="preserve">Ofcom (2025b) </w:t>
      </w:r>
      <w:r>
        <w:rPr>
          <w:rStyle w:val="Emphasis"/>
        </w:rPr>
        <w:t>Online Nation 2025</w:t>
      </w:r>
      <w:r>
        <w:t xml:space="preserve">. Available at: </w:t>
      </w:r>
      <w:hyperlink r:id="rId18" w:history="1">
        <w:r>
          <w:rPr>
            <w:rStyle w:val="Hyperlink"/>
          </w:rPr>
          <w:t>https://www.ofcom.org.uk/siteassets/resources/documents/research-and-data/online-research/online-nation/2025/online-nations-report-2025.pdf</w:t>
        </w:r>
      </w:hyperlink>
      <w:r>
        <w:t xml:space="preserve"> (Accessed: 14 July 2026).</w:t>
      </w:r>
    </w:p>
    <w:p w14:paraId="1428ED8D" w14:textId="77777777" w:rsidR="00AE6766" w:rsidRDefault="00AE6766" w:rsidP="00AE6766">
      <w:pPr>
        <w:pStyle w:val="NormalWeb"/>
      </w:pPr>
      <w:r>
        <w:t xml:space="preserve">Ofcom (2025c) ‘Best and worst parcel firms for customer satisfaction revealed’, 22 October. Available at: </w:t>
      </w:r>
      <w:hyperlink r:id="rId19" w:history="1">
        <w:r>
          <w:rPr>
            <w:rStyle w:val="Hyperlink"/>
          </w:rPr>
          <w:t>https://www.ofcom.org.uk/post/deliveries-and-charges/best-and-worst-parcel-firms-for-customer-satisfaction-revealed-2025</w:t>
        </w:r>
      </w:hyperlink>
      <w:r>
        <w:t xml:space="preserve"> (Accessed: 14 July 2026).</w:t>
      </w:r>
    </w:p>
    <w:p w14:paraId="012DF9EB" w14:textId="77777777" w:rsidR="00AE6766" w:rsidRDefault="00AE6766" w:rsidP="00AE6766">
      <w:pPr>
        <w:pStyle w:val="NormalWeb"/>
      </w:pPr>
      <w:r>
        <w:lastRenderedPageBreak/>
        <w:t xml:space="preserve">Osterwalder, A., Pigneur, Y., Bernarda, G. and Smith, A. (2014) </w:t>
      </w:r>
      <w:r>
        <w:rPr>
          <w:rStyle w:val="Emphasis"/>
        </w:rPr>
        <w:t>Value Proposition Design: How to Create Products and Services Customers Want</w:t>
      </w:r>
      <w:r>
        <w:t>. Hoboken, NJ: John Wiley &amp; Sons.</w:t>
      </w:r>
    </w:p>
    <w:p w14:paraId="5BD95F9F" w14:textId="77777777" w:rsidR="00AE6766" w:rsidRDefault="00AE6766" w:rsidP="00AE6766">
      <w:pPr>
        <w:pStyle w:val="NormalWeb"/>
      </w:pPr>
      <w:r>
        <w:t xml:space="preserve">Ries, E. (2011) </w:t>
      </w:r>
      <w:r>
        <w:rPr>
          <w:rStyle w:val="Emphasis"/>
        </w:rPr>
        <w:t>The Lean Startup: How Today’s Entrepreneurs Use Continuous Innovation to Create Radically Successful Businesses</w:t>
      </w:r>
      <w:r>
        <w:t>. New York: Crown Business.</w:t>
      </w:r>
    </w:p>
    <w:p w14:paraId="3D3639E5" w14:textId="77777777" w:rsidR="00AE6766" w:rsidRDefault="00AE6766" w:rsidP="00AE6766">
      <w:pPr>
        <w:pStyle w:val="NormalWeb"/>
      </w:pPr>
      <w:r>
        <w:t xml:space="preserve">Rogers, E.M. (2003) </w:t>
      </w:r>
      <w:r>
        <w:rPr>
          <w:rStyle w:val="Emphasis"/>
        </w:rPr>
        <w:t>Diffusion of Innovations</w:t>
      </w:r>
      <w:r>
        <w:t xml:space="preserve">. 5th </w:t>
      </w:r>
      <w:proofErr w:type="spellStart"/>
      <w:r>
        <w:t>edn</w:t>
      </w:r>
      <w:proofErr w:type="spellEnd"/>
      <w:r>
        <w:t>. New York: Free Press.</w:t>
      </w:r>
    </w:p>
    <w:p w14:paraId="6457D10B" w14:textId="77777777" w:rsidR="00AE6766" w:rsidRDefault="00AE6766" w:rsidP="00AE6766">
      <w:pPr>
        <w:pStyle w:val="NormalWeb"/>
      </w:pPr>
      <w:r>
        <w:t xml:space="preserve">Stanford </w:t>
      </w:r>
      <w:proofErr w:type="spellStart"/>
      <w:proofErr w:type="gramStart"/>
      <w:r>
        <w:t>d.school</w:t>
      </w:r>
      <w:proofErr w:type="spellEnd"/>
      <w:proofErr w:type="gramEnd"/>
      <w:r>
        <w:t xml:space="preserve"> (2018) </w:t>
      </w:r>
      <w:r>
        <w:rPr>
          <w:rStyle w:val="Emphasis"/>
        </w:rPr>
        <w:t>Design Thinking Bootleg</w:t>
      </w:r>
      <w:r>
        <w:t xml:space="preserve">. Stanford, CA: Hasso Plattner Institute of Design at Stanford University. Available at: </w:t>
      </w:r>
      <w:hyperlink r:id="rId20" w:history="1">
        <w:r>
          <w:rPr>
            <w:rStyle w:val="Hyperlink"/>
          </w:rPr>
          <w:t>https://dschool.stanford.edu/tools/design-thinking-bootleg</w:t>
        </w:r>
      </w:hyperlink>
      <w:r>
        <w:t xml:space="preserve"> (Accessed: 14 July 2026).</w:t>
      </w:r>
    </w:p>
    <w:p w14:paraId="0993B3CF" w14:textId="77777777" w:rsidR="00AE6766" w:rsidRDefault="00AE6766" w:rsidP="00AE6766">
      <w:pPr>
        <w:pStyle w:val="Heading1"/>
      </w:pPr>
    </w:p>
    <w:sectPr w:rsidR="00AE6766">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8FDC6F" w14:textId="77777777" w:rsidR="005D70CB" w:rsidRDefault="005D70CB" w:rsidP="00AE6766">
      <w:r>
        <w:separator/>
      </w:r>
    </w:p>
  </w:endnote>
  <w:endnote w:type="continuationSeparator" w:id="0">
    <w:p w14:paraId="3F3AFFD4" w14:textId="77777777" w:rsidR="005D70CB" w:rsidRDefault="005D70CB" w:rsidP="00AE67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7025619"/>
      <w:docPartObj>
        <w:docPartGallery w:val="Page Numbers (Bottom of Page)"/>
        <w:docPartUnique/>
      </w:docPartObj>
    </w:sdtPr>
    <w:sdtEndPr>
      <w:rPr>
        <w:rStyle w:val="PageNumber"/>
      </w:rPr>
    </w:sdtEndPr>
    <w:sdtContent>
      <w:p w14:paraId="4E1948D3" w14:textId="46780633" w:rsidR="00AE6766" w:rsidRDefault="00AE6766" w:rsidP="00AE67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4BE190" w14:textId="77777777" w:rsidR="00AE6766" w:rsidRDefault="00AE6766" w:rsidP="00AE6766">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53760127"/>
      <w:docPartObj>
        <w:docPartGallery w:val="Page Numbers (Bottom of Page)"/>
        <w:docPartUnique/>
      </w:docPartObj>
    </w:sdtPr>
    <w:sdtEndPr>
      <w:rPr>
        <w:rStyle w:val="PageNumber"/>
      </w:rPr>
    </w:sdtEndPr>
    <w:sdtContent>
      <w:p w14:paraId="75113E27" w14:textId="4A226643" w:rsidR="00AE6766" w:rsidRDefault="00AE6766" w:rsidP="00AE67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B42C39" w14:textId="77777777" w:rsidR="00AE6766" w:rsidRDefault="00AE6766" w:rsidP="00AE6766">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E6F6D6" w14:textId="77777777" w:rsidR="005D70CB" w:rsidRDefault="005D70CB" w:rsidP="00AE6766">
      <w:r>
        <w:separator/>
      </w:r>
    </w:p>
  </w:footnote>
  <w:footnote w:type="continuationSeparator" w:id="0">
    <w:p w14:paraId="12CA251D" w14:textId="77777777" w:rsidR="005D70CB" w:rsidRDefault="005D70CB" w:rsidP="00AE6766">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766"/>
    <w:rsid w:val="004A0CC4"/>
    <w:rsid w:val="004C7CB9"/>
    <w:rsid w:val="005D70CB"/>
    <w:rsid w:val="00AE6766"/>
    <w:rsid w:val="00BC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7F3E9B"/>
  <w15:chartTrackingRefBased/>
  <w15:docId w15:val="{97EE6140-AB96-0B44-A26E-F9C836D9A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E6766"/>
    <w:pPr>
      <w:spacing w:before="100" w:beforeAutospacing="1" w:after="100" w:afterAutospacing="1"/>
      <w:outlineLvl w:val="0"/>
    </w:pPr>
    <w:rPr>
      <w:rFonts w:ascii="Times New Roman" w:eastAsia="Times New Roman" w:hAnsi="Times New Roman" w:cs="Times New Roman"/>
      <w:b/>
      <w:bCs/>
      <w:kern w:val="36"/>
      <w:sz w:val="32"/>
      <w:szCs w:val="48"/>
      <w:lang w:eastAsia="en-GB"/>
    </w:rPr>
  </w:style>
  <w:style w:type="paragraph" w:styleId="Heading2">
    <w:name w:val="heading 2"/>
    <w:basedOn w:val="Normal"/>
    <w:link w:val="Heading2Char"/>
    <w:uiPriority w:val="9"/>
    <w:qFormat/>
    <w:rsid w:val="00AE6766"/>
    <w:pPr>
      <w:spacing w:before="100" w:beforeAutospacing="1" w:after="100" w:afterAutospacing="1"/>
      <w:outlineLvl w:val="1"/>
    </w:pPr>
    <w:rPr>
      <w:rFonts w:ascii="Times New Roman" w:eastAsia="Times New Roman" w:hAnsi="Times New Roman" w:cs="Times New Roman"/>
      <w:b/>
      <w:bCs/>
      <w:sz w:val="28"/>
      <w:szCs w:val="36"/>
      <w:lang w:eastAsia="en-GB"/>
    </w:rPr>
  </w:style>
  <w:style w:type="paragraph" w:styleId="Heading3">
    <w:name w:val="heading 3"/>
    <w:basedOn w:val="Normal"/>
    <w:link w:val="Heading3Char"/>
    <w:uiPriority w:val="9"/>
    <w:qFormat/>
    <w:rsid w:val="00AE6766"/>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766"/>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AE6766"/>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AE6766"/>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AE676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E6766"/>
    <w:rPr>
      <w:b/>
      <w:bCs/>
    </w:rPr>
  </w:style>
  <w:style w:type="character" w:styleId="Emphasis">
    <w:name w:val="Emphasis"/>
    <w:basedOn w:val="DefaultParagraphFont"/>
    <w:uiPriority w:val="20"/>
    <w:qFormat/>
    <w:rsid w:val="00AE6766"/>
    <w:rPr>
      <w:i/>
      <w:iCs/>
    </w:rPr>
  </w:style>
  <w:style w:type="table" w:styleId="TableGrid">
    <w:name w:val="Table Grid"/>
    <w:basedOn w:val="TableNormal"/>
    <w:uiPriority w:val="39"/>
    <w:rsid w:val="00AE67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6766"/>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AE6766"/>
    <w:pPr>
      <w:spacing w:before="120"/>
    </w:pPr>
    <w:rPr>
      <w:rFonts w:cstheme="minorHAnsi"/>
      <w:b/>
      <w:bCs/>
      <w:i/>
      <w:iCs/>
    </w:rPr>
  </w:style>
  <w:style w:type="paragraph" w:styleId="TOC2">
    <w:name w:val="toc 2"/>
    <w:basedOn w:val="Normal"/>
    <w:next w:val="Normal"/>
    <w:autoRedefine/>
    <w:uiPriority w:val="39"/>
    <w:unhideWhenUsed/>
    <w:rsid w:val="00AE6766"/>
    <w:pPr>
      <w:spacing w:before="120"/>
      <w:ind w:left="240"/>
    </w:pPr>
    <w:rPr>
      <w:rFonts w:cstheme="minorHAnsi"/>
      <w:b/>
      <w:bCs/>
      <w:sz w:val="22"/>
      <w:szCs w:val="22"/>
    </w:rPr>
  </w:style>
  <w:style w:type="paragraph" w:styleId="TOC3">
    <w:name w:val="toc 3"/>
    <w:basedOn w:val="Normal"/>
    <w:next w:val="Normal"/>
    <w:autoRedefine/>
    <w:uiPriority w:val="39"/>
    <w:unhideWhenUsed/>
    <w:rsid w:val="00AE6766"/>
    <w:pPr>
      <w:ind w:left="480"/>
    </w:pPr>
    <w:rPr>
      <w:rFonts w:cstheme="minorHAnsi"/>
      <w:sz w:val="20"/>
      <w:szCs w:val="20"/>
    </w:rPr>
  </w:style>
  <w:style w:type="character" w:styleId="Hyperlink">
    <w:name w:val="Hyperlink"/>
    <w:basedOn w:val="DefaultParagraphFont"/>
    <w:uiPriority w:val="99"/>
    <w:unhideWhenUsed/>
    <w:rsid w:val="00AE6766"/>
    <w:rPr>
      <w:color w:val="0563C1" w:themeColor="hyperlink"/>
      <w:u w:val="single"/>
    </w:rPr>
  </w:style>
  <w:style w:type="paragraph" w:styleId="TOC4">
    <w:name w:val="toc 4"/>
    <w:basedOn w:val="Normal"/>
    <w:next w:val="Normal"/>
    <w:autoRedefine/>
    <w:uiPriority w:val="39"/>
    <w:semiHidden/>
    <w:unhideWhenUsed/>
    <w:rsid w:val="00AE6766"/>
    <w:pPr>
      <w:ind w:left="720"/>
    </w:pPr>
    <w:rPr>
      <w:rFonts w:cstheme="minorHAnsi"/>
      <w:sz w:val="20"/>
      <w:szCs w:val="20"/>
    </w:rPr>
  </w:style>
  <w:style w:type="paragraph" w:styleId="TOC5">
    <w:name w:val="toc 5"/>
    <w:basedOn w:val="Normal"/>
    <w:next w:val="Normal"/>
    <w:autoRedefine/>
    <w:uiPriority w:val="39"/>
    <w:semiHidden/>
    <w:unhideWhenUsed/>
    <w:rsid w:val="00AE6766"/>
    <w:pPr>
      <w:ind w:left="960"/>
    </w:pPr>
    <w:rPr>
      <w:rFonts w:cstheme="minorHAnsi"/>
      <w:sz w:val="20"/>
      <w:szCs w:val="20"/>
    </w:rPr>
  </w:style>
  <w:style w:type="paragraph" w:styleId="TOC6">
    <w:name w:val="toc 6"/>
    <w:basedOn w:val="Normal"/>
    <w:next w:val="Normal"/>
    <w:autoRedefine/>
    <w:uiPriority w:val="39"/>
    <w:semiHidden/>
    <w:unhideWhenUsed/>
    <w:rsid w:val="00AE6766"/>
    <w:pPr>
      <w:ind w:left="1200"/>
    </w:pPr>
    <w:rPr>
      <w:rFonts w:cstheme="minorHAnsi"/>
      <w:sz w:val="20"/>
      <w:szCs w:val="20"/>
    </w:rPr>
  </w:style>
  <w:style w:type="paragraph" w:styleId="TOC7">
    <w:name w:val="toc 7"/>
    <w:basedOn w:val="Normal"/>
    <w:next w:val="Normal"/>
    <w:autoRedefine/>
    <w:uiPriority w:val="39"/>
    <w:semiHidden/>
    <w:unhideWhenUsed/>
    <w:rsid w:val="00AE6766"/>
    <w:pPr>
      <w:ind w:left="1440"/>
    </w:pPr>
    <w:rPr>
      <w:rFonts w:cstheme="minorHAnsi"/>
      <w:sz w:val="20"/>
      <w:szCs w:val="20"/>
    </w:rPr>
  </w:style>
  <w:style w:type="paragraph" w:styleId="TOC8">
    <w:name w:val="toc 8"/>
    <w:basedOn w:val="Normal"/>
    <w:next w:val="Normal"/>
    <w:autoRedefine/>
    <w:uiPriority w:val="39"/>
    <w:semiHidden/>
    <w:unhideWhenUsed/>
    <w:rsid w:val="00AE6766"/>
    <w:pPr>
      <w:ind w:left="1680"/>
    </w:pPr>
    <w:rPr>
      <w:rFonts w:cstheme="minorHAnsi"/>
      <w:sz w:val="20"/>
      <w:szCs w:val="20"/>
    </w:rPr>
  </w:style>
  <w:style w:type="paragraph" w:styleId="TOC9">
    <w:name w:val="toc 9"/>
    <w:basedOn w:val="Normal"/>
    <w:next w:val="Normal"/>
    <w:autoRedefine/>
    <w:uiPriority w:val="39"/>
    <w:semiHidden/>
    <w:unhideWhenUsed/>
    <w:rsid w:val="00AE6766"/>
    <w:pPr>
      <w:ind w:left="1920"/>
    </w:pPr>
    <w:rPr>
      <w:rFonts w:cstheme="minorHAnsi"/>
      <w:sz w:val="20"/>
      <w:szCs w:val="20"/>
    </w:rPr>
  </w:style>
  <w:style w:type="paragraph" w:styleId="Footer">
    <w:name w:val="footer"/>
    <w:basedOn w:val="Normal"/>
    <w:link w:val="FooterChar"/>
    <w:uiPriority w:val="99"/>
    <w:unhideWhenUsed/>
    <w:rsid w:val="00AE6766"/>
    <w:pPr>
      <w:tabs>
        <w:tab w:val="center" w:pos="4513"/>
        <w:tab w:val="right" w:pos="9026"/>
      </w:tabs>
    </w:pPr>
  </w:style>
  <w:style w:type="character" w:customStyle="1" w:styleId="FooterChar">
    <w:name w:val="Footer Char"/>
    <w:basedOn w:val="DefaultParagraphFont"/>
    <w:link w:val="Footer"/>
    <w:uiPriority w:val="99"/>
    <w:rsid w:val="00AE6766"/>
  </w:style>
  <w:style w:type="character" w:styleId="PageNumber">
    <w:name w:val="page number"/>
    <w:basedOn w:val="DefaultParagraphFont"/>
    <w:uiPriority w:val="99"/>
    <w:semiHidden/>
    <w:unhideWhenUsed/>
    <w:rsid w:val="00AE6766"/>
  </w:style>
  <w:style w:type="paragraph" w:customStyle="1" w:styleId="Body">
    <w:name w:val="Body"/>
    <w:rsid w:val="00AE6766"/>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2784833">
      <w:bodyDiv w:val="1"/>
      <w:marLeft w:val="0"/>
      <w:marRight w:val="0"/>
      <w:marTop w:val="0"/>
      <w:marBottom w:val="0"/>
      <w:divBdr>
        <w:top w:val="none" w:sz="0" w:space="0" w:color="auto"/>
        <w:left w:val="none" w:sz="0" w:space="0" w:color="auto"/>
        <w:bottom w:val="none" w:sz="0" w:space="0" w:color="auto"/>
        <w:right w:val="none" w:sz="0" w:space="0" w:color="auto"/>
      </w:divBdr>
    </w:div>
    <w:div w:id="297806546">
      <w:bodyDiv w:val="1"/>
      <w:marLeft w:val="0"/>
      <w:marRight w:val="0"/>
      <w:marTop w:val="0"/>
      <w:marBottom w:val="0"/>
      <w:divBdr>
        <w:top w:val="none" w:sz="0" w:space="0" w:color="auto"/>
        <w:left w:val="none" w:sz="0" w:space="0" w:color="auto"/>
        <w:bottom w:val="none" w:sz="0" w:space="0" w:color="auto"/>
        <w:right w:val="none" w:sz="0" w:space="0" w:color="auto"/>
      </w:divBdr>
    </w:div>
    <w:div w:id="1123772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designcouncil.org.uk/resources/the-double-diamond/" TargetMode="External"/><Relationship Id="rId18" Type="http://schemas.openxmlformats.org/officeDocument/2006/relationships/hyperlink" Target="https://www.ofcom.org.uk/siteassets/resources/documents/research-and-data/online-research/online-nation/2025/online-nations-report-2025.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gov.uk/government/publications/sme-digital-adoption-taskforce-2026-update" TargetMode="External"/><Relationship Id="rId17" Type="http://schemas.openxmlformats.org/officeDocument/2006/relationships/hyperlink" Target="https://www.ofcom.org.uk/siteassets/resources/documents/postal-services/monitoring-reports/2024-25/post-monitoring-report---postal-services-in-the-financial-year-2024-25.pdf" TargetMode="External"/><Relationship Id="rId2" Type="http://schemas.openxmlformats.org/officeDocument/2006/relationships/styles" Target="styles.xml"/><Relationship Id="rId16" Type="http://schemas.openxmlformats.org/officeDocument/2006/relationships/hyperlink" Target="https://www.ons.gov.uk/businessindustryandtrade/retailindustry/bulletins/retailsales/may2026" TargetMode="External"/><Relationship Id="rId20" Type="http://schemas.openxmlformats.org/officeDocument/2006/relationships/hyperlink" Target="https://dschool.stanford.edu/tools/design-thinking-bootle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sme-digital-adoption-taskforce-final-repor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br.org/2018/09/why-design-thinking-works" TargetMode="External"/><Relationship Id="rId23" Type="http://schemas.openxmlformats.org/officeDocument/2006/relationships/fontTable" Target="fontTable.xml"/><Relationship Id="rId10" Type="http://schemas.openxmlformats.org/officeDocument/2006/relationships/hyperlink" Target="https://www.gov.uk/government/publications/beyond-the-digital-divide/beyond-the-digital-divide-realising-wellbeing-through-a-digital-needs-hierarchy" TargetMode="External"/><Relationship Id="rId19" Type="http://schemas.openxmlformats.org/officeDocument/2006/relationships/hyperlink" Target="https://www.ofcom.org.uk/post/deliveries-and-charges/best-and-worst-parcel-firms-for-customer-satisfaction-revealed-2025" TargetMode="External"/><Relationship Id="rId4" Type="http://schemas.openxmlformats.org/officeDocument/2006/relationships/webSettings" Target="webSettings.xml"/><Relationship Id="rId9" Type="http://schemas.openxmlformats.org/officeDocument/2006/relationships/hyperlink" Target="https://hbr.org/2008/06/design-thinking" TargetMode="External"/><Relationship Id="rId14" Type="http://schemas.openxmlformats.org/officeDocument/2006/relationships/hyperlink" Target="https://www.gov.uk/government/publications/understanding-technology-adoption-among-uk-sme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CFFED-2754-3445-9382-29B87C278E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5365</Words>
  <Characters>30586</Characters>
  <Application>Microsoft Office Word</Application>
  <DocSecurity>0</DocSecurity>
  <Lines>254</Lines>
  <Paragraphs>71</Paragraphs>
  <ScaleCrop>false</ScaleCrop>
  <Company/>
  <LinksUpToDate>false</LinksUpToDate>
  <CharactersWithSpaces>35880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Alexandru Danciuc (2330349)</cp:lastModifiedBy>
  <cp:revision>2</cp:revision>
  <dcterms:created xsi:type="dcterms:W3CDTF">2026-07-17T19:06:00Z</dcterms:created>
  <dcterms:modified xsi:type="dcterms:W3CDTF">2026-07-17T19:06:00Z</dcterms:modified>
</cp:coreProperties>
</file>