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54A728" w14:textId="77777777" w:rsidR="006F37B4" w:rsidRDefault="001E67CE">
      <w:pPr>
        <w:jc w:val="center"/>
        <w:rPr>
          <w:b/>
          <w:sz w:val="40"/>
          <w:szCs w:val="40"/>
        </w:rPr>
      </w:pPr>
      <w:r>
        <w:rPr>
          <w:b/>
          <w:noProof/>
          <w:sz w:val="40"/>
          <w:szCs w:val="40"/>
        </w:rPr>
        <w:drawing>
          <wp:anchor distT="0" distB="0" distL="114300" distR="114300" simplePos="0" relativeHeight="251658240" behindDoc="0" locked="0" layoutInCell="1" allowOverlap="1" wp14:anchorId="5A87FCB4" wp14:editId="2DF66EBE">
            <wp:simplePos x="0" y="0"/>
            <wp:positionH relativeFrom="column">
              <wp:posOffset>-163195</wp:posOffset>
            </wp:positionH>
            <wp:positionV relativeFrom="paragraph">
              <wp:posOffset>272</wp:posOffset>
            </wp:positionV>
            <wp:extent cx="2752725" cy="1323975"/>
            <wp:effectExtent l="0" t="0" r="9525" b="9525"/>
            <wp:wrapSquare wrapText="bothSides"/>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extLst>
                        <a:ext uri="{28A0092B-C50C-407E-A947-70E740481C1C}">
                          <a14:useLocalDpi xmlns:a14="http://schemas.microsoft.com/office/drawing/2010/main" val="0"/>
                        </a:ext>
                      </a:extLst>
                    </a:blip>
                    <a:srcRect/>
                    <a:stretch>
                      <a:fillRect/>
                    </a:stretch>
                  </pic:blipFill>
                  <pic:spPr>
                    <a:xfrm>
                      <a:off x="0" y="0"/>
                      <a:ext cx="2752725" cy="1323975"/>
                    </a:xfrm>
                    <a:prstGeom prst="rect">
                      <a:avLst/>
                    </a:prstGeom>
                    <a:ln/>
                  </pic:spPr>
                </pic:pic>
              </a:graphicData>
            </a:graphic>
          </wp:anchor>
        </w:drawing>
      </w:r>
    </w:p>
    <w:p w14:paraId="439D91D5" w14:textId="77777777" w:rsidR="006F37B4" w:rsidRDefault="006F37B4">
      <w:pPr>
        <w:jc w:val="center"/>
        <w:rPr>
          <w:b/>
          <w:sz w:val="40"/>
          <w:szCs w:val="40"/>
        </w:rPr>
      </w:pPr>
    </w:p>
    <w:p w14:paraId="58595DA9" w14:textId="77777777" w:rsidR="001E67CE" w:rsidRDefault="001E67CE">
      <w:pPr>
        <w:jc w:val="center"/>
        <w:rPr>
          <w:b/>
          <w:sz w:val="40"/>
          <w:szCs w:val="40"/>
        </w:rPr>
      </w:pPr>
    </w:p>
    <w:p w14:paraId="0EF06C3A" w14:textId="77777777" w:rsidR="006F37B4" w:rsidRDefault="006F37B4">
      <w:pPr>
        <w:jc w:val="center"/>
        <w:rPr>
          <w:b/>
          <w:sz w:val="40"/>
          <w:szCs w:val="40"/>
        </w:rPr>
      </w:pPr>
    </w:p>
    <w:p w14:paraId="3874AA5D" w14:textId="77777777" w:rsidR="006F37B4" w:rsidRDefault="006F37B4">
      <w:pPr>
        <w:jc w:val="center"/>
        <w:rPr>
          <w:b/>
          <w:sz w:val="40"/>
          <w:szCs w:val="40"/>
        </w:rPr>
      </w:pPr>
    </w:p>
    <w:p w14:paraId="6EB87B96" w14:textId="77777777" w:rsidR="006F37B4" w:rsidRDefault="00000000" w:rsidP="001E67CE">
      <w:pPr>
        <w:jc w:val="center"/>
        <w:rPr>
          <w:b/>
          <w:sz w:val="36"/>
          <w:szCs w:val="36"/>
        </w:rPr>
      </w:pPr>
      <w:r>
        <w:rPr>
          <w:b/>
          <w:sz w:val="36"/>
          <w:szCs w:val="36"/>
        </w:rPr>
        <w:t>LCBB5004 Managing People</w:t>
      </w:r>
    </w:p>
    <w:p w14:paraId="366A2679" w14:textId="77777777" w:rsidR="006F37B4" w:rsidRDefault="00000000" w:rsidP="001E67CE">
      <w:pPr>
        <w:jc w:val="center"/>
        <w:rPr>
          <w:b/>
          <w:sz w:val="28"/>
          <w:szCs w:val="28"/>
        </w:rPr>
      </w:pPr>
      <w:r>
        <w:rPr>
          <w:b/>
          <w:sz w:val="28"/>
          <w:szCs w:val="28"/>
        </w:rPr>
        <w:t>Component 2: Coursework: Essay</w:t>
      </w:r>
    </w:p>
    <w:p w14:paraId="2152C8E6" w14:textId="5A1E1E09" w:rsidR="006F37B4" w:rsidRDefault="00000000" w:rsidP="001E67CE">
      <w:pPr>
        <w:jc w:val="center"/>
        <w:rPr>
          <w:b/>
        </w:rPr>
      </w:pPr>
      <w:r>
        <w:rPr>
          <w:b/>
        </w:rPr>
        <w:t>Student ID:</w:t>
      </w:r>
      <w:r w:rsidR="001E67CE">
        <w:rPr>
          <w:b/>
        </w:rPr>
        <w:t xml:space="preserve"> 2123039</w:t>
      </w:r>
    </w:p>
    <w:p w14:paraId="7FF1EA54" w14:textId="27FEEBF8" w:rsidR="006F37B4" w:rsidRDefault="00000000" w:rsidP="001E67CE">
      <w:pPr>
        <w:jc w:val="center"/>
        <w:rPr>
          <w:b/>
        </w:rPr>
      </w:pPr>
      <w:r>
        <w:rPr>
          <w:b/>
        </w:rPr>
        <w:t>Student Name:</w:t>
      </w:r>
      <w:r w:rsidR="001E67CE">
        <w:rPr>
          <w:b/>
        </w:rPr>
        <w:t xml:space="preserve"> </w:t>
      </w:r>
      <w:proofErr w:type="spellStart"/>
      <w:r w:rsidR="001E67CE">
        <w:rPr>
          <w:b/>
        </w:rPr>
        <w:t>Ceapa</w:t>
      </w:r>
      <w:proofErr w:type="spellEnd"/>
      <w:r w:rsidR="001E67CE">
        <w:rPr>
          <w:b/>
        </w:rPr>
        <w:t xml:space="preserve"> Sorina</w:t>
      </w:r>
    </w:p>
    <w:p w14:paraId="7EB7A35B" w14:textId="77777777" w:rsidR="006F37B4" w:rsidRDefault="00000000">
      <w:pPr>
        <w:spacing w:line="259" w:lineRule="auto"/>
        <w:jc w:val="left"/>
        <w:rPr>
          <w:b/>
          <w:sz w:val="40"/>
          <w:szCs w:val="40"/>
        </w:rPr>
      </w:pPr>
      <w:r>
        <w:br w:type="page"/>
      </w:r>
    </w:p>
    <w:p w14:paraId="6602CA39" w14:textId="77777777" w:rsidR="006F37B4" w:rsidRDefault="00000000">
      <w:pPr>
        <w:rPr>
          <w:b/>
        </w:rPr>
      </w:pPr>
      <w:r>
        <w:rPr>
          <w:b/>
        </w:rPr>
        <w:lastRenderedPageBreak/>
        <w:t>Introduction</w:t>
      </w:r>
    </w:p>
    <w:p w14:paraId="1414E9C4" w14:textId="77777777" w:rsidR="006F37B4" w:rsidRDefault="00000000">
      <w:r>
        <w:t>Technology's use in judging the work of remote employees is becoming more and more essential as the sphere of remote work modifications. Organisations need to find and evaluate performance assessment and dimension tools that work nicely in remote work settings as they modify to this change. This in-depth evaluation researches four exceptional overall performance dimensions and evaluation equipment, pointing out their pros, cons, and what they imply for improving overall performance management in remote groups. These discussions will assist businesses in recognising the demanding situations of operating from domestic and using tech-based solutions to enhance the overall performance and motivation of their remote people.</w:t>
      </w:r>
    </w:p>
    <w:p w14:paraId="0158BDC1" w14:textId="77777777" w:rsidR="006F37B4" w:rsidRDefault="00000000">
      <w:pPr>
        <w:spacing w:line="259" w:lineRule="auto"/>
        <w:jc w:val="left"/>
      </w:pPr>
      <w:r>
        <w:br w:type="page"/>
      </w:r>
    </w:p>
    <w:p w14:paraId="44743568" w14:textId="77777777" w:rsidR="006F37B4" w:rsidRDefault="00000000">
      <w:pPr>
        <w:rPr>
          <w:b/>
        </w:rPr>
      </w:pPr>
      <w:r>
        <w:rPr>
          <w:b/>
        </w:rPr>
        <w:lastRenderedPageBreak/>
        <w:t>Discussion</w:t>
      </w:r>
    </w:p>
    <w:p w14:paraId="3931BBA3" w14:textId="77777777" w:rsidR="006F37B4" w:rsidRDefault="00000000">
      <w:r>
        <w:t>Technologies are very crucial in the latest world of online work about judging how properly human beings are doing. There are many advantages to the use of digital equipment and structures, such as reducing bias and raising compliance and openness. The many advantages of using technology for performance opinions in remote regions are defined under. Firstly, the technology allows the elimination of human bias in performance evaluations with the aid of giving us goal facts and measurements (</w:t>
      </w:r>
      <w:r>
        <w:rPr>
          <w:highlight w:val="white"/>
        </w:rPr>
        <w:t xml:space="preserve">Becker </w:t>
      </w:r>
      <w:r>
        <w:rPr>
          <w:i/>
          <w:highlight w:val="white"/>
        </w:rPr>
        <w:t>et al.,</w:t>
      </w:r>
      <w:r>
        <w:rPr>
          <w:highlight w:val="white"/>
        </w:rPr>
        <w:t xml:space="preserve"> 2022)</w:t>
      </w:r>
      <w:r>
        <w:t xml:space="preserve">. People who use traditional approaches to evaluate </w:t>
      </w:r>
      <w:proofErr w:type="spellStart"/>
      <w:r>
        <w:t>fulfillment</w:t>
      </w:r>
      <w:proofErr w:type="spellEnd"/>
      <w:r>
        <w:t xml:space="preserve"> often make decisions which are biased and now not based totally on records. For example, generation-enabled systems can preserve track of and analyse unique performance indicators like mission milestones, productiveness metrics, and remarks from clients or different stakeholders. For instance, undertaking management software like Asana or Trello keeps track of finished responsibilities, met closing dates, and teamwork, giving a truthful image of what every worker has contributed. Second, organisations save money once they use generation for remarks reviews (</w:t>
      </w:r>
      <w:r>
        <w:rPr>
          <w:highlight w:val="white"/>
        </w:rPr>
        <w:t xml:space="preserve">Brynjolfsson </w:t>
      </w:r>
      <w:r>
        <w:rPr>
          <w:i/>
          <w:highlight w:val="white"/>
        </w:rPr>
        <w:t>et al.,</w:t>
      </w:r>
      <w:r>
        <w:rPr>
          <w:highlight w:val="white"/>
        </w:rPr>
        <w:t xml:space="preserve"> 2020)</w:t>
      </w:r>
      <w:r>
        <w:t>. Doing performance evaluations by way of hand, like comparing people individually or setting together paper reports, can take several times and assets. Automated performance management tools, alternatively, make the assessment process less difficult and quicker, which saves time and money. For example, cloud-based HR structures like BambooHR or Workday provide scalable approaches to doing remote performance reviews, which gets rid of the need for paper bureaucracy and lowers the fee of strolling the business (</w:t>
      </w:r>
      <w:r>
        <w:rPr>
          <w:highlight w:val="white"/>
        </w:rPr>
        <w:t>Leonardi, 2021)</w:t>
      </w:r>
      <w:r>
        <w:t xml:space="preserve">. Technology also makes performance opinions greater open using letting humans see overall performance statistics and feedback in real-time. It can be hard for remote employees to be linked to their bosses and coworkers, which could make it tough to get feedback on time and keep music of their progress. Employees can get admission to performance metrics, get comments, and keep in tune with their increased desires whenever, everywhere, with technology-enabled overall </w:t>
      </w:r>
      <w:r>
        <w:lastRenderedPageBreak/>
        <w:t>performance management equipment. For example, remarks systems like 15Five or Lattice make it less difficult for managers and far-off employees to talk about overall performance on a normal basis, which promotes openness and responsibility (</w:t>
      </w:r>
      <w:r>
        <w:rPr>
          <w:highlight w:val="white"/>
        </w:rPr>
        <w:t xml:space="preserve">Sull </w:t>
      </w:r>
      <w:r>
        <w:rPr>
          <w:i/>
          <w:highlight w:val="white"/>
        </w:rPr>
        <w:t>et al.,</w:t>
      </w:r>
      <w:r>
        <w:rPr>
          <w:highlight w:val="white"/>
        </w:rPr>
        <w:t xml:space="preserve"> 2020)</w:t>
      </w:r>
      <w:r>
        <w:t>. Technology also improves compliance and makes it simpler to fulfil reporting requirements within the performance evaluation manner. Making sure that rules and regulations are observed is very important in controlled fields or corporations with strict compliance requirements (</w:t>
      </w:r>
      <w:r>
        <w:rPr>
          <w:highlight w:val="white"/>
        </w:rPr>
        <w:t xml:space="preserve">Becker </w:t>
      </w:r>
      <w:r>
        <w:rPr>
          <w:i/>
          <w:highlight w:val="white"/>
        </w:rPr>
        <w:t>et al.,</w:t>
      </w:r>
      <w:r>
        <w:rPr>
          <w:highlight w:val="white"/>
        </w:rPr>
        <w:t xml:space="preserve"> 2022)</w:t>
      </w:r>
      <w:r>
        <w:t>. Technology-primarily based overall performance control structures come with built-in compliance features like information encryption, audit trails, and tracking equipment that can be changed to fit one. These features no longer most effectively make certain that regulatory rules are accompanied, but they also make it simpler for HR groups to file matters. Performance assessment software like Halogen or Performance Pro, for instance, has compliance tools and reporting templates that may be modified to shape enterprise requirements (</w:t>
      </w:r>
      <w:r>
        <w:rPr>
          <w:highlight w:val="white"/>
        </w:rPr>
        <w:t xml:space="preserve">Brynjolfsson </w:t>
      </w:r>
      <w:r>
        <w:rPr>
          <w:i/>
          <w:highlight w:val="white"/>
        </w:rPr>
        <w:t>et al.,</w:t>
      </w:r>
      <w:r>
        <w:rPr>
          <w:highlight w:val="white"/>
        </w:rPr>
        <w:t xml:space="preserve"> 2020)</w:t>
      </w:r>
      <w:r>
        <w:t>. Also, generation could be very crucial for judging the work of those who work at home because it lowers the threat of bias, saves cash, makes matters clearer, and makes positive that policies are accompanied. Using generation-based performance control equipment, companies can make certain that reviews are fair and independent, accelerate ordinary tasks, and inspire openness and responsibility in far-off working settings (</w:t>
      </w:r>
      <w:r>
        <w:rPr>
          <w:highlight w:val="white"/>
        </w:rPr>
        <w:t>Leonardi, 2021)</w:t>
      </w:r>
      <w:r>
        <w:t>. Adopting technology-based total answers for performance opinions will be essential to enhance output and pressure organisational achievement as remote working maintains exchange.</w:t>
      </w:r>
    </w:p>
    <w:p w14:paraId="43F82DE3" w14:textId="77777777" w:rsidR="006F37B4" w:rsidRDefault="00000000">
      <w:r>
        <w:t>As more humans around the sector choose to do business from home, organizations are having to figure out a way to keep their spread-out personnel effective and powerful (</w:t>
      </w:r>
      <w:r>
        <w:rPr>
          <w:highlight w:val="white"/>
        </w:rPr>
        <w:t>Phillips, 2020)</w:t>
      </w:r>
      <w:r>
        <w:t xml:space="preserve">. A key part of reaching this intention is using reliable performance assessment strategies which might be designed to work nicely in remote settings. This discussion begins by going into super intensity about four different methods to measure performance: 360-degree remarks, overall </w:t>
      </w:r>
      <w:r>
        <w:lastRenderedPageBreak/>
        <w:t>performance metrics dashboards (like Management through Objectives - MBO), praise and recognition programmes, and personal and expert development plans. By searching intently at those strategies, groups can examine greater about how well they work at improving the work and motivation of remote workers. 360-diploma feedback is a way to evaluate performance that studies the whole image. It uses remarks from bosses, friends, coworkers, and clients, amongst others. This approach gives remote workers a complete image of their competencies, weaknesses, and regions wherein they could enhance (</w:t>
      </w:r>
      <w:r>
        <w:rPr>
          <w:highlight w:val="white"/>
        </w:rPr>
        <w:t xml:space="preserve">Becker </w:t>
      </w:r>
      <w:r>
        <w:rPr>
          <w:i/>
          <w:highlight w:val="white"/>
        </w:rPr>
        <w:t>et al.,</w:t>
      </w:r>
      <w:r>
        <w:rPr>
          <w:highlight w:val="white"/>
        </w:rPr>
        <w:t xml:space="preserve"> 2022)</w:t>
      </w:r>
      <w:r>
        <w:t>. When people make money working from home and can't communicate with each other, 360-degree comments are a great way to inspire teamwork, make human beings greater self-conscious, and help them get better. Remote workers can analyse lots about their overall performance and get useful remarks for boom and development by getting feedback from a huge variety of peers. For instance, systems like Culture Amp or SurveyMonkey permit organizations to install customised 360-degree remarks systems that work nicely for remote groups. This encourages a lifestyle of feedback and growth across dispensed workforces.</w:t>
      </w:r>
    </w:p>
    <w:p w14:paraId="230536DB" w14:textId="77777777" w:rsidR="006F37B4" w:rsidRDefault="00000000">
      <w:r>
        <w:t>Management by Objectives (MBO) is an example of an overall performance metrics dashboard that offers an organised way to set and music overall performance desires. Setting SMART (unique, measurable, plausible, applicable, and time-sure) dreams that are consistent with the employer's values are part of this technique (</w:t>
      </w:r>
      <w:r>
        <w:rPr>
          <w:highlight w:val="white"/>
        </w:rPr>
        <w:t xml:space="preserve">Brynjolfsson </w:t>
      </w:r>
      <w:r>
        <w:rPr>
          <w:i/>
          <w:highlight w:val="white"/>
        </w:rPr>
        <w:t>et al.,</w:t>
      </w:r>
      <w:r>
        <w:rPr>
          <w:highlight w:val="white"/>
        </w:rPr>
        <w:t xml:space="preserve"> 2020)</w:t>
      </w:r>
      <w:r>
        <w:t>. Then, through a central screen, remote workers can keep in tune with their development and overall performance. This makes things clear, accountable, and open. People who do business from home might not be capable of seeing or talking to each other as much. Performance metrics dashboards allow those people to keep a watch on their key performance markers and get real-time remarks from their bosses (</w:t>
      </w:r>
      <w:r>
        <w:rPr>
          <w:highlight w:val="white"/>
        </w:rPr>
        <w:t>Leonardi, 2021)</w:t>
      </w:r>
      <w:r>
        <w:t>. Tools like Monday.Com or JIRA, which have built-in goal tracking capabilities, or OKR software make it possible for remote people to healthy their work with the employer's desires and improve performance even as they're away.</w:t>
      </w:r>
    </w:p>
    <w:p w14:paraId="1A163DC9" w14:textId="77777777" w:rsidR="006F37B4" w:rsidRDefault="00000000">
      <w:r>
        <w:lastRenderedPageBreak/>
        <w:t>Reward and reputation programmes are a splendid way to thank and celebrate the work of remote people. There are many varieties of incentives in those programmes, including monetary prizes, awards, public praise, and non-monetary benefits like greater days without work or chances to develop professionally. When human beings do business from home, no longer being nearby can make them feel less like. These programmes assist in creating a mindset of appreciation and engagement in one's place (</w:t>
      </w:r>
      <w:r>
        <w:rPr>
          <w:highlight w:val="white"/>
        </w:rPr>
        <w:t xml:space="preserve">Allen </w:t>
      </w:r>
      <w:r>
        <w:rPr>
          <w:i/>
          <w:highlight w:val="white"/>
        </w:rPr>
        <w:t>et al.,</w:t>
      </w:r>
      <w:r>
        <w:rPr>
          <w:highlight w:val="white"/>
        </w:rPr>
        <w:t xml:space="preserve"> 2021)</w:t>
      </w:r>
      <w:r>
        <w:t>. Companies can enhance morale, inspire preferred behaviours, and grow employee loyalty using recognising the work and accomplishments of remote employees. Platforms like Bogusly and Kazoo offer customisable praise and popularity programmes made only for remote groups. This means we agencies supply all their remote people with a sense of connection and recognition, no matter where they are working (</w:t>
      </w:r>
      <w:r>
        <w:rPr>
          <w:highlight w:val="white"/>
        </w:rPr>
        <w:t>Gigauri, 2020)</w:t>
      </w:r>
      <w:r>
        <w:t>. People who make money working from home ought to make non-public and professional improvement plans that consist of clear goals, talent-building obligations, and chances to research which might be particular to their needs. These plans are made by way of the employee and their boss collectively, to find areas for development and support the worker's research of new abilities. These plans are an exquisite manner to assist gifted people grow and flow up their careers, mainly if they work from home and do not have many chances to examine new abilities (</w:t>
      </w:r>
      <w:r>
        <w:rPr>
          <w:highlight w:val="white"/>
        </w:rPr>
        <w:t xml:space="preserve">Ferreira </w:t>
      </w:r>
      <w:r>
        <w:rPr>
          <w:i/>
          <w:highlight w:val="white"/>
        </w:rPr>
        <w:t>et al.,</w:t>
      </w:r>
      <w:r>
        <w:rPr>
          <w:highlight w:val="white"/>
        </w:rPr>
        <w:t xml:space="preserve"> 2021)</w:t>
      </w:r>
      <w:r>
        <w:t>. Platforms like Udemy for Business and LinkedIn Learning deliver remote people get right of entry to a huge wide variety of online guides and tools that can help them examine new talents which apply to their personal and professional desires. Companies that engage in the improvement of their remote employees display that they want to create a way of life of non-stop getting to know and grow which improves performance and employee retention in remote work settings.</w:t>
      </w:r>
    </w:p>
    <w:p w14:paraId="624D13C5" w14:textId="77777777" w:rsidR="006F37B4" w:rsidRDefault="00000000">
      <w:r>
        <w:t xml:space="preserve">Companies are having a hassle identifying the way to examine the work of their allotted group of workers because the variety of folks who earn a living from home grows. It is critical to have customised performance evaluation tools in digital work settings to make certain that </w:t>
      </w:r>
      <w:r>
        <w:lastRenderedPageBreak/>
        <w:t>opinions are fair, accurate, and useful (</w:t>
      </w:r>
      <w:r>
        <w:rPr>
          <w:highlight w:val="white"/>
        </w:rPr>
        <w:t xml:space="preserve">Lund </w:t>
      </w:r>
      <w:r>
        <w:rPr>
          <w:i/>
          <w:highlight w:val="white"/>
        </w:rPr>
        <w:t>et al.,</w:t>
      </w:r>
      <w:r>
        <w:rPr>
          <w:highlight w:val="white"/>
        </w:rPr>
        <w:t xml:space="preserve"> 2020)</w:t>
      </w:r>
      <w:r>
        <w:t>. This in-intensity overview appears with 4 distinct tools for comparing the performance of remote employees the ranking technique, crucial incident strategies, self-assessment, and tick list. By learning more about the info of every tool, businesses could make smart alternatives about how to handle overall performance for remote groups. The ranking technique includes judging personnel based on how properly they do compared to other personnel, typically the usage of various machines or an order scale (</w:t>
      </w:r>
      <w:r>
        <w:rPr>
          <w:highlight w:val="white"/>
        </w:rPr>
        <w:t xml:space="preserve">Allen </w:t>
      </w:r>
      <w:r>
        <w:rPr>
          <w:i/>
          <w:highlight w:val="white"/>
        </w:rPr>
        <w:t>et al.,</w:t>
      </w:r>
      <w:r>
        <w:rPr>
          <w:highlight w:val="white"/>
        </w:rPr>
        <w:t xml:space="preserve"> 2021)</w:t>
      </w:r>
      <w:r>
        <w:t>. This approach might encompass comparing the working of far-off employees to that of their coworkers primarily based on such things as excellent of work, effectiveness, and capability to work with others. The scoring method makes it smooth to evaluate matters, but it can additionally make people on a remote crew compete with every different and get irritated. It may also leave out individuals’ strengths and flaws, which may cause unfair opinions (</w:t>
      </w:r>
      <w:r>
        <w:rPr>
          <w:highlight w:val="white"/>
        </w:rPr>
        <w:t xml:space="preserve">Ferreira </w:t>
      </w:r>
      <w:r>
        <w:rPr>
          <w:i/>
          <w:highlight w:val="white"/>
        </w:rPr>
        <w:t>et al.,</w:t>
      </w:r>
      <w:r>
        <w:rPr>
          <w:highlight w:val="white"/>
        </w:rPr>
        <w:t xml:space="preserve"> 2021)</w:t>
      </w:r>
      <w:r>
        <w:t>. To deal with these troubles, companies can use both objective and qualitative remarks together with ranking. For instance, remote team leads could use rating and performance dashboards together to present a full image of ways well remote workers are doing. This would make the overall performance assessment procedure greater truthful and open.</w:t>
      </w:r>
    </w:p>
    <w:p w14:paraId="41FC5EE8" w14:textId="77777777" w:rsidR="006F37B4" w:rsidRDefault="00000000">
      <w:r>
        <w:t>Critical incident techniques involve finding precise occasions or incidents that display suitable or terrible behaviour, performance, or consequences (</w:t>
      </w:r>
      <w:r>
        <w:rPr>
          <w:highlight w:val="white"/>
        </w:rPr>
        <w:t>Gigauri, 2020)</w:t>
      </w:r>
      <w:r>
        <w:t>. This method is probably used whilst humans earn a living from home and holds facts of important cases of success, creativity, collaboration, or issues they face. Critical incident techniques deliver objective evidence to lower backup performance reviews and feedback that specialise in actual-existence examples. To ensure accuracy and visibility, recording vital incidents in distributed teams requires true conversation and documentation structures. Tools like conversation platforms and software programs for coping with tasks make it less complicated to accumulate and analyse important incidents (</w:t>
      </w:r>
      <w:r>
        <w:rPr>
          <w:highlight w:val="white"/>
        </w:rPr>
        <w:t>Nash and Churchill, 2020)</w:t>
      </w:r>
      <w:r>
        <w:t xml:space="preserve">. For instance, contributors of a disbursed team </w:t>
      </w:r>
      <w:r>
        <w:lastRenderedPageBreak/>
        <w:t>may additionally use collaboration tools like Asana or Slack to percentage and talk about vital incidents. This encourages a mindset of learning and development in the group. Self-assessment offers people the energy to consider their very own working, strengths, weaknesses, activity dreams, and methods to enhance. Self-assessment may be especially helpful for people who work at home because it pushes them to be liable for their very own increase and do reflective exercises (</w:t>
      </w:r>
      <w:r>
        <w:rPr>
          <w:highlight w:val="white"/>
        </w:rPr>
        <w:t xml:space="preserve">Ferreira </w:t>
      </w:r>
      <w:r>
        <w:rPr>
          <w:i/>
          <w:highlight w:val="white"/>
        </w:rPr>
        <w:t>et al.,</w:t>
      </w:r>
      <w:r>
        <w:rPr>
          <w:highlight w:val="white"/>
        </w:rPr>
        <w:t xml:space="preserve"> 2021)</w:t>
      </w:r>
      <w:r>
        <w:t>. Employees who work at home can use self-assessment tools or templates given by their agencies to evaluate their performance to set standards, see what they have achieved nicely, and set expert boom goals. Self-assessment allows human beings to emerge as greater self-conscious and responsible; however, corporations want to make sure the system is truthful and accurate (</w:t>
      </w:r>
      <w:r>
        <w:rPr>
          <w:highlight w:val="white"/>
        </w:rPr>
        <w:t>Gigauri, 2020)</w:t>
      </w:r>
      <w:r>
        <w:t xml:space="preserve">. Companies can assist this appear through telling workers who are not inside the workplace to get comments from coworkers or bosses and to use self-evaluation as a place to begin advantageous conversations and plans for increase. For example, remote people can use self-assessment tools constructed into overall performance control software programs like BambooHR or Workday to price their </w:t>
      </w:r>
      <w:proofErr w:type="spellStart"/>
      <w:r>
        <w:t>fulfillment</w:t>
      </w:r>
      <w:proofErr w:type="spellEnd"/>
      <w:r>
        <w:t xml:space="preserve"> and work with their managers to make personalised growth plans (</w:t>
      </w:r>
      <w:r>
        <w:rPr>
          <w:highlight w:val="white"/>
        </w:rPr>
        <w:t xml:space="preserve">Parker </w:t>
      </w:r>
      <w:r>
        <w:rPr>
          <w:i/>
          <w:highlight w:val="white"/>
        </w:rPr>
        <w:t>et al.,</w:t>
      </w:r>
      <w:r>
        <w:rPr>
          <w:highlight w:val="white"/>
        </w:rPr>
        <w:t xml:space="preserve"> 2020)</w:t>
      </w:r>
      <w:r>
        <w:t>.</w:t>
      </w:r>
    </w:p>
    <w:p w14:paraId="09D1CB2B" w14:textId="77777777" w:rsidR="006F37B4" w:rsidRDefault="00000000">
      <w:r>
        <w:t>Checklists are an organised way to judge fulfilment by way of listing the characteristics or movements that human beings working from home are predicted to expose (</w:t>
      </w:r>
      <w:r>
        <w:rPr>
          <w:highlight w:val="white"/>
        </w:rPr>
        <w:t xml:space="preserve">Allen </w:t>
      </w:r>
      <w:r>
        <w:rPr>
          <w:i/>
          <w:highlight w:val="white"/>
        </w:rPr>
        <w:t>et al.,</w:t>
      </w:r>
      <w:r>
        <w:rPr>
          <w:highlight w:val="white"/>
        </w:rPr>
        <w:t xml:space="preserve"> 2021)</w:t>
      </w:r>
      <w:r>
        <w:t xml:space="preserve">. Checklists may be used to assess exclusive components of activity performance whilst operating from home, like completing responsibilities, speaking, assembly goals, and following agency guidelines or policies. Checklists establish an organised framework for judging overall performance, ensuring that the criteria used are constant and clear. However, they might omit more subtle elements of overall performance and now not see all the specific approaches that remote workers help. To get around those problems, organizations can alternate the checklists so they maintain their genuine overall performance standards and add qualitative feedback for </w:t>
      </w:r>
      <w:r>
        <w:lastRenderedPageBreak/>
        <w:t>a greater whole evaluation (</w:t>
      </w:r>
      <w:r>
        <w:rPr>
          <w:highlight w:val="white"/>
        </w:rPr>
        <w:t xml:space="preserve">Madero Gómez </w:t>
      </w:r>
      <w:r>
        <w:rPr>
          <w:i/>
          <w:highlight w:val="white"/>
        </w:rPr>
        <w:t>et al.,</w:t>
      </w:r>
      <w:r>
        <w:rPr>
          <w:highlight w:val="white"/>
        </w:rPr>
        <w:t xml:space="preserve"> 2020)</w:t>
      </w:r>
      <w:r>
        <w:t>. For instance, remote team leaders may use teamwork tools like Google Sheets or Trello to make checklists that permit employees from home to maintain tune with their development and get comments properly away.</w:t>
      </w:r>
    </w:p>
    <w:p w14:paraId="506BDEC7" w14:textId="77777777" w:rsidR="006F37B4" w:rsidRDefault="00000000">
      <w:pPr>
        <w:spacing w:line="259" w:lineRule="auto"/>
        <w:jc w:val="left"/>
      </w:pPr>
      <w:r>
        <w:br w:type="page"/>
      </w:r>
    </w:p>
    <w:p w14:paraId="554E4DEF" w14:textId="77777777" w:rsidR="006F37B4" w:rsidRDefault="00000000">
      <w:pPr>
        <w:rPr>
          <w:b/>
        </w:rPr>
      </w:pPr>
      <w:r>
        <w:rPr>
          <w:b/>
        </w:rPr>
        <w:lastRenderedPageBreak/>
        <w:t>Conclusion</w:t>
      </w:r>
    </w:p>
    <w:p w14:paraId="3810BB44" w14:textId="77777777" w:rsidR="006F37B4" w:rsidRDefault="00000000">
      <w:r>
        <w:t>The study of performance overview methods and tools made just for remote employees suggests how crucial they may be for enhancing overall performance management in those settings. Organisations can encourage openness, responsibility and regular growth among their remote employees with the aid of using technology-based solutions and a multifaceted technique for overall performance reviews. Organisations can take care of the demanding situations of remote work, get personnel more concerned, and in the end, achieve success in the digital age of remote working through the usage of those tools and methods in a planned manner.</w:t>
      </w:r>
    </w:p>
    <w:p w14:paraId="74ECF9B0" w14:textId="77777777" w:rsidR="006F37B4" w:rsidRDefault="00000000">
      <w:pPr>
        <w:spacing w:line="259" w:lineRule="auto"/>
        <w:jc w:val="left"/>
      </w:pPr>
      <w:r>
        <w:br w:type="page"/>
      </w:r>
    </w:p>
    <w:p w14:paraId="4233DAE9" w14:textId="77777777" w:rsidR="006F37B4" w:rsidRDefault="00000000">
      <w:pPr>
        <w:pStyle w:val="1"/>
      </w:pPr>
      <w:r>
        <w:lastRenderedPageBreak/>
        <w:t>References</w:t>
      </w:r>
    </w:p>
    <w:p w14:paraId="5A61EDCA" w14:textId="77777777" w:rsidR="006F37B4" w:rsidRDefault="00000000">
      <w:r>
        <w:rPr>
          <w:highlight w:val="white"/>
        </w:rPr>
        <w:t>Allen, T.D., Merlo, K., Lawrence, R.C., Slutsky, J. and Gray, C.E., (2021). Boundary management and work</w:t>
      </w:r>
      <w:r>
        <w:rPr>
          <w:rFonts w:ascii="Cambria Math" w:eastAsia="Cambria Math" w:hAnsi="Cambria Math" w:cs="Cambria Math"/>
          <w:highlight w:val="white"/>
        </w:rPr>
        <w:t>‐</w:t>
      </w:r>
      <w:r>
        <w:rPr>
          <w:highlight w:val="white"/>
        </w:rPr>
        <w:t>nonwork balance while working from home. </w:t>
      </w:r>
      <w:r>
        <w:rPr>
          <w:i/>
          <w:highlight w:val="white"/>
        </w:rPr>
        <w:t>Applied Psychology</w:t>
      </w:r>
      <w:r>
        <w:rPr>
          <w:highlight w:val="white"/>
        </w:rPr>
        <w:t>, </w:t>
      </w:r>
      <w:r>
        <w:rPr>
          <w:i/>
          <w:highlight w:val="white"/>
        </w:rPr>
        <w:t>70</w:t>
      </w:r>
      <w:r>
        <w:rPr>
          <w:highlight w:val="white"/>
        </w:rPr>
        <w:t>(1), pp.60-84.</w:t>
      </w:r>
    </w:p>
    <w:p w14:paraId="79EC53B8" w14:textId="77777777" w:rsidR="006F37B4" w:rsidRDefault="00000000">
      <w:pPr>
        <w:rPr>
          <w:highlight w:val="white"/>
        </w:rPr>
      </w:pPr>
      <w:r>
        <w:rPr>
          <w:highlight w:val="white"/>
        </w:rPr>
        <w:t xml:space="preserve">Becker, W.J., Belkin, L.Y., </w:t>
      </w:r>
      <w:proofErr w:type="spellStart"/>
      <w:r>
        <w:rPr>
          <w:highlight w:val="white"/>
        </w:rPr>
        <w:t>Tuskey</w:t>
      </w:r>
      <w:proofErr w:type="spellEnd"/>
      <w:r>
        <w:rPr>
          <w:highlight w:val="white"/>
        </w:rPr>
        <w:t>, S.E. and Conroy, S.A., (2022). Surviving remotely: How job control and loneliness during a forced shift to remote work impacted employee work behaviours and well</w:t>
      </w:r>
      <w:r>
        <w:rPr>
          <w:rFonts w:ascii="Cambria Math" w:eastAsia="Cambria Math" w:hAnsi="Cambria Math" w:cs="Cambria Math"/>
          <w:highlight w:val="white"/>
        </w:rPr>
        <w:t>‐</w:t>
      </w:r>
      <w:r>
        <w:rPr>
          <w:highlight w:val="white"/>
        </w:rPr>
        <w:t>being. </w:t>
      </w:r>
      <w:r>
        <w:rPr>
          <w:i/>
          <w:highlight w:val="white"/>
        </w:rPr>
        <w:t>Human Resource Management</w:t>
      </w:r>
      <w:r>
        <w:rPr>
          <w:highlight w:val="white"/>
        </w:rPr>
        <w:t>, </w:t>
      </w:r>
      <w:r>
        <w:rPr>
          <w:i/>
          <w:highlight w:val="white"/>
        </w:rPr>
        <w:t>61</w:t>
      </w:r>
      <w:r>
        <w:rPr>
          <w:highlight w:val="white"/>
        </w:rPr>
        <w:t>(4), pp.449-464.</w:t>
      </w:r>
    </w:p>
    <w:p w14:paraId="7A54A4EA" w14:textId="77777777" w:rsidR="006F37B4" w:rsidRDefault="00000000">
      <w:pPr>
        <w:rPr>
          <w:highlight w:val="white"/>
        </w:rPr>
      </w:pPr>
      <w:r>
        <w:rPr>
          <w:highlight w:val="white"/>
        </w:rPr>
        <w:t xml:space="preserve">Brynjolfsson, E., Horton, J.J., </w:t>
      </w:r>
      <w:proofErr w:type="spellStart"/>
      <w:r>
        <w:rPr>
          <w:highlight w:val="white"/>
        </w:rPr>
        <w:t>Ozimek</w:t>
      </w:r>
      <w:proofErr w:type="spellEnd"/>
      <w:r>
        <w:rPr>
          <w:highlight w:val="white"/>
        </w:rPr>
        <w:t xml:space="preserve">, A., Rock, D., Sharma, G. and </w:t>
      </w:r>
      <w:proofErr w:type="spellStart"/>
      <w:r>
        <w:rPr>
          <w:highlight w:val="white"/>
        </w:rPr>
        <w:t>TuYe</w:t>
      </w:r>
      <w:proofErr w:type="spellEnd"/>
      <w:r>
        <w:rPr>
          <w:highlight w:val="white"/>
        </w:rPr>
        <w:t>, H.Y., (2020). </w:t>
      </w:r>
      <w:r>
        <w:rPr>
          <w:i/>
          <w:highlight w:val="white"/>
        </w:rPr>
        <w:t>COVID-19 and remote work: An early look at US data</w:t>
      </w:r>
      <w:r>
        <w:rPr>
          <w:highlight w:val="white"/>
        </w:rPr>
        <w:t> (No. w27344). National Bureau of Economic Research.</w:t>
      </w:r>
    </w:p>
    <w:p w14:paraId="1C479494" w14:textId="77777777" w:rsidR="006F37B4" w:rsidRDefault="00000000">
      <w:pPr>
        <w:rPr>
          <w:highlight w:val="white"/>
        </w:rPr>
      </w:pPr>
      <w:r>
        <w:rPr>
          <w:highlight w:val="white"/>
        </w:rPr>
        <w:t>Ferreira, R., Pereira, R., Bianchi, I.S. and da Silva, M.M., (2021). Decision factors for remote work adoption: advantages, disadvantages, driving forces and challenges. </w:t>
      </w:r>
      <w:r>
        <w:rPr>
          <w:i/>
          <w:highlight w:val="white"/>
        </w:rPr>
        <w:t>Journal of Open Innovation: Technology, Market, and Complexity</w:t>
      </w:r>
      <w:r>
        <w:rPr>
          <w:highlight w:val="white"/>
        </w:rPr>
        <w:t>, </w:t>
      </w:r>
      <w:r>
        <w:rPr>
          <w:i/>
          <w:highlight w:val="white"/>
        </w:rPr>
        <w:t>7</w:t>
      </w:r>
      <w:r>
        <w:rPr>
          <w:highlight w:val="white"/>
        </w:rPr>
        <w:t>(1), p.70.</w:t>
      </w:r>
    </w:p>
    <w:p w14:paraId="011BB714" w14:textId="77777777" w:rsidR="006F37B4" w:rsidRDefault="00000000">
      <w:pPr>
        <w:rPr>
          <w:highlight w:val="white"/>
        </w:rPr>
      </w:pPr>
      <w:r>
        <w:rPr>
          <w:highlight w:val="white"/>
        </w:rPr>
        <w:t xml:space="preserve">Gigauri, I., (2020). Effects of COVID-19 on Human Resource Management from the Perspective of Digitalization and Work-life-balance. </w:t>
      </w:r>
      <w:r>
        <w:rPr>
          <w:i/>
          <w:highlight w:val="white"/>
        </w:rPr>
        <w:t>International Journal of Innovative Technologies in Economy</w:t>
      </w:r>
      <w:r>
        <w:rPr>
          <w:highlight w:val="white"/>
        </w:rPr>
        <w:t>, (4 (31)).</w:t>
      </w:r>
    </w:p>
    <w:p w14:paraId="1F4B2E6B" w14:textId="77777777" w:rsidR="006F37B4" w:rsidRDefault="00000000">
      <w:pPr>
        <w:rPr>
          <w:highlight w:val="white"/>
        </w:rPr>
      </w:pPr>
      <w:r>
        <w:rPr>
          <w:highlight w:val="white"/>
        </w:rPr>
        <w:t>Leonardi, P.M., (2021). COVID</w:t>
      </w:r>
      <w:r>
        <w:rPr>
          <w:rFonts w:ascii="Cambria Math" w:eastAsia="Cambria Math" w:hAnsi="Cambria Math" w:cs="Cambria Math"/>
          <w:highlight w:val="white"/>
        </w:rPr>
        <w:t>‐</w:t>
      </w:r>
      <w:r>
        <w:rPr>
          <w:highlight w:val="white"/>
        </w:rPr>
        <w:t>19 and the new technologies of organizing: digital exhaust, digital footprints, and artificial intelligence in the wake of remote work. </w:t>
      </w:r>
      <w:r>
        <w:rPr>
          <w:i/>
          <w:highlight w:val="white"/>
        </w:rPr>
        <w:t>Journal of Management Studies</w:t>
      </w:r>
      <w:r>
        <w:rPr>
          <w:highlight w:val="white"/>
        </w:rPr>
        <w:t>, </w:t>
      </w:r>
      <w:r>
        <w:rPr>
          <w:i/>
          <w:highlight w:val="white"/>
        </w:rPr>
        <w:t>58</w:t>
      </w:r>
      <w:r>
        <w:rPr>
          <w:highlight w:val="white"/>
        </w:rPr>
        <w:t>(1), p.249.</w:t>
      </w:r>
    </w:p>
    <w:p w14:paraId="22408289" w14:textId="77777777" w:rsidR="006F37B4" w:rsidRDefault="00000000">
      <w:pPr>
        <w:rPr>
          <w:highlight w:val="white"/>
        </w:rPr>
      </w:pPr>
      <w:r>
        <w:rPr>
          <w:highlight w:val="white"/>
        </w:rPr>
        <w:t xml:space="preserve">Lund, S., </w:t>
      </w:r>
      <w:proofErr w:type="spellStart"/>
      <w:r>
        <w:rPr>
          <w:highlight w:val="white"/>
        </w:rPr>
        <w:t>Madgavkar</w:t>
      </w:r>
      <w:proofErr w:type="spellEnd"/>
      <w:r>
        <w:rPr>
          <w:highlight w:val="white"/>
        </w:rPr>
        <w:t>, A., Manyika, J. and Smit, S., (2020). What’s next for remote work: An analysis of 2,000 tasks, 800 jobs, and nine countries. </w:t>
      </w:r>
      <w:r>
        <w:rPr>
          <w:i/>
          <w:highlight w:val="white"/>
        </w:rPr>
        <w:t>McKinsey Global Institute</w:t>
      </w:r>
      <w:r>
        <w:rPr>
          <w:highlight w:val="white"/>
        </w:rPr>
        <w:t>, pp.1-13.</w:t>
      </w:r>
    </w:p>
    <w:p w14:paraId="1FDC8193" w14:textId="77777777" w:rsidR="006F37B4" w:rsidRDefault="00000000">
      <w:pPr>
        <w:rPr>
          <w:highlight w:val="white"/>
        </w:rPr>
      </w:pPr>
      <w:r>
        <w:rPr>
          <w:highlight w:val="white"/>
        </w:rPr>
        <w:lastRenderedPageBreak/>
        <w:t>Madero Gómez, S., Ortiz Mendoza, O.E., Ramírez, J. and Olivas-</w:t>
      </w:r>
      <w:proofErr w:type="spellStart"/>
      <w:r>
        <w:rPr>
          <w:highlight w:val="white"/>
        </w:rPr>
        <w:t>Luján</w:t>
      </w:r>
      <w:proofErr w:type="spellEnd"/>
      <w:r>
        <w:rPr>
          <w:highlight w:val="white"/>
        </w:rPr>
        <w:t>, M.R., (2020). Stress and myths related to the COVID-19 pandemic’s effects on remote work. </w:t>
      </w:r>
      <w:r>
        <w:rPr>
          <w:i/>
          <w:highlight w:val="white"/>
        </w:rPr>
        <w:t xml:space="preserve">Management Research: Journal of the </w:t>
      </w:r>
      <w:proofErr w:type="spellStart"/>
      <w:r>
        <w:rPr>
          <w:i/>
          <w:highlight w:val="white"/>
        </w:rPr>
        <w:t>Iberoamerican</w:t>
      </w:r>
      <w:proofErr w:type="spellEnd"/>
      <w:r>
        <w:rPr>
          <w:i/>
          <w:highlight w:val="white"/>
        </w:rPr>
        <w:t xml:space="preserve"> Academy of Management</w:t>
      </w:r>
      <w:r>
        <w:rPr>
          <w:highlight w:val="white"/>
        </w:rPr>
        <w:t>, </w:t>
      </w:r>
      <w:r>
        <w:rPr>
          <w:i/>
          <w:highlight w:val="white"/>
        </w:rPr>
        <w:t>18</w:t>
      </w:r>
      <w:r>
        <w:rPr>
          <w:highlight w:val="white"/>
        </w:rPr>
        <w:t>(4), pp.401-420.</w:t>
      </w:r>
    </w:p>
    <w:p w14:paraId="69639E48" w14:textId="77777777" w:rsidR="006F37B4" w:rsidRDefault="00000000">
      <w:pPr>
        <w:rPr>
          <w:highlight w:val="white"/>
        </w:rPr>
      </w:pPr>
      <w:r>
        <w:rPr>
          <w:highlight w:val="white"/>
        </w:rPr>
        <w:t>Nash, M. and Churchill, B., (2020). Caring during COVID</w:t>
      </w:r>
      <w:r>
        <w:rPr>
          <w:rFonts w:ascii="Cambria Math" w:eastAsia="Cambria Math" w:hAnsi="Cambria Math" w:cs="Cambria Math"/>
          <w:highlight w:val="white"/>
        </w:rPr>
        <w:t>‐</w:t>
      </w:r>
      <w:r>
        <w:rPr>
          <w:highlight w:val="white"/>
        </w:rPr>
        <w:t>19: A gendered analysis of Australian university responses to managing remote working and caring responsibilities. </w:t>
      </w:r>
      <w:r>
        <w:rPr>
          <w:i/>
          <w:highlight w:val="white"/>
        </w:rPr>
        <w:t>Gender, Work &amp; Organization</w:t>
      </w:r>
      <w:r>
        <w:rPr>
          <w:highlight w:val="white"/>
        </w:rPr>
        <w:t>, </w:t>
      </w:r>
      <w:r>
        <w:rPr>
          <w:i/>
          <w:highlight w:val="white"/>
        </w:rPr>
        <w:t>27</w:t>
      </w:r>
      <w:r>
        <w:rPr>
          <w:highlight w:val="white"/>
        </w:rPr>
        <w:t>(5), pp.833-846.</w:t>
      </w:r>
    </w:p>
    <w:p w14:paraId="2DBC295B" w14:textId="77777777" w:rsidR="006F37B4" w:rsidRDefault="00000000">
      <w:pPr>
        <w:rPr>
          <w:highlight w:val="white"/>
        </w:rPr>
      </w:pPr>
      <w:r>
        <w:rPr>
          <w:highlight w:val="white"/>
        </w:rPr>
        <w:t>Parker, S.K., Knight, C. and Keller, A., (2020). Remote managers are having trust issues. </w:t>
      </w:r>
      <w:r>
        <w:rPr>
          <w:i/>
          <w:highlight w:val="white"/>
        </w:rPr>
        <w:t>Harvard Business Review</w:t>
      </w:r>
      <w:r>
        <w:rPr>
          <w:highlight w:val="white"/>
        </w:rPr>
        <w:t>, </w:t>
      </w:r>
      <w:r>
        <w:rPr>
          <w:i/>
          <w:highlight w:val="white"/>
        </w:rPr>
        <w:t>30</w:t>
      </w:r>
      <w:r>
        <w:rPr>
          <w:highlight w:val="white"/>
        </w:rPr>
        <w:t>, pp.6-20.’</w:t>
      </w:r>
    </w:p>
    <w:p w14:paraId="268B4726" w14:textId="77777777" w:rsidR="006F37B4" w:rsidRDefault="00000000">
      <w:pPr>
        <w:rPr>
          <w:highlight w:val="white"/>
        </w:rPr>
      </w:pPr>
      <w:r>
        <w:rPr>
          <w:highlight w:val="white"/>
        </w:rPr>
        <w:t>Phillips, S., (2020). Working through the pandemic: Accelerating the transition to remote working. </w:t>
      </w:r>
      <w:r>
        <w:rPr>
          <w:i/>
          <w:highlight w:val="white"/>
        </w:rPr>
        <w:t>Business Information Review</w:t>
      </w:r>
      <w:r>
        <w:rPr>
          <w:highlight w:val="white"/>
        </w:rPr>
        <w:t>, </w:t>
      </w:r>
      <w:r>
        <w:rPr>
          <w:i/>
          <w:highlight w:val="white"/>
        </w:rPr>
        <w:t>37</w:t>
      </w:r>
      <w:r>
        <w:rPr>
          <w:highlight w:val="white"/>
        </w:rPr>
        <w:t>(3), pp.129-134.</w:t>
      </w:r>
    </w:p>
    <w:p w14:paraId="48355465" w14:textId="77777777" w:rsidR="006F37B4" w:rsidRDefault="00000000">
      <w:pPr>
        <w:rPr>
          <w:highlight w:val="white"/>
        </w:rPr>
      </w:pPr>
      <w:r>
        <w:rPr>
          <w:highlight w:val="white"/>
        </w:rPr>
        <w:t>Sull, D., Sull, C. and Bersin, J., (2020). Five ways leaders can support remote work. </w:t>
      </w:r>
      <w:r>
        <w:rPr>
          <w:i/>
          <w:highlight w:val="white"/>
        </w:rPr>
        <w:t>MIT Sloan Management Review</w:t>
      </w:r>
      <w:r>
        <w:rPr>
          <w:highlight w:val="white"/>
        </w:rPr>
        <w:t>.</w:t>
      </w:r>
    </w:p>
    <w:p w14:paraId="40F38D7E" w14:textId="77777777" w:rsidR="006F37B4" w:rsidRDefault="006F37B4"/>
    <w:p w14:paraId="5D35F050" w14:textId="77777777" w:rsidR="001E67CE" w:rsidRDefault="001E67CE"/>
    <w:p w14:paraId="36880650" w14:textId="77777777" w:rsidR="001E67CE" w:rsidRDefault="001E67CE"/>
    <w:p w14:paraId="5839FA5A" w14:textId="77777777" w:rsidR="001E67CE" w:rsidRDefault="001E67CE"/>
    <w:p w14:paraId="74F2A86C" w14:textId="77777777" w:rsidR="001E67CE" w:rsidRDefault="001E67CE"/>
    <w:p w14:paraId="19092367" w14:textId="77777777" w:rsidR="001E67CE" w:rsidRDefault="001E67CE"/>
    <w:p w14:paraId="29E664C8" w14:textId="77777777" w:rsidR="001E67CE" w:rsidRDefault="001E67CE"/>
    <w:p w14:paraId="6C06252A" w14:textId="77777777" w:rsidR="001E67CE" w:rsidRDefault="001E67CE"/>
    <w:p w14:paraId="56783ED2" w14:textId="77777777" w:rsidR="001E67CE" w:rsidRDefault="001E67CE"/>
    <w:sectPr w:rsidR="001E67CE">
      <w:headerReference w:type="default" r:id="rId8"/>
      <w:footerReference w:type="default" r:id="rId9"/>
      <w:pgSz w:w="11906" w:h="16838"/>
      <w:pgMar w:top="1440" w:right="1440" w:bottom="1440" w:left="1440" w:header="708" w:footer="708"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B84BD21" w14:textId="77777777" w:rsidR="004506DF" w:rsidRDefault="004506DF">
      <w:pPr>
        <w:spacing w:after="0" w:line="240" w:lineRule="auto"/>
      </w:pPr>
      <w:r>
        <w:separator/>
      </w:r>
    </w:p>
  </w:endnote>
  <w:endnote w:type="continuationSeparator" w:id="0">
    <w:p w14:paraId="537DEF91" w14:textId="77777777" w:rsidR="004506DF" w:rsidRDefault="004506D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CC"/>
    <w:family w:val="roman"/>
    <w:pitch w:val="variable"/>
    <w:sig w:usb0="E0002EFF" w:usb1="C000785B" w:usb2="00000009" w:usb3="00000000" w:csb0="000001FF" w:csb1="00000000"/>
  </w:font>
  <w:font w:name="Georgia">
    <w:panose1 w:val="02040502050405020303"/>
    <w:charset w:val="CC"/>
    <w:family w:val="roman"/>
    <w:pitch w:val="variable"/>
    <w:sig w:usb0="00000287" w:usb1="00000000" w:usb2="00000000" w:usb3="00000000" w:csb0="0000009F" w:csb1="00000000"/>
  </w:font>
  <w:font w:name="Cambria Math">
    <w:panose1 w:val="02040503050406030204"/>
    <w:charset w:val="CC"/>
    <w:family w:val="roman"/>
    <w:pitch w:val="variable"/>
    <w:sig w:usb0="E00006FF" w:usb1="420024FF" w:usb2="02000000" w:usb3="00000000" w:csb0="0000019F" w:csb1="00000000"/>
  </w:font>
  <w:font w:name="Calibri Light">
    <w:panose1 w:val="020F0302020204030204"/>
    <w:charset w:val="CC"/>
    <w:family w:val="swiss"/>
    <w:pitch w:val="variable"/>
    <w:sig w:usb0="E4002EFF" w:usb1="C000247B" w:usb2="00000009" w:usb3="00000000" w:csb0="000001FF" w:csb1="00000000"/>
  </w:font>
  <w:font w:name="Calibri">
    <w:panose1 w:val="020F0502020204030204"/>
    <w:charset w:val="CC"/>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7C58BD" w14:textId="77777777" w:rsidR="006F37B4" w:rsidRDefault="00000000">
    <w:pPr>
      <w:pBdr>
        <w:top w:val="nil"/>
        <w:left w:val="nil"/>
        <w:bottom w:val="nil"/>
        <w:right w:val="nil"/>
        <w:between w:val="nil"/>
      </w:pBdr>
      <w:tabs>
        <w:tab w:val="center" w:pos="4513"/>
        <w:tab w:val="right" w:pos="9026"/>
      </w:tabs>
      <w:spacing w:after="0" w:line="240" w:lineRule="auto"/>
      <w:jc w:val="right"/>
      <w:rPr>
        <w:color w:val="000000"/>
      </w:rPr>
    </w:pPr>
    <w:r>
      <w:rPr>
        <w:color w:val="000000"/>
      </w:rPr>
      <w:t xml:space="preserve">Page </w:t>
    </w:r>
    <w:r>
      <w:rPr>
        <w:b/>
        <w:color w:val="000000"/>
      </w:rPr>
      <w:fldChar w:fldCharType="begin"/>
    </w:r>
    <w:r>
      <w:rPr>
        <w:b/>
        <w:color w:val="000000"/>
      </w:rPr>
      <w:instrText>PAGE</w:instrText>
    </w:r>
    <w:r>
      <w:rPr>
        <w:b/>
        <w:color w:val="000000"/>
      </w:rPr>
      <w:fldChar w:fldCharType="separate"/>
    </w:r>
    <w:r w:rsidR="001E67CE">
      <w:rPr>
        <w:b/>
        <w:noProof/>
        <w:color w:val="000000"/>
      </w:rPr>
      <w:t>2</w:t>
    </w:r>
    <w:r>
      <w:rPr>
        <w:b/>
        <w:color w:val="000000"/>
      </w:rPr>
      <w:fldChar w:fldCharType="end"/>
    </w:r>
    <w:r>
      <w:rPr>
        <w:color w:val="000000"/>
      </w:rPr>
      <w:t xml:space="preserve"> of </w:t>
    </w:r>
    <w:r>
      <w:rPr>
        <w:b/>
        <w:color w:val="000000"/>
      </w:rPr>
      <w:fldChar w:fldCharType="begin"/>
    </w:r>
    <w:r>
      <w:rPr>
        <w:b/>
        <w:color w:val="000000"/>
      </w:rPr>
      <w:instrText>NUMPAGES</w:instrText>
    </w:r>
    <w:r>
      <w:rPr>
        <w:b/>
        <w:color w:val="000000"/>
      </w:rPr>
      <w:fldChar w:fldCharType="separate"/>
    </w:r>
    <w:r w:rsidR="001E67CE">
      <w:rPr>
        <w:b/>
        <w:noProof/>
        <w:color w:val="000000"/>
      </w:rPr>
      <w:t>3</w:t>
    </w:r>
    <w:r>
      <w:rPr>
        <w:b/>
        <w:color w:val="000000"/>
      </w:rPr>
      <w:fldChar w:fldCharType="end"/>
    </w:r>
  </w:p>
  <w:p w14:paraId="3B651943" w14:textId="77777777" w:rsidR="006F37B4" w:rsidRDefault="006F37B4">
    <w:pPr>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9B8ECE1" w14:textId="77777777" w:rsidR="004506DF" w:rsidRDefault="004506DF">
      <w:pPr>
        <w:spacing w:after="0" w:line="240" w:lineRule="auto"/>
      </w:pPr>
      <w:r>
        <w:separator/>
      </w:r>
    </w:p>
  </w:footnote>
  <w:footnote w:type="continuationSeparator" w:id="0">
    <w:p w14:paraId="6014E707" w14:textId="77777777" w:rsidR="004506DF" w:rsidRDefault="004506D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8A2DAC4" w14:textId="77777777" w:rsidR="006F37B4" w:rsidRDefault="00000000">
    <w:pPr>
      <w:pBdr>
        <w:top w:val="nil"/>
        <w:left w:val="nil"/>
        <w:bottom w:val="nil"/>
        <w:right w:val="nil"/>
        <w:between w:val="nil"/>
      </w:pBdr>
      <w:tabs>
        <w:tab w:val="center" w:pos="4513"/>
        <w:tab w:val="right" w:pos="9026"/>
      </w:tabs>
      <w:spacing w:after="0" w:line="240" w:lineRule="auto"/>
      <w:rPr>
        <w:color w:val="000000"/>
      </w:rPr>
    </w:pPr>
    <w:r>
      <w:rPr>
        <w:color w:val="000000"/>
      </w:rPr>
      <w:t xml:space="preserve">                                                                                                                       Managing People</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F37B4"/>
    <w:rsid w:val="001E67CE"/>
    <w:rsid w:val="004506DF"/>
    <w:rsid w:val="006F37B4"/>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5869D9"/>
  <w15:docId w15:val="{07B85A0F-375C-4DE5-82AD-8FE2934BFE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IN" w:eastAsia="ru-RU" w:bidi="ar-SA"/>
      </w:rPr>
    </w:rPrDefault>
    <w:pPrDefault>
      <w:pPr>
        <w:spacing w:after="160"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FD34F8"/>
    <w:rPr>
      <w:lang w:val="en-GB"/>
    </w:rPr>
  </w:style>
  <w:style w:type="paragraph" w:styleId="1">
    <w:name w:val="heading 1"/>
    <w:basedOn w:val="a"/>
    <w:next w:val="a"/>
    <w:link w:val="10"/>
    <w:uiPriority w:val="9"/>
    <w:qFormat/>
    <w:rsid w:val="006212CB"/>
    <w:pPr>
      <w:keepNext/>
      <w:keepLines/>
      <w:spacing w:before="240" w:after="0"/>
      <w:outlineLvl w:val="0"/>
    </w:pPr>
    <w:rPr>
      <w:rFonts w:eastAsiaTheme="majorEastAsia" w:cstheme="majorBidi"/>
      <w:b/>
      <w:color w:val="000000" w:themeColor="text1"/>
      <w:kern w:val="2"/>
      <w:sz w:val="28"/>
      <w:szCs w:val="32"/>
      <w:lang w:val="en-IN"/>
    </w:rPr>
  </w:style>
  <w:style w:type="paragraph" w:styleId="2">
    <w:name w:val="heading 2"/>
    <w:basedOn w:val="a"/>
    <w:next w:val="a"/>
    <w:link w:val="20"/>
    <w:uiPriority w:val="9"/>
    <w:semiHidden/>
    <w:unhideWhenUsed/>
    <w:qFormat/>
    <w:rsid w:val="00291149"/>
    <w:pPr>
      <w:keepNext/>
      <w:keepLines/>
      <w:spacing w:before="360" w:after="120"/>
      <w:outlineLvl w:val="1"/>
    </w:pPr>
    <w:rPr>
      <w:b/>
      <w:bCs/>
      <w:sz w:val="26"/>
    </w:rPr>
  </w:style>
  <w:style w:type="paragraph" w:styleId="3">
    <w:name w:val="heading 3"/>
    <w:basedOn w:val="a"/>
    <w:next w:val="a"/>
    <w:link w:val="30"/>
    <w:uiPriority w:val="9"/>
    <w:semiHidden/>
    <w:unhideWhenUsed/>
    <w:qFormat/>
    <w:rsid w:val="002E7B7C"/>
    <w:pPr>
      <w:keepNext/>
      <w:keepLines/>
      <w:spacing w:before="40" w:after="0"/>
      <w:outlineLvl w:val="2"/>
    </w:pPr>
    <w:rPr>
      <w:rFonts w:eastAsiaTheme="majorEastAsia" w:cstheme="majorBidi"/>
      <w:i/>
      <w:u w:val="single"/>
    </w:rPr>
  </w:style>
  <w:style w:type="paragraph" w:styleId="4">
    <w:name w:val="heading 4"/>
    <w:basedOn w:val="a"/>
    <w:next w:val="a"/>
    <w:uiPriority w:val="9"/>
    <w:semiHidden/>
    <w:unhideWhenUsed/>
    <w:qFormat/>
    <w:pPr>
      <w:keepNext/>
      <w:keepLines/>
      <w:spacing w:before="240" w:after="40"/>
      <w:outlineLvl w:val="3"/>
    </w:pPr>
    <w:rPr>
      <w:b/>
    </w:rPr>
  </w:style>
  <w:style w:type="paragraph" w:styleId="5">
    <w:name w:val="heading 5"/>
    <w:basedOn w:val="a"/>
    <w:next w:val="a"/>
    <w:uiPriority w:val="9"/>
    <w:semiHidden/>
    <w:unhideWhenUsed/>
    <w:qFormat/>
    <w:pPr>
      <w:keepNext/>
      <w:keepLines/>
      <w:spacing w:before="220" w:after="40"/>
      <w:outlineLvl w:val="4"/>
    </w:pPr>
    <w:rPr>
      <w:b/>
      <w:sz w:val="22"/>
      <w:szCs w:val="22"/>
    </w:rPr>
  </w:style>
  <w:style w:type="paragraph" w:styleId="6">
    <w:name w:val="heading 6"/>
    <w:basedOn w:val="a"/>
    <w:next w:val="a"/>
    <w:uiPriority w:val="9"/>
    <w:semiHidden/>
    <w:unhideWhenUsed/>
    <w:qFormat/>
    <w:pPr>
      <w:keepNext/>
      <w:keepLines/>
      <w:spacing w:before="200" w:after="40"/>
      <w:outlineLvl w:val="5"/>
    </w:pPr>
    <w:rPr>
      <w:b/>
      <w:sz w:val="20"/>
      <w:szCs w:val="20"/>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table" w:customStyle="1" w:styleId="TableNormal">
    <w:name w:val="Table Normal"/>
    <w:tblPr>
      <w:tblCellMar>
        <w:top w:w="0" w:type="dxa"/>
        <w:left w:w="0" w:type="dxa"/>
        <w:bottom w:w="0" w:type="dxa"/>
        <w:right w:w="0" w:type="dxa"/>
      </w:tblCellMar>
    </w:tblPr>
  </w:style>
  <w:style w:type="paragraph" w:styleId="a3">
    <w:name w:val="Title"/>
    <w:basedOn w:val="a"/>
    <w:next w:val="a"/>
    <w:uiPriority w:val="10"/>
    <w:qFormat/>
    <w:pPr>
      <w:keepNext/>
      <w:keepLines/>
      <w:spacing w:before="480" w:after="120"/>
    </w:pPr>
    <w:rPr>
      <w:b/>
      <w:sz w:val="72"/>
      <w:szCs w:val="72"/>
    </w:rPr>
  </w:style>
  <w:style w:type="character" w:customStyle="1" w:styleId="10">
    <w:name w:val="Заголовок 1 Знак"/>
    <w:basedOn w:val="a0"/>
    <w:link w:val="1"/>
    <w:uiPriority w:val="9"/>
    <w:rsid w:val="006212CB"/>
    <w:rPr>
      <w:rFonts w:ascii="Times New Roman" w:eastAsiaTheme="majorEastAsia" w:hAnsi="Times New Roman" w:cstheme="majorBidi"/>
      <w:b/>
      <w:color w:val="000000" w:themeColor="text1"/>
      <w:sz w:val="28"/>
      <w:szCs w:val="32"/>
    </w:rPr>
  </w:style>
  <w:style w:type="character" w:customStyle="1" w:styleId="20">
    <w:name w:val="Заголовок 2 Знак"/>
    <w:basedOn w:val="a0"/>
    <w:link w:val="2"/>
    <w:rsid w:val="00291149"/>
    <w:rPr>
      <w:rFonts w:ascii="Times New Roman" w:hAnsi="Times New Roman" w:cs="Times New Roman"/>
      <w:b/>
      <w:bCs/>
      <w:kern w:val="0"/>
      <w:sz w:val="26"/>
      <w:szCs w:val="24"/>
      <w:lang w:val="en-GB"/>
    </w:rPr>
  </w:style>
  <w:style w:type="character" w:customStyle="1" w:styleId="30">
    <w:name w:val="Заголовок 3 Знак"/>
    <w:basedOn w:val="a0"/>
    <w:link w:val="3"/>
    <w:uiPriority w:val="9"/>
    <w:rsid w:val="002E7B7C"/>
    <w:rPr>
      <w:rFonts w:ascii="Times New Roman" w:eastAsiaTheme="majorEastAsia" w:hAnsi="Times New Roman" w:cstheme="majorBidi"/>
      <w:i/>
      <w:kern w:val="0"/>
      <w:sz w:val="24"/>
      <w:szCs w:val="24"/>
      <w:u w:val="single"/>
      <w:lang w:val="en-GB"/>
    </w:rPr>
  </w:style>
  <w:style w:type="paragraph" w:styleId="a4">
    <w:name w:val="header"/>
    <w:basedOn w:val="a"/>
    <w:link w:val="a5"/>
    <w:uiPriority w:val="99"/>
    <w:unhideWhenUsed/>
    <w:rsid w:val="00EA3176"/>
    <w:pPr>
      <w:tabs>
        <w:tab w:val="center" w:pos="4513"/>
        <w:tab w:val="right" w:pos="9026"/>
      </w:tabs>
      <w:spacing w:after="0" w:line="240" w:lineRule="auto"/>
    </w:pPr>
  </w:style>
  <w:style w:type="character" w:customStyle="1" w:styleId="a5">
    <w:name w:val="Верхний колонтитул Знак"/>
    <w:basedOn w:val="a0"/>
    <w:link w:val="a4"/>
    <w:uiPriority w:val="99"/>
    <w:rsid w:val="00EA3176"/>
    <w:rPr>
      <w:rFonts w:ascii="Times New Roman" w:hAnsi="Times New Roman"/>
      <w:kern w:val="0"/>
      <w:sz w:val="24"/>
      <w:lang w:val="en-GB"/>
    </w:rPr>
  </w:style>
  <w:style w:type="paragraph" w:styleId="a6">
    <w:name w:val="footer"/>
    <w:basedOn w:val="a"/>
    <w:link w:val="a7"/>
    <w:uiPriority w:val="99"/>
    <w:unhideWhenUsed/>
    <w:rsid w:val="00EA3176"/>
    <w:pPr>
      <w:tabs>
        <w:tab w:val="center" w:pos="4513"/>
        <w:tab w:val="right" w:pos="9026"/>
      </w:tabs>
      <w:spacing w:after="0" w:line="240" w:lineRule="auto"/>
    </w:pPr>
  </w:style>
  <w:style w:type="character" w:customStyle="1" w:styleId="a7">
    <w:name w:val="Нижний колонтитул Знак"/>
    <w:basedOn w:val="a0"/>
    <w:link w:val="a6"/>
    <w:uiPriority w:val="99"/>
    <w:rsid w:val="00EA3176"/>
    <w:rPr>
      <w:rFonts w:ascii="Times New Roman" w:hAnsi="Times New Roman"/>
      <w:kern w:val="0"/>
      <w:sz w:val="24"/>
      <w:lang w:val="en-GB"/>
    </w:rPr>
  </w:style>
  <w:style w:type="paragraph" w:styleId="a8">
    <w:name w:val="Subtitle"/>
    <w:basedOn w:val="a"/>
    <w:next w:val="a"/>
    <w:uiPriority w:val="11"/>
    <w:qFormat/>
    <w:pPr>
      <w:keepNext/>
      <w:keepLines/>
      <w:spacing w:before="360" w:after="80"/>
    </w:pPr>
    <w:rPr>
      <w:rFonts w:ascii="Georgia" w:eastAsia="Georgia" w:hAnsi="Georgia" w:cs="Georgia"/>
      <w:i/>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Ldx+Wsj0IorgOnSzFS94c3i+tIg==">CgMxLjA4AHIhMUlZS1JTX205dHBCQVhOTVdEM0o1OEJCUy1lS2lFTUVq</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12</Pages>
  <Words>2603</Words>
  <Characters>14839</Characters>
  <Application>Microsoft Office Word</Application>
  <DocSecurity>0</DocSecurity>
  <Lines>123</Lines>
  <Paragraphs>34</Paragraphs>
  <ScaleCrop>false</ScaleCrop>
  <Company/>
  <LinksUpToDate>false</LinksUpToDate>
  <CharactersWithSpaces>17408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Пользователь</cp:lastModifiedBy>
  <cp:revision>2</cp:revision>
  <dcterms:created xsi:type="dcterms:W3CDTF">2024-04-30T19:21:00Z</dcterms:created>
  <dcterms:modified xsi:type="dcterms:W3CDTF">2024-05-01T18:38:00Z</dcterms:modified>
</cp:coreProperties>
</file>