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8D457EF" w14:textId="5F1AB26A"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To critically evaluate the strategic role of the College of Policing in professional policing in the UK, and to reflect on my experiences as a police officer in the final year of probation, it is essential to first understand the context within which the College operates. The College of Policing, established in 2012, serves as the professional body for policing in England and Wales. It plays a crucial role in shaping the standards, ethics, and professionalism of the police force. (College Of Policing, 2012).</w:t>
      </w:r>
    </w:p>
    <w:p w14:paraId="69422573" w14:textId="77777777" w:rsidR="007F52E2" w:rsidRPr="00517B18" w:rsidRDefault="007F52E2" w:rsidP="007F52E2">
      <w:pPr>
        <w:rPr>
          <w:rFonts w:asciiTheme="minorHAnsi" w:hAnsiTheme="minorHAnsi" w:cstheme="minorHAnsi"/>
          <w:sz w:val="24"/>
          <w:szCs w:val="24"/>
        </w:rPr>
      </w:pPr>
    </w:p>
    <w:p w14:paraId="45C11228"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Part of the strategic role of the college of policing setting professional standards. The College of Policing is responsible for establishing and maintaining high professional standards within the police service. It does so by developing and disseminating guidelines, codes of conduct, and best practices. The College ensures that police officers are well-trained, knowledgeable, and adhere to ethical standards. This focus on professionalism is key to building public trust and enhancing the effectiveness of policing. (Home Office, 2020)</w:t>
      </w:r>
    </w:p>
    <w:p w14:paraId="02CEDD4C" w14:textId="77777777" w:rsidR="007F52E2" w:rsidRPr="00517B18" w:rsidRDefault="007F52E2" w:rsidP="007F52E2">
      <w:pPr>
        <w:rPr>
          <w:rFonts w:asciiTheme="minorHAnsi" w:hAnsiTheme="minorHAnsi" w:cstheme="minorHAnsi"/>
          <w:sz w:val="24"/>
          <w:szCs w:val="24"/>
        </w:rPr>
      </w:pPr>
    </w:p>
    <w:p w14:paraId="1AE26FB6"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 xml:space="preserve">The College also plays a crucial role in police education and continuous professional development (CPD). By means of programs such as the Policing Education Qualifications Framework (PEQF), Strong (2019) explains the College guarantees that incoming recruits possess all necessary academic and practical competencies. It also supports lifelong learning </w:t>
      </w:r>
      <w:r w:rsidRPr="00517B18">
        <w:rPr>
          <w:rFonts w:asciiTheme="minorHAnsi" w:hAnsiTheme="minorHAnsi" w:cstheme="minorHAnsi"/>
          <w:sz w:val="24"/>
          <w:szCs w:val="24"/>
        </w:rPr>
        <w:lastRenderedPageBreak/>
        <w:t>within the police, ensuring that officers remain up to date with the latest policing practices and legal frameworks.</w:t>
      </w:r>
    </w:p>
    <w:p w14:paraId="56F566A9" w14:textId="77777777" w:rsidR="00517B18" w:rsidRPr="00517B18" w:rsidRDefault="00517B18" w:rsidP="007F52E2">
      <w:pPr>
        <w:rPr>
          <w:rFonts w:asciiTheme="minorHAnsi" w:hAnsiTheme="minorHAnsi" w:cstheme="minorHAnsi"/>
          <w:sz w:val="24"/>
          <w:szCs w:val="24"/>
        </w:rPr>
      </w:pPr>
    </w:p>
    <w:p w14:paraId="7BE45129"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Through the promotion of an evidence-based policing culture, the College guarantees that tactics and interventions have a solid scientific foundation and have demonstrated that they are effective. The College's focus on research enables the police force to make well-informed decisions that improve community safety and crime reduction. (College of Policing, 2024)</w:t>
      </w:r>
    </w:p>
    <w:p w14:paraId="010A8D02"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 xml:space="preserve">The College of Policing champions diversity and inclusion within the police force, recognising that a diverse workforce is better equipped to serve a diverse population. Each police force across the UK has diversity and inclusion policies such as the Metropolitan Police (Metropolitan Police, 2022), This a component of the College's strategy, seeks to create a more representative police force that can address the varying needs of different communities. </w:t>
      </w:r>
    </w:p>
    <w:p w14:paraId="33EFECAE" w14:textId="77777777" w:rsidR="00517B18" w:rsidRPr="00517B18" w:rsidRDefault="00517B18" w:rsidP="007F52E2">
      <w:pPr>
        <w:rPr>
          <w:rFonts w:asciiTheme="minorHAnsi" w:hAnsiTheme="minorHAnsi" w:cstheme="minorHAnsi"/>
          <w:sz w:val="24"/>
          <w:szCs w:val="24"/>
        </w:rPr>
      </w:pPr>
    </w:p>
    <w:p w14:paraId="0CD023A0"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 xml:space="preserve"> The College aligns its initiatives with broader strategic priorities, such as the Strategic Policing Requirement (SPR) and Policing Vision 2025. (National Police Chiefs' Council, 2016) These frameworks emphasise the need for police forces to adapt to emerging threats, such as cybercrime and terrorism, and to work collaboratively across regional and national boundaries.</w:t>
      </w:r>
    </w:p>
    <w:p w14:paraId="39DDE1D6" w14:textId="77777777" w:rsidR="00517B18" w:rsidRPr="00517B18" w:rsidRDefault="00517B18" w:rsidP="007F52E2">
      <w:pPr>
        <w:rPr>
          <w:rFonts w:asciiTheme="minorHAnsi" w:hAnsiTheme="minorHAnsi" w:cstheme="minorHAnsi"/>
          <w:sz w:val="24"/>
          <w:szCs w:val="24"/>
        </w:rPr>
      </w:pPr>
    </w:p>
    <w:p w14:paraId="27F376D0"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As I approach the final year of my police probation, I’ve had the opportunity to reflect on my personal development over the past three years. This period has been one of immense growth, both professionally and personally, as I’ve gained firsthand experience in various aspects of policing. Moving forward, I will explore how the strategic role of the College of Policing has played a critical part in shaping my skills, knowledge, and approach, providing the framework and guidance necessary to meet the evolving demands of modern policing.</w:t>
      </w:r>
    </w:p>
    <w:p w14:paraId="44557A88" w14:textId="77777777" w:rsidR="00517B18" w:rsidRPr="00517B18" w:rsidRDefault="00517B18" w:rsidP="007F52E2">
      <w:pPr>
        <w:rPr>
          <w:rFonts w:asciiTheme="minorHAnsi" w:hAnsiTheme="minorHAnsi" w:cstheme="minorHAnsi"/>
          <w:sz w:val="24"/>
          <w:szCs w:val="24"/>
        </w:rPr>
      </w:pPr>
    </w:p>
    <w:p w14:paraId="4221C5B1"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Maintaining professional standards is a key responsibility guided by the College of Policing. Throughout my training, I have participated in multiple advanced sessions that focus on upholding the values and principles set forth by the College. These sessions have not only enhanced my operational skills but also emphasised the importance of ethical conduct in all aspects of policing (</w:t>
      </w:r>
      <w:proofErr w:type="spellStart"/>
      <w:r w:rsidRPr="00517B18">
        <w:rPr>
          <w:rFonts w:asciiTheme="minorHAnsi" w:hAnsiTheme="minorHAnsi" w:cstheme="minorHAnsi"/>
          <w:sz w:val="24"/>
          <w:szCs w:val="24"/>
        </w:rPr>
        <w:t>Westmarland</w:t>
      </w:r>
      <w:proofErr w:type="spellEnd"/>
      <w:r w:rsidRPr="00517B18">
        <w:rPr>
          <w:rFonts w:asciiTheme="minorHAnsi" w:hAnsiTheme="minorHAnsi" w:cstheme="minorHAnsi"/>
          <w:sz w:val="24"/>
          <w:szCs w:val="24"/>
        </w:rPr>
        <w:t xml:space="preserve"> and Conway, 2020).  Regular feedback has been encouraged, ensuring that my behaviour consistently aligns with the professional and ethical guidelines provided. This process of continual reflection and adherence to these standards has strengthened my commitment to integrity and accountability within the force. Lyons (2015) explains the benefits of regularly receiving feedback and the constant improvement it has on staff.</w:t>
      </w:r>
    </w:p>
    <w:p w14:paraId="2CFF9CB9" w14:textId="77777777" w:rsidR="00517B18" w:rsidRPr="00517B18" w:rsidRDefault="00517B18" w:rsidP="007F52E2">
      <w:pPr>
        <w:rPr>
          <w:rFonts w:asciiTheme="minorHAnsi" w:hAnsiTheme="minorHAnsi" w:cstheme="minorHAnsi"/>
          <w:sz w:val="24"/>
          <w:szCs w:val="24"/>
        </w:rPr>
      </w:pPr>
    </w:p>
    <w:p w14:paraId="24A9FB5F" w14:textId="77777777" w:rsidR="007F52E2" w:rsidRPr="00517B18" w:rsidRDefault="007F52E2" w:rsidP="007F52E2">
      <w:pPr>
        <w:rPr>
          <w:rFonts w:asciiTheme="minorHAnsi" w:hAnsiTheme="minorHAnsi" w:cstheme="minorHAnsi"/>
          <w:sz w:val="24"/>
          <w:szCs w:val="24"/>
        </w:rPr>
      </w:pPr>
      <w:r w:rsidRPr="00517B18">
        <w:rPr>
          <w:rFonts w:asciiTheme="minorHAnsi" w:hAnsiTheme="minorHAnsi" w:cstheme="minorHAnsi"/>
          <w:sz w:val="24"/>
          <w:szCs w:val="24"/>
        </w:rPr>
        <w:t xml:space="preserve">By participating in further training and education courses, I have been actively embracing the Continuing Professional Development (CPD) model promoted by the College of Policing (College of Policing, 2020). This model encourages a proactive approach to learning, ensuring that my skills and knowledge remain up to date in this ever-evolving profession. By committing to ongoing further education, I have demonstrated my dedication to maintaining competence and effectiveness in my role as a modern-day police officer. This approach not only enhances my professional growth but also ensures that I am able to meet </w:t>
      </w:r>
      <w:r w:rsidRPr="00517B18">
        <w:rPr>
          <w:rFonts w:asciiTheme="minorHAnsi" w:hAnsiTheme="minorHAnsi" w:cstheme="minorHAnsi"/>
          <w:sz w:val="24"/>
          <w:szCs w:val="24"/>
        </w:rPr>
        <w:lastRenderedPageBreak/>
        <w:t>the high standards expected within modern policing, ultimately contributing to better service for the general public.</w:t>
      </w:r>
    </w:p>
    <w:p w14:paraId="6D396401" w14:textId="77777777" w:rsidR="00517B18" w:rsidRPr="00517B18" w:rsidRDefault="00517B18" w:rsidP="007F52E2">
      <w:pPr>
        <w:rPr>
          <w:rFonts w:asciiTheme="minorHAnsi" w:hAnsiTheme="minorHAnsi" w:cstheme="minorHAnsi"/>
          <w:sz w:val="24"/>
          <w:szCs w:val="24"/>
        </w:rPr>
      </w:pPr>
    </w:p>
    <w:p w14:paraId="281D2210" w14:textId="77777777" w:rsidR="007F52E2" w:rsidRPr="00FF7EB5" w:rsidRDefault="007F52E2" w:rsidP="007F52E2">
      <w:pPr>
        <w:spacing w:after="160" w:line="259" w:lineRule="auto"/>
        <w:rPr>
          <w:rFonts w:asciiTheme="minorHAnsi" w:hAnsiTheme="minorHAnsi" w:cstheme="minorHAnsi"/>
          <w:sz w:val="24"/>
          <w:szCs w:val="24"/>
        </w:rPr>
      </w:pPr>
      <w:r w:rsidRPr="00517B18">
        <w:rPr>
          <w:rFonts w:asciiTheme="minorHAnsi" w:hAnsiTheme="minorHAnsi" w:cstheme="minorHAnsi"/>
          <w:sz w:val="24"/>
          <w:szCs w:val="24"/>
        </w:rPr>
        <w:t>T</w:t>
      </w:r>
      <w:r w:rsidRPr="00FF7EB5">
        <w:rPr>
          <w:rFonts w:asciiTheme="minorHAnsi" w:hAnsiTheme="minorHAnsi" w:cstheme="minorHAnsi"/>
          <w:sz w:val="24"/>
          <w:szCs w:val="24"/>
        </w:rPr>
        <w:t xml:space="preserve">he application of evidence-based practices has become central to </w:t>
      </w:r>
      <w:r w:rsidRPr="00517B18">
        <w:rPr>
          <w:rFonts w:asciiTheme="minorHAnsi" w:hAnsiTheme="minorHAnsi" w:cstheme="minorHAnsi"/>
          <w:sz w:val="24"/>
          <w:szCs w:val="24"/>
        </w:rPr>
        <w:t>my</w:t>
      </w:r>
      <w:r w:rsidRPr="00FF7EB5">
        <w:rPr>
          <w:rFonts w:asciiTheme="minorHAnsi" w:hAnsiTheme="minorHAnsi" w:cstheme="minorHAnsi"/>
          <w:sz w:val="24"/>
          <w:szCs w:val="24"/>
        </w:rPr>
        <w:t xml:space="preserve"> approach in handling complex issues like drug-related crime. For instance, research suggests that using a problem-oriented approach, such as the SARA model (Scanning, Analysis, Response, and Assessment), </w:t>
      </w:r>
      <w:r w:rsidRPr="00517B18">
        <w:rPr>
          <w:rFonts w:asciiTheme="minorHAnsi" w:hAnsiTheme="minorHAnsi" w:cstheme="minorHAnsi"/>
          <w:sz w:val="24"/>
          <w:szCs w:val="24"/>
        </w:rPr>
        <w:t>is</w:t>
      </w:r>
      <w:r w:rsidRPr="00FF7EB5">
        <w:rPr>
          <w:rFonts w:asciiTheme="minorHAnsi" w:hAnsiTheme="minorHAnsi" w:cstheme="minorHAnsi"/>
          <w:sz w:val="24"/>
          <w:szCs w:val="24"/>
        </w:rPr>
        <w:t xml:space="preserve"> effective in identifying and addressing the root causes of drug-related issues within </w:t>
      </w:r>
      <w:r w:rsidRPr="00517B18">
        <w:rPr>
          <w:rFonts w:asciiTheme="minorHAnsi" w:hAnsiTheme="minorHAnsi" w:cstheme="minorHAnsi"/>
          <w:sz w:val="24"/>
          <w:szCs w:val="24"/>
        </w:rPr>
        <w:t xml:space="preserve">local </w:t>
      </w:r>
      <w:r w:rsidRPr="00FF7EB5">
        <w:rPr>
          <w:rFonts w:asciiTheme="minorHAnsi" w:hAnsiTheme="minorHAnsi" w:cstheme="minorHAnsi"/>
          <w:sz w:val="24"/>
          <w:szCs w:val="24"/>
        </w:rPr>
        <w:t xml:space="preserve">communities </w:t>
      </w:r>
      <w:r w:rsidRPr="00517B18">
        <w:rPr>
          <w:rFonts w:asciiTheme="minorHAnsi" w:hAnsiTheme="minorHAnsi" w:cstheme="minorHAnsi"/>
          <w:sz w:val="24"/>
          <w:szCs w:val="24"/>
        </w:rPr>
        <w:t>(Goldstein, 1990)</w:t>
      </w:r>
      <w:r w:rsidRPr="00FF7EB5">
        <w:rPr>
          <w:rFonts w:asciiTheme="minorHAnsi" w:hAnsiTheme="minorHAnsi" w:cstheme="minorHAnsi"/>
          <w:sz w:val="24"/>
          <w:szCs w:val="24"/>
        </w:rPr>
        <w:t xml:space="preserve">. Through this method, </w:t>
      </w:r>
      <w:r w:rsidRPr="00517B18">
        <w:rPr>
          <w:rFonts w:asciiTheme="minorHAnsi" w:hAnsiTheme="minorHAnsi" w:cstheme="minorHAnsi"/>
          <w:sz w:val="24"/>
          <w:szCs w:val="24"/>
        </w:rPr>
        <w:t>I and local neighbourhood officers are</w:t>
      </w:r>
      <w:r w:rsidRPr="00FF7EB5">
        <w:rPr>
          <w:rFonts w:asciiTheme="minorHAnsi" w:hAnsiTheme="minorHAnsi" w:cstheme="minorHAnsi"/>
          <w:sz w:val="24"/>
          <w:szCs w:val="24"/>
        </w:rPr>
        <w:t xml:space="preserve"> able to </w:t>
      </w:r>
      <w:r w:rsidRPr="00517B18">
        <w:rPr>
          <w:rFonts w:asciiTheme="minorHAnsi" w:hAnsiTheme="minorHAnsi" w:cstheme="minorHAnsi"/>
          <w:sz w:val="24"/>
          <w:szCs w:val="24"/>
        </w:rPr>
        <w:t>easily analyse</w:t>
      </w:r>
      <w:r w:rsidRPr="00FF7EB5">
        <w:rPr>
          <w:rFonts w:asciiTheme="minorHAnsi" w:hAnsiTheme="minorHAnsi" w:cstheme="minorHAnsi"/>
          <w:sz w:val="24"/>
          <w:szCs w:val="24"/>
        </w:rPr>
        <w:t xml:space="preserve"> crime patterns, implement targeted interventions, and continuously assess outcomes to </w:t>
      </w:r>
      <w:r w:rsidRPr="00517B18">
        <w:rPr>
          <w:rFonts w:asciiTheme="minorHAnsi" w:hAnsiTheme="minorHAnsi" w:cstheme="minorHAnsi"/>
          <w:sz w:val="24"/>
          <w:szCs w:val="24"/>
        </w:rPr>
        <w:t xml:space="preserve">better </w:t>
      </w:r>
      <w:r w:rsidRPr="00FF7EB5">
        <w:rPr>
          <w:rFonts w:asciiTheme="minorHAnsi" w:hAnsiTheme="minorHAnsi" w:cstheme="minorHAnsi"/>
          <w:sz w:val="24"/>
          <w:szCs w:val="24"/>
        </w:rPr>
        <w:t>refine their approach</w:t>
      </w:r>
      <w:r w:rsidRPr="00517B18">
        <w:rPr>
          <w:rFonts w:asciiTheme="minorHAnsi" w:hAnsiTheme="minorHAnsi" w:cstheme="minorHAnsi"/>
          <w:sz w:val="24"/>
          <w:szCs w:val="24"/>
        </w:rPr>
        <w:t xml:space="preserve"> to ongoing issues</w:t>
      </w:r>
      <w:r w:rsidRPr="00FF7EB5">
        <w:rPr>
          <w:rFonts w:asciiTheme="minorHAnsi" w:hAnsiTheme="minorHAnsi" w:cstheme="minorHAnsi"/>
          <w:sz w:val="24"/>
          <w:szCs w:val="24"/>
        </w:rPr>
        <w:t xml:space="preserve"> </w:t>
      </w:r>
      <w:r w:rsidRPr="00517B18">
        <w:rPr>
          <w:rFonts w:asciiTheme="minorHAnsi" w:hAnsiTheme="minorHAnsi" w:cstheme="minorHAnsi"/>
          <w:sz w:val="24"/>
          <w:szCs w:val="24"/>
        </w:rPr>
        <w:t>(Anthony Allan Braga and Weisburd, 2010)</w:t>
      </w:r>
      <w:r w:rsidRPr="00FF7EB5">
        <w:rPr>
          <w:rFonts w:asciiTheme="minorHAnsi" w:hAnsiTheme="minorHAnsi" w:cstheme="minorHAnsi"/>
          <w:sz w:val="24"/>
          <w:szCs w:val="24"/>
        </w:rPr>
        <w:t>. Evidence-based practices, such as intelligence-led policing, also support</w:t>
      </w:r>
      <w:r w:rsidRPr="00517B18">
        <w:rPr>
          <w:rFonts w:asciiTheme="minorHAnsi" w:hAnsiTheme="minorHAnsi" w:cstheme="minorHAnsi"/>
          <w:sz w:val="24"/>
          <w:szCs w:val="24"/>
        </w:rPr>
        <w:t>s</w:t>
      </w:r>
      <w:r w:rsidRPr="00FF7EB5">
        <w:rPr>
          <w:rFonts w:asciiTheme="minorHAnsi" w:hAnsiTheme="minorHAnsi" w:cstheme="minorHAnsi"/>
          <w:sz w:val="24"/>
          <w:szCs w:val="24"/>
        </w:rPr>
        <w:t xml:space="preserve"> the proactive gathering of intelligence to disrupt drug networks and prevent further criminal activities (Ratcliffe, 2016). </w:t>
      </w:r>
      <w:r w:rsidRPr="00517B18">
        <w:rPr>
          <w:rFonts w:asciiTheme="minorHAnsi" w:hAnsiTheme="minorHAnsi" w:cstheme="minorHAnsi"/>
          <w:sz w:val="24"/>
          <w:szCs w:val="24"/>
        </w:rPr>
        <w:t>A</w:t>
      </w:r>
      <w:r w:rsidRPr="00FF7EB5">
        <w:rPr>
          <w:rFonts w:asciiTheme="minorHAnsi" w:hAnsiTheme="minorHAnsi" w:cstheme="minorHAnsi"/>
          <w:sz w:val="24"/>
          <w:szCs w:val="24"/>
        </w:rPr>
        <w:t>dopting these strategies</w:t>
      </w:r>
      <w:r w:rsidRPr="00517B18">
        <w:rPr>
          <w:rFonts w:asciiTheme="minorHAnsi" w:hAnsiTheme="minorHAnsi" w:cstheme="minorHAnsi"/>
          <w:sz w:val="24"/>
          <w:szCs w:val="24"/>
        </w:rPr>
        <w:t xml:space="preserve"> through-out investigations</w:t>
      </w:r>
      <w:r w:rsidRPr="00FF7EB5">
        <w:rPr>
          <w:rFonts w:asciiTheme="minorHAnsi" w:hAnsiTheme="minorHAnsi" w:cstheme="minorHAnsi"/>
          <w:sz w:val="24"/>
          <w:szCs w:val="24"/>
        </w:rPr>
        <w:t xml:space="preserve"> aligns with the College of Policing’s goal of promoting methods proven to </w:t>
      </w:r>
      <w:r w:rsidRPr="00517B18">
        <w:rPr>
          <w:rFonts w:asciiTheme="minorHAnsi" w:hAnsiTheme="minorHAnsi" w:cstheme="minorHAnsi"/>
          <w:sz w:val="24"/>
          <w:szCs w:val="24"/>
        </w:rPr>
        <w:t>encourage</w:t>
      </w:r>
      <w:r w:rsidRPr="00FF7EB5">
        <w:rPr>
          <w:rFonts w:asciiTheme="minorHAnsi" w:hAnsiTheme="minorHAnsi" w:cstheme="minorHAnsi"/>
          <w:sz w:val="24"/>
          <w:szCs w:val="24"/>
        </w:rPr>
        <w:t xml:space="preserve"> positive outcomes, thereby enhancing community trust and the efficacy of policing efforts (College of Policing, 20</w:t>
      </w:r>
      <w:r w:rsidRPr="00517B18">
        <w:rPr>
          <w:rFonts w:asciiTheme="minorHAnsi" w:hAnsiTheme="minorHAnsi" w:cstheme="minorHAnsi"/>
          <w:sz w:val="24"/>
          <w:szCs w:val="24"/>
        </w:rPr>
        <w:t>22</w:t>
      </w:r>
      <w:r w:rsidRPr="00FF7EB5">
        <w:rPr>
          <w:rFonts w:asciiTheme="minorHAnsi" w:hAnsiTheme="minorHAnsi" w:cstheme="minorHAnsi"/>
          <w:sz w:val="24"/>
          <w:szCs w:val="24"/>
        </w:rPr>
        <w:t>).</w:t>
      </w:r>
    </w:p>
    <w:p w14:paraId="00B07C49" w14:textId="77777777" w:rsidR="007F52E2" w:rsidRPr="00517B18" w:rsidRDefault="007F52E2" w:rsidP="007F52E2">
      <w:pPr>
        <w:rPr>
          <w:rFonts w:asciiTheme="minorHAnsi" w:hAnsiTheme="minorHAnsi" w:cstheme="minorHAnsi"/>
          <w:sz w:val="24"/>
          <w:szCs w:val="24"/>
        </w:rPr>
      </w:pPr>
      <w:r w:rsidRPr="0047047A">
        <w:rPr>
          <w:rFonts w:asciiTheme="minorHAnsi" w:hAnsiTheme="minorHAnsi" w:cstheme="minorHAnsi"/>
          <w:sz w:val="24"/>
          <w:szCs w:val="24"/>
        </w:rPr>
        <w:t>I've actively worked to improve my knowledge of and support for various communities, especially the LGBT community, of which I am a member. Through my participation in diversity and inclusion training and interactions with neighbourhood advocacy groups, I have been able to build mutual understanding and trust between the police and under-represented populations. According to research, when police officers are sympathetic to the cultural concerns of LGBT people, they build stronger relationships, lessen the possibility of prejudice, and encourage underserved populations to report crimes and seek help.</w:t>
      </w:r>
      <w:r w:rsidRPr="001E4102">
        <w:rPr>
          <w:rFonts w:asciiTheme="minorHAnsi" w:hAnsiTheme="minorHAnsi" w:cstheme="minorHAnsi"/>
          <w:sz w:val="24"/>
          <w:szCs w:val="24"/>
        </w:rPr>
        <w:t xml:space="preserve"> </w:t>
      </w:r>
      <w:r w:rsidRPr="00517B18">
        <w:rPr>
          <w:rFonts w:asciiTheme="minorHAnsi" w:hAnsiTheme="minorHAnsi" w:cstheme="minorHAnsi"/>
          <w:sz w:val="24"/>
          <w:szCs w:val="24"/>
        </w:rPr>
        <w:t>(Miles-Johnson, 2013)</w:t>
      </w:r>
      <w:r w:rsidRPr="001E4102">
        <w:rPr>
          <w:rFonts w:asciiTheme="minorHAnsi" w:hAnsiTheme="minorHAnsi" w:cstheme="minorHAnsi"/>
          <w:sz w:val="24"/>
          <w:szCs w:val="24"/>
        </w:rPr>
        <w:t xml:space="preserve">. </w:t>
      </w:r>
      <w:r w:rsidRPr="00517B18">
        <w:rPr>
          <w:rFonts w:asciiTheme="minorHAnsi" w:hAnsiTheme="minorHAnsi" w:cstheme="minorHAnsi"/>
          <w:sz w:val="24"/>
          <w:szCs w:val="24"/>
        </w:rPr>
        <w:t>As demonstrated by programs like the National Police LGBT+ Network, which assists officers in dealing with to community-specific needs, which are in line with the College of Policing's mission to develop a police force that is both representative of the society it serves and sensitive to its particular challenges (O’Driscoll, 2018). Officers' ability to properly address complicated social issues is further enhanced by their dedication to inclusivity, creating safer and more welcoming environments for everyone (Bradford and Loader, 2015).</w:t>
      </w:r>
    </w:p>
    <w:p w14:paraId="1C54A253" w14:textId="77777777" w:rsidR="00517B18" w:rsidRPr="00517B18" w:rsidRDefault="00517B18" w:rsidP="007F52E2">
      <w:pPr>
        <w:rPr>
          <w:rFonts w:asciiTheme="minorHAnsi" w:hAnsiTheme="minorHAnsi" w:cstheme="minorHAnsi"/>
          <w:sz w:val="24"/>
          <w:szCs w:val="24"/>
        </w:rPr>
      </w:pPr>
    </w:p>
    <w:p w14:paraId="0D9CA00A" w14:textId="77777777" w:rsidR="007F52E2" w:rsidRPr="00635ECB" w:rsidRDefault="007F52E2" w:rsidP="007F52E2">
      <w:pPr>
        <w:spacing w:after="160" w:line="259" w:lineRule="auto"/>
        <w:rPr>
          <w:rFonts w:asciiTheme="minorHAnsi" w:hAnsiTheme="minorHAnsi" w:cstheme="minorHAnsi"/>
          <w:sz w:val="24"/>
          <w:szCs w:val="24"/>
        </w:rPr>
      </w:pPr>
      <w:r w:rsidRPr="00517B18">
        <w:rPr>
          <w:rFonts w:asciiTheme="minorHAnsi" w:hAnsiTheme="minorHAnsi" w:cstheme="minorHAnsi"/>
          <w:sz w:val="24"/>
          <w:szCs w:val="24"/>
        </w:rPr>
        <w:t xml:space="preserve">Since beginning the final year of my probation period, I have taken on a lot more responsibility within my team and had exposure to the broader strategic priorities of policing, such as understanding the implications of Policing Vision 2025 </w:t>
      </w:r>
      <w:r w:rsidRPr="00635ECB">
        <w:rPr>
          <w:rFonts w:asciiTheme="minorHAnsi" w:hAnsiTheme="minorHAnsi" w:cstheme="minorHAnsi"/>
          <w:sz w:val="24"/>
          <w:szCs w:val="24"/>
        </w:rPr>
        <w:t>(</w:t>
      </w:r>
      <w:r w:rsidRPr="00517B18">
        <w:rPr>
          <w:rFonts w:asciiTheme="minorHAnsi" w:hAnsiTheme="minorHAnsi" w:cstheme="minorHAnsi"/>
          <w:sz w:val="24"/>
          <w:szCs w:val="24"/>
        </w:rPr>
        <w:t>NPCC</w:t>
      </w:r>
      <w:r w:rsidRPr="00635ECB">
        <w:rPr>
          <w:rFonts w:asciiTheme="minorHAnsi" w:hAnsiTheme="minorHAnsi" w:cstheme="minorHAnsi"/>
          <w:sz w:val="24"/>
          <w:szCs w:val="24"/>
        </w:rPr>
        <w:t>, 2016)</w:t>
      </w:r>
      <w:r w:rsidRPr="00517B18">
        <w:rPr>
          <w:rFonts w:asciiTheme="minorHAnsi" w:hAnsiTheme="minorHAnsi" w:cstheme="minorHAnsi"/>
          <w:sz w:val="24"/>
          <w:szCs w:val="24"/>
        </w:rPr>
        <w:t>. I have engaged with multiple inter-agency collaborations such as social services and community groups and contributed to initiatives within local neighbourhoods that address national threats such as terrorism and the drug trade, by doing this I have been growing my role in supporting strategic policing requirements throughout the UK.</w:t>
      </w:r>
    </w:p>
    <w:p w14:paraId="4CB456DB" w14:textId="77777777" w:rsidR="007F52E2" w:rsidRPr="00635ECB" w:rsidRDefault="007F52E2" w:rsidP="007F52E2">
      <w:pPr>
        <w:spacing w:after="160" w:line="259" w:lineRule="auto"/>
        <w:rPr>
          <w:rFonts w:asciiTheme="minorHAnsi" w:hAnsiTheme="minorHAnsi" w:cstheme="minorHAnsi"/>
          <w:sz w:val="24"/>
          <w:szCs w:val="24"/>
        </w:rPr>
      </w:pPr>
      <w:r w:rsidRPr="00635ECB">
        <w:rPr>
          <w:rFonts w:asciiTheme="minorHAnsi" w:hAnsiTheme="minorHAnsi" w:cstheme="minorHAnsi"/>
          <w:sz w:val="24"/>
          <w:szCs w:val="24"/>
        </w:rPr>
        <w:t>Throughout probation, I</w:t>
      </w:r>
      <w:r w:rsidRPr="00517B18">
        <w:rPr>
          <w:rFonts w:asciiTheme="minorHAnsi" w:hAnsiTheme="minorHAnsi" w:cstheme="minorHAnsi"/>
          <w:sz w:val="24"/>
          <w:szCs w:val="24"/>
        </w:rPr>
        <w:t xml:space="preserve"> have</w:t>
      </w:r>
      <w:r w:rsidRPr="00635ECB">
        <w:rPr>
          <w:rFonts w:asciiTheme="minorHAnsi" w:hAnsiTheme="minorHAnsi" w:cstheme="minorHAnsi"/>
          <w:sz w:val="24"/>
          <w:szCs w:val="24"/>
        </w:rPr>
        <w:t xml:space="preserve"> moved from a closely supervised position to one with greater autonomy, requiring me to exercise more judgment and make independent decisions</w:t>
      </w:r>
      <w:r w:rsidRPr="00517B18">
        <w:rPr>
          <w:rFonts w:asciiTheme="minorHAnsi" w:hAnsiTheme="minorHAnsi" w:cstheme="minorHAnsi"/>
          <w:sz w:val="24"/>
          <w:szCs w:val="24"/>
        </w:rPr>
        <w:t xml:space="preserve"> whilst at calls and during investigations</w:t>
      </w:r>
      <w:r w:rsidRPr="00635ECB">
        <w:rPr>
          <w:rFonts w:asciiTheme="minorHAnsi" w:hAnsiTheme="minorHAnsi" w:cstheme="minorHAnsi"/>
          <w:sz w:val="24"/>
          <w:szCs w:val="24"/>
        </w:rPr>
        <w:t>. This shift not only reflects the growing trust that my supe</w:t>
      </w:r>
      <w:r w:rsidRPr="00517B18">
        <w:rPr>
          <w:rFonts w:asciiTheme="minorHAnsi" w:hAnsiTheme="minorHAnsi" w:cstheme="minorHAnsi"/>
          <w:sz w:val="24"/>
          <w:szCs w:val="24"/>
        </w:rPr>
        <w:t>rvisors</w:t>
      </w:r>
      <w:r w:rsidRPr="00635ECB">
        <w:rPr>
          <w:rFonts w:asciiTheme="minorHAnsi" w:hAnsiTheme="minorHAnsi" w:cstheme="minorHAnsi"/>
          <w:sz w:val="24"/>
          <w:szCs w:val="24"/>
        </w:rPr>
        <w:t xml:space="preserve"> place in me but also encourages my own accountability and confidence.</w:t>
      </w:r>
      <w:r w:rsidRPr="00517B18">
        <w:rPr>
          <w:rFonts w:asciiTheme="minorHAnsi" w:hAnsiTheme="minorHAnsi" w:cstheme="minorHAnsi"/>
          <w:sz w:val="24"/>
          <w:szCs w:val="24"/>
        </w:rPr>
        <w:t xml:space="preserve"> The development of decisionmaking abilities necessary for efficient policing depends on independence according to policing research (Brown, 1981). Since having this independence, </w:t>
      </w:r>
      <w:r w:rsidRPr="00517B18">
        <w:rPr>
          <w:rFonts w:asciiTheme="minorHAnsi" w:hAnsiTheme="minorHAnsi" w:cstheme="minorHAnsi"/>
          <w:sz w:val="24"/>
          <w:szCs w:val="24"/>
        </w:rPr>
        <w:lastRenderedPageBreak/>
        <w:t>I feel more equipped to manage challenging circumstances when I take on greater responsibility, which helps me to effectively support my team and the community.</w:t>
      </w:r>
    </w:p>
    <w:p w14:paraId="3D74EFE1" w14:textId="77777777" w:rsidR="007F52E2" w:rsidRPr="00635ECB" w:rsidRDefault="007F52E2" w:rsidP="007F52E2">
      <w:pPr>
        <w:spacing w:after="160" w:line="259" w:lineRule="auto"/>
        <w:rPr>
          <w:rFonts w:asciiTheme="minorHAnsi" w:hAnsiTheme="minorHAnsi" w:cstheme="minorHAnsi"/>
          <w:sz w:val="24"/>
          <w:szCs w:val="24"/>
        </w:rPr>
      </w:pPr>
      <w:r w:rsidRPr="00635ECB">
        <w:rPr>
          <w:rFonts w:asciiTheme="minorHAnsi" w:hAnsiTheme="minorHAnsi" w:cstheme="minorHAnsi"/>
          <w:sz w:val="24"/>
          <w:szCs w:val="24"/>
        </w:rPr>
        <w:t xml:space="preserve">Community policing has become </w:t>
      </w:r>
      <w:r w:rsidRPr="00517B18">
        <w:rPr>
          <w:rFonts w:asciiTheme="minorHAnsi" w:hAnsiTheme="minorHAnsi" w:cstheme="minorHAnsi"/>
          <w:sz w:val="24"/>
          <w:szCs w:val="24"/>
        </w:rPr>
        <w:t>integral</w:t>
      </w:r>
      <w:r w:rsidRPr="00635ECB">
        <w:rPr>
          <w:rFonts w:asciiTheme="minorHAnsi" w:hAnsiTheme="minorHAnsi" w:cstheme="minorHAnsi"/>
          <w:sz w:val="24"/>
          <w:szCs w:val="24"/>
        </w:rPr>
        <w:t xml:space="preserve"> to my work, as I have </w:t>
      </w:r>
      <w:r w:rsidRPr="00517B18">
        <w:rPr>
          <w:rFonts w:asciiTheme="minorHAnsi" w:hAnsiTheme="minorHAnsi" w:cstheme="minorHAnsi"/>
          <w:sz w:val="24"/>
          <w:szCs w:val="24"/>
        </w:rPr>
        <w:t>developed</w:t>
      </w:r>
      <w:r w:rsidRPr="00635ECB">
        <w:rPr>
          <w:rFonts w:asciiTheme="minorHAnsi" w:hAnsiTheme="minorHAnsi" w:cstheme="minorHAnsi"/>
          <w:sz w:val="24"/>
          <w:szCs w:val="24"/>
        </w:rPr>
        <w:t xml:space="preserve"> relationships that go beyond basic interactions</w:t>
      </w:r>
      <w:r w:rsidRPr="00517B18">
        <w:rPr>
          <w:rFonts w:asciiTheme="minorHAnsi" w:hAnsiTheme="minorHAnsi" w:cstheme="minorHAnsi"/>
          <w:sz w:val="24"/>
          <w:szCs w:val="24"/>
        </w:rPr>
        <w:t xml:space="preserve"> with persons in my communities</w:t>
      </w:r>
      <w:r w:rsidRPr="00635ECB">
        <w:rPr>
          <w:rFonts w:asciiTheme="minorHAnsi" w:hAnsiTheme="minorHAnsi" w:cstheme="minorHAnsi"/>
          <w:sz w:val="24"/>
          <w:szCs w:val="24"/>
        </w:rPr>
        <w:t xml:space="preserve">. I have learned that community trust is a cornerstone of effective policing, essential for both crime prevention and resolution </w:t>
      </w:r>
      <w:r w:rsidRPr="00517B18">
        <w:rPr>
          <w:rFonts w:asciiTheme="minorHAnsi" w:hAnsiTheme="minorHAnsi" w:cstheme="minorHAnsi"/>
          <w:sz w:val="24"/>
          <w:szCs w:val="24"/>
        </w:rPr>
        <w:t>(</w:t>
      </w:r>
      <w:proofErr w:type="spellStart"/>
      <w:r w:rsidRPr="00517B18">
        <w:rPr>
          <w:rFonts w:asciiTheme="minorHAnsi" w:hAnsiTheme="minorHAnsi" w:cstheme="minorHAnsi"/>
          <w:sz w:val="24"/>
          <w:szCs w:val="24"/>
        </w:rPr>
        <w:t>Signori</w:t>
      </w:r>
      <w:proofErr w:type="spellEnd"/>
      <w:r w:rsidRPr="00517B18">
        <w:rPr>
          <w:rFonts w:asciiTheme="minorHAnsi" w:hAnsiTheme="minorHAnsi" w:cstheme="minorHAnsi"/>
          <w:sz w:val="24"/>
          <w:szCs w:val="24"/>
        </w:rPr>
        <w:t xml:space="preserve"> et al., 2023)</w:t>
      </w:r>
      <w:r w:rsidRPr="00635ECB">
        <w:rPr>
          <w:rFonts w:asciiTheme="minorHAnsi" w:hAnsiTheme="minorHAnsi" w:cstheme="minorHAnsi"/>
          <w:sz w:val="24"/>
          <w:szCs w:val="24"/>
        </w:rPr>
        <w:t xml:space="preserve">. Working closely with community groups has allowed me to understand specific challenges and needs, fostering partnerships that are mutually beneficial. This approach aligns with research advocating that community-based strategies, like </w:t>
      </w:r>
      <w:r w:rsidRPr="00517B18">
        <w:rPr>
          <w:rFonts w:asciiTheme="minorHAnsi" w:hAnsiTheme="minorHAnsi" w:cstheme="minorHAnsi"/>
          <w:sz w:val="24"/>
          <w:szCs w:val="24"/>
        </w:rPr>
        <w:t>neighbourhood</w:t>
      </w:r>
      <w:r w:rsidRPr="00635ECB">
        <w:rPr>
          <w:rFonts w:asciiTheme="minorHAnsi" w:hAnsiTheme="minorHAnsi" w:cstheme="minorHAnsi"/>
          <w:sz w:val="24"/>
          <w:szCs w:val="24"/>
        </w:rPr>
        <w:t xml:space="preserve"> policing, can reduce crime while building stronger community relations </w:t>
      </w:r>
      <w:r w:rsidRPr="00517B18">
        <w:rPr>
          <w:rFonts w:asciiTheme="minorHAnsi" w:hAnsiTheme="minorHAnsi" w:cstheme="minorHAnsi"/>
          <w:sz w:val="24"/>
          <w:szCs w:val="24"/>
        </w:rPr>
        <w:t>(Gill et al., 2014)</w:t>
      </w:r>
      <w:r w:rsidRPr="00635ECB">
        <w:rPr>
          <w:rFonts w:asciiTheme="minorHAnsi" w:hAnsiTheme="minorHAnsi" w:cstheme="minorHAnsi"/>
          <w:sz w:val="24"/>
          <w:szCs w:val="24"/>
        </w:rPr>
        <w:t>. As a member of the LGBT community, these connections carry additional personal significance, reinforcing my commitment to inclusivity and understanding of diverse populations.</w:t>
      </w:r>
    </w:p>
    <w:p w14:paraId="4A236481" w14:textId="77777777" w:rsidR="007F52E2" w:rsidRPr="00635ECB" w:rsidRDefault="007F52E2" w:rsidP="007F52E2">
      <w:pPr>
        <w:spacing w:after="160" w:line="259" w:lineRule="auto"/>
        <w:rPr>
          <w:rFonts w:asciiTheme="minorHAnsi" w:hAnsiTheme="minorHAnsi" w:cstheme="minorHAnsi"/>
          <w:sz w:val="24"/>
          <w:szCs w:val="24"/>
        </w:rPr>
      </w:pPr>
      <w:r w:rsidRPr="00635ECB">
        <w:rPr>
          <w:rFonts w:asciiTheme="minorHAnsi" w:hAnsiTheme="minorHAnsi" w:cstheme="minorHAnsi"/>
          <w:sz w:val="24"/>
          <w:szCs w:val="24"/>
        </w:rPr>
        <w:t>Throughout this period, I have also gained a clearer understanding of strategic priorities, particularly the Policing Vision 2025. This framework has introduced me to the necessity of adopting a proactive, collaborative approach to both community and national-level challenges (</w:t>
      </w:r>
      <w:r w:rsidRPr="00517B18">
        <w:rPr>
          <w:rFonts w:asciiTheme="minorHAnsi" w:hAnsiTheme="minorHAnsi" w:cstheme="minorHAnsi"/>
          <w:sz w:val="24"/>
          <w:szCs w:val="24"/>
        </w:rPr>
        <w:t>NPCC</w:t>
      </w:r>
      <w:r w:rsidRPr="00635ECB">
        <w:rPr>
          <w:rFonts w:asciiTheme="minorHAnsi" w:hAnsiTheme="minorHAnsi" w:cstheme="minorHAnsi"/>
          <w:sz w:val="24"/>
          <w:szCs w:val="24"/>
        </w:rPr>
        <w:t>, 2016). This understanding has influenced my daily duties, motivating me to prioriti</w:t>
      </w:r>
      <w:r w:rsidRPr="00517B18">
        <w:rPr>
          <w:rFonts w:asciiTheme="minorHAnsi" w:hAnsiTheme="minorHAnsi" w:cstheme="minorHAnsi"/>
          <w:sz w:val="24"/>
          <w:szCs w:val="24"/>
        </w:rPr>
        <w:t>s</w:t>
      </w:r>
      <w:r w:rsidRPr="00635ECB">
        <w:rPr>
          <w:rFonts w:asciiTheme="minorHAnsi" w:hAnsiTheme="minorHAnsi" w:cstheme="minorHAnsi"/>
          <w:sz w:val="24"/>
          <w:szCs w:val="24"/>
        </w:rPr>
        <w:t xml:space="preserve">e community trust and inter-agency collaboration. The College’s emphasis on technology and intelligence-led policing has also reinforced my focus on </w:t>
      </w:r>
      <w:r w:rsidRPr="00517B18">
        <w:rPr>
          <w:rFonts w:asciiTheme="minorHAnsi" w:hAnsiTheme="minorHAnsi" w:cstheme="minorHAnsi"/>
          <w:sz w:val="24"/>
          <w:szCs w:val="24"/>
        </w:rPr>
        <w:t xml:space="preserve">local </w:t>
      </w:r>
      <w:r w:rsidRPr="00635ECB">
        <w:rPr>
          <w:rFonts w:asciiTheme="minorHAnsi" w:hAnsiTheme="minorHAnsi" w:cstheme="minorHAnsi"/>
          <w:sz w:val="24"/>
          <w:szCs w:val="24"/>
        </w:rPr>
        <w:t xml:space="preserve">data and evidence, contributing to my ability to anticipate emerging trends in crime and develop </w:t>
      </w:r>
      <w:r w:rsidRPr="00517B18">
        <w:rPr>
          <w:rFonts w:asciiTheme="minorHAnsi" w:hAnsiTheme="minorHAnsi" w:cstheme="minorHAnsi"/>
          <w:sz w:val="24"/>
          <w:szCs w:val="24"/>
        </w:rPr>
        <w:t>better</w:t>
      </w:r>
      <w:r w:rsidRPr="00635ECB">
        <w:rPr>
          <w:rFonts w:asciiTheme="minorHAnsi" w:hAnsiTheme="minorHAnsi" w:cstheme="minorHAnsi"/>
          <w:sz w:val="24"/>
          <w:szCs w:val="24"/>
        </w:rPr>
        <w:t xml:space="preserve"> strategies. This perspective aligns with academic </w:t>
      </w:r>
      <w:r w:rsidRPr="00517B18">
        <w:rPr>
          <w:rFonts w:asciiTheme="minorHAnsi" w:hAnsiTheme="minorHAnsi" w:cstheme="minorHAnsi"/>
          <w:sz w:val="24"/>
          <w:szCs w:val="24"/>
        </w:rPr>
        <w:t>research</w:t>
      </w:r>
      <w:r w:rsidRPr="00635ECB">
        <w:rPr>
          <w:rFonts w:asciiTheme="minorHAnsi" w:hAnsiTheme="minorHAnsi" w:cstheme="minorHAnsi"/>
          <w:sz w:val="24"/>
          <w:szCs w:val="24"/>
        </w:rPr>
        <w:t xml:space="preserve"> on proactive policing’s role in early intervention and reducing repeat offending (Ratcliffe, 2016).</w:t>
      </w:r>
    </w:p>
    <w:p w14:paraId="4AD37391" w14:textId="77777777" w:rsidR="007F52E2" w:rsidRPr="00635ECB" w:rsidRDefault="007F52E2" w:rsidP="007F52E2">
      <w:pPr>
        <w:spacing w:after="160" w:line="259" w:lineRule="auto"/>
        <w:rPr>
          <w:rFonts w:asciiTheme="minorHAnsi" w:hAnsiTheme="minorHAnsi" w:cstheme="minorHAnsi"/>
          <w:sz w:val="24"/>
          <w:szCs w:val="24"/>
        </w:rPr>
      </w:pPr>
      <w:r w:rsidRPr="00635ECB">
        <w:rPr>
          <w:rFonts w:asciiTheme="minorHAnsi" w:hAnsiTheme="minorHAnsi" w:cstheme="minorHAnsi"/>
          <w:sz w:val="24"/>
          <w:szCs w:val="24"/>
        </w:rPr>
        <w:t xml:space="preserve">My final probationary year has brought opportunities to develop leadership skills, preparing me for a future role as a </w:t>
      </w:r>
      <w:r w:rsidRPr="00517B18">
        <w:rPr>
          <w:rFonts w:asciiTheme="minorHAnsi" w:hAnsiTheme="minorHAnsi" w:cstheme="minorHAnsi"/>
          <w:sz w:val="24"/>
          <w:szCs w:val="24"/>
        </w:rPr>
        <w:t>tutor or even a supervisor</w:t>
      </w:r>
      <w:r w:rsidRPr="00635ECB">
        <w:rPr>
          <w:rFonts w:asciiTheme="minorHAnsi" w:hAnsiTheme="minorHAnsi" w:cstheme="minorHAnsi"/>
          <w:sz w:val="24"/>
          <w:szCs w:val="24"/>
        </w:rPr>
        <w:t xml:space="preserve">. </w:t>
      </w:r>
      <w:r w:rsidRPr="00517B18">
        <w:rPr>
          <w:rFonts w:asciiTheme="minorHAnsi" w:hAnsiTheme="minorHAnsi" w:cstheme="minorHAnsi"/>
          <w:sz w:val="24"/>
          <w:szCs w:val="24"/>
        </w:rPr>
        <w:t>Tutor</w:t>
      </w:r>
      <w:r w:rsidRPr="00635ECB">
        <w:rPr>
          <w:rFonts w:asciiTheme="minorHAnsi" w:hAnsiTheme="minorHAnsi" w:cstheme="minorHAnsi"/>
          <w:sz w:val="24"/>
          <w:szCs w:val="24"/>
        </w:rPr>
        <w:t>ship, both given and received, has proven invaluable to my development</w:t>
      </w:r>
      <w:r w:rsidRPr="00517B18">
        <w:rPr>
          <w:rFonts w:asciiTheme="minorHAnsi" w:hAnsiTheme="minorHAnsi" w:cstheme="minorHAnsi"/>
          <w:sz w:val="24"/>
          <w:szCs w:val="24"/>
        </w:rPr>
        <w:t xml:space="preserve"> as an officer</w:t>
      </w:r>
      <w:r w:rsidRPr="00635ECB">
        <w:rPr>
          <w:rFonts w:asciiTheme="minorHAnsi" w:hAnsiTheme="minorHAnsi" w:cstheme="minorHAnsi"/>
          <w:sz w:val="24"/>
          <w:szCs w:val="24"/>
        </w:rPr>
        <w:t>, allowing me to guide newer recruits in line with our ethical standards and organi</w:t>
      </w:r>
      <w:r w:rsidRPr="00517B18">
        <w:rPr>
          <w:rFonts w:asciiTheme="minorHAnsi" w:hAnsiTheme="minorHAnsi" w:cstheme="minorHAnsi"/>
          <w:sz w:val="24"/>
          <w:szCs w:val="24"/>
        </w:rPr>
        <w:t>s</w:t>
      </w:r>
      <w:r w:rsidRPr="00635ECB">
        <w:rPr>
          <w:rFonts w:asciiTheme="minorHAnsi" w:hAnsiTheme="minorHAnsi" w:cstheme="minorHAnsi"/>
          <w:sz w:val="24"/>
          <w:szCs w:val="24"/>
        </w:rPr>
        <w:t xml:space="preserve">ational values </w:t>
      </w:r>
      <w:r w:rsidRPr="00517B18">
        <w:rPr>
          <w:rFonts w:asciiTheme="minorHAnsi" w:hAnsiTheme="minorHAnsi" w:cstheme="minorHAnsi"/>
          <w:sz w:val="24"/>
          <w:szCs w:val="24"/>
        </w:rPr>
        <w:t>(</w:t>
      </w:r>
      <w:proofErr w:type="spellStart"/>
      <w:r w:rsidRPr="00517B18">
        <w:rPr>
          <w:rFonts w:asciiTheme="minorHAnsi" w:hAnsiTheme="minorHAnsi" w:cstheme="minorHAnsi"/>
          <w:sz w:val="24"/>
          <w:szCs w:val="24"/>
        </w:rPr>
        <w:t>Neyroud</w:t>
      </w:r>
      <w:proofErr w:type="spellEnd"/>
      <w:r w:rsidRPr="00517B18">
        <w:rPr>
          <w:rFonts w:asciiTheme="minorHAnsi" w:hAnsiTheme="minorHAnsi" w:cstheme="minorHAnsi"/>
          <w:sz w:val="24"/>
          <w:szCs w:val="24"/>
        </w:rPr>
        <w:t xml:space="preserve"> QPM, 2010)</w:t>
      </w:r>
      <w:r w:rsidRPr="00635ECB">
        <w:rPr>
          <w:rFonts w:asciiTheme="minorHAnsi" w:hAnsiTheme="minorHAnsi" w:cstheme="minorHAnsi"/>
          <w:sz w:val="24"/>
          <w:szCs w:val="24"/>
        </w:rPr>
        <w:t>. While still growing in my role</w:t>
      </w:r>
      <w:r w:rsidRPr="00517B18">
        <w:rPr>
          <w:rFonts w:asciiTheme="minorHAnsi" w:hAnsiTheme="minorHAnsi" w:cstheme="minorHAnsi"/>
          <w:sz w:val="24"/>
          <w:szCs w:val="24"/>
        </w:rPr>
        <w:t xml:space="preserve"> as a response officer</w:t>
      </w:r>
      <w:r w:rsidRPr="00635ECB">
        <w:rPr>
          <w:rFonts w:asciiTheme="minorHAnsi" w:hAnsiTheme="minorHAnsi" w:cstheme="minorHAnsi"/>
          <w:sz w:val="24"/>
          <w:szCs w:val="24"/>
        </w:rPr>
        <w:t xml:space="preserve">, I have gained insights into team dynamics and the importance of leading by example, which research suggests is central to ethical policing </w:t>
      </w:r>
      <w:r w:rsidRPr="00517B18">
        <w:rPr>
          <w:rFonts w:asciiTheme="minorHAnsi" w:hAnsiTheme="minorHAnsi" w:cstheme="minorHAnsi"/>
          <w:sz w:val="24"/>
          <w:szCs w:val="24"/>
        </w:rPr>
        <w:t>(Crank, 2015)</w:t>
      </w:r>
      <w:r w:rsidRPr="00635ECB">
        <w:rPr>
          <w:rFonts w:asciiTheme="minorHAnsi" w:hAnsiTheme="minorHAnsi" w:cstheme="minorHAnsi"/>
          <w:sz w:val="24"/>
          <w:szCs w:val="24"/>
        </w:rPr>
        <w:t xml:space="preserve">. This leadership experience has given me a deeper understanding of the responsibilities I will undertake as I progress within the </w:t>
      </w:r>
      <w:r w:rsidRPr="00517B18">
        <w:rPr>
          <w:rFonts w:asciiTheme="minorHAnsi" w:hAnsiTheme="minorHAnsi" w:cstheme="minorHAnsi"/>
          <w:sz w:val="24"/>
          <w:szCs w:val="24"/>
        </w:rPr>
        <w:t xml:space="preserve">police </w:t>
      </w:r>
      <w:r w:rsidRPr="00635ECB">
        <w:rPr>
          <w:rFonts w:asciiTheme="minorHAnsi" w:hAnsiTheme="minorHAnsi" w:cstheme="minorHAnsi"/>
          <w:sz w:val="24"/>
          <w:szCs w:val="24"/>
        </w:rPr>
        <w:t>service.</w:t>
      </w:r>
    </w:p>
    <w:p w14:paraId="2D055F30" w14:textId="77777777" w:rsidR="007F52E2" w:rsidRPr="00635ECB" w:rsidRDefault="007F52E2" w:rsidP="007F52E2">
      <w:pPr>
        <w:spacing w:after="160" w:line="259" w:lineRule="auto"/>
        <w:rPr>
          <w:rFonts w:asciiTheme="minorHAnsi" w:hAnsiTheme="minorHAnsi" w:cstheme="minorHAnsi"/>
          <w:sz w:val="24"/>
          <w:szCs w:val="24"/>
        </w:rPr>
      </w:pPr>
      <w:r w:rsidRPr="00EF3633">
        <w:rPr>
          <w:rFonts w:asciiTheme="minorHAnsi" w:hAnsiTheme="minorHAnsi" w:cstheme="minorHAnsi"/>
          <w:sz w:val="24"/>
          <w:szCs w:val="24"/>
        </w:rPr>
        <w:t>Additionally, I have aligned with Workforce Transformation 2018 as part of my ongoing professional growth. In order to fulfil modern expectations, this plan needs a police force that is both adaptable and proficient in digital skills (Home Office, 2018). My ability to handle problems like cybercrime and social media threats has improved because to training in digital and analytical abilities, which has given me the vital tools I need to meet the changing demands of modern polic</w:t>
      </w:r>
      <w:r w:rsidRPr="00517B18">
        <w:rPr>
          <w:rFonts w:asciiTheme="minorHAnsi" w:hAnsiTheme="minorHAnsi" w:cstheme="minorHAnsi"/>
          <w:sz w:val="24"/>
          <w:szCs w:val="24"/>
        </w:rPr>
        <w:t>ing</w:t>
      </w:r>
      <w:r w:rsidRPr="00EF3633">
        <w:rPr>
          <w:rFonts w:asciiTheme="minorHAnsi" w:hAnsiTheme="minorHAnsi" w:cstheme="minorHAnsi"/>
          <w:sz w:val="24"/>
          <w:szCs w:val="24"/>
        </w:rPr>
        <w:t>. This training backs up scholarly claims that the police force has to be digitally literate in order to combat emerging forms of crime (</w:t>
      </w:r>
      <w:r w:rsidRPr="00517B18">
        <w:rPr>
          <w:rFonts w:asciiTheme="minorHAnsi" w:hAnsiTheme="minorHAnsi" w:cstheme="minorHAnsi"/>
          <w:sz w:val="24"/>
          <w:szCs w:val="24"/>
        </w:rPr>
        <w:t>Levi et al., 2015)</w:t>
      </w:r>
      <w:r w:rsidRPr="00EF3633">
        <w:rPr>
          <w:rFonts w:asciiTheme="minorHAnsi" w:hAnsiTheme="minorHAnsi" w:cstheme="minorHAnsi"/>
          <w:sz w:val="24"/>
          <w:szCs w:val="24"/>
        </w:rPr>
        <w:t>. I feel more equipped to make a significant contribution to the future of policing now that my skills are in line with these workforce goals.</w:t>
      </w:r>
    </w:p>
    <w:p w14:paraId="4221824A" w14:textId="77777777" w:rsidR="007F52E2" w:rsidRPr="00635ECB" w:rsidRDefault="007F52E2" w:rsidP="007F52E2">
      <w:pPr>
        <w:spacing w:after="160" w:line="259" w:lineRule="auto"/>
        <w:rPr>
          <w:rFonts w:asciiTheme="minorHAnsi" w:hAnsiTheme="minorHAnsi" w:cstheme="minorHAnsi"/>
          <w:sz w:val="24"/>
          <w:szCs w:val="24"/>
        </w:rPr>
      </w:pPr>
      <w:r w:rsidRPr="00635ECB">
        <w:rPr>
          <w:rFonts w:asciiTheme="minorHAnsi" w:hAnsiTheme="minorHAnsi" w:cstheme="minorHAnsi"/>
          <w:sz w:val="24"/>
          <w:szCs w:val="24"/>
        </w:rPr>
        <w:t xml:space="preserve">Overall, the progression in my probationary period has been instrumental in shaping my role as a modern, professional police officer. The increasing responsibility, commitment to community engagement, focus on strategic objectives, leadership opportunities, and </w:t>
      </w:r>
      <w:r w:rsidRPr="00635ECB">
        <w:rPr>
          <w:rFonts w:asciiTheme="minorHAnsi" w:hAnsiTheme="minorHAnsi" w:cstheme="minorHAnsi"/>
          <w:sz w:val="24"/>
          <w:szCs w:val="24"/>
        </w:rPr>
        <w:lastRenderedPageBreak/>
        <w:t>development of digital skills collectively prepare me to serve effectively. The alignment with the College of Policing’s initiatives and strategic objectives like Policing Vision 2025 and Workforce Transformation 2018 ensures that my skills, insights, and actions contribute to a professional, inclusive, and forward-looking police service.</w:t>
      </w:r>
    </w:p>
    <w:p w14:paraId="1A902029" w14:textId="77777777" w:rsidR="007F52E2" w:rsidRDefault="007F52E2" w:rsidP="007F52E2"/>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1C72888C" w14:textId="77777777" w:rsidR="00AC13D5" w:rsidRPr="00450C83" w:rsidRDefault="00AC13D5" w:rsidP="00340E9A">
      <w:pPr>
        <w:ind w:right="237"/>
        <w:jc w:val="both"/>
        <w:rPr>
          <w:b/>
          <w:sz w:val="24"/>
          <w:szCs w:val="24"/>
        </w:rPr>
      </w:pPr>
    </w:p>
    <w:p w14:paraId="26666C2D"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In the contemporary digital era, social media has become an invaluable tool in policing, allowing for rapid information dissemination, community engagement, and policy promotion. However, its use in law enforcement must balance transparency, privacy, and professional ethics. This essay will critically evaluate an incident I experienced as a police officer within South Wales Police, highlighting how social media was utilised to inform and engage the community. Additionally, it will examine South Wales Police’s policies on professional social media use, assess platform-specific advantages and risks, and reflect on the broader impact of social media in policing.</w:t>
      </w:r>
    </w:p>
    <w:p w14:paraId="270B0EF6" w14:textId="77777777" w:rsidR="00AC13D5" w:rsidRPr="00AC13D5" w:rsidRDefault="00AC13D5" w:rsidP="00AC13D5">
      <w:pPr>
        <w:rPr>
          <w:rFonts w:asciiTheme="minorHAnsi" w:hAnsiTheme="minorHAnsi" w:cstheme="minorHAnsi"/>
          <w:sz w:val="24"/>
          <w:szCs w:val="24"/>
        </w:rPr>
      </w:pPr>
    </w:p>
    <w:p w14:paraId="14C9558F"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In this scenario, I was involved in an incident involving a reported case of domestic violence. A young woman, had been the victim of repeated abuse by her long-term partner, resulting in prolonged physical and emotional trauma. Responding to a call from a neighbour, I was the officer that led the team in providing immediate assistance, coordinating her immediate protection, and guiding her toward available support services in the local area.</w:t>
      </w:r>
    </w:p>
    <w:p w14:paraId="67F60480" w14:textId="77777777" w:rsidR="00AC13D5" w:rsidRDefault="00AC13D5" w:rsidP="00AC13D5">
      <w:pPr>
        <w:rPr>
          <w:rFonts w:asciiTheme="minorHAnsi" w:hAnsiTheme="minorHAnsi" w:cstheme="minorHAnsi"/>
          <w:sz w:val="24"/>
          <w:szCs w:val="24"/>
        </w:rPr>
      </w:pPr>
    </w:p>
    <w:p w14:paraId="2FEF1DDF" w14:textId="0AE4008E"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To support the community and raise awareness, my force later posted a carefully crafted social media update about the incident without any identifying details, emphasising our commitment to supporting victims and encouraging others to come forward if they experienced similar situations. This incident highlighted both the potential of social media for promoting public awareness and the challenges in ensuring compliance with privacy and ethical standards.</w:t>
      </w:r>
    </w:p>
    <w:p w14:paraId="77E99AA8" w14:textId="77777777" w:rsidR="00AC13D5" w:rsidRPr="00AC13D5" w:rsidRDefault="00AC13D5" w:rsidP="00AC13D5">
      <w:pPr>
        <w:rPr>
          <w:rFonts w:asciiTheme="minorHAnsi" w:hAnsiTheme="minorHAnsi" w:cstheme="minorHAnsi"/>
          <w:sz w:val="24"/>
          <w:szCs w:val="24"/>
        </w:rPr>
      </w:pPr>
    </w:p>
    <w:p w14:paraId="0359C9CF"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South Wales Police encourages social media use as a means to enhance transparency, public engagement, and trust. According to the South Wales Police Policy on Social Media Use, </w:t>
      </w:r>
      <w:r w:rsidRPr="00AC13D5">
        <w:rPr>
          <w:rFonts w:asciiTheme="minorHAnsi" w:hAnsiTheme="minorHAnsi" w:cstheme="minorHAnsi"/>
          <w:sz w:val="24"/>
          <w:szCs w:val="24"/>
        </w:rPr>
        <w:lastRenderedPageBreak/>
        <w:t>officers must use social media professionally, safeguarding sensitive information, and respecting victim privacy. Officers are permitted to share information on incidents if it serves a public interest, is non-identifiable, and adheres to ethical and privacy standards. (South Wales Police, 2024)</w:t>
      </w:r>
    </w:p>
    <w:p w14:paraId="2553B768" w14:textId="77777777" w:rsidR="00AC13D5" w:rsidRPr="00AC13D5" w:rsidRDefault="00AC13D5" w:rsidP="00AC13D5">
      <w:pPr>
        <w:rPr>
          <w:rFonts w:asciiTheme="minorHAnsi" w:hAnsiTheme="minorHAnsi" w:cstheme="minorHAnsi"/>
          <w:sz w:val="24"/>
          <w:szCs w:val="24"/>
        </w:rPr>
      </w:pPr>
    </w:p>
    <w:p w14:paraId="269FBCDA"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The policy stresses the importance of a professional tone, avoiding any posts that could appear biased towards a certain community or insensitive, particularly in cases involving vulnerable individuals. Training is provided to all officers on the best practice, highlighting the legal considerations of the UK’s Data Protection Act 2018 and the General Data Protection Regulation (GDPR), which govern data privacy and sensitive information (Hoofnagle, Sloot and </w:t>
      </w:r>
      <w:proofErr w:type="spellStart"/>
      <w:r w:rsidRPr="00AC13D5">
        <w:rPr>
          <w:rFonts w:asciiTheme="minorHAnsi" w:hAnsiTheme="minorHAnsi" w:cstheme="minorHAnsi"/>
          <w:sz w:val="24"/>
          <w:szCs w:val="24"/>
        </w:rPr>
        <w:t>Borgesius</w:t>
      </w:r>
      <w:proofErr w:type="spellEnd"/>
      <w:r w:rsidRPr="00AC13D5">
        <w:rPr>
          <w:rFonts w:asciiTheme="minorHAnsi" w:hAnsiTheme="minorHAnsi" w:cstheme="minorHAnsi"/>
          <w:sz w:val="24"/>
          <w:szCs w:val="24"/>
        </w:rPr>
        <w:t>, 2019).</w:t>
      </w:r>
    </w:p>
    <w:p w14:paraId="4EE8F40D" w14:textId="77777777" w:rsidR="00AC13D5" w:rsidRPr="00AC13D5" w:rsidRDefault="00AC13D5" w:rsidP="00AC13D5">
      <w:pPr>
        <w:rPr>
          <w:rFonts w:asciiTheme="minorHAnsi" w:hAnsiTheme="minorHAnsi" w:cstheme="minorHAnsi"/>
          <w:sz w:val="24"/>
          <w:szCs w:val="24"/>
        </w:rPr>
      </w:pPr>
    </w:p>
    <w:p w14:paraId="591CC8F1" w14:textId="77777777" w:rsidR="00AC13D5" w:rsidRPr="00AC13D5" w:rsidRDefault="00AC13D5" w:rsidP="00AC13D5">
      <w:pPr>
        <w:pStyle w:val="NormalWeb"/>
        <w:spacing w:before="0" w:beforeAutospacing="0" w:after="0" w:afterAutospacing="0"/>
        <w:rPr>
          <w:rFonts w:asciiTheme="minorHAnsi" w:hAnsiTheme="minorHAnsi" w:cstheme="minorHAnsi"/>
          <w:color w:val="000000"/>
        </w:rPr>
      </w:pPr>
      <w:r w:rsidRPr="00AC13D5">
        <w:rPr>
          <w:rFonts w:asciiTheme="minorHAnsi" w:hAnsiTheme="minorHAnsi" w:cstheme="minorHAnsi"/>
          <w:color w:val="000000"/>
        </w:rPr>
        <w:t xml:space="preserve">South Wales Police’s strategic approach to social media aligns with broader research on policing and digital communication. Social media can enhance transparency and accountability, providing a platform for police to engage with the community and promote trust (Meijer &amp; </w:t>
      </w:r>
      <w:proofErr w:type="spellStart"/>
      <w:r w:rsidRPr="00AC13D5">
        <w:rPr>
          <w:rFonts w:asciiTheme="minorHAnsi" w:hAnsiTheme="minorHAnsi" w:cstheme="minorHAnsi"/>
          <w:color w:val="000000"/>
        </w:rPr>
        <w:t>Thaens</w:t>
      </w:r>
      <w:proofErr w:type="spellEnd"/>
      <w:r w:rsidRPr="00AC13D5">
        <w:rPr>
          <w:rFonts w:asciiTheme="minorHAnsi" w:hAnsiTheme="minorHAnsi" w:cstheme="minorHAnsi"/>
          <w:color w:val="000000"/>
        </w:rPr>
        <w:t>, 2013). This aligns with Tyler’s (2006) theory of procedural justice, which emphasises that when communities perceive policing efforts as fair and transparent, trust in the police increases.</w:t>
      </w:r>
    </w:p>
    <w:p w14:paraId="4055A5E9" w14:textId="77777777" w:rsidR="00AC13D5" w:rsidRPr="00AC13D5" w:rsidRDefault="00AC13D5" w:rsidP="00AC13D5">
      <w:pPr>
        <w:pStyle w:val="NormalWeb"/>
        <w:spacing w:before="0" w:beforeAutospacing="0" w:after="0" w:afterAutospacing="0"/>
        <w:rPr>
          <w:rFonts w:asciiTheme="minorHAnsi" w:hAnsiTheme="minorHAnsi" w:cstheme="minorHAnsi"/>
          <w:color w:val="000000"/>
        </w:rPr>
      </w:pPr>
    </w:p>
    <w:p w14:paraId="30CAA5C0" w14:textId="77777777" w:rsidR="00AC13D5" w:rsidRDefault="00AC13D5" w:rsidP="00AC13D5">
      <w:pPr>
        <w:pStyle w:val="NormalWeb"/>
        <w:spacing w:before="0" w:beforeAutospacing="0" w:after="0" w:afterAutospacing="0"/>
        <w:rPr>
          <w:rFonts w:asciiTheme="minorHAnsi" w:hAnsiTheme="minorHAnsi" w:cstheme="minorHAnsi"/>
          <w:color w:val="000000"/>
        </w:rPr>
      </w:pPr>
      <w:r w:rsidRPr="00AC13D5">
        <w:rPr>
          <w:rFonts w:asciiTheme="minorHAnsi" w:hAnsiTheme="minorHAnsi" w:cstheme="minorHAnsi"/>
          <w:color w:val="000000"/>
        </w:rPr>
        <w:t>In the incident I attended, the guidelines on privacy and ethical use were vital. Research by Trottier (2012) highlights that social media use in policing must be carefully managed to avoid privacy infringements, especially when interacting with vulnerable individuals. This approach is not only ethical but supports a more secure framework for victim engagement, as social media can often reveal sensitive information if not handled with strict guidelines.</w:t>
      </w:r>
    </w:p>
    <w:p w14:paraId="1F1DF2C1" w14:textId="77777777" w:rsidR="00AC13D5" w:rsidRPr="00AC13D5" w:rsidRDefault="00AC13D5" w:rsidP="00AC13D5">
      <w:pPr>
        <w:pStyle w:val="NormalWeb"/>
        <w:spacing w:before="0" w:beforeAutospacing="0" w:after="0" w:afterAutospacing="0"/>
        <w:rPr>
          <w:rFonts w:asciiTheme="minorHAnsi" w:hAnsiTheme="minorHAnsi" w:cstheme="minorHAnsi"/>
          <w:color w:val="000000"/>
        </w:rPr>
      </w:pPr>
    </w:p>
    <w:p w14:paraId="694582E0" w14:textId="77777777" w:rsidR="00AC13D5" w:rsidRDefault="00AC13D5" w:rsidP="00AC13D5">
      <w:pPr>
        <w:pStyle w:val="NormalWeb"/>
        <w:spacing w:after="0"/>
        <w:rPr>
          <w:rFonts w:asciiTheme="minorHAnsi" w:hAnsiTheme="minorHAnsi" w:cstheme="minorHAnsi"/>
          <w:color w:val="000000"/>
        </w:rPr>
      </w:pPr>
      <w:r w:rsidRPr="00AC13D5">
        <w:rPr>
          <w:rFonts w:asciiTheme="minorHAnsi" w:hAnsiTheme="minorHAnsi" w:cstheme="minorHAnsi"/>
          <w:color w:val="000000"/>
        </w:rPr>
        <w:t>Further, studies emphasise that effective social media policies can aid investigations and community outreach while preserving the integrity of ongoing cases (Hu and Lovrich, 2024). In this case, the guidelines ensured the engagement strategy protected the victim’s privacy, which aligns with the need for sensitive handling of personal data to prevent public exposure and minimise risk to the victim’s safety and well-being</w:t>
      </w:r>
      <w:r w:rsidRPr="00AC13D5">
        <w:rPr>
          <w:rFonts w:asciiTheme="minorHAnsi" w:eastAsia="Times New Roman" w:hAnsiTheme="minorHAnsi" w:cstheme="minorHAnsi"/>
          <w14:ligatures w14:val="none"/>
        </w:rPr>
        <w:t xml:space="preserve"> </w:t>
      </w:r>
      <w:r w:rsidRPr="00AC13D5">
        <w:rPr>
          <w:rFonts w:asciiTheme="minorHAnsi" w:hAnsiTheme="minorHAnsi" w:cstheme="minorHAnsi"/>
          <w:color w:val="000000"/>
        </w:rPr>
        <w:t>(Bradley, 1998).</w:t>
      </w:r>
    </w:p>
    <w:p w14:paraId="40C6C37B" w14:textId="77777777" w:rsidR="00AC13D5" w:rsidRPr="00AC13D5" w:rsidRDefault="00AC13D5" w:rsidP="00AC13D5">
      <w:pPr>
        <w:pStyle w:val="NormalWeb"/>
        <w:spacing w:after="0"/>
        <w:rPr>
          <w:rFonts w:asciiTheme="minorHAnsi" w:hAnsiTheme="minorHAnsi" w:cstheme="minorHAnsi"/>
          <w:color w:val="000000"/>
        </w:rPr>
      </w:pPr>
    </w:p>
    <w:p w14:paraId="2ABABA32"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South Wales Police’s strategic use of multiple social media platforms aligns with the varied communication preferences of the public, enabling the force to maximise outreach and foster positive community relations. This multi-platform approach is consistent with findings from social media research in policing, which emphasise that different platforms serve distinct functions, allowing for tailored engagement with various demographic groups and enhancing transparency.</w:t>
      </w:r>
    </w:p>
    <w:p w14:paraId="332572FB" w14:textId="77777777" w:rsidR="00AC13D5" w:rsidRPr="00AC13D5" w:rsidRDefault="00AC13D5" w:rsidP="00AC13D5">
      <w:pPr>
        <w:rPr>
          <w:rFonts w:asciiTheme="minorHAnsi" w:hAnsiTheme="minorHAnsi" w:cstheme="minorHAnsi"/>
          <w:sz w:val="24"/>
          <w:szCs w:val="24"/>
        </w:rPr>
      </w:pPr>
    </w:p>
    <w:p w14:paraId="5885DC71"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Twitter’s fast-paced, real-time communication style is particularly effective for time-sensitive updates and live incident reporting, as noted by Crump (2011). During emergencies or ongoing operations, Twitter enables the police to quickly relay information to the public, reducing uncertainty and fostering a sense of security. The platform also facilitates interactive communication, allowing the police to receive immediate public feedback, which can aid in dynamic incident management (Schneider, 2016).</w:t>
      </w:r>
    </w:p>
    <w:p w14:paraId="5230BC4C" w14:textId="77777777" w:rsidR="00AC13D5" w:rsidRPr="00AC13D5" w:rsidRDefault="00AC13D5" w:rsidP="00AC13D5">
      <w:pPr>
        <w:rPr>
          <w:rFonts w:asciiTheme="minorHAnsi" w:hAnsiTheme="minorHAnsi" w:cstheme="minorHAnsi"/>
          <w:sz w:val="24"/>
          <w:szCs w:val="24"/>
        </w:rPr>
      </w:pPr>
    </w:p>
    <w:p w14:paraId="2266B172"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lastRenderedPageBreak/>
        <w:t>Facebook’s format supports longer, detailed posts and discussions, making it ideal for sharing comprehensive community updates, responding to local issues, and creating spaces for public dialogue. Ruddell &amp; Jones (2013) found that Facebook’s community-oriented design encourages public trust by allowing the public to communicate directly with police posts through comments and shares. Social cohesion and community support for police initiatives can be promoted by this two-way communication strategy, which strengthens relationships and gives the public a sense of being heard (The Police Foundation, 2014).</w:t>
      </w:r>
    </w:p>
    <w:p w14:paraId="519CC2DF" w14:textId="77777777" w:rsidR="00AC13D5" w:rsidRPr="00AC13D5" w:rsidRDefault="00AC13D5" w:rsidP="00AC13D5">
      <w:pPr>
        <w:rPr>
          <w:rFonts w:asciiTheme="minorHAnsi" w:hAnsiTheme="minorHAnsi" w:cstheme="minorHAnsi"/>
          <w:sz w:val="24"/>
          <w:szCs w:val="24"/>
        </w:rPr>
      </w:pPr>
    </w:p>
    <w:p w14:paraId="58B22673"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Instagram’s visual focus is well-suited for “humanising” the police force by showcasing police-community interactions, which helps bridge gaps between officers and younger audiences who are more active on the platform. Brainard and </w:t>
      </w:r>
      <w:proofErr w:type="spellStart"/>
      <w:r w:rsidRPr="00AC13D5">
        <w:rPr>
          <w:rFonts w:asciiTheme="minorHAnsi" w:hAnsiTheme="minorHAnsi" w:cstheme="minorHAnsi"/>
          <w:sz w:val="24"/>
          <w:szCs w:val="24"/>
        </w:rPr>
        <w:t>Edlins</w:t>
      </w:r>
      <w:proofErr w:type="spellEnd"/>
      <w:r w:rsidRPr="00AC13D5">
        <w:rPr>
          <w:rFonts w:asciiTheme="minorHAnsi" w:hAnsiTheme="minorHAnsi" w:cstheme="minorHAnsi"/>
          <w:sz w:val="24"/>
          <w:szCs w:val="24"/>
        </w:rPr>
        <w:t>, (2014) highlight that storytelling through images can create a positive public image by portraying police officers as approachable and compassionate, improving overall community perception. Posts about community engagement, safety initiatives, and positive interactions are effective in building rapport and presenting a relatable side of the police force.</w:t>
      </w:r>
    </w:p>
    <w:p w14:paraId="6A02F918" w14:textId="77777777" w:rsidR="00AC13D5" w:rsidRPr="00AC13D5" w:rsidRDefault="00AC13D5" w:rsidP="00AC13D5">
      <w:pPr>
        <w:rPr>
          <w:rFonts w:asciiTheme="minorHAnsi" w:hAnsiTheme="minorHAnsi" w:cstheme="minorHAnsi"/>
          <w:sz w:val="24"/>
          <w:szCs w:val="24"/>
        </w:rPr>
      </w:pPr>
    </w:p>
    <w:p w14:paraId="4579E0EB"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The platform’s video capabilities support the sharing of longer, informative content, such as press conferences, public awareness campaigns, and instructional videos. Goldsmith (2013) points out that such content can educate the public on safety issues, policing procedures, and crime prevention, providing for an informed community. YouTube’s capacity for long videos also allows South Wales Police to reinforce its commitment to transparency by explaining policies or actions in detail, thus further supporting public trust.</w:t>
      </w:r>
    </w:p>
    <w:p w14:paraId="17DE775B" w14:textId="77777777" w:rsidR="00AC13D5" w:rsidRPr="00AC13D5" w:rsidRDefault="00AC13D5" w:rsidP="00AC13D5">
      <w:pPr>
        <w:rPr>
          <w:rFonts w:asciiTheme="minorHAnsi" w:hAnsiTheme="minorHAnsi" w:cstheme="minorHAnsi"/>
          <w:sz w:val="24"/>
          <w:szCs w:val="24"/>
        </w:rPr>
      </w:pPr>
    </w:p>
    <w:p w14:paraId="77E0D675" w14:textId="45733D6D" w:rsidR="00AC13D5" w:rsidRP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By strategically utilising each platform, South Wales Police not only reaches broader and more diverse audiences and communities but also adapts its messaging style to suit the strengths of each platform. This approach is in line with contemporary social media strategies in policing, which aim to improve accessibility, build public trust, and support open communication with the public (Fortin, Delle Donne and Knop, 2020).</w:t>
      </w:r>
    </w:p>
    <w:p w14:paraId="07904B48" w14:textId="77777777" w:rsidR="00AC13D5" w:rsidRPr="00AC13D5" w:rsidRDefault="00AC13D5" w:rsidP="00AC13D5">
      <w:pPr>
        <w:rPr>
          <w:rFonts w:asciiTheme="minorHAnsi" w:hAnsiTheme="minorHAnsi" w:cstheme="minorHAnsi"/>
          <w:sz w:val="24"/>
          <w:szCs w:val="24"/>
        </w:rPr>
      </w:pPr>
    </w:p>
    <w:p w14:paraId="45A4B789"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The use of social media by police forces, including South Wales Police, presents multiple advantages in gaining public trust, enhancing operational effectiveness, and promoting transparency within our role.</w:t>
      </w:r>
    </w:p>
    <w:p w14:paraId="65F6AC39" w14:textId="77777777" w:rsidR="00AC13D5" w:rsidRPr="00AC13D5" w:rsidRDefault="00AC13D5" w:rsidP="00AC13D5">
      <w:pPr>
        <w:rPr>
          <w:rFonts w:asciiTheme="minorHAnsi" w:hAnsiTheme="minorHAnsi" w:cstheme="minorHAnsi"/>
          <w:sz w:val="24"/>
          <w:szCs w:val="24"/>
        </w:rPr>
      </w:pPr>
    </w:p>
    <w:p w14:paraId="5B21ED51"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Social media allows real-time communication with the public, which can increase trust in the police force. By sharing updates, preventative tips, and local news, police can foster a sense of safety and collaboration with the community (Meijer &amp; </w:t>
      </w:r>
      <w:proofErr w:type="spellStart"/>
      <w:r w:rsidRPr="00AC13D5">
        <w:rPr>
          <w:rFonts w:asciiTheme="minorHAnsi" w:hAnsiTheme="minorHAnsi" w:cstheme="minorHAnsi"/>
          <w:sz w:val="24"/>
          <w:szCs w:val="24"/>
        </w:rPr>
        <w:t>Thaens</w:t>
      </w:r>
      <w:proofErr w:type="spellEnd"/>
      <w:r w:rsidRPr="00AC13D5">
        <w:rPr>
          <w:rFonts w:asciiTheme="minorHAnsi" w:hAnsiTheme="minorHAnsi" w:cstheme="minorHAnsi"/>
          <w:sz w:val="24"/>
          <w:szCs w:val="24"/>
        </w:rPr>
        <w:t>, 2013). Research suggests that this kind of visibility and openness enhances perceptions of procedural justice, which is essential for maintaining legitimacy and trust in the police (Tyler, 2004). Additionally, social media humanises police officers through interactive posts, breaking down traditional barriers between the police and the public (Lieberman, Koetzle and Sakiyama, 2013).</w:t>
      </w:r>
    </w:p>
    <w:p w14:paraId="21258CFA" w14:textId="77777777" w:rsidR="00AC13D5" w:rsidRPr="00AC13D5" w:rsidRDefault="00AC13D5" w:rsidP="00AC13D5">
      <w:pPr>
        <w:rPr>
          <w:rFonts w:asciiTheme="minorHAnsi" w:hAnsiTheme="minorHAnsi" w:cstheme="minorHAnsi"/>
          <w:sz w:val="24"/>
          <w:szCs w:val="24"/>
        </w:rPr>
      </w:pPr>
    </w:p>
    <w:p w14:paraId="3F9A2181"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Platforms like Twitter and Facebook are valuable for quickly disseminating emergency updates, such as missing persons reports or public safety alerts, helping to mobilise the community when urgent action is needed (Palmiotto, 2011). It has been demonstrated that prompt and correct information exchange during emergencies enhances public compliance and slows the propagation of false information </w:t>
      </w:r>
      <w:bookmarkStart w:id="0" w:name="_Hlk186297073"/>
      <w:r w:rsidRPr="00AC13D5">
        <w:rPr>
          <w:rFonts w:asciiTheme="minorHAnsi" w:hAnsiTheme="minorHAnsi" w:cstheme="minorHAnsi"/>
          <w:sz w:val="24"/>
          <w:szCs w:val="24"/>
        </w:rPr>
        <w:t>(Denef, Bayerl, and Kaptein, 2013</w:t>
      </w:r>
      <w:bookmarkEnd w:id="0"/>
      <w:r w:rsidRPr="00AC13D5">
        <w:rPr>
          <w:rFonts w:asciiTheme="minorHAnsi" w:hAnsiTheme="minorHAnsi" w:cstheme="minorHAnsi"/>
          <w:sz w:val="24"/>
          <w:szCs w:val="24"/>
        </w:rPr>
        <w:t xml:space="preserve">). The </w:t>
      </w:r>
      <w:r w:rsidRPr="00AC13D5">
        <w:rPr>
          <w:rFonts w:asciiTheme="minorHAnsi" w:hAnsiTheme="minorHAnsi" w:cstheme="minorHAnsi"/>
          <w:sz w:val="24"/>
          <w:szCs w:val="24"/>
        </w:rPr>
        <w:lastRenderedPageBreak/>
        <w:t>usage of Twitter by South Wales Police amid flooding and storm events is a prime example of how social media can effectively direct community efforts and provide real-time updates.</w:t>
      </w:r>
    </w:p>
    <w:p w14:paraId="25DC6FD0" w14:textId="77777777" w:rsidR="00AC13D5" w:rsidRPr="00AC13D5" w:rsidRDefault="00AC13D5" w:rsidP="00AC13D5">
      <w:pPr>
        <w:rPr>
          <w:rFonts w:asciiTheme="minorHAnsi" w:hAnsiTheme="minorHAnsi" w:cstheme="minorHAnsi"/>
          <w:sz w:val="24"/>
          <w:szCs w:val="24"/>
        </w:rPr>
      </w:pPr>
    </w:p>
    <w:p w14:paraId="17042CFB"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Initiatives like community policing, mental health support, and domestic violence awareness can be easily shared on social media. Platforms like Instagram are used by campaigns like the "No Excuse for Abuse" effort to spread important messages to audiences who might not otherwise use traditional channels of communication (Trottier, 2016). This method allows people to report occurrences anonymously and get support, while also increasing public awareness of police practices. Additionally, by utilising the visual nature of platforms such as TikTok, police departments are increasingly employing video content to demonstrate the impact of community safety efforts (Walsh and O'Connor, 2018).</w:t>
      </w:r>
    </w:p>
    <w:p w14:paraId="47776BC9" w14:textId="77777777" w:rsidR="00AC13D5" w:rsidRPr="00AC13D5" w:rsidRDefault="00AC13D5" w:rsidP="00AC13D5">
      <w:pPr>
        <w:rPr>
          <w:rFonts w:asciiTheme="minorHAnsi" w:hAnsiTheme="minorHAnsi" w:cstheme="minorHAnsi"/>
          <w:sz w:val="24"/>
          <w:szCs w:val="24"/>
        </w:rPr>
      </w:pPr>
    </w:p>
    <w:p w14:paraId="163E47DE"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Additionally, social media offers a platform for promoting tools and assistance for crime victims. In one victim's case, for example, our department's post emphasising domestic abuse victims' support networks urged others to get help. According to studies, victims' hurdles, such their fear of being judged or their ignorance of available options, can be lessened by public, non-stigmatising internet campaigns (Hester and </w:t>
      </w:r>
      <w:proofErr w:type="spellStart"/>
      <w:r w:rsidRPr="00AC13D5">
        <w:rPr>
          <w:rFonts w:asciiTheme="minorHAnsi" w:hAnsiTheme="minorHAnsi" w:cstheme="minorHAnsi"/>
          <w:sz w:val="24"/>
          <w:szCs w:val="24"/>
        </w:rPr>
        <w:t>Westmarland</w:t>
      </w:r>
      <w:proofErr w:type="spellEnd"/>
      <w:r w:rsidRPr="00AC13D5">
        <w:rPr>
          <w:rFonts w:asciiTheme="minorHAnsi" w:hAnsiTheme="minorHAnsi" w:cstheme="minorHAnsi"/>
          <w:sz w:val="24"/>
          <w:szCs w:val="24"/>
        </w:rPr>
        <w:t>, 2006). Additionally, certain vulnerable populations can be successfully connected with the right services using social media outreach initiatives that include geographic targeting (</w:t>
      </w:r>
      <w:proofErr w:type="spellStart"/>
      <w:r w:rsidRPr="00AC13D5">
        <w:rPr>
          <w:rFonts w:asciiTheme="minorHAnsi" w:hAnsiTheme="minorHAnsi" w:cstheme="minorHAnsi"/>
          <w:sz w:val="24"/>
          <w:szCs w:val="24"/>
        </w:rPr>
        <w:t>Grimmelikhuijsen</w:t>
      </w:r>
      <w:proofErr w:type="spellEnd"/>
      <w:r w:rsidRPr="00AC13D5">
        <w:rPr>
          <w:rFonts w:asciiTheme="minorHAnsi" w:hAnsiTheme="minorHAnsi" w:cstheme="minorHAnsi"/>
          <w:sz w:val="24"/>
          <w:szCs w:val="24"/>
        </w:rPr>
        <w:t xml:space="preserve"> et al., 2013).</w:t>
      </w:r>
    </w:p>
    <w:p w14:paraId="76EB9E20" w14:textId="77777777" w:rsidR="00AC13D5" w:rsidRPr="00AC13D5" w:rsidRDefault="00AC13D5" w:rsidP="00AC13D5">
      <w:pPr>
        <w:rPr>
          <w:rFonts w:asciiTheme="minorHAnsi" w:hAnsiTheme="minorHAnsi" w:cstheme="minorHAnsi"/>
          <w:sz w:val="24"/>
          <w:szCs w:val="24"/>
        </w:rPr>
      </w:pPr>
    </w:p>
    <w:p w14:paraId="6E57C957"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Social media sites serve as accountability systems in addition to being engagement tools. Forces like South Wales Police show their dedication to transparency by responding to public concerns, releasing case progress updates, and disclosing data on police performance. Such transparency, according to research by Curtin and Meijer (2006), improves public perceptions of legitimacy and closes the divide between the public and the police.</w:t>
      </w:r>
    </w:p>
    <w:p w14:paraId="4736FD1C" w14:textId="77777777" w:rsidR="00AC13D5" w:rsidRPr="00AC13D5" w:rsidRDefault="00AC13D5" w:rsidP="00AC13D5">
      <w:pPr>
        <w:rPr>
          <w:rFonts w:asciiTheme="minorHAnsi" w:hAnsiTheme="minorHAnsi" w:cstheme="minorHAnsi"/>
          <w:sz w:val="24"/>
          <w:szCs w:val="24"/>
        </w:rPr>
      </w:pPr>
    </w:p>
    <w:p w14:paraId="38D40990"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These advantages highlight the tactical part social media plays in today's police work. Police forces may improve communication, build trust, and interact with the public more actively by skilfully utilising platforms. To reduce hazards like false information, offensive material, or the overexposure of delicate cases, it is essential to handle these tools carefully in order to strike a balance between privacy and transparency. More study is required to assess the long-term effects of digital engagement on policing outcomes, as it becomes an increasingly important part of police strategy.</w:t>
      </w:r>
    </w:p>
    <w:p w14:paraId="3F46D6E4" w14:textId="77777777" w:rsidR="00AC13D5" w:rsidRPr="00AC13D5" w:rsidRDefault="00AC13D5" w:rsidP="00AC13D5">
      <w:pPr>
        <w:rPr>
          <w:rFonts w:asciiTheme="minorHAnsi" w:hAnsiTheme="minorHAnsi" w:cstheme="minorHAnsi"/>
          <w:sz w:val="24"/>
          <w:szCs w:val="24"/>
        </w:rPr>
      </w:pPr>
    </w:p>
    <w:p w14:paraId="397FB600"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Despite its advantages, social media use in policing carries several risks. </w:t>
      </w:r>
      <w:r w:rsidRPr="00421A32">
        <w:rPr>
          <w:rFonts w:asciiTheme="minorHAnsi" w:hAnsiTheme="minorHAnsi" w:cstheme="minorHAnsi"/>
          <w:sz w:val="24"/>
          <w:szCs w:val="24"/>
        </w:rPr>
        <w:t>Protecting the privacy and confidentiality of victims and individuals involved in incidents is paramount. Sharing even basic details on platforms such as Twitter or Facebook can inadvertently reveal sensitive information, particularly in smaller or tight-knit communities where the identification of individuals is easier (Bullock, 201</w:t>
      </w:r>
      <w:r w:rsidRPr="00AC13D5">
        <w:rPr>
          <w:rFonts w:asciiTheme="minorHAnsi" w:hAnsiTheme="minorHAnsi" w:cstheme="minorHAnsi"/>
          <w:sz w:val="24"/>
          <w:szCs w:val="24"/>
        </w:rPr>
        <w:t>7</w:t>
      </w:r>
      <w:r w:rsidRPr="00421A32">
        <w:rPr>
          <w:rFonts w:asciiTheme="minorHAnsi" w:hAnsiTheme="minorHAnsi" w:cstheme="minorHAnsi"/>
          <w:sz w:val="24"/>
          <w:szCs w:val="24"/>
        </w:rPr>
        <w:t xml:space="preserve">). This issue aligns with broader discussions on data protection laws like GDPR, which emphasise the importance of minimising data exposure </w:t>
      </w:r>
      <w:r w:rsidRPr="00AC13D5">
        <w:rPr>
          <w:rFonts w:asciiTheme="minorHAnsi" w:hAnsiTheme="minorHAnsi" w:cstheme="minorHAnsi"/>
          <w:sz w:val="24"/>
          <w:szCs w:val="24"/>
        </w:rPr>
        <w:t>(Browning and Arrigo, 2020)</w:t>
      </w:r>
      <w:r w:rsidRPr="00421A32">
        <w:rPr>
          <w:rFonts w:asciiTheme="minorHAnsi" w:hAnsiTheme="minorHAnsi" w:cstheme="minorHAnsi"/>
          <w:sz w:val="24"/>
          <w:szCs w:val="24"/>
        </w:rPr>
        <w:t xml:space="preserve">. </w:t>
      </w:r>
      <w:r w:rsidRPr="00AC13D5">
        <w:rPr>
          <w:rFonts w:asciiTheme="minorHAnsi" w:hAnsiTheme="minorHAnsi" w:cstheme="minorHAnsi"/>
          <w:sz w:val="24"/>
          <w:szCs w:val="24"/>
        </w:rPr>
        <w:t xml:space="preserve">Furthermore, secondary victimisation may result from the unintentional sharing of identifying information, which would undermine victims' confidence in the police. Strong pre-posting review procedures and specific organisational guidelines like those South Wales Police has adopted are </w:t>
      </w:r>
      <w:r w:rsidRPr="00AC13D5">
        <w:rPr>
          <w:rFonts w:asciiTheme="minorHAnsi" w:hAnsiTheme="minorHAnsi" w:cstheme="minorHAnsi"/>
          <w:sz w:val="24"/>
          <w:szCs w:val="24"/>
        </w:rPr>
        <w:lastRenderedPageBreak/>
        <w:t>essential for reducing these risks and guaranteeing adherence to legal and ethical requirements.</w:t>
      </w:r>
    </w:p>
    <w:p w14:paraId="185563FB" w14:textId="77777777" w:rsidR="00AC13D5" w:rsidRPr="00AC13D5" w:rsidRDefault="00AC13D5" w:rsidP="00AC13D5">
      <w:pPr>
        <w:rPr>
          <w:rFonts w:asciiTheme="minorHAnsi" w:hAnsiTheme="minorHAnsi" w:cstheme="minorHAnsi"/>
          <w:sz w:val="24"/>
          <w:szCs w:val="24"/>
        </w:rPr>
      </w:pPr>
    </w:p>
    <w:p w14:paraId="7375EBEC" w14:textId="77777777" w:rsidR="00AC13D5" w:rsidRDefault="00AC13D5" w:rsidP="00AC13D5">
      <w:pPr>
        <w:rPr>
          <w:rFonts w:asciiTheme="minorHAnsi" w:hAnsiTheme="minorHAnsi" w:cstheme="minorHAnsi"/>
          <w:sz w:val="24"/>
          <w:szCs w:val="24"/>
        </w:rPr>
      </w:pPr>
      <w:r w:rsidRPr="00421A32">
        <w:rPr>
          <w:rFonts w:asciiTheme="minorHAnsi" w:hAnsiTheme="minorHAnsi" w:cstheme="minorHAnsi"/>
          <w:sz w:val="24"/>
          <w:szCs w:val="24"/>
        </w:rPr>
        <w:t>Posts by police on social media platforms can be subject to scrutiny and misinterpretation, particularly in sensitive or high-profile cases. Miscommunication or poorly phrased messages can lead to public backlash, erosion of trust, and further polarisation in already tense situations (Ruddell &amp; Jones, 201</w:t>
      </w:r>
      <w:r w:rsidRPr="00AC13D5">
        <w:rPr>
          <w:rFonts w:asciiTheme="minorHAnsi" w:hAnsiTheme="minorHAnsi" w:cstheme="minorHAnsi"/>
          <w:sz w:val="24"/>
          <w:szCs w:val="24"/>
        </w:rPr>
        <w:t>3</w:t>
      </w:r>
      <w:r w:rsidRPr="00421A32">
        <w:rPr>
          <w:rFonts w:asciiTheme="minorHAnsi" w:hAnsiTheme="minorHAnsi" w:cstheme="minorHAnsi"/>
          <w:sz w:val="24"/>
          <w:szCs w:val="24"/>
        </w:rPr>
        <w:t xml:space="preserve">). For example, during incidents involving vulnerable individuals or emotionally charged scenarios, poorly framed posts may be seen as exploitative or inappropriate, intensifying criticism </w:t>
      </w:r>
      <w:r w:rsidRPr="00AC13D5">
        <w:rPr>
          <w:rFonts w:asciiTheme="minorHAnsi" w:hAnsiTheme="minorHAnsi" w:cstheme="minorHAnsi"/>
          <w:sz w:val="24"/>
          <w:szCs w:val="24"/>
        </w:rPr>
        <w:t>(Denef, Bayerl, and Kaptein, 2013</w:t>
      </w:r>
      <w:r w:rsidRPr="00421A32">
        <w:rPr>
          <w:rFonts w:asciiTheme="minorHAnsi" w:hAnsiTheme="minorHAnsi" w:cstheme="minorHAnsi"/>
          <w:sz w:val="24"/>
          <w:szCs w:val="24"/>
        </w:rPr>
        <w:t>). This risk underscores the importance of involving communication specialists and training officers in media literacy to craft messages that are sensitive, inclusive, and aligned with public expectations</w:t>
      </w:r>
      <w:r w:rsidRPr="00AC13D5">
        <w:rPr>
          <w:rFonts w:asciiTheme="minorHAnsi" w:hAnsiTheme="minorHAnsi" w:cstheme="minorHAnsi"/>
          <w:sz w:val="24"/>
          <w:szCs w:val="24"/>
        </w:rPr>
        <w:t>.</w:t>
      </w:r>
    </w:p>
    <w:p w14:paraId="76DF0B05" w14:textId="77777777" w:rsidR="00AC13D5" w:rsidRPr="00AC13D5" w:rsidRDefault="00AC13D5" w:rsidP="00AC13D5">
      <w:pPr>
        <w:rPr>
          <w:rFonts w:asciiTheme="minorHAnsi" w:hAnsiTheme="minorHAnsi" w:cstheme="minorHAnsi"/>
          <w:sz w:val="24"/>
          <w:szCs w:val="24"/>
        </w:rPr>
      </w:pPr>
    </w:p>
    <w:p w14:paraId="0DE8B958" w14:textId="77777777" w:rsidR="00AC13D5" w:rsidRDefault="00AC13D5" w:rsidP="00AC13D5">
      <w:pPr>
        <w:rPr>
          <w:rFonts w:asciiTheme="minorHAnsi" w:hAnsiTheme="minorHAnsi" w:cstheme="minorHAnsi"/>
          <w:sz w:val="24"/>
          <w:szCs w:val="24"/>
        </w:rPr>
      </w:pPr>
      <w:r w:rsidRPr="00421A32">
        <w:rPr>
          <w:rFonts w:asciiTheme="minorHAnsi" w:hAnsiTheme="minorHAnsi" w:cstheme="minorHAnsi"/>
          <w:sz w:val="24"/>
          <w:szCs w:val="24"/>
        </w:rPr>
        <w:t xml:space="preserve">Police social media accounts are often targets for hacking, impersonation, and the propagation of misinformation. These threats can damage public trust and disrupt critical communications, particularly during crises. According to </w:t>
      </w:r>
      <w:r w:rsidRPr="00AC13D5">
        <w:rPr>
          <w:rFonts w:asciiTheme="minorHAnsi" w:hAnsiTheme="minorHAnsi" w:cstheme="minorHAnsi"/>
          <w:sz w:val="24"/>
          <w:szCs w:val="24"/>
        </w:rPr>
        <w:t>Trottier and Fuchs, (2015)</w:t>
      </w:r>
      <w:r w:rsidRPr="00421A32">
        <w:rPr>
          <w:rFonts w:asciiTheme="minorHAnsi" w:hAnsiTheme="minorHAnsi" w:cstheme="minorHAnsi"/>
          <w:sz w:val="24"/>
          <w:szCs w:val="24"/>
        </w:rPr>
        <w:t>, the rapid spread of false narratives on social media poses significant challenges to police efforts in maintaining the integrity of information</w:t>
      </w:r>
      <w:r w:rsidRPr="00AC13D5">
        <w:rPr>
          <w:rFonts w:asciiTheme="minorHAnsi" w:hAnsiTheme="minorHAnsi" w:cstheme="minorHAnsi"/>
          <w:sz w:val="24"/>
          <w:szCs w:val="24"/>
        </w:rPr>
        <w:t>. Concern over "deepfake" technologies and their ability to produce false material that damages police credibility is also developing (Arcos, Chiru and Ivan, 2023). Forces must use cutting-edge cybersecurity measures, actively search social media for false information, and quickly interact with the public to correct errors in order to meet these challenges.</w:t>
      </w:r>
    </w:p>
    <w:p w14:paraId="2DA2E1CF" w14:textId="77777777" w:rsidR="00AC13D5" w:rsidRPr="00AC13D5" w:rsidRDefault="00AC13D5" w:rsidP="00AC13D5">
      <w:pPr>
        <w:rPr>
          <w:rFonts w:asciiTheme="minorHAnsi" w:hAnsiTheme="minorHAnsi" w:cstheme="minorHAnsi"/>
          <w:sz w:val="24"/>
          <w:szCs w:val="24"/>
        </w:rPr>
      </w:pPr>
    </w:p>
    <w:p w14:paraId="341B1B25" w14:textId="77777777" w:rsidR="00AC13D5" w:rsidRDefault="00AC13D5" w:rsidP="00AC13D5">
      <w:pPr>
        <w:rPr>
          <w:rFonts w:asciiTheme="minorHAnsi" w:hAnsiTheme="minorHAnsi" w:cstheme="minorHAnsi"/>
          <w:sz w:val="24"/>
          <w:szCs w:val="24"/>
        </w:rPr>
      </w:pPr>
      <w:r w:rsidRPr="009C0405">
        <w:rPr>
          <w:rFonts w:asciiTheme="minorHAnsi" w:hAnsiTheme="minorHAnsi" w:cstheme="minorHAnsi"/>
          <w:sz w:val="24"/>
          <w:szCs w:val="24"/>
        </w:rPr>
        <w:t xml:space="preserve">Police officers' professional boundaries may be blurred by the casual characteristics of social media platforms. Interactions that are too informal or subjective run the danger of undermining the police service's reputation for objectivity and professionalism (Brainard &amp; </w:t>
      </w:r>
      <w:proofErr w:type="spellStart"/>
      <w:r w:rsidRPr="009C0405">
        <w:rPr>
          <w:rFonts w:asciiTheme="minorHAnsi" w:hAnsiTheme="minorHAnsi" w:cstheme="minorHAnsi"/>
          <w:sz w:val="24"/>
          <w:szCs w:val="24"/>
        </w:rPr>
        <w:t>Edlins</w:t>
      </w:r>
      <w:proofErr w:type="spellEnd"/>
      <w:r w:rsidRPr="009C0405">
        <w:rPr>
          <w:rFonts w:asciiTheme="minorHAnsi" w:hAnsiTheme="minorHAnsi" w:cstheme="minorHAnsi"/>
          <w:sz w:val="24"/>
          <w:szCs w:val="24"/>
        </w:rPr>
        <w:t>, 201</w:t>
      </w:r>
      <w:r w:rsidRPr="00AC13D5">
        <w:rPr>
          <w:rFonts w:asciiTheme="minorHAnsi" w:hAnsiTheme="minorHAnsi" w:cstheme="minorHAnsi"/>
          <w:sz w:val="24"/>
          <w:szCs w:val="24"/>
        </w:rPr>
        <w:t>4</w:t>
      </w:r>
      <w:r w:rsidRPr="009C0405">
        <w:rPr>
          <w:rFonts w:asciiTheme="minorHAnsi" w:hAnsiTheme="minorHAnsi" w:cstheme="minorHAnsi"/>
          <w:sz w:val="24"/>
          <w:szCs w:val="24"/>
        </w:rPr>
        <w:t>). For instance, although intended to engage, posts that utilise humour or informal language may offend some audience segments or come across as inappropriate. Setting clear rules for appropriate online conduct is crucial, as evidenced by South Wales Police's emphasis on upholding a professional demeanour and factual accuracy. Additionally, the idea of "digital policing ethics" has drawn interest, promoting a balanced relationship between professionalism and approachability in online communications (</w:t>
      </w:r>
      <w:r w:rsidRPr="00AC13D5">
        <w:rPr>
          <w:rFonts w:asciiTheme="minorHAnsi" w:hAnsiTheme="minorHAnsi" w:cstheme="minorHAnsi"/>
          <w:sz w:val="24"/>
          <w:szCs w:val="24"/>
        </w:rPr>
        <w:t>Hohl, Bradford and Stanko, 2010</w:t>
      </w:r>
      <w:r w:rsidRPr="009C0405">
        <w:rPr>
          <w:rFonts w:asciiTheme="minorHAnsi" w:hAnsiTheme="minorHAnsi" w:cstheme="minorHAnsi"/>
          <w:sz w:val="24"/>
          <w:szCs w:val="24"/>
        </w:rPr>
        <w:t>).</w:t>
      </w:r>
    </w:p>
    <w:p w14:paraId="716599CF" w14:textId="77777777" w:rsidR="00AC13D5" w:rsidRPr="00AC13D5" w:rsidRDefault="00AC13D5" w:rsidP="00AC13D5">
      <w:pPr>
        <w:rPr>
          <w:rFonts w:asciiTheme="minorHAnsi" w:hAnsiTheme="minorHAnsi" w:cstheme="minorHAnsi"/>
          <w:sz w:val="24"/>
          <w:szCs w:val="24"/>
        </w:rPr>
      </w:pPr>
    </w:p>
    <w:p w14:paraId="0EED1A6F" w14:textId="77777777" w:rsidR="00AC13D5" w:rsidRPr="00421A32" w:rsidRDefault="00AC13D5" w:rsidP="00AC13D5">
      <w:pPr>
        <w:spacing w:after="160" w:line="259" w:lineRule="auto"/>
        <w:rPr>
          <w:rFonts w:asciiTheme="minorHAnsi" w:hAnsiTheme="minorHAnsi" w:cstheme="minorHAnsi"/>
          <w:sz w:val="24"/>
          <w:szCs w:val="24"/>
        </w:rPr>
      </w:pPr>
      <w:r w:rsidRPr="00421A32">
        <w:rPr>
          <w:rFonts w:asciiTheme="minorHAnsi" w:hAnsiTheme="minorHAnsi" w:cstheme="minorHAnsi"/>
          <w:sz w:val="24"/>
          <w:szCs w:val="24"/>
        </w:rPr>
        <w:t>These challenges highlight the necessity of comprehensive policies, regular training, and ongoing evaluation of social media practices. Police forces must balance transparency and public engagement with the risks associated with online platforms. Integrating insights from interdisciplinary studies on communication, law enforcement, and technology can further refine these strategies, ensuring social media remains a valuable tool for modern policing.</w:t>
      </w:r>
    </w:p>
    <w:p w14:paraId="391BCC72" w14:textId="77777777" w:rsidR="00AC13D5" w:rsidRPr="00AC13D5" w:rsidRDefault="00AC13D5" w:rsidP="00AC13D5">
      <w:pPr>
        <w:rPr>
          <w:rFonts w:asciiTheme="minorHAnsi" w:hAnsiTheme="minorHAnsi" w:cstheme="minorHAnsi"/>
          <w:sz w:val="24"/>
          <w:szCs w:val="24"/>
        </w:rPr>
      </w:pPr>
    </w:p>
    <w:p w14:paraId="7A7F0D20" w14:textId="77777777" w:rsidR="00AC13D5" w:rsidRP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 xml:space="preserve">Reflecting on the incident with my victim, my experience demonstrated both the strengths and limitations of social media in policing. Social media was invaluable in raising awareness about domestic violence support services, reinforcing our community’s trust in local police forces. However, navigating the privacy considerations required constant vigilance to avoid any potential harm or misinterpretation of the post. </w:t>
      </w:r>
    </w:p>
    <w:p w14:paraId="77276B0D" w14:textId="77777777" w:rsid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lastRenderedPageBreak/>
        <w:t>While South Wales Police’s social media policy provided a solid foundation for responsible engagement, the experience revealed areas for improvement. For instance, additional training on crisis communication and managing public reactions on social media would be beneficial for officers. Policies could also be updated to include more specific guidance on handling posts related to sensitive cases, potentially requiring review from senior officers.</w:t>
      </w:r>
    </w:p>
    <w:p w14:paraId="35138D45" w14:textId="77777777" w:rsidR="00AC13D5" w:rsidRPr="00AC13D5" w:rsidRDefault="00AC13D5" w:rsidP="00AC13D5">
      <w:pPr>
        <w:rPr>
          <w:rFonts w:asciiTheme="minorHAnsi" w:hAnsiTheme="minorHAnsi" w:cstheme="minorHAnsi"/>
          <w:sz w:val="24"/>
          <w:szCs w:val="24"/>
        </w:rPr>
      </w:pPr>
    </w:p>
    <w:p w14:paraId="3E42B740" w14:textId="77777777" w:rsidR="00AC13D5" w:rsidRP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Overall, this incident underscored the importance of balancing social media’s transparency and engagement benefits with ethical considerations and strict adherence to privacy laws. As social media continues to evolve, ongoing policy reviews will be essential to ensure that policing practices align with public expectations and digital standards.</w:t>
      </w:r>
    </w:p>
    <w:p w14:paraId="207CF0E3" w14:textId="77777777" w:rsidR="00AC13D5" w:rsidRPr="00AC13D5" w:rsidRDefault="00AC13D5" w:rsidP="00AC13D5">
      <w:pPr>
        <w:rPr>
          <w:rFonts w:asciiTheme="minorHAnsi" w:hAnsiTheme="minorHAnsi" w:cstheme="minorHAnsi"/>
          <w:sz w:val="24"/>
          <w:szCs w:val="24"/>
        </w:rPr>
      </w:pPr>
    </w:p>
    <w:p w14:paraId="7431F7BF" w14:textId="77777777" w:rsidR="00AC13D5" w:rsidRP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Social media has become an integral part of modern policing, providing a means for rapid information dissemination, community engagement, and policy promotion. Through the case study of this victim’s domestic violence incident, this essay has explored the benefits, risks, and complexities of using social media in policing. South Wales Police’s social media policies emphasise the importance of professionalism, ethical considerations, and protecting victim privacy. Ultimately, the thoughtful and careful use of social media can foster transparency and community trust, reinforcing policing’s role in serving and protecting the public in a digital age.</w:t>
      </w:r>
    </w:p>
    <w:p w14:paraId="3311D0BD" w14:textId="77777777" w:rsidR="00AC13D5" w:rsidRDefault="00AC13D5" w:rsidP="00AC13D5">
      <w:pPr>
        <w:rPr>
          <w:rFonts w:asciiTheme="minorHAnsi" w:hAnsiTheme="minorHAnsi" w:cstheme="minorHAnsi"/>
          <w:sz w:val="24"/>
          <w:szCs w:val="24"/>
        </w:rPr>
      </w:pPr>
    </w:p>
    <w:p w14:paraId="3BFA5EEF" w14:textId="4A1F6FD3" w:rsidR="00AC13D5" w:rsidRPr="00AC13D5" w:rsidRDefault="00AC13D5" w:rsidP="00AC13D5">
      <w:pPr>
        <w:rPr>
          <w:rFonts w:asciiTheme="minorHAnsi" w:hAnsiTheme="minorHAnsi" w:cstheme="minorHAnsi"/>
          <w:sz w:val="24"/>
          <w:szCs w:val="24"/>
        </w:rPr>
      </w:pPr>
      <w:r w:rsidRPr="00AC13D5">
        <w:rPr>
          <w:rFonts w:asciiTheme="minorHAnsi" w:hAnsiTheme="minorHAnsi" w:cstheme="minorHAnsi"/>
          <w:sz w:val="24"/>
          <w:szCs w:val="24"/>
        </w:rPr>
        <w:t>2300 Words.</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A4A8F6F" w14:textId="77777777" w:rsidR="0099635E" w:rsidRDefault="0099635E" w:rsidP="0099635E">
      <w:pPr>
        <w:rPr>
          <w:rFonts w:asciiTheme="minorHAnsi" w:hAnsiTheme="minorHAnsi" w:cstheme="minorHAnsi"/>
          <w:sz w:val="24"/>
          <w:szCs w:val="24"/>
        </w:rPr>
      </w:pPr>
      <w:bookmarkStart w:id="1" w:name="_Hlk187155170"/>
      <w:r w:rsidRPr="0099635E">
        <w:rPr>
          <w:rFonts w:asciiTheme="minorHAnsi" w:hAnsiTheme="minorHAnsi" w:cstheme="minorHAnsi"/>
          <w:sz w:val="24"/>
          <w:szCs w:val="24"/>
        </w:rPr>
        <w:t>Leadership in policing is critical for managing dynamic and high-risk incidents, ensuring public safety, and fostering trust within communities. This essay reflects on a significant incident I was involved in, involving a violent offender who was heavily drug induced attacked their mother and later attempted to fight police officers with a large kitchen knife in a public street. Drawing on academic theories and practical experiences, the discussion evaluates my flexibility in leadership style, analyses strategies for managing operational situations, and examines how I applied leadership models to adapt to changing circumstances.</w:t>
      </w:r>
    </w:p>
    <w:p w14:paraId="0855CB98" w14:textId="77777777" w:rsidR="0099635E" w:rsidRPr="0099635E" w:rsidRDefault="0099635E" w:rsidP="0099635E">
      <w:pPr>
        <w:rPr>
          <w:rFonts w:asciiTheme="minorHAnsi" w:hAnsiTheme="minorHAnsi" w:cstheme="minorHAnsi"/>
          <w:sz w:val="24"/>
          <w:szCs w:val="24"/>
        </w:rPr>
      </w:pPr>
    </w:p>
    <w:p w14:paraId="196D95C1"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The incident began with an emergency call reporting a domestic violence situation. A male offender had severely injured his mother and fled into the street armed with a large kitchen knife. Upon arriving at the scene, the situation was volatile: the offender was agitated and threatening harm to officers and bystanders. The immediate priority was public safety, de-escalating the threat, and apprehending the offender without further injuries.</w:t>
      </w:r>
    </w:p>
    <w:p w14:paraId="11C13A95" w14:textId="77777777" w:rsidR="0099635E" w:rsidRPr="0099635E" w:rsidRDefault="0099635E" w:rsidP="0099635E">
      <w:pPr>
        <w:rPr>
          <w:rFonts w:asciiTheme="minorHAnsi" w:hAnsiTheme="minorHAnsi" w:cstheme="minorHAnsi"/>
          <w:sz w:val="24"/>
          <w:szCs w:val="24"/>
        </w:rPr>
      </w:pPr>
    </w:p>
    <w:p w14:paraId="1C16CD7B"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Initially, I adopted a directive leadership style</w:t>
      </w:r>
      <w:r w:rsidRPr="0099635E">
        <w:rPr>
          <w:rFonts w:asciiTheme="minorHAnsi" w:hAnsiTheme="minorHAnsi" w:cstheme="minorHAnsi"/>
          <w:sz w:val="32"/>
          <w:szCs w:val="32"/>
        </w:rPr>
        <w:t xml:space="preserve"> </w:t>
      </w:r>
      <w:r w:rsidRPr="0099635E">
        <w:rPr>
          <w:rFonts w:asciiTheme="minorHAnsi" w:hAnsiTheme="minorHAnsi" w:cstheme="minorHAnsi"/>
          <w:sz w:val="24"/>
          <w:szCs w:val="24"/>
        </w:rPr>
        <w:t>(</w:t>
      </w:r>
      <w:proofErr w:type="spellStart"/>
      <w:r w:rsidRPr="0099635E">
        <w:rPr>
          <w:rFonts w:asciiTheme="minorHAnsi" w:hAnsiTheme="minorHAnsi" w:cstheme="minorHAnsi"/>
          <w:sz w:val="24"/>
          <w:szCs w:val="24"/>
        </w:rPr>
        <w:t>Muczyk</w:t>
      </w:r>
      <w:proofErr w:type="spellEnd"/>
      <w:r w:rsidRPr="0099635E">
        <w:rPr>
          <w:rFonts w:asciiTheme="minorHAnsi" w:hAnsiTheme="minorHAnsi" w:cstheme="minorHAnsi"/>
          <w:sz w:val="24"/>
          <w:szCs w:val="24"/>
        </w:rPr>
        <w:t xml:space="preserve"> and Reimann, 1987), taking control of the scene by issuing clear instructions to the first officers on scene. I coordinated road closures, deployed officers to maintain a safe perimeter, and activated a tactical response. Engaging the offender required both firmness and some careful negotiation skills, as he exhibited erratic behaviour and refused to drop the weapon. As the situation evolved, I transitioned to a more participative leadership approach</w:t>
      </w:r>
      <w:r w:rsidRPr="0099635E">
        <w:rPr>
          <w:rFonts w:asciiTheme="minorHAnsi" w:hAnsiTheme="minorHAnsi" w:cstheme="minorHAnsi"/>
          <w:sz w:val="32"/>
          <w:szCs w:val="32"/>
        </w:rPr>
        <w:t xml:space="preserve"> </w:t>
      </w:r>
      <w:r w:rsidRPr="0099635E">
        <w:rPr>
          <w:rFonts w:asciiTheme="minorHAnsi" w:hAnsiTheme="minorHAnsi" w:cstheme="minorHAnsi"/>
          <w:sz w:val="24"/>
          <w:szCs w:val="24"/>
        </w:rPr>
        <w:t xml:space="preserve">(Wang, Hou and Li, 2022), </w:t>
      </w:r>
      <w:r w:rsidRPr="0099635E">
        <w:rPr>
          <w:rFonts w:asciiTheme="minorHAnsi" w:hAnsiTheme="minorHAnsi" w:cstheme="minorHAnsi"/>
          <w:sz w:val="24"/>
          <w:szCs w:val="24"/>
        </w:rPr>
        <w:lastRenderedPageBreak/>
        <w:t>leveraging the skills of my team. I involved a trained negotiator to establish a better dialogue with the offender, and I liaised with paramedics to ensure the victim received immediate medical care. This shift in style reflected the need for collaboration and adaptability in a fluid, high-pressure environment.</w:t>
      </w:r>
    </w:p>
    <w:p w14:paraId="0875E0BA" w14:textId="77777777" w:rsidR="0099635E" w:rsidRPr="0099635E" w:rsidRDefault="0099635E" w:rsidP="0099635E">
      <w:pPr>
        <w:rPr>
          <w:rFonts w:asciiTheme="minorHAnsi" w:hAnsiTheme="minorHAnsi" w:cstheme="minorHAnsi"/>
          <w:sz w:val="24"/>
          <w:szCs w:val="24"/>
        </w:rPr>
      </w:pPr>
    </w:p>
    <w:p w14:paraId="31D59C49" w14:textId="77777777" w:rsidR="0099635E" w:rsidRDefault="0099635E" w:rsidP="0099635E">
      <w:pPr>
        <w:rPr>
          <w:rFonts w:asciiTheme="minorHAnsi" w:hAnsiTheme="minorHAnsi" w:cstheme="minorHAnsi"/>
          <w:b/>
          <w:bCs/>
          <w:sz w:val="24"/>
          <w:szCs w:val="24"/>
        </w:rPr>
      </w:pPr>
      <w:r w:rsidRPr="0099635E">
        <w:rPr>
          <w:rFonts w:asciiTheme="minorHAnsi" w:hAnsiTheme="minorHAnsi" w:cstheme="minorHAnsi"/>
          <w:sz w:val="24"/>
          <w:szCs w:val="24"/>
        </w:rPr>
        <w:t xml:space="preserve">We did a good job of establishing clear initial control, promptly identifying dangers, and obtaining expert assistance, such paramedics and negotiators, in this crisis. </w:t>
      </w:r>
      <w:r w:rsidRPr="0099635E">
        <w:rPr>
          <w:rFonts w:asciiTheme="minorHAnsi" w:hAnsiTheme="minorHAnsi" w:cstheme="minorHAnsi"/>
          <w:sz w:val="24"/>
          <w:szCs w:val="24"/>
        </w:rPr>
        <w:br/>
        <w:t>Keeping team morale high, balancing enforcement and de-escalation, and guaranteeing public safety in a busy, dangerous area were some of the challenges that we encountered</w:t>
      </w:r>
      <w:r w:rsidRPr="0099635E">
        <w:rPr>
          <w:rFonts w:asciiTheme="minorHAnsi" w:hAnsiTheme="minorHAnsi" w:cstheme="minorHAnsi"/>
          <w:b/>
          <w:bCs/>
          <w:sz w:val="24"/>
          <w:szCs w:val="24"/>
        </w:rPr>
        <w:t>.</w:t>
      </w:r>
    </w:p>
    <w:p w14:paraId="483D7408" w14:textId="77777777" w:rsidR="0099635E" w:rsidRPr="0099635E" w:rsidRDefault="0099635E" w:rsidP="0099635E">
      <w:pPr>
        <w:rPr>
          <w:rFonts w:asciiTheme="minorHAnsi" w:hAnsiTheme="minorHAnsi" w:cstheme="minorHAnsi"/>
          <w:b/>
          <w:bCs/>
          <w:sz w:val="24"/>
          <w:szCs w:val="24"/>
        </w:rPr>
      </w:pPr>
    </w:p>
    <w:p w14:paraId="6AD963A0" w14:textId="77777777" w:rsidR="0099635E" w:rsidRP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The incident ended with the offender being disarmed and detained through a combination of negotiation and tactical intervention, minimising harm to all parties involved.</w:t>
      </w:r>
    </w:p>
    <w:p w14:paraId="30CFD96D" w14:textId="2A850351"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Given the high stakes and the quick changes in conditions, flexibility in leadership was crucial in this situation. Managing the crisis required me to shift from a transactional leadership style that prioritised task completion and instant control to a transformational style that prioritised team cooperation and de-escalation. This flexibility allowed me to collaborate with the team and build trust while managing the incident's immediate demands.</w:t>
      </w:r>
    </w:p>
    <w:p w14:paraId="773D75F7" w14:textId="77777777" w:rsidR="0099635E" w:rsidRPr="0099635E" w:rsidRDefault="0099635E" w:rsidP="0099635E">
      <w:pPr>
        <w:rPr>
          <w:rFonts w:asciiTheme="minorHAnsi" w:hAnsiTheme="minorHAnsi" w:cstheme="minorHAnsi"/>
          <w:sz w:val="24"/>
          <w:szCs w:val="24"/>
        </w:rPr>
      </w:pPr>
    </w:p>
    <w:p w14:paraId="30D4FE72"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The Situational Leadership Model (Hersey, Blanchard and Johnson, 2013) was particularly relevant in this context. This model highlights the importance of adapting leadership style based on the demands of the situation and the competence of the team. My initial directive approach was necessary to establish immediate control and ensure safety. However, as the situation evolved, a more supportive style became critical as the team worked together to de-escalate the threat. Similarly, because it highlights the significance of encouraging and motivating the team, Transformational Leadership (Bass, 1985) offered a helpful framework. Despite the high-stress context, I managed to maintain the team's concentration and togetherness by encouraging cooperation as well as confidence.</w:t>
      </w:r>
    </w:p>
    <w:p w14:paraId="2FAC7663" w14:textId="77777777" w:rsidR="0099635E" w:rsidRPr="0099635E" w:rsidRDefault="0099635E" w:rsidP="0099635E">
      <w:pPr>
        <w:rPr>
          <w:rFonts w:asciiTheme="minorHAnsi" w:hAnsiTheme="minorHAnsi" w:cstheme="minorHAnsi"/>
          <w:sz w:val="24"/>
          <w:szCs w:val="24"/>
        </w:rPr>
      </w:pPr>
    </w:p>
    <w:p w14:paraId="763218B4"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These approaches are supported by academic evidence. Research by Olie, (1993) identifies the adaptability of leadership styles as a critical factor in managing complex and high-pressure incidents. Furthermore, (Grubb, Brown, and Hall, 2017) highlight the need for emotional intelligence in leadership styles, especially when striking a balance between empathy and enforcement in extremely tense circumstances. A key competency in this situation was emotional intelligence, which enabled me to resolve the conflict whilst also being able to uphold authority and respond calmly to the violent offender's unpredictable actions.</w:t>
      </w:r>
    </w:p>
    <w:p w14:paraId="5967E447" w14:textId="77777777" w:rsidR="0099635E" w:rsidRPr="0099635E" w:rsidRDefault="0099635E" w:rsidP="0099635E">
      <w:pPr>
        <w:rPr>
          <w:rFonts w:asciiTheme="minorHAnsi" w:hAnsiTheme="minorHAnsi" w:cstheme="minorHAnsi"/>
          <w:sz w:val="24"/>
          <w:szCs w:val="24"/>
        </w:rPr>
      </w:pPr>
    </w:p>
    <w:p w14:paraId="7AEAA18E" w14:textId="77777777" w:rsidR="0099635E" w:rsidRP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Despite these advantages, there were times when poor communication led to delays in completing vital tasks. For example, during the negotiation phase, clearer delegation of roles earlier could have reduced our officer response time and improved overall efficiency. This reflects an area for improvement in my leadership approach, particularly in refining my ability to anticipate and address operational challenges in real-time. Recognising these limitations highlights the ongoing need for ongoing professional development to enhance leadership performance in future police incidents.</w:t>
      </w:r>
    </w:p>
    <w:p w14:paraId="1644C1A5" w14:textId="77777777" w:rsidR="0099635E" w:rsidRPr="0099635E" w:rsidRDefault="0099635E" w:rsidP="0099635E">
      <w:pPr>
        <w:spacing w:after="160"/>
        <w:rPr>
          <w:rFonts w:asciiTheme="minorHAnsi" w:hAnsiTheme="minorHAnsi" w:cstheme="minorHAnsi"/>
          <w:sz w:val="24"/>
          <w:szCs w:val="24"/>
        </w:rPr>
      </w:pPr>
      <w:r w:rsidRPr="0099635E">
        <w:rPr>
          <w:rFonts w:asciiTheme="minorHAnsi" w:hAnsiTheme="minorHAnsi" w:cstheme="minorHAnsi"/>
          <w:sz w:val="24"/>
          <w:szCs w:val="24"/>
        </w:rPr>
        <w:br/>
        <w:t xml:space="preserve">Over my career, I have developed many strategies to effectively manage a range of </w:t>
      </w:r>
      <w:r w:rsidRPr="0099635E">
        <w:rPr>
          <w:rFonts w:asciiTheme="minorHAnsi" w:hAnsiTheme="minorHAnsi" w:cstheme="minorHAnsi"/>
          <w:sz w:val="24"/>
          <w:szCs w:val="24"/>
        </w:rPr>
        <w:lastRenderedPageBreak/>
        <w:t>operational situations, including those involving serious violent offenders. These strategies are designed to ensure a structured yet flexible approach, balancing immediate control with long-term resolution.</w:t>
      </w:r>
    </w:p>
    <w:p w14:paraId="66C5908F" w14:textId="77777777" w:rsidR="0099635E" w:rsidRPr="00056A98" w:rsidRDefault="0099635E" w:rsidP="0099635E">
      <w:pPr>
        <w:spacing w:after="160" w:line="259" w:lineRule="auto"/>
        <w:rPr>
          <w:rFonts w:asciiTheme="minorHAnsi" w:hAnsiTheme="minorHAnsi" w:cstheme="minorHAnsi"/>
          <w:sz w:val="24"/>
          <w:szCs w:val="24"/>
        </w:rPr>
      </w:pPr>
      <w:r w:rsidRPr="00056A98">
        <w:rPr>
          <w:rFonts w:asciiTheme="minorHAnsi" w:hAnsiTheme="minorHAnsi" w:cstheme="minorHAnsi"/>
          <w:sz w:val="24"/>
          <w:szCs w:val="24"/>
        </w:rPr>
        <w:t>One key strategy is dynamic risk assessment, which involves continuously evaluating threats and adjusting priorities based on changing circumstances</w:t>
      </w:r>
      <w:r w:rsidRPr="0099635E">
        <w:rPr>
          <w:rFonts w:asciiTheme="minorHAnsi" w:hAnsiTheme="minorHAnsi" w:cstheme="minorHAnsi"/>
          <w:sz w:val="32"/>
          <w:szCs w:val="32"/>
        </w:rPr>
        <w:t xml:space="preserve"> </w:t>
      </w:r>
      <w:r w:rsidRPr="0099635E">
        <w:rPr>
          <w:rFonts w:asciiTheme="minorHAnsi" w:hAnsiTheme="minorHAnsi" w:cstheme="minorHAnsi"/>
          <w:sz w:val="24"/>
          <w:szCs w:val="24"/>
        </w:rPr>
        <w:t>(Page, 2023).</w:t>
      </w:r>
      <w:r w:rsidRPr="00056A98">
        <w:rPr>
          <w:rFonts w:asciiTheme="minorHAnsi" w:hAnsiTheme="minorHAnsi" w:cstheme="minorHAnsi"/>
          <w:sz w:val="24"/>
          <w:szCs w:val="24"/>
        </w:rPr>
        <w:t xml:space="preserve"> This allows for a more responsive approach, particularly in volatile situations. Another essential strategy is collaborative decision-making, which entails engaging speciali</w:t>
      </w:r>
      <w:r w:rsidRPr="0099635E">
        <w:rPr>
          <w:rFonts w:asciiTheme="minorHAnsi" w:hAnsiTheme="minorHAnsi" w:cstheme="minorHAnsi"/>
          <w:sz w:val="24"/>
          <w:szCs w:val="24"/>
        </w:rPr>
        <w:t>s</w:t>
      </w:r>
      <w:r w:rsidRPr="00056A98">
        <w:rPr>
          <w:rFonts w:asciiTheme="minorHAnsi" w:hAnsiTheme="minorHAnsi" w:cstheme="minorHAnsi"/>
          <w:sz w:val="24"/>
          <w:szCs w:val="24"/>
        </w:rPr>
        <w:t>ed support, such as negotiators and tactical teams, to address complex challenges. </w:t>
      </w:r>
      <w:r w:rsidRPr="0099635E">
        <w:rPr>
          <w:rFonts w:asciiTheme="minorHAnsi" w:hAnsiTheme="minorHAnsi" w:cstheme="minorHAnsi"/>
          <w:sz w:val="24"/>
          <w:szCs w:val="24"/>
        </w:rPr>
        <w:t>Maintaining open channels of communication with the whole team, stakeholders, and the general public is also essential for maintaining coordination and clarity during the situation. In order to reflect on the scenario with the team and determine areas for development and lessons learnt, post-incident debriefing is essential.</w:t>
      </w:r>
    </w:p>
    <w:p w14:paraId="4447B1F0" w14:textId="77777777" w:rsidR="0099635E" w:rsidRPr="00056A98" w:rsidRDefault="0099635E" w:rsidP="0099635E">
      <w:pPr>
        <w:spacing w:after="160" w:line="259" w:lineRule="auto"/>
        <w:rPr>
          <w:rFonts w:asciiTheme="minorHAnsi" w:hAnsiTheme="minorHAnsi" w:cstheme="minorHAnsi"/>
          <w:sz w:val="24"/>
          <w:szCs w:val="24"/>
        </w:rPr>
      </w:pPr>
      <w:r w:rsidRPr="00056A98">
        <w:rPr>
          <w:rFonts w:asciiTheme="minorHAnsi" w:hAnsiTheme="minorHAnsi" w:cstheme="minorHAnsi"/>
          <w:sz w:val="24"/>
          <w:szCs w:val="24"/>
        </w:rPr>
        <w:t xml:space="preserve">During the incident </w:t>
      </w:r>
      <w:r w:rsidRPr="0099635E">
        <w:rPr>
          <w:rFonts w:asciiTheme="minorHAnsi" w:hAnsiTheme="minorHAnsi" w:cstheme="minorHAnsi"/>
          <w:sz w:val="24"/>
          <w:szCs w:val="24"/>
        </w:rPr>
        <w:t>above</w:t>
      </w:r>
      <w:r w:rsidRPr="00056A98">
        <w:rPr>
          <w:rFonts w:asciiTheme="minorHAnsi" w:hAnsiTheme="minorHAnsi" w:cstheme="minorHAnsi"/>
          <w:sz w:val="24"/>
          <w:szCs w:val="24"/>
        </w:rPr>
        <w:t xml:space="preserve">, these strategies were applied </w:t>
      </w:r>
      <w:r w:rsidRPr="0099635E">
        <w:rPr>
          <w:rFonts w:asciiTheme="minorHAnsi" w:hAnsiTheme="minorHAnsi" w:cstheme="minorHAnsi"/>
          <w:sz w:val="24"/>
          <w:szCs w:val="24"/>
        </w:rPr>
        <w:t xml:space="preserve">very </w:t>
      </w:r>
      <w:r w:rsidRPr="00056A98">
        <w:rPr>
          <w:rFonts w:asciiTheme="minorHAnsi" w:hAnsiTheme="minorHAnsi" w:cstheme="minorHAnsi"/>
          <w:sz w:val="24"/>
          <w:szCs w:val="24"/>
        </w:rPr>
        <w:t>effectively. Dynamic risk assessment enabled me to identify the need for both immediate control measures and a longer-term negotiation strategy. Collaborative decision-making proved critical, particularly when involving the negotiator and paramedics, as their expertise ensured a safer resolution</w:t>
      </w:r>
      <w:r w:rsidRPr="0099635E">
        <w:rPr>
          <w:rFonts w:asciiTheme="minorHAnsi" w:hAnsiTheme="minorHAnsi" w:cstheme="minorHAnsi"/>
          <w:sz w:val="24"/>
          <w:szCs w:val="24"/>
        </w:rPr>
        <w:t xml:space="preserve"> for all</w:t>
      </w:r>
      <w:r w:rsidRPr="00056A98">
        <w:rPr>
          <w:rFonts w:asciiTheme="minorHAnsi" w:hAnsiTheme="minorHAnsi" w:cstheme="minorHAnsi"/>
          <w:sz w:val="24"/>
          <w:szCs w:val="24"/>
        </w:rPr>
        <w:t>. Clear communication ensured that all team members understood their roles, which minimi</w:t>
      </w:r>
      <w:r w:rsidRPr="0099635E">
        <w:rPr>
          <w:rFonts w:asciiTheme="minorHAnsi" w:hAnsiTheme="minorHAnsi" w:cstheme="minorHAnsi"/>
          <w:sz w:val="24"/>
          <w:szCs w:val="24"/>
        </w:rPr>
        <w:t>s</w:t>
      </w:r>
      <w:r w:rsidRPr="00056A98">
        <w:rPr>
          <w:rFonts w:asciiTheme="minorHAnsi" w:hAnsiTheme="minorHAnsi" w:cstheme="minorHAnsi"/>
          <w:sz w:val="24"/>
          <w:szCs w:val="24"/>
        </w:rPr>
        <w:t>ed confusion in a highly stressful environment.</w:t>
      </w:r>
    </w:p>
    <w:p w14:paraId="0D8224EC" w14:textId="77777777" w:rsidR="0099635E" w:rsidRPr="00056A98" w:rsidRDefault="0099635E" w:rsidP="0099635E">
      <w:pPr>
        <w:spacing w:after="160" w:line="259" w:lineRule="auto"/>
        <w:rPr>
          <w:rFonts w:asciiTheme="minorHAnsi" w:hAnsiTheme="minorHAnsi" w:cstheme="minorHAnsi"/>
          <w:sz w:val="24"/>
          <w:szCs w:val="24"/>
        </w:rPr>
      </w:pPr>
      <w:r w:rsidRPr="00C81034">
        <w:rPr>
          <w:rFonts w:asciiTheme="minorHAnsi" w:hAnsiTheme="minorHAnsi" w:cstheme="minorHAnsi"/>
          <w:sz w:val="24"/>
          <w:szCs w:val="24"/>
        </w:rPr>
        <w:t xml:space="preserve">Despite these achievements, this incident brought to light several recurring problems with </w:t>
      </w:r>
      <w:r w:rsidRPr="0099635E">
        <w:rPr>
          <w:rFonts w:asciiTheme="minorHAnsi" w:hAnsiTheme="minorHAnsi" w:cstheme="minorHAnsi"/>
          <w:sz w:val="24"/>
          <w:szCs w:val="24"/>
        </w:rPr>
        <w:t xml:space="preserve">current </w:t>
      </w:r>
      <w:r w:rsidRPr="00C81034">
        <w:rPr>
          <w:rFonts w:asciiTheme="minorHAnsi" w:hAnsiTheme="minorHAnsi" w:cstheme="minorHAnsi"/>
          <w:sz w:val="24"/>
          <w:szCs w:val="24"/>
        </w:rPr>
        <w:t>policing leadership. When working with violent offenders and victims, striking a balance between operational responsibilities and emotional intelligence is a major problem. Another is keeping morale up and managing team dynamics under</w:t>
      </w:r>
      <w:r w:rsidRPr="0099635E">
        <w:rPr>
          <w:rFonts w:asciiTheme="minorHAnsi" w:hAnsiTheme="minorHAnsi" w:cstheme="minorHAnsi"/>
          <w:sz w:val="24"/>
          <w:szCs w:val="24"/>
        </w:rPr>
        <w:t xml:space="preserve"> extreme</w:t>
      </w:r>
      <w:r w:rsidRPr="00C81034">
        <w:rPr>
          <w:rFonts w:asciiTheme="minorHAnsi" w:hAnsiTheme="minorHAnsi" w:cstheme="minorHAnsi"/>
          <w:sz w:val="24"/>
          <w:szCs w:val="24"/>
        </w:rPr>
        <w:t xml:space="preserve"> pressure, which may be particularly challenging in life-or-death circumstances.</w:t>
      </w:r>
    </w:p>
    <w:p w14:paraId="54CF3851"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 xml:space="preserve">The strategies I employed that align with academic frameworks are Adair’s Action-Centred Leadership Model (1989) emphasises the importance of balancing task, team, and individual needs. This approach resonated with my efforts to prioritise operational goals while maintaining team cohesion and addressing the emotional needs of all individuals involved. Similarly, Goleman's Emotional Intelligence Framework (1995) emphasises the value of empathy and self-awareness, both of which were essential to my communication with the offender and the team. These frameworks emphasise the need of evidence-based leadership in policing and offer a strong theoretical basis for the tactics I implemented. </w:t>
      </w:r>
    </w:p>
    <w:p w14:paraId="726C16A6" w14:textId="77777777" w:rsidR="0099635E" w:rsidRPr="0099635E" w:rsidRDefault="0099635E" w:rsidP="0099635E">
      <w:pPr>
        <w:rPr>
          <w:rFonts w:asciiTheme="minorHAnsi" w:hAnsiTheme="minorHAnsi" w:cstheme="minorHAnsi"/>
          <w:sz w:val="24"/>
          <w:szCs w:val="24"/>
        </w:rPr>
      </w:pPr>
    </w:p>
    <w:p w14:paraId="2CB05950" w14:textId="77777777" w:rsidR="0099635E" w:rsidRPr="00ED18DE" w:rsidRDefault="0099635E" w:rsidP="0099635E">
      <w:pPr>
        <w:spacing w:after="160" w:line="259" w:lineRule="auto"/>
        <w:rPr>
          <w:rFonts w:asciiTheme="minorHAnsi" w:hAnsiTheme="minorHAnsi" w:cstheme="minorHAnsi"/>
          <w:sz w:val="24"/>
          <w:szCs w:val="24"/>
        </w:rPr>
      </w:pPr>
      <w:r w:rsidRPr="00ED18DE">
        <w:rPr>
          <w:rFonts w:asciiTheme="minorHAnsi" w:hAnsiTheme="minorHAnsi" w:cstheme="minorHAnsi"/>
          <w:sz w:val="24"/>
          <w:szCs w:val="24"/>
        </w:rPr>
        <w:t xml:space="preserve">Policing incidents involving violent offenders are </w:t>
      </w:r>
      <w:r w:rsidRPr="0099635E">
        <w:rPr>
          <w:rFonts w:asciiTheme="minorHAnsi" w:hAnsiTheme="minorHAnsi" w:cstheme="minorHAnsi"/>
          <w:sz w:val="24"/>
          <w:szCs w:val="24"/>
        </w:rPr>
        <w:t>typically</w:t>
      </w:r>
      <w:r w:rsidRPr="00ED18DE">
        <w:rPr>
          <w:rFonts w:asciiTheme="minorHAnsi" w:hAnsiTheme="minorHAnsi" w:cstheme="minorHAnsi"/>
          <w:sz w:val="24"/>
          <w:szCs w:val="24"/>
        </w:rPr>
        <w:t xml:space="preserve"> fluid, requiring leaders to ad</w:t>
      </w:r>
      <w:r w:rsidRPr="0099635E">
        <w:rPr>
          <w:rFonts w:asciiTheme="minorHAnsi" w:hAnsiTheme="minorHAnsi" w:cstheme="minorHAnsi"/>
          <w:sz w:val="24"/>
          <w:szCs w:val="24"/>
        </w:rPr>
        <w:t>just</w:t>
      </w:r>
      <w:r w:rsidRPr="00ED18DE">
        <w:rPr>
          <w:rFonts w:asciiTheme="minorHAnsi" w:hAnsiTheme="minorHAnsi" w:cstheme="minorHAnsi"/>
          <w:sz w:val="24"/>
          <w:szCs w:val="24"/>
        </w:rPr>
        <w:t xml:space="preserve"> their styles and strategies to reflect </w:t>
      </w:r>
      <w:r w:rsidRPr="0099635E">
        <w:rPr>
          <w:rFonts w:asciiTheme="minorHAnsi" w:hAnsiTheme="minorHAnsi" w:cstheme="minorHAnsi"/>
          <w:sz w:val="24"/>
          <w:szCs w:val="24"/>
        </w:rPr>
        <w:t xml:space="preserve">quickly </w:t>
      </w:r>
      <w:r w:rsidRPr="00ED18DE">
        <w:rPr>
          <w:rFonts w:asciiTheme="minorHAnsi" w:hAnsiTheme="minorHAnsi" w:cstheme="minorHAnsi"/>
          <w:sz w:val="24"/>
          <w:szCs w:val="24"/>
        </w:rPr>
        <w:t>changing circumstances. In this case, the ability to transition from a directive leadership style</w:t>
      </w:r>
      <w:r w:rsidRPr="0099635E">
        <w:rPr>
          <w:rFonts w:asciiTheme="minorHAnsi" w:hAnsiTheme="minorHAnsi" w:cstheme="minorHAnsi"/>
          <w:sz w:val="24"/>
          <w:szCs w:val="24"/>
        </w:rPr>
        <w:t xml:space="preserve"> </w:t>
      </w:r>
      <w:r w:rsidRPr="00ED18DE">
        <w:rPr>
          <w:rFonts w:asciiTheme="minorHAnsi" w:hAnsiTheme="minorHAnsi" w:cstheme="minorHAnsi"/>
          <w:sz w:val="24"/>
          <w:szCs w:val="24"/>
        </w:rPr>
        <w:t>focused on immediate control and enforcement</w:t>
      </w:r>
      <w:r w:rsidRPr="0099635E">
        <w:rPr>
          <w:rFonts w:asciiTheme="minorHAnsi" w:hAnsiTheme="minorHAnsi" w:cstheme="minorHAnsi"/>
          <w:sz w:val="24"/>
          <w:szCs w:val="24"/>
        </w:rPr>
        <w:t xml:space="preserve"> </w:t>
      </w:r>
      <w:r w:rsidRPr="00ED18DE">
        <w:rPr>
          <w:rFonts w:asciiTheme="minorHAnsi" w:hAnsiTheme="minorHAnsi" w:cstheme="minorHAnsi"/>
          <w:sz w:val="24"/>
          <w:szCs w:val="24"/>
        </w:rPr>
        <w:t>to a more participative style was cr</w:t>
      </w:r>
      <w:r w:rsidRPr="0099635E">
        <w:rPr>
          <w:rFonts w:asciiTheme="minorHAnsi" w:hAnsiTheme="minorHAnsi" w:cstheme="minorHAnsi"/>
          <w:sz w:val="24"/>
          <w:szCs w:val="24"/>
        </w:rPr>
        <w:t>ucia</w:t>
      </w:r>
      <w:r w:rsidRPr="00ED18DE">
        <w:rPr>
          <w:rFonts w:asciiTheme="minorHAnsi" w:hAnsiTheme="minorHAnsi" w:cstheme="minorHAnsi"/>
          <w:sz w:val="24"/>
          <w:szCs w:val="24"/>
        </w:rPr>
        <w:t>l</w:t>
      </w:r>
      <w:r w:rsidRPr="0099635E">
        <w:rPr>
          <w:rFonts w:asciiTheme="minorHAnsi" w:hAnsiTheme="minorHAnsi" w:cstheme="minorHAnsi"/>
          <w:sz w:val="24"/>
          <w:szCs w:val="24"/>
        </w:rPr>
        <w:t xml:space="preserve"> for the team</w:t>
      </w:r>
      <w:r w:rsidRPr="00ED18DE">
        <w:rPr>
          <w:rFonts w:asciiTheme="minorHAnsi" w:hAnsiTheme="minorHAnsi" w:cstheme="minorHAnsi"/>
          <w:sz w:val="24"/>
          <w:szCs w:val="24"/>
        </w:rPr>
        <w:t xml:space="preserve">. This shift allowed for a </w:t>
      </w:r>
      <w:r w:rsidRPr="0099635E">
        <w:rPr>
          <w:rFonts w:asciiTheme="minorHAnsi" w:hAnsiTheme="minorHAnsi" w:cstheme="minorHAnsi"/>
          <w:sz w:val="24"/>
          <w:szCs w:val="24"/>
        </w:rPr>
        <w:t xml:space="preserve">simpler </w:t>
      </w:r>
      <w:r w:rsidRPr="00ED18DE">
        <w:rPr>
          <w:rFonts w:asciiTheme="minorHAnsi" w:hAnsiTheme="minorHAnsi" w:cstheme="minorHAnsi"/>
          <w:sz w:val="24"/>
          <w:szCs w:val="24"/>
        </w:rPr>
        <w:t xml:space="preserve">de-escalation of the situation and ensured a safe </w:t>
      </w:r>
      <w:r w:rsidRPr="0099635E">
        <w:rPr>
          <w:rFonts w:asciiTheme="minorHAnsi" w:hAnsiTheme="minorHAnsi" w:cstheme="minorHAnsi"/>
          <w:sz w:val="24"/>
          <w:szCs w:val="24"/>
        </w:rPr>
        <w:t>outcome</w:t>
      </w:r>
      <w:r w:rsidRPr="00ED18DE">
        <w:rPr>
          <w:rFonts w:asciiTheme="minorHAnsi" w:hAnsiTheme="minorHAnsi" w:cstheme="minorHAnsi"/>
          <w:sz w:val="24"/>
          <w:szCs w:val="24"/>
        </w:rPr>
        <w:t xml:space="preserve"> for all parties involved.</w:t>
      </w:r>
    </w:p>
    <w:p w14:paraId="045F1C65" w14:textId="77777777" w:rsidR="0099635E" w:rsidRPr="00ED18DE" w:rsidRDefault="0099635E" w:rsidP="0099635E">
      <w:pPr>
        <w:spacing w:after="160" w:line="259" w:lineRule="auto"/>
        <w:rPr>
          <w:rFonts w:asciiTheme="minorHAnsi" w:hAnsiTheme="minorHAnsi" w:cstheme="minorHAnsi"/>
          <w:sz w:val="24"/>
          <w:szCs w:val="24"/>
        </w:rPr>
      </w:pPr>
      <w:r w:rsidRPr="00ED18DE">
        <w:rPr>
          <w:rFonts w:asciiTheme="minorHAnsi" w:hAnsiTheme="minorHAnsi" w:cstheme="minorHAnsi"/>
          <w:sz w:val="24"/>
          <w:szCs w:val="24"/>
        </w:rPr>
        <w:t xml:space="preserve">Addressing the difficulties posed during this incident required significant changes. I started by using authoritative control to create order and reduce any immediate dangers. I switched to a cooperative negotiation strategy once things calmed down, using my team's experience to successfully engage the offender. It was also crucial that I modify my communication style, striking a balance between firmness and empathy, to make sure the offender became </w:t>
      </w:r>
      <w:r w:rsidRPr="00ED18DE">
        <w:rPr>
          <w:rFonts w:asciiTheme="minorHAnsi" w:hAnsiTheme="minorHAnsi" w:cstheme="minorHAnsi"/>
          <w:sz w:val="24"/>
          <w:szCs w:val="24"/>
        </w:rPr>
        <w:lastRenderedPageBreak/>
        <w:t>involved without making things worse</w:t>
      </w:r>
      <w:r w:rsidRPr="0099635E">
        <w:rPr>
          <w:rFonts w:asciiTheme="minorHAnsi" w:hAnsiTheme="minorHAnsi" w:cstheme="minorHAnsi"/>
          <w:sz w:val="24"/>
          <w:szCs w:val="24"/>
        </w:rPr>
        <w:t xml:space="preserve"> for persons involved</w:t>
      </w:r>
      <w:r w:rsidRPr="00ED18DE">
        <w:rPr>
          <w:rFonts w:asciiTheme="minorHAnsi" w:hAnsiTheme="minorHAnsi" w:cstheme="minorHAnsi"/>
          <w:sz w:val="24"/>
          <w:szCs w:val="24"/>
        </w:rPr>
        <w:t>. Furthermore, putting the victim's wellbeing first remained at the heart of my strategy, arranging for timely medical assistance while making sure the offender's detention was managed in a way that was both safe and moral.</w:t>
      </w:r>
    </w:p>
    <w:p w14:paraId="4FD1095C" w14:textId="77777777" w:rsidR="0099635E" w:rsidRPr="00ED18DE" w:rsidRDefault="0099635E" w:rsidP="0099635E">
      <w:pPr>
        <w:spacing w:after="160" w:line="259" w:lineRule="auto"/>
        <w:rPr>
          <w:rFonts w:asciiTheme="minorHAnsi" w:hAnsiTheme="minorHAnsi" w:cstheme="minorHAnsi"/>
          <w:sz w:val="24"/>
          <w:szCs w:val="24"/>
        </w:rPr>
      </w:pPr>
      <w:r w:rsidRPr="00C31750">
        <w:rPr>
          <w:rFonts w:asciiTheme="minorHAnsi" w:hAnsiTheme="minorHAnsi" w:cstheme="minorHAnsi"/>
          <w:sz w:val="24"/>
          <w:szCs w:val="24"/>
        </w:rPr>
        <w:t>When I think back on how adaptable I was during the incident, I see how crucial it is to be proactive in evaluating both team dynamics and individual needs. Although the result was positive, this experience brought to light areas that require development within the team, most notably the significance of more effective contingency planning to be ready for unanticipated difficulties.</w:t>
      </w:r>
    </w:p>
    <w:p w14:paraId="2160F0E1" w14:textId="77777777" w:rsidR="0099635E" w:rsidRDefault="0099635E" w:rsidP="0099635E">
      <w:pPr>
        <w:rPr>
          <w:rFonts w:asciiTheme="minorHAnsi" w:hAnsiTheme="minorHAnsi" w:cstheme="minorHAnsi"/>
          <w:sz w:val="24"/>
          <w:szCs w:val="24"/>
        </w:rPr>
      </w:pPr>
      <w:r w:rsidRPr="00ED18DE">
        <w:rPr>
          <w:rFonts w:asciiTheme="minorHAnsi" w:hAnsiTheme="minorHAnsi" w:cstheme="minorHAnsi"/>
          <w:sz w:val="24"/>
          <w:szCs w:val="24"/>
        </w:rPr>
        <w:t>Academic frameworks support the strategies employed in this scenario. Kotter’s Change Model (1996) und</w:t>
      </w:r>
      <w:r w:rsidRPr="0099635E">
        <w:rPr>
          <w:rFonts w:asciiTheme="minorHAnsi" w:hAnsiTheme="minorHAnsi" w:cstheme="minorHAnsi"/>
          <w:sz w:val="24"/>
          <w:szCs w:val="24"/>
        </w:rPr>
        <w:t>erlines the im</w:t>
      </w:r>
      <w:r w:rsidRPr="00ED18DE">
        <w:rPr>
          <w:rFonts w:asciiTheme="minorHAnsi" w:hAnsiTheme="minorHAnsi" w:cstheme="minorHAnsi"/>
          <w:sz w:val="24"/>
          <w:szCs w:val="24"/>
        </w:rPr>
        <w:t xml:space="preserve">portance of flexibility and proactive planning in dynamic and </w:t>
      </w:r>
      <w:r w:rsidRPr="0099635E">
        <w:rPr>
          <w:rFonts w:asciiTheme="minorHAnsi" w:hAnsiTheme="minorHAnsi" w:cstheme="minorHAnsi"/>
          <w:sz w:val="24"/>
          <w:szCs w:val="24"/>
        </w:rPr>
        <w:t>high-pressure</w:t>
      </w:r>
      <w:r w:rsidRPr="00ED18DE">
        <w:rPr>
          <w:rFonts w:asciiTheme="minorHAnsi" w:hAnsiTheme="minorHAnsi" w:cstheme="minorHAnsi"/>
          <w:sz w:val="24"/>
          <w:szCs w:val="24"/>
        </w:rPr>
        <w:t xml:space="preserve"> environments. Similarly, research by </w:t>
      </w:r>
      <w:r w:rsidRPr="0099635E">
        <w:rPr>
          <w:rFonts w:asciiTheme="minorHAnsi" w:hAnsiTheme="minorHAnsi" w:cstheme="minorHAnsi"/>
          <w:sz w:val="24"/>
          <w:szCs w:val="24"/>
        </w:rPr>
        <w:t xml:space="preserve">Haslam, Reicher and </w:t>
      </w:r>
      <w:proofErr w:type="spellStart"/>
      <w:r w:rsidRPr="0099635E">
        <w:rPr>
          <w:rFonts w:asciiTheme="minorHAnsi" w:hAnsiTheme="minorHAnsi" w:cstheme="minorHAnsi"/>
          <w:sz w:val="24"/>
          <w:szCs w:val="24"/>
        </w:rPr>
        <w:t>Platow</w:t>
      </w:r>
      <w:proofErr w:type="spellEnd"/>
      <w:r w:rsidRPr="0099635E">
        <w:rPr>
          <w:rFonts w:asciiTheme="minorHAnsi" w:hAnsiTheme="minorHAnsi" w:cstheme="minorHAnsi"/>
          <w:sz w:val="24"/>
          <w:szCs w:val="24"/>
        </w:rPr>
        <w:t>, (</w:t>
      </w:r>
      <w:r w:rsidRPr="00ED18DE">
        <w:rPr>
          <w:rFonts w:asciiTheme="minorHAnsi" w:hAnsiTheme="minorHAnsi" w:cstheme="minorHAnsi"/>
          <w:sz w:val="24"/>
          <w:szCs w:val="24"/>
        </w:rPr>
        <w:t>20</w:t>
      </w:r>
      <w:r w:rsidRPr="0099635E">
        <w:rPr>
          <w:rFonts w:asciiTheme="minorHAnsi" w:hAnsiTheme="minorHAnsi" w:cstheme="minorHAnsi"/>
          <w:sz w:val="24"/>
          <w:szCs w:val="24"/>
        </w:rPr>
        <w:t>20</w:t>
      </w:r>
      <w:r w:rsidRPr="00ED18DE">
        <w:rPr>
          <w:rFonts w:asciiTheme="minorHAnsi" w:hAnsiTheme="minorHAnsi" w:cstheme="minorHAnsi"/>
          <w:sz w:val="24"/>
          <w:szCs w:val="24"/>
        </w:rPr>
        <w:t xml:space="preserve">) highlights the role of social identity in fostering team cohesion during high-stress incidents, a concept that </w:t>
      </w:r>
      <w:r w:rsidRPr="0099635E">
        <w:rPr>
          <w:rFonts w:asciiTheme="minorHAnsi" w:hAnsiTheme="minorHAnsi" w:cstheme="minorHAnsi"/>
          <w:sz w:val="24"/>
          <w:szCs w:val="24"/>
        </w:rPr>
        <w:t>reflects</w:t>
      </w:r>
      <w:r w:rsidRPr="00ED18DE">
        <w:rPr>
          <w:rFonts w:asciiTheme="minorHAnsi" w:hAnsiTheme="minorHAnsi" w:cstheme="minorHAnsi"/>
          <w:sz w:val="24"/>
          <w:szCs w:val="24"/>
        </w:rPr>
        <w:t xml:space="preserve"> strongly with the teamwork demonstrated during this </w:t>
      </w:r>
      <w:r w:rsidRPr="0099635E">
        <w:rPr>
          <w:rFonts w:asciiTheme="minorHAnsi" w:hAnsiTheme="minorHAnsi" w:cstheme="minorHAnsi"/>
          <w:sz w:val="24"/>
          <w:szCs w:val="24"/>
        </w:rPr>
        <w:t>incident</w:t>
      </w:r>
      <w:r w:rsidRPr="00ED18DE">
        <w:rPr>
          <w:rFonts w:asciiTheme="minorHAnsi" w:hAnsiTheme="minorHAnsi" w:cstheme="minorHAnsi"/>
          <w:sz w:val="24"/>
          <w:szCs w:val="24"/>
        </w:rPr>
        <w:t xml:space="preserve">. These theories provide a solid foundation for understanding the </w:t>
      </w:r>
      <w:r w:rsidRPr="0099635E">
        <w:rPr>
          <w:rFonts w:asciiTheme="minorHAnsi" w:hAnsiTheme="minorHAnsi" w:cstheme="minorHAnsi"/>
          <w:sz w:val="24"/>
          <w:szCs w:val="24"/>
        </w:rPr>
        <w:t>importance</w:t>
      </w:r>
      <w:r w:rsidRPr="00ED18DE">
        <w:rPr>
          <w:rFonts w:asciiTheme="minorHAnsi" w:hAnsiTheme="minorHAnsi" w:cstheme="minorHAnsi"/>
          <w:sz w:val="24"/>
          <w:szCs w:val="24"/>
        </w:rPr>
        <w:t xml:space="preserve"> of adaptable leadership in poli</w:t>
      </w:r>
      <w:r w:rsidRPr="0099635E">
        <w:rPr>
          <w:rFonts w:asciiTheme="minorHAnsi" w:hAnsiTheme="minorHAnsi" w:cstheme="minorHAnsi"/>
          <w:sz w:val="24"/>
          <w:szCs w:val="24"/>
        </w:rPr>
        <w:t>ce forces around the world</w:t>
      </w:r>
      <w:r w:rsidRPr="00ED18DE">
        <w:rPr>
          <w:rFonts w:asciiTheme="minorHAnsi" w:hAnsiTheme="minorHAnsi" w:cstheme="minorHAnsi"/>
          <w:sz w:val="24"/>
          <w:szCs w:val="24"/>
        </w:rPr>
        <w:t>, particularly when managing v</w:t>
      </w:r>
      <w:r w:rsidRPr="0099635E">
        <w:rPr>
          <w:rFonts w:asciiTheme="minorHAnsi" w:hAnsiTheme="minorHAnsi" w:cstheme="minorHAnsi"/>
          <w:sz w:val="24"/>
          <w:szCs w:val="24"/>
        </w:rPr>
        <w:t>iolent</w:t>
      </w:r>
      <w:r w:rsidRPr="00ED18DE">
        <w:rPr>
          <w:rFonts w:asciiTheme="minorHAnsi" w:hAnsiTheme="minorHAnsi" w:cstheme="minorHAnsi"/>
          <w:sz w:val="24"/>
          <w:szCs w:val="24"/>
        </w:rPr>
        <w:t xml:space="preserve"> situations</w:t>
      </w:r>
      <w:r w:rsidRPr="0099635E">
        <w:rPr>
          <w:rFonts w:asciiTheme="minorHAnsi" w:hAnsiTheme="minorHAnsi" w:cstheme="minorHAnsi"/>
          <w:sz w:val="24"/>
          <w:szCs w:val="24"/>
        </w:rPr>
        <w:t xml:space="preserve"> that we come across regularly</w:t>
      </w:r>
      <w:r w:rsidRPr="00ED18DE">
        <w:rPr>
          <w:rFonts w:asciiTheme="minorHAnsi" w:hAnsiTheme="minorHAnsi" w:cstheme="minorHAnsi"/>
          <w:sz w:val="24"/>
          <w:szCs w:val="24"/>
        </w:rPr>
        <w:t>.</w:t>
      </w:r>
      <w:bookmarkEnd w:id="1"/>
    </w:p>
    <w:p w14:paraId="2224822A" w14:textId="77777777" w:rsidR="0099635E" w:rsidRPr="0099635E" w:rsidRDefault="0099635E" w:rsidP="0099635E">
      <w:pPr>
        <w:rPr>
          <w:rFonts w:asciiTheme="minorHAnsi" w:hAnsiTheme="minorHAnsi" w:cstheme="minorHAnsi"/>
          <w:b/>
          <w:bCs/>
          <w:sz w:val="24"/>
          <w:szCs w:val="24"/>
        </w:rPr>
      </w:pPr>
    </w:p>
    <w:p w14:paraId="1F05B524" w14:textId="77777777" w:rsidR="0099635E" w:rsidRPr="004A5537" w:rsidRDefault="0099635E" w:rsidP="0099635E">
      <w:pPr>
        <w:spacing w:after="160" w:line="259" w:lineRule="auto"/>
        <w:rPr>
          <w:rFonts w:asciiTheme="minorHAnsi" w:hAnsiTheme="minorHAnsi" w:cstheme="minorHAnsi"/>
          <w:sz w:val="24"/>
          <w:szCs w:val="24"/>
        </w:rPr>
      </w:pPr>
      <w:r w:rsidRPr="004A5537">
        <w:rPr>
          <w:rFonts w:asciiTheme="minorHAnsi" w:hAnsiTheme="minorHAnsi" w:cstheme="minorHAnsi"/>
          <w:sz w:val="24"/>
          <w:szCs w:val="24"/>
        </w:rPr>
        <w:t>Effective leadership in policing is critical for navigating the complexities of dynamic and high-risk incidents, such as those involving violent offenders. This essay has reflected on a significant incident in which a violent, drug-induced offender attacked their mother and later threatened officers and the public with a large kitchen knife. Through the application of various leadership styles, strategies, and models, I successfully managed the situation while minimi</w:t>
      </w:r>
      <w:r w:rsidRPr="0099635E">
        <w:rPr>
          <w:rFonts w:asciiTheme="minorHAnsi" w:hAnsiTheme="minorHAnsi" w:cstheme="minorHAnsi"/>
          <w:sz w:val="24"/>
          <w:szCs w:val="24"/>
        </w:rPr>
        <w:t>s</w:t>
      </w:r>
      <w:r w:rsidRPr="004A5537">
        <w:rPr>
          <w:rFonts w:asciiTheme="minorHAnsi" w:hAnsiTheme="minorHAnsi" w:cstheme="minorHAnsi"/>
          <w:sz w:val="24"/>
          <w:szCs w:val="24"/>
        </w:rPr>
        <w:t>ing harm to all parties involved.</w:t>
      </w:r>
    </w:p>
    <w:p w14:paraId="3902F1E8" w14:textId="77777777" w:rsidR="0099635E" w:rsidRPr="004A5537" w:rsidRDefault="0099635E" w:rsidP="0099635E">
      <w:pPr>
        <w:spacing w:after="160" w:line="259" w:lineRule="auto"/>
        <w:rPr>
          <w:rFonts w:asciiTheme="minorHAnsi" w:hAnsiTheme="minorHAnsi" w:cstheme="minorHAnsi"/>
          <w:sz w:val="24"/>
          <w:szCs w:val="24"/>
        </w:rPr>
      </w:pPr>
      <w:r w:rsidRPr="004A5537">
        <w:rPr>
          <w:rFonts w:asciiTheme="minorHAnsi" w:hAnsiTheme="minorHAnsi" w:cstheme="minorHAnsi"/>
          <w:sz w:val="24"/>
          <w:szCs w:val="24"/>
        </w:rPr>
        <w:t>The ability to transition between leadership styles, from directive control to participative collaboration, was key to addressing the evolving nature of the incident. Drawing on frameworks like the Situational Leadership Model and Transformational Leadership, I adapted my approach to meet the demands of the moment while fostering trust and cooperation within the team. Dynamic risk assessment, collaborative decision-making, and clear communication ensured the immediate and long-term priorities were balanced effectively. Additionally, empathy and emotional intelligence, as outlined in Goleman’s framework, played a vital role in managing relationships with the offender, the team, and other stakeholders.</w:t>
      </w:r>
    </w:p>
    <w:p w14:paraId="4107243A" w14:textId="77777777" w:rsidR="0099635E" w:rsidRPr="00CC60D6" w:rsidRDefault="0099635E" w:rsidP="0099635E">
      <w:pPr>
        <w:spacing w:after="160" w:line="259" w:lineRule="auto"/>
        <w:rPr>
          <w:rFonts w:asciiTheme="minorHAnsi" w:hAnsiTheme="minorHAnsi" w:cstheme="minorHAnsi"/>
          <w:sz w:val="24"/>
          <w:szCs w:val="24"/>
        </w:rPr>
      </w:pPr>
      <w:r w:rsidRPr="00CC60D6">
        <w:rPr>
          <w:rFonts w:asciiTheme="minorHAnsi" w:hAnsiTheme="minorHAnsi" w:cstheme="minorHAnsi"/>
          <w:sz w:val="24"/>
          <w:szCs w:val="24"/>
        </w:rPr>
        <w:t>Even while the incident had a positive outcome, it did point out areas that needed improvement, such as the need for better organised contingency planning and clearer work allocation. These examples highlight how crucial it is for leaders to engage in ongoing professional development and evaluation. Police leaders must be flexible and proactive in order to meet the problems of maintaining team morale under pressure, guaranteeing public safety, and striking a balance between enforcement and compassion.</w:t>
      </w:r>
    </w:p>
    <w:p w14:paraId="4A05A1D5" w14:textId="77777777" w:rsidR="0099635E" w:rsidRPr="004A5537" w:rsidRDefault="0099635E" w:rsidP="0099635E">
      <w:pPr>
        <w:spacing w:after="160" w:line="259" w:lineRule="auto"/>
        <w:rPr>
          <w:rFonts w:asciiTheme="minorHAnsi" w:hAnsiTheme="minorHAnsi" w:cstheme="minorHAnsi"/>
          <w:sz w:val="24"/>
          <w:szCs w:val="24"/>
        </w:rPr>
      </w:pPr>
      <w:r w:rsidRPr="004A5537">
        <w:rPr>
          <w:rFonts w:asciiTheme="minorHAnsi" w:hAnsiTheme="minorHAnsi" w:cstheme="minorHAnsi"/>
          <w:sz w:val="24"/>
          <w:szCs w:val="24"/>
        </w:rPr>
        <w:t>Leadership theories such as Kotter’s Change Model and Adair’s Action-</w:t>
      </w:r>
      <w:r w:rsidRPr="0099635E">
        <w:rPr>
          <w:rFonts w:asciiTheme="minorHAnsi" w:hAnsiTheme="minorHAnsi" w:cstheme="minorHAnsi"/>
          <w:sz w:val="24"/>
          <w:szCs w:val="24"/>
        </w:rPr>
        <w:t>Centred</w:t>
      </w:r>
      <w:r w:rsidRPr="004A5537">
        <w:rPr>
          <w:rFonts w:asciiTheme="minorHAnsi" w:hAnsiTheme="minorHAnsi" w:cstheme="minorHAnsi"/>
          <w:sz w:val="24"/>
          <w:szCs w:val="24"/>
        </w:rPr>
        <w:t xml:space="preserve"> Leadership Model offer valuable insights for addressing these challenges. They emphasi</w:t>
      </w:r>
      <w:r w:rsidRPr="0099635E">
        <w:rPr>
          <w:rFonts w:asciiTheme="minorHAnsi" w:hAnsiTheme="minorHAnsi" w:cstheme="minorHAnsi"/>
          <w:sz w:val="24"/>
          <w:szCs w:val="24"/>
        </w:rPr>
        <w:t>s</w:t>
      </w:r>
      <w:r w:rsidRPr="004A5537">
        <w:rPr>
          <w:rFonts w:asciiTheme="minorHAnsi" w:hAnsiTheme="minorHAnsi" w:cstheme="minorHAnsi"/>
          <w:sz w:val="24"/>
          <w:szCs w:val="24"/>
        </w:rPr>
        <w:t xml:space="preserve">e flexibility, teamwork, and the integration of task-focused and people-oriented approaches. Similarly, </w:t>
      </w:r>
      <w:r w:rsidRPr="004A5537">
        <w:rPr>
          <w:rFonts w:asciiTheme="minorHAnsi" w:hAnsiTheme="minorHAnsi" w:cstheme="minorHAnsi"/>
          <w:sz w:val="24"/>
          <w:szCs w:val="24"/>
        </w:rPr>
        <w:lastRenderedPageBreak/>
        <w:t xml:space="preserve">research on social identity and team cohesion reinforces the importance of </w:t>
      </w:r>
      <w:r w:rsidRPr="0099635E">
        <w:rPr>
          <w:rFonts w:asciiTheme="minorHAnsi" w:hAnsiTheme="minorHAnsi" w:cstheme="minorHAnsi"/>
          <w:sz w:val="24"/>
          <w:szCs w:val="24"/>
        </w:rPr>
        <w:t>encouraging</w:t>
      </w:r>
      <w:r w:rsidRPr="004A5537">
        <w:rPr>
          <w:rFonts w:asciiTheme="minorHAnsi" w:hAnsiTheme="minorHAnsi" w:cstheme="minorHAnsi"/>
          <w:sz w:val="24"/>
          <w:szCs w:val="24"/>
        </w:rPr>
        <w:t xml:space="preserve"> collaboration during high-stress </w:t>
      </w:r>
      <w:r w:rsidRPr="0099635E">
        <w:rPr>
          <w:rFonts w:asciiTheme="minorHAnsi" w:hAnsiTheme="minorHAnsi" w:cstheme="minorHAnsi"/>
          <w:sz w:val="24"/>
          <w:szCs w:val="24"/>
        </w:rPr>
        <w:t>incidents</w:t>
      </w:r>
      <w:r w:rsidRPr="004A5537">
        <w:rPr>
          <w:rFonts w:asciiTheme="minorHAnsi" w:hAnsiTheme="minorHAnsi" w:cstheme="minorHAnsi"/>
          <w:sz w:val="24"/>
          <w:szCs w:val="24"/>
        </w:rPr>
        <w:t>.</w:t>
      </w:r>
    </w:p>
    <w:p w14:paraId="551E3D46" w14:textId="77777777" w:rsidR="0099635E" w:rsidRPr="004A5537" w:rsidRDefault="0099635E" w:rsidP="0099635E">
      <w:pPr>
        <w:spacing w:after="160" w:line="259" w:lineRule="auto"/>
        <w:rPr>
          <w:rFonts w:asciiTheme="minorHAnsi" w:hAnsiTheme="minorHAnsi" w:cstheme="minorHAnsi"/>
          <w:sz w:val="24"/>
          <w:szCs w:val="24"/>
        </w:rPr>
      </w:pPr>
      <w:r w:rsidRPr="004A5537">
        <w:rPr>
          <w:rFonts w:asciiTheme="minorHAnsi" w:hAnsiTheme="minorHAnsi" w:cstheme="minorHAnsi"/>
          <w:sz w:val="24"/>
          <w:szCs w:val="24"/>
        </w:rPr>
        <w:t xml:space="preserve">Ultimately, this incident served as a powerful reminder of the importance of adaptable leadership in policing. By combining practical strategies with evidence-based theories, I was able to manage the </w:t>
      </w:r>
      <w:r w:rsidRPr="0099635E">
        <w:rPr>
          <w:rFonts w:asciiTheme="minorHAnsi" w:hAnsiTheme="minorHAnsi" w:cstheme="minorHAnsi"/>
          <w:sz w:val="24"/>
          <w:szCs w:val="24"/>
        </w:rPr>
        <w:t>many complications</w:t>
      </w:r>
      <w:r w:rsidRPr="004A5537">
        <w:rPr>
          <w:rFonts w:asciiTheme="minorHAnsi" w:hAnsiTheme="minorHAnsi" w:cstheme="minorHAnsi"/>
          <w:sz w:val="24"/>
          <w:szCs w:val="24"/>
        </w:rPr>
        <w:t xml:space="preserve"> of the situation effectively, ensuring the safety of the public, the victim, my team</w:t>
      </w:r>
      <w:r w:rsidRPr="0099635E">
        <w:rPr>
          <w:rFonts w:asciiTheme="minorHAnsi" w:hAnsiTheme="minorHAnsi" w:cstheme="minorHAnsi"/>
          <w:sz w:val="24"/>
          <w:szCs w:val="24"/>
        </w:rPr>
        <w:t xml:space="preserve"> and the suspect</w:t>
      </w:r>
      <w:r w:rsidRPr="004A5537">
        <w:rPr>
          <w:rFonts w:asciiTheme="minorHAnsi" w:hAnsiTheme="minorHAnsi" w:cstheme="minorHAnsi"/>
          <w:sz w:val="24"/>
          <w:szCs w:val="24"/>
        </w:rPr>
        <w:t>. Moving forward, these experiences and reflections will inform my continued growth as a leader, enhancing my ability to manage future operational challenges with confidence and competence.</w:t>
      </w:r>
    </w:p>
    <w:p w14:paraId="1967E2A8" w14:textId="77777777" w:rsidR="00025650" w:rsidRPr="0099635E" w:rsidRDefault="00025650" w:rsidP="00340E9A">
      <w:pPr>
        <w:ind w:right="237"/>
        <w:jc w:val="both"/>
        <w:rPr>
          <w:rFonts w:asciiTheme="minorHAnsi" w:hAnsiTheme="minorHAnsi" w:cstheme="minorHAnsi"/>
          <w:sz w:val="32"/>
          <w:szCs w:val="32"/>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1971D3D6" w14:textId="205FE1A2" w:rsidR="00AC13D5" w:rsidRPr="00AC13D5" w:rsidRDefault="000F7ECD" w:rsidP="00AC13D5">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ED8707E" w14:textId="77777777" w:rsidR="00AC13D5" w:rsidRPr="00AC13D5" w:rsidRDefault="00AC13D5" w:rsidP="00517B18">
      <w:pPr>
        <w:rPr>
          <w:rFonts w:asciiTheme="minorHAnsi" w:hAnsiTheme="minorHAnsi" w:cstheme="minorHAnsi"/>
          <w:sz w:val="22"/>
          <w:szCs w:val="22"/>
        </w:rPr>
      </w:pPr>
    </w:p>
    <w:p w14:paraId="1B458A53" w14:textId="77777777" w:rsidR="0099635E" w:rsidRPr="0099635E" w:rsidRDefault="0099635E" w:rsidP="0099635E">
      <w:pPr>
        <w:rPr>
          <w:rFonts w:asciiTheme="minorHAnsi" w:hAnsiTheme="minorHAnsi" w:cstheme="minorHAnsi"/>
          <w:sz w:val="24"/>
          <w:szCs w:val="24"/>
        </w:rPr>
      </w:pPr>
    </w:p>
    <w:p w14:paraId="55D8659F"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Anthony Allan Braga and Weisburd, D. (2010). </w:t>
      </w:r>
      <w:r w:rsidRPr="00AC13D5">
        <w:rPr>
          <w:rFonts w:asciiTheme="minorHAnsi" w:hAnsiTheme="minorHAnsi" w:cstheme="minorHAnsi"/>
          <w:i/>
          <w:iCs/>
          <w:sz w:val="24"/>
          <w:szCs w:val="24"/>
        </w:rPr>
        <w:t>Policing Problem Places: Crime Hot Spots and Effective Prevention</w:t>
      </w:r>
      <w:r w:rsidRPr="00AC13D5">
        <w:rPr>
          <w:rFonts w:asciiTheme="minorHAnsi" w:hAnsiTheme="minorHAnsi" w:cstheme="minorHAnsi"/>
          <w:sz w:val="24"/>
          <w:szCs w:val="24"/>
        </w:rPr>
        <w:t>. Oxford; New York: Oxford University Press.</w:t>
      </w:r>
    </w:p>
    <w:p w14:paraId="69BF6BF0"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Arcos, R., Chiru, I. and Ivan, C. (2023). </w:t>
      </w:r>
      <w:r w:rsidRPr="00AC13D5">
        <w:rPr>
          <w:rFonts w:asciiTheme="minorHAnsi" w:eastAsia="Aptos" w:hAnsiTheme="minorHAnsi" w:cstheme="minorHAnsi"/>
          <w:i/>
          <w:iCs/>
          <w:color w:val="auto"/>
          <w:kern w:val="2"/>
          <w:sz w:val="24"/>
          <w:szCs w:val="24"/>
          <w:lang w:eastAsia="en-US"/>
          <w14:ligatures w14:val="standardContextual"/>
        </w:rPr>
        <w:t>Routledge Handbook of Disinformation and National Security</w:t>
      </w:r>
      <w:r w:rsidRPr="00AC13D5">
        <w:rPr>
          <w:rFonts w:asciiTheme="minorHAnsi" w:eastAsia="Aptos" w:hAnsiTheme="minorHAnsi" w:cstheme="minorHAnsi"/>
          <w:color w:val="auto"/>
          <w:kern w:val="2"/>
          <w:sz w:val="24"/>
          <w:szCs w:val="24"/>
          <w:lang w:eastAsia="en-US"/>
          <w14:ligatures w14:val="standardContextual"/>
        </w:rPr>
        <w:t>. Taylor &amp; Francis.</w:t>
      </w:r>
    </w:p>
    <w:p w14:paraId="6F9CB498"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 xml:space="preserve">Bass, B. M. (1985). </w:t>
      </w:r>
      <w:r w:rsidRPr="0099635E">
        <w:rPr>
          <w:rFonts w:asciiTheme="minorHAnsi" w:hAnsiTheme="minorHAnsi" w:cstheme="minorHAnsi"/>
          <w:i/>
          <w:iCs/>
          <w:sz w:val="24"/>
          <w:szCs w:val="24"/>
        </w:rPr>
        <w:t>Leadership and Performance Beyond Expectations</w:t>
      </w:r>
      <w:r w:rsidRPr="0099635E">
        <w:rPr>
          <w:rFonts w:asciiTheme="minorHAnsi" w:hAnsiTheme="minorHAnsi" w:cstheme="minorHAnsi"/>
          <w:sz w:val="24"/>
          <w:szCs w:val="24"/>
        </w:rPr>
        <w:t>. Free Press.</w:t>
      </w:r>
    </w:p>
    <w:p w14:paraId="69C92653"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Bradford, B. and Loader, I. (2015). Police, Crime and Order: The Case of Stop and Search. SSRN Electronic Journal, [online] 44(2). </w:t>
      </w:r>
      <w:proofErr w:type="spellStart"/>
      <w:r w:rsidRPr="00AC13D5">
        <w:rPr>
          <w:rFonts w:asciiTheme="minorHAnsi" w:hAnsiTheme="minorHAnsi" w:cstheme="minorHAnsi"/>
          <w:sz w:val="24"/>
          <w:szCs w:val="24"/>
        </w:rPr>
        <w:t>doi</w:t>
      </w:r>
      <w:proofErr w:type="spellEnd"/>
      <w:r w:rsidRPr="00AC13D5">
        <w:rPr>
          <w:rFonts w:asciiTheme="minorHAnsi" w:hAnsiTheme="minorHAnsi" w:cstheme="minorHAnsi"/>
          <w:sz w:val="24"/>
          <w:szCs w:val="24"/>
        </w:rPr>
        <w:t>: https://doi.org/10.2139/ssrn.2637361.</w:t>
      </w:r>
    </w:p>
    <w:p w14:paraId="64D028C6"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Bradley, R. (1998). </w:t>
      </w:r>
      <w:r w:rsidRPr="00AC13D5">
        <w:rPr>
          <w:rFonts w:asciiTheme="minorHAnsi" w:eastAsia="Aptos" w:hAnsiTheme="minorHAnsi" w:cstheme="minorHAnsi"/>
          <w:i/>
          <w:iCs/>
          <w:color w:val="auto"/>
          <w:kern w:val="2"/>
          <w:sz w:val="24"/>
          <w:szCs w:val="24"/>
          <w:lang w:eastAsia="en-US"/>
          <w14:ligatures w14:val="standardContextual"/>
        </w:rPr>
        <w:t>Public Expectations and Perceptions of Policing</w:t>
      </w:r>
      <w:r w:rsidRPr="00AC13D5">
        <w:rPr>
          <w:rFonts w:asciiTheme="minorHAnsi" w:eastAsia="Aptos" w:hAnsiTheme="minorHAnsi" w:cstheme="minorHAnsi"/>
          <w:color w:val="auto"/>
          <w:kern w:val="2"/>
          <w:sz w:val="24"/>
          <w:szCs w:val="24"/>
          <w:lang w:eastAsia="en-US"/>
          <w14:ligatures w14:val="standardContextual"/>
        </w:rPr>
        <w:t>. [online] Available at: https://library.college.police.uk/docs/hopolicers/fprs96.pdf [Accessed 14 Nov. 2024].</w:t>
      </w:r>
    </w:p>
    <w:p w14:paraId="20B91FFB"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Brainard, L. and </w:t>
      </w:r>
      <w:proofErr w:type="spellStart"/>
      <w:r w:rsidRPr="00AC13D5">
        <w:rPr>
          <w:rFonts w:asciiTheme="minorHAnsi" w:eastAsia="Aptos" w:hAnsiTheme="minorHAnsi" w:cstheme="minorHAnsi"/>
          <w:color w:val="auto"/>
          <w:kern w:val="2"/>
          <w:sz w:val="24"/>
          <w:szCs w:val="24"/>
          <w:lang w:eastAsia="en-US"/>
          <w14:ligatures w14:val="standardContextual"/>
        </w:rPr>
        <w:t>Edlins</w:t>
      </w:r>
      <w:proofErr w:type="spellEnd"/>
      <w:r w:rsidRPr="00AC13D5">
        <w:rPr>
          <w:rFonts w:asciiTheme="minorHAnsi" w:eastAsia="Aptos" w:hAnsiTheme="minorHAnsi" w:cstheme="minorHAnsi"/>
          <w:color w:val="auto"/>
          <w:kern w:val="2"/>
          <w:sz w:val="24"/>
          <w:szCs w:val="24"/>
          <w:lang w:eastAsia="en-US"/>
          <w14:ligatures w14:val="standardContextual"/>
        </w:rPr>
        <w:t xml:space="preserve">, M. (2014). Top 10 U.S. Municipal Police Departments and Their Social Media Usage. </w:t>
      </w:r>
      <w:r w:rsidRPr="00AC13D5">
        <w:rPr>
          <w:rFonts w:asciiTheme="minorHAnsi" w:eastAsia="Aptos" w:hAnsiTheme="minorHAnsi" w:cstheme="minorHAnsi"/>
          <w:i/>
          <w:iCs/>
          <w:color w:val="auto"/>
          <w:kern w:val="2"/>
          <w:sz w:val="24"/>
          <w:szCs w:val="24"/>
          <w:lang w:eastAsia="en-US"/>
          <w14:ligatures w14:val="standardContextual"/>
        </w:rPr>
        <w:t>The American Review of Public Administration</w:t>
      </w:r>
      <w:r w:rsidRPr="00AC13D5">
        <w:rPr>
          <w:rFonts w:asciiTheme="minorHAnsi" w:eastAsia="Aptos" w:hAnsiTheme="minorHAnsi" w:cstheme="minorHAnsi"/>
          <w:color w:val="auto"/>
          <w:kern w:val="2"/>
          <w:sz w:val="24"/>
          <w:szCs w:val="24"/>
          <w:lang w:eastAsia="en-US"/>
          <w14:ligatures w14:val="standardContextual"/>
        </w:rPr>
        <w:t xml:space="preserve">, 45(6), pp.728–745.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://doi.org/10.1177/0275074014524478</w:t>
      </w:r>
      <w:proofErr w:type="gramEnd"/>
      <w:r w:rsidRPr="00AC13D5">
        <w:rPr>
          <w:rFonts w:asciiTheme="minorHAnsi" w:eastAsia="Aptos" w:hAnsiTheme="minorHAnsi" w:cstheme="minorHAnsi"/>
          <w:color w:val="auto"/>
          <w:kern w:val="2"/>
          <w:sz w:val="24"/>
          <w:szCs w:val="24"/>
          <w:lang w:eastAsia="en-US"/>
          <w14:ligatures w14:val="standardContextual"/>
        </w:rPr>
        <w:t>.</w:t>
      </w:r>
    </w:p>
    <w:p w14:paraId="790C90CF"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Brown, M.K. (1981). </w:t>
      </w:r>
      <w:r w:rsidRPr="00AC13D5">
        <w:rPr>
          <w:rFonts w:asciiTheme="minorHAnsi" w:hAnsiTheme="minorHAnsi" w:cstheme="minorHAnsi"/>
          <w:i/>
          <w:iCs/>
          <w:sz w:val="24"/>
          <w:szCs w:val="24"/>
        </w:rPr>
        <w:t>Working the Street</w:t>
      </w:r>
      <w:r w:rsidRPr="00AC13D5">
        <w:rPr>
          <w:rFonts w:asciiTheme="minorHAnsi" w:hAnsiTheme="minorHAnsi" w:cstheme="minorHAnsi"/>
          <w:sz w:val="24"/>
          <w:szCs w:val="24"/>
        </w:rPr>
        <w:t>. Russell Sage Foundation.</w:t>
      </w:r>
    </w:p>
    <w:p w14:paraId="721C50FA"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Browning, M. and Arrigo, B. (2020). Stop and Risk: Policing, Data, and the Digital Age of Discrimination. </w:t>
      </w:r>
      <w:r w:rsidRPr="00AC13D5">
        <w:rPr>
          <w:rFonts w:asciiTheme="minorHAnsi" w:eastAsia="Aptos" w:hAnsiTheme="minorHAnsi" w:cstheme="minorHAnsi"/>
          <w:i/>
          <w:iCs/>
          <w:color w:val="auto"/>
          <w:kern w:val="2"/>
          <w:sz w:val="24"/>
          <w:szCs w:val="24"/>
          <w:lang w:eastAsia="en-US"/>
          <w14:ligatures w14:val="standardContextual"/>
        </w:rPr>
        <w:t>American Journal of Criminal Justice</w:t>
      </w:r>
      <w:r w:rsidRPr="00AC13D5">
        <w:rPr>
          <w:rFonts w:asciiTheme="minorHAnsi" w:eastAsia="Aptos" w:hAnsiTheme="minorHAnsi" w:cstheme="minorHAnsi"/>
          <w:color w:val="auto"/>
          <w:kern w:val="2"/>
          <w:sz w:val="24"/>
          <w:szCs w:val="24"/>
          <w:lang w:eastAsia="en-US"/>
          <w14:ligatures w14:val="standardContextual"/>
        </w:rPr>
        <w:t xml:space="preserve">, [online] 46(2), pp.298–316.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://doi.org/10.1007/s12103-020-09557-x</w:t>
      </w:r>
      <w:proofErr w:type="gramEnd"/>
      <w:r w:rsidRPr="00AC13D5">
        <w:rPr>
          <w:rFonts w:asciiTheme="minorHAnsi" w:eastAsia="Aptos" w:hAnsiTheme="minorHAnsi" w:cstheme="minorHAnsi"/>
          <w:color w:val="auto"/>
          <w:kern w:val="2"/>
          <w:sz w:val="24"/>
          <w:szCs w:val="24"/>
          <w:lang w:eastAsia="en-US"/>
          <w14:ligatures w14:val="standardContextual"/>
        </w:rPr>
        <w:t>.</w:t>
      </w:r>
    </w:p>
    <w:p w14:paraId="435B89B8"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Bullock, K. (2017). The Police Use of Social Media: Transformation or Normalisation? </w:t>
      </w:r>
      <w:r w:rsidRPr="00AC13D5">
        <w:rPr>
          <w:rFonts w:asciiTheme="minorHAnsi" w:eastAsia="Aptos" w:hAnsiTheme="minorHAnsi" w:cstheme="minorHAnsi"/>
          <w:i/>
          <w:iCs/>
          <w:color w:val="auto"/>
          <w:kern w:val="2"/>
          <w:sz w:val="24"/>
          <w:szCs w:val="24"/>
          <w:lang w:eastAsia="en-US"/>
          <w14:ligatures w14:val="standardContextual"/>
        </w:rPr>
        <w:t>Social Policy and Society</w:t>
      </w:r>
      <w:r w:rsidRPr="00AC13D5">
        <w:rPr>
          <w:rFonts w:asciiTheme="minorHAnsi" w:eastAsia="Aptos" w:hAnsiTheme="minorHAnsi" w:cstheme="minorHAnsi"/>
          <w:color w:val="auto"/>
          <w:kern w:val="2"/>
          <w:sz w:val="24"/>
          <w:szCs w:val="24"/>
          <w:lang w:eastAsia="en-US"/>
          <w14:ligatures w14:val="standardContextual"/>
        </w:rPr>
        <w:t>, [online] 17(02), pp.245–258. Available at: https://www.cambridge.org/core/journals/social-policy-and-society/article/police-use-of-social-media-transformation-or-normalisation/19E5C6727038F01129B51CE4287D0FFB [Accessed 28 Dec. 2024].</w:t>
      </w:r>
    </w:p>
    <w:p w14:paraId="29BF3E46"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College Of Policing (2012). </w:t>
      </w:r>
      <w:r w:rsidRPr="00AC13D5">
        <w:rPr>
          <w:rFonts w:asciiTheme="minorHAnsi" w:hAnsiTheme="minorHAnsi" w:cstheme="minorHAnsi"/>
          <w:i/>
          <w:iCs/>
          <w:sz w:val="24"/>
          <w:szCs w:val="24"/>
        </w:rPr>
        <w:t>About Us</w:t>
      </w:r>
      <w:r w:rsidRPr="00AC13D5">
        <w:rPr>
          <w:rFonts w:asciiTheme="minorHAnsi" w:hAnsiTheme="minorHAnsi" w:cstheme="minorHAnsi"/>
          <w:sz w:val="24"/>
          <w:szCs w:val="24"/>
        </w:rPr>
        <w:t>. [online] Available at: https://www.college.police.uk/about#:~:text=The%20College%20of%20Policing%20was%20established%20in%202012%20as%20the [Accessed 12 Sep. 2024].</w:t>
      </w:r>
    </w:p>
    <w:p w14:paraId="28C4C285"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College of Policing (2020). </w:t>
      </w:r>
      <w:r w:rsidRPr="00AC13D5">
        <w:rPr>
          <w:rFonts w:asciiTheme="minorHAnsi" w:hAnsiTheme="minorHAnsi" w:cstheme="minorHAnsi"/>
          <w:i/>
          <w:iCs/>
          <w:sz w:val="24"/>
          <w:szCs w:val="24"/>
        </w:rPr>
        <w:t>Continuing Professional Development (CPD)</w:t>
      </w:r>
      <w:r w:rsidRPr="00AC13D5">
        <w:rPr>
          <w:rFonts w:asciiTheme="minorHAnsi" w:hAnsiTheme="minorHAnsi" w:cstheme="minorHAnsi"/>
          <w:sz w:val="24"/>
          <w:szCs w:val="24"/>
        </w:rPr>
        <w:t>. [online] College of Policing. Available at: https://www.college.police.uk/career-learning/career-development/CPD [Accessed 25 Sep. 2024].</w:t>
      </w:r>
    </w:p>
    <w:p w14:paraId="1F673FE9"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College of Policing (2022). </w:t>
      </w:r>
      <w:r w:rsidRPr="00AC13D5">
        <w:rPr>
          <w:rFonts w:asciiTheme="minorHAnsi" w:hAnsiTheme="minorHAnsi" w:cstheme="minorHAnsi"/>
          <w:i/>
          <w:iCs/>
          <w:sz w:val="24"/>
          <w:szCs w:val="24"/>
        </w:rPr>
        <w:t>Crime Reduction Toolkit</w:t>
      </w:r>
      <w:r w:rsidRPr="00AC13D5">
        <w:rPr>
          <w:rFonts w:asciiTheme="minorHAnsi" w:hAnsiTheme="minorHAnsi" w:cstheme="minorHAnsi"/>
          <w:sz w:val="24"/>
          <w:szCs w:val="24"/>
        </w:rPr>
        <w:t>. [online] College of Policing. Available at: https://www.college.police.uk/research/crime-reduction-toolkit.</w:t>
      </w:r>
    </w:p>
    <w:p w14:paraId="570B8E15"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College of Policing (2024). </w:t>
      </w:r>
      <w:r w:rsidRPr="00AC13D5">
        <w:rPr>
          <w:rFonts w:asciiTheme="minorHAnsi" w:hAnsiTheme="minorHAnsi" w:cstheme="minorHAnsi"/>
          <w:i/>
          <w:iCs/>
          <w:sz w:val="24"/>
          <w:szCs w:val="24"/>
        </w:rPr>
        <w:t>Evidence-based policing</w:t>
      </w:r>
      <w:r w:rsidRPr="00AC13D5">
        <w:rPr>
          <w:rFonts w:asciiTheme="minorHAnsi" w:hAnsiTheme="minorHAnsi" w:cstheme="minorHAnsi"/>
          <w:sz w:val="24"/>
          <w:szCs w:val="24"/>
        </w:rPr>
        <w:t>. [online] College of Policing. Available at: https://www.college.police.uk/research/evidence-based-policing-EBP [Accessed 12 Sep. 2024].</w:t>
      </w:r>
    </w:p>
    <w:p w14:paraId="71569D8F"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Crank, J.P. (2015). </w:t>
      </w:r>
      <w:r w:rsidRPr="00AC13D5">
        <w:rPr>
          <w:rFonts w:asciiTheme="minorHAnsi" w:hAnsiTheme="minorHAnsi" w:cstheme="minorHAnsi"/>
          <w:i/>
          <w:iCs/>
          <w:sz w:val="24"/>
          <w:szCs w:val="24"/>
        </w:rPr>
        <w:t>Understanding Police Culture</w:t>
      </w:r>
      <w:r w:rsidRPr="00AC13D5">
        <w:rPr>
          <w:rFonts w:asciiTheme="minorHAnsi" w:hAnsiTheme="minorHAnsi" w:cstheme="minorHAnsi"/>
          <w:sz w:val="24"/>
          <w:szCs w:val="24"/>
        </w:rPr>
        <w:t>. Oxfordshire, England; New York, New York: Routledge.</w:t>
      </w:r>
    </w:p>
    <w:p w14:paraId="22E7604D"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lastRenderedPageBreak/>
        <w:t xml:space="preserve">Crump, J. (2011). What Are the Police Doing on Twitter? Social Media, the Police and the Public. </w:t>
      </w:r>
      <w:r w:rsidRPr="00AC13D5">
        <w:rPr>
          <w:rFonts w:asciiTheme="minorHAnsi" w:eastAsia="Aptos" w:hAnsiTheme="minorHAnsi" w:cstheme="minorHAnsi"/>
          <w:i/>
          <w:iCs/>
          <w:color w:val="auto"/>
          <w:kern w:val="2"/>
          <w:sz w:val="24"/>
          <w:szCs w:val="24"/>
          <w:lang w:eastAsia="en-US"/>
          <w14:ligatures w14:val="standardContextual"/>
        </w:rPr>
        <w:t>Policy &amp; Internet</w:t>
      </w:r>
      <w:r w:rsidRPr="00AC13D5">
        <w:rPr>
          <w:rFonts w:asciiTheme="minorHAnsi" w:eastAsia="Aptos" w:hAnsiTheme="minorHAnsi" w:cstheme="minorHAnsi"/>
          <w:color w:val="auto"/>
          <w:kern w:val="2"/>
          <w:sz w:val="24"/>
          <w:szCs w:val="24"/>
          <w:lang w:eastAsia="en-US"/>
          <w14:ligatures w14:val="standardContextual"/>
        </w:rPr>
        <w:t xml:space="preserve">, [online] 3(4), pp.1–27.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://doi.org/10.2202/1944-2866.1130</w:t>
      </w:r>
      <w:proofErr w:type="gramEnd"/>
      <w:r w:rsidRPr="00AC13D5">
        <w:rPr>
          <w:rFonts w:asciiTheme="minorHAnsi" w:eastAsia="Aptos" w:hAnsiTheme="minorHAnsi" w:cstheme="minorHAnsi"/>
          <w:color w:val="auto"/>
          <w:kern w:val="2"/>
          <w:sz w:val="24"/>
          <w:szCs w:val="24"/>
          <w:lang w:eastAsia="en-US"/>
          <w14:ligatures w14:val="standardContextual"/>
        </w:rPr>
        <w:t>.</w:t>
      </w:r>
    </w:p>
    <w:p w14:paraId="21662C70"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Curtin, D. and Meijer, A.J. (2006). Does Transparency Strengthen legitimacy? </w:t>
      </w:r>
      <w:r w:rsidRPr="00AC13D5">
        <w:rPr>
          <w:rFonts w:asciiTheme="minorHAnsi" w:eastAsia="Aptos" w:hAnsiTheme="minorHAnsi" w:cstheme="minorHAnsi"/>
          <w:i/>
          <w:iCs/>
          <w:color w:val="auto"/>
          <w:kern w:val="2"/>
          <w:sz w:val="24"/>
          <w:szCs w:val="24"/>
          <w:lang w:eastAsia="en-US"/>
          <w14:ligatures w14:val="standardContextual"/>
        </w:rPr>
        <w:t>Information Polity</w:t>
      </w:r>
      <w:r w:rsidRPr="00AC13D5">
        <w:rPr>
          <w:rFonts w:asciiTheme="minorHAnsi" w:eastAsia="Aptos" w:hAnsiTheme="minorHAnsi" w:cstheme="minorHAnsi"/>
          <w:color w:val="auto"/>
          <w:kern w:val="2"/>
          <w:sz w:val="24"/>
          <w:szCs w:val="24"/>
          <w:lang w:eastAsia="en-US"/>
          <w14:ligatures w14:val="standardContextual"/>
        </w:rPr>
        <w:t xml:space="preserve">, 11(2), pp.109–122.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://doi.org/10.3233/ip-2006-0091</w:t>
      </w:r>
      <w:proofErr w:type="gramEnd"/>
      <w:r w:rsidRPr="00AC13D5">
        <w:rPr>
          <w:rFonts w:asciiTheme="minorHAnsi" w:eastAsia="Aptos" w:hAnsiTheme="minorHAnsi" w:cstheme="minorHAnsi"/>
          <w:color w:val="auto"/>
          <w:kern w:val="2"/>
          <w:sz w:val="24"/>
          <w:szCs w:val="24"/>
          <w:lang w:eastAsia="en-US"/>
          <w14:ligatures w14:val="standardContextual"/>
        </w:rPr>
        <w:t>.</w:t>
      </w:r>
    </w:p>
    <w:p w14:paraId="67C37C95"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Denef, S., Bayerl, P.S. and Kaptein, N.A. (2013). Social media and the police. </w:t>
      </w:r>
      <w:r w:rsidRPr="00AC13D5">
        <w:rPr>
          <w:rFonts w:asciiTheme="minorHAnsi" w:eastAsia="Aptos" w:hAnsiTheme="minorHAnsi" w:cstheme="minorHAnsi"/>
          <w:i/>
          <w:iCs/>
          <w:color w:val="auto"/>
          <w:kern w:val="2"/>
          <w:sz w:val="24"/>
          <w:szCs w:val="24"/>
          <w:lang w:eastAsia="en-US"/>
          <w14:ligatures w14:val="standardContextual"/>
        </w:rPr>
        <w:t>Proceedings of the SIGCHI Conference on Human Factors in Computing Systems - CHI ’13</w:t>
      </w:r>
      <w:r w:rsidRPr="00AC13D5">
        <w:rPr>
          <w:rFonts w:asciiTheme="minorHAnsi" w:eastAsia="Aptos" w:hAnsiTheme="minorHAnsi" w:cstheme="minorHAnsi"/>
          <w:color w:val="auto"/>
          <w:kern w:val="2"/>
          <w:sz w:val="24"/>
          <w:szCs w:val="24"/>
          <w:lang w:eastAsia="en-US"/>
          <w14:ligatures w14:val="standardContextual"/>
        </w:rPr>
        <w:t xml:space="preserve">, 4(2).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://doi.org/10.1145/2470654.2466477</w:t>
      </w:r>
      <w:proofErr w:type="gramEnd"/>
      <w:r w:rsidRPr="00AC13D5">
        <w:rPr>
          <w:rFonts w:asciiTheme="minorHAnsi" w:eastAsia="Aptos" w:hAnsiTheme="minorHAnsi" w:cstheme="minorHAnsi"/>
          <w:color w:val="auto"/>
          <w:kern w:val="2"/>
          <w:sz w:val="24"/>
          <w:szCs w:val="24"/>
          <w:lang w:eastAsia="en-US"/>
          <w14:ligatures w14:val="standardContextual"/>
        </w:rPr>
        <w:t>.</w:t>
      </w:r>
    </w:p>
    <w:p w14:paraId="518F4D4C"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Fortin, F., Delle Donne, J. and Knop, J. (2020). The Use of Social Media in Intelligence and Its Impact on Police Work. </w:t>
      </w:r>
      <w:r w:rsidRPr="00AC13D5">
        <w:rPr>
          <w:rFonts w:asciiTheme="minorHAnsi" w:eastAsia="Aptos" w:hAnsiTheme="minorHAnsi" w:cstheme="minorHAnsi"/>
          <w:i/>
          <w:iCs/>
          <w:color w:val="auto"/>
          <w:kern w:val="2"/>
          <w:sz w:val="24"/>
          <w:szCs w:val="24"/>
          <w:lang w:eastAsia="en-US"/>
          <w14:ligatures w14:val="standardContextual"/>
        </w:rPr>
        <w:t>Palgrave’s Critical Policing Studies</w:t>
      </w:r>
      <w:r w:rsidRPr="00AC13D5">
        <w:rPr>
          <w:rFonts w:asciiTheme="minorHAnsi" w:eastAsia="Aptos" w:hAnsiTheme="minorHAnsi" w:cstheme="minorHAnsi"/>
          <w:color w:val="auto"/>
          <w:kern w:val="2"/>
          <w:sz w:val="24"/>
          <w:szCs w:val="24"/>
          <w:lang w:eastAsia="en-US"/>
          <w14:ligatures w14:val="standardContextual"/>
        </w:rPr>
        <w:t xml:space="preserve">, 5(3), pp.213–231.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://doi.org/10.1007/978-3-030-56765-1_13</w:t>
      </w:r>
      <w:proofErr w:type="gramEnd"/>
      <w:r w:rsidRPr="00AC13D5">
        <w:rPr>
          <w:rFonts w:asciiTheme="minorHAnsi" w:eastAsia="Aptos" w:hAnsiTheme="minorHAnsi" w:cstheme="minorHAnsi"/>
          <w:color w:val="auto"/>
          <w:kern w:val="2"/>
          <w:sz w:val="24"/>
          <w:szCs w:val="24"/>
          <w:lang w:eastAsia="en-US"/>
          <w14:ligatures w14:val="standardContextual"/>
        </w:rPr>
        <w:t>.</w:t>
      </w:r>
    </w:p>
    <w:p w14:paraId="01954F67"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Gill, C., Weisburd, D., Telep, C.W., Vitter, Z. and Bennett, T. (2014). Community-oriented Policing to Reduce crime, Disorder and Fear and Increase Satisfaction and Legitimacy among citizens: a Systematic Review. </w:t>
      </w:r>
      <w:r w:rsidRPr="00AC13D5">
        <w:rPr>
          <w:rFonts w:asciiTheme="minorHAnsi" w:hAnsiTheme="minorHAnsi" w:cstheme="minorHAnsi"/>
          <w:i/>
          <w:iCs/>
          <w:sz w:val="24"/>
          <w:szCs w:val="24"/>
        </w:rPr>
        <w:t>Journal of Experimental Criminology</w:t>
      </w:r>
      <w:r w:rsidRPr="00AC13D5">
        <w:rPr>
          <w:rFonts w:asciiTheme="minorHAnsi" w:hAnsiTheme="minorHAnsi" w:cstheme="minorHAnsi"/>
          <w:sz w:val="24"/>
          <w:szCs w:val="24"/>
        </w:rPr>
        <w:t>, [online] 10(4), pp.399–428. Available at: https://link.springer.com/article/10.1007/s11292-014-9210-y [Accessed 7 Nov. 2024].</w:t>
      </w:r>
    </w:p>
    <w:p w14:paraId="5813E062"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Goldsmith, A. (2013). </w:t>
      </w:r>
      <w:proofErr w:type="spellStart"/>
      <w:r w:rsidRPr="00AC13D5">
        <w:rPr>
          <w:rFonts w:asciiTheme="minorHAnsi" w:eastAsia="Aptos" w:hAnsiTheme="minorHAnsi" w:cstheme="minorHAnsi"/>
          <w:color w:val="auto"/>
          <w:kern w:val="2"/>
          <w:sz w:val="24"/>
          <w:szCs w:val="24"/>
          <w:lang w:eastAsia="en-US"/>
          <w14:ligatures w14:val="standardContextual"/>
        </w:rPr>
        <w:t>Disgracebook</w:t>
      </w:r>
      <w:proofErr w:type="spellEnd"/>
      <w:r w:rsidRPr="00AC13D5">
        <w:rPr>
          <w:rFonts w:asciiTheme="minorHAnsi" w:eastAsia="Aptos" w:hAnsiTheme="minorHAnsi" w:cstheme="minorHAnsi"/>
          <w:color w:val="auto"/>
          <w:kern w:val="2"/>
          <w:sz w:val="24"/>
          <w:szCs w:val="24"/>
          <w:lang w:eastAsia="en-US"/>
          <w14:ligatures w14:val="standardContextual"/>
        </w:rPr>
        <w:t xml:space="preserve"> policing: Social Media and the Rise of Police Indiscretion. </w:t>
      </w:r>
      <w:r w:rsidRPr="00AC13D5">
        <w:rPr>
          <w:rFonts w:asciiTheme="minorHAnsi" w:eastAsia="Aptos" w:hAnsiTheme="minorHAnsi" w:cstheme="minorHAnsi"/>
          <w:i/>
          <w:iCs/>
          <w:color w:val="auto"/>
          <w:kern w:val="2"/>
          <w:sz w:val="24"/>
          <w:szCs w:val="24"/>
          <w:lang w:eastAsia="en-US"/>
          <w14:ligatures w14:val="standardContextual"/>
        </w:rPr>
        <w:t>Policing and Society</w:t>
      </w:r>
      <w:r w:rsidRPr="00AC13D5">
        <w:rPr>
          <w:rFonts w:asciiTheme="minorHAnsi" w:eastAsia="Aptos" w:hAnsiTheme="minorHAnsi" w:cstheme="minorHAnsi"/>
          <w:color w:val="auto"/>
          <w:kern w:val="2"/>
          <w:sz w:val="24"/>
          <w:szCs w:val="24"/>
          <w:lang w:eastAsia="en-US"/>
          <w14:ligatures w14:val="standardContextual"/>
        </w:rPr>
        <w:t xml:space="preserve">, 25(3), pp.249–267.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://doi.org/10.1080/10439463.2013.864653</w:t>
      </w:r>
      <w:proofErr w:type="gramEnd"/>
      <w:r w:rsidRPr="00AC13D5">
        <w:rPr>
          <w:rFonts w:asciiTheme="minorHAnsi" w:eastAsia="Aptos" w:hAnsiTheme="minorHAnsi" w:cstheme="minorHAnsi"/>
          <w:color w:val="auto"/>
          <w:kern w:val="2"/>
          <w:sz w:val="24"/>
          <w:szCs w:val="24"/>
          <w:lang w:eastAsia="en-US"/>
          <w14:ligatures w14:val="standardContextual"/>
        </w:rPr>
        <w:t>.</w:t>
      </w:r>
    </w:p>
    <w:p w14:paraId="0D93F1C3"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Goldstein, H. (1990). </w:t>
      </w:r>
      <w:r w:rsidRPr="00AC13D5">
        <w:rPr>
          <w:rFonts w:asciiTheme="minorHAnsi" w:hAnsiTheme="minorHAnsi" w:cstheme="minorHAnsi"/>
          <w:i/>
          <w:iCs/>
          <w:sz w:val="24"/>
          <w:szCs w:val="24"/>
        </w:rPr>
        <w:t>Problem-oriented policing</w:t>
      </w:r>
      <w:r w:rsidRPr="00AC13D5">
        <w:rPr>
          <w:rFonts w:asciiTheme="minorHAnsi" w:hAnsiTheme="minorHAnsi" w:cstheme="minorHAnsi"/>
          <w:sz w:val="24"/>
          <w:szCs w:val="24"/>
        </w:rPr>
        <w:t xml:space="preserve">. New York: </w:t>
      </w:r>
      <w:proofErr w:type="spellStart"/>
      <w:r w:rsidRPr="00AC13D5">
        <w:rPr>
          <w:rFonts w:asciiTheme="minorHAnsi" w:hAnsiTheme="minorHAnsi" w:cstheme="minorHAnsi"/>
          <w:sz w:val="24"/>
          <w:szCs w:val="24"/>
        </w:rPr>
        <w:t>Mcgraw-Hill</w:t>
      </w:r>
      <w:proofErr w:type="spellEnd"/>
      <w:r w:rsidRPr="00AC13D5">
        <w:rPr>
          <w:rFonts w:asciiTheme="minorHAnsi" w:hAnsiTheme="minorHAnsi" w:cstheme="minorHAnsi"/>
          <w:sz w:val="24"/>
          <w:szCs w:val="24"/>
        </w:rPr>
        <w:t>.</w:t>
      </w:r>
    </w:p>
    <w:p w14:paraId="7FAE82D4" w14:textId="77777777" w:rsidR="0099635E" w:rsidRDefault="0099635E" w:rsidP="0099635E">
      <w:pPr>
        <w:rPr>
          <w:rFonts w:asciiTheme="minorHAnsi" w:hAnsiTheme="minorHAnsi" w:cstheme="minorHAnsi"/>
          <w:sz w:val="24"/>
          <w:szCs w:val="24"/>
        </w:rPr>
      </w:pPr>
      <w:r w:rsidRPr="00826AB5">
        <w:rPr>
          <w:rFonts w:asciiTheme="minorHAnsi" w:hAnsiTheme="minorHAnsi" w:cstheme="minorHAnsi"/>
          <w:sz w:val="24"/>
          <w:szCs w:val="24"/>
        </w:rPr>
        <w:t xml:space="preserve">Goleman, D. (1995). </w:t>
      </w:r>
      <w:r w:rsidRPr="00826AB5">
        <w:rPr>
          <w:rFonts w:asciiTheme="minorHAnsi" w:hAnsiTheme="minorHAnsi" w:cstheme="minorHAnsi"/>
          <w:i/>
          <w:iCs/>
          <w:sz w:val="24"/>
          <w:szCs w:val="24"/>
        </w:rPr>
        <w:t>Emotional Intelligence</w:t>
      </w:r>
      <w:r w:rsidRPr="00826AB5">
        <w:rPr>
          <w:rFonts w:asciiTheme="minorHAnsi" w:hAnsiTheme="minorHAnsi" w:cstheme="minorHAnsi"/>
          <w:sz w:val="24"/>
          <w:szCs w:val="24"/>
        </w:rPr>
        <w:t>. New York: Bantam Books.</w:t>
      </w:r>
    </w:p>
    <w:p w14:paraId="64DDF9AC"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GOV.UK. Available at: https://www.gov.uk/government/publications/police-transformation-fund-investments-in-2018-to-2019 [Accessed 7 Nov. 2024].</w:t>
      </w:r>
    </w:p>
    <w:p w14:paraId="32C022A9"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proofErr w:type="spellStart"/>
      <w:r w:rsidRPr="00AC13D5">
        <w:rPr>
          <w:rFonts w:asciiTheme="minorHAnsi" w:eastAsia="Aptos" w:hAnsiTheme="minorHAnsi" w:cstheme="minorHAnsi"/>
          <w:color w:val="auto"/>
          <w:kern w:val="2"/>
          <w:sz w:val="24"/>
          <w:szCs w:val="24"/>
          <w:lang w:eastAsia="en-US"/>
          <w14:ligatures w14:val="standardContextual"/>
        </w:rPr>
        <w:t>Grimmelikhuijsen</w:t>
      </w:r>
      <w:proofErr w:type="spellEnd"/>
      <w:r w:rsidRPr="00AC13D5">
        <w:rPr>
          <w:rFonts w:asciiTheme="minorHAnsi" w:eastAsia="Aptos" w:hAnsiTheme="minorHAnsi" w:cstheme="minorHAnsi"/>
          <w:color w:val="auto"/>
          <w:kern w:val="2"/>
          <w:sz w:val="24"/>
          <w:szCs w:val="24"/>
          <w:lang w:eastAsia="en-US"/>
          <w14:ligatures w14:val="standardContextual"/>
        </w:rPr>
        <w:t xml:space="preserve">, S., </w:t>
      </w:r>
      <w:proofErr w:type="spellStart"/>
      <w:r w:rsidRPr="00AC13D5">
        <w:rPr>
          <w:rFonts w:asciiTheme="minorHAnsi" w:eastAsia="Aptos" w:hAnsiTheme="minorHAnsi" w:cstheme="minorHAnsi"/>
          <w:color w:val="auto"/>
          <w:kern w:val="2"/>
          <w:sz w:val="24"/>
          <w:szCs w:val="24"/>
          <w:lang w:eastAsia="en-US"/>
          <w14:ligatures w14:val="standardContextual"/>
        </w:rPr>
        <w:t>Porumbescu</w:t>
      </w:r>
      <w:proofErr w:type="spellEnd"/>
      <w:r w:rsidRPr="00AC13D5">
        <w:rPr>
          <w:rFonts w:asciiTheme="minorHAnsi" w:eastAsia="Aptos" w:hAnsiTheme="minorHAnsi" w:cstheme="minorHAnsi"/>
          <w:color w:val="auto"/>
          <w:kern w:val="2"/>
          <w:sz w:val="24"/>
          <w:szCs w:val="24"/>
          <w:lang w:eastAsia="en-US"/>
          <w14:ligatures w14:val="standardContextual"/>
        </w:rPr>
        <w:t xml:space="preserve">, G., Hong, B. and </w:t>
      </w:r>
      <w:proofErr w:type="spellStart"/>
      <w:r w:rsidRPr="00AC13D5">
        <w:rPr>
          <w:rFonts w:asciiTheme="minorHAnsi" w:eastAsia="Aptos" w:hAnsiTheme="minorHAnsi" w:cstheme="minorHAnsi"/>
          <w:color w:val="auto"/>
          <w:kern w:val="2"/>
          <w:sz w:val="24"/>
          <w:szCs w:val="24"/>
          <w:lang w:eastAsia="en-US"/>
          <w14:ligatures w14:val="standardContextual"/>
        </w:rPr>
        <w:t>Im</w:t>
      </w:r>
      <w:proofErr w:type="spellEnd"/>
      <w:r w:rsidRPr="00AC13D5">
        <w:rPr>
          <w:rFonts w:asciiTheme="minorHAnsi" w:eastAsia="Aptos" w:hAnsiTheme="minorHAnsi" w:cstheme="minorHAnsi"/>
          <w:color w:val="auto"/>
          <w:kern w:val="2"/>
          <w:sz w:val="24"/>
          <w:szCs w:val="24"/>
          <w:lang w:eastAsia="en-US"/>
          <w14:ligatures w14:val="standardContextual"/>
        </w:rPr>
        <w:t xml:space="preserve">, T. (2013). The Effect of Transparency on Trust in Government: </w:t>
      </w:r>
      <w:proofErr w:type="gramStart"/>
      <w:r w:rsidRPr="00AC13D5">
        <w:rPr>
          <w:rFonts w:asciiTheme="minorHAnsi" w:eastAsia="Aptos" w:hAnsiTheme="minorHAnsi" w:cstheme="minorHAnsi"/>
          <w:color w:val="auto"/>
          <w:kern w:val="2"/>
          <w:sz w:val="24"/>
          <w:szCs w:val="24"/>
          <w:lang w:eastAsia="en-US"/>
          <w14:ligatures w14:val="standardContextual"/>
        </w:rPr>
        <w:t>a</w:t>
      </w:r>
      <w:proofErr w:type="gramEnd"/>
      <w:r w:rsidRPr="00AC13D5">
        <w:rPr>
          <w:rFonts w:asciiTheme="minorHAnsi" w:eastAsia="Aptos" w:hAnsiTheme="minorHAnsi" w:cstheme="minorHAnsi"/>
          <w:color w:val="auto"/>
          <w:kern w:val="2"/>
          <w:sz w:val="24"/>
          <w:szCs w:val="24"/>
          <w:lang w:eastAsia="en-US"/>
          <w14:ligatures w14:val="standardContextual"/>
        </w:rPr>
        <w:t xml:space="preserve"> Cross-National Comparative Experiment. </w:t>
      </w:r>
      <w:r w:rsidRPr="00AC13D5">
        <w:rPr>
          <w:rFonts w:asciiTheme="minorHAnsi" w:eastAsia="Aptos" w:hAnsiTheme="minorHAnsi" w:cstheme="minorHAnsi"/>
          <w:i/>
          <w:iCs/>
          <w:color w:val="auto"/>
          <w:kern w:val="2"/>
          <w:sz w:val="24"/>
          <w:szCs w:val="24"/>
          <w:lang w:eastAsia="en-US"/>
          <w14:ligatures w14:val="standardContextual"/>
        </w:rPr>
        <w:t>Public Administration Review</w:t>
      </w:r>
      <w:r w:rsidRPr="00AC13D5">
        <w:rPr>
          <w:rFonts w:asciiTheme="minorHAnsi" w:eastAsia="Aptos" w:hAnsiTheme="minorHAnsi" w:cstheme="minorHAnsi"/>
          <w:color w:val="auto"/>
          <w:kern w:val="2"/>
          <w:sz w:val="24"/>
          <w:szCs w:val="24"/>
          <w:lang w:eastAsia="en-US"/>
          <w14:ligatures w14:val="standardContextual"/>
        </w:rPr>
        <w:t xml:space="preserve">, 73(4), pp.575–586.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://doi.org/10.1111/puar.12047</w:t>
      </w:r>
      <w:proofErr w:type="gramEnd"/>
      <w:r w:rsidRPr="00AC13D5">
        <w:rPr>
          <w:rFonts w:asciiTheme="minorHAnsi" w:eastAsia="Aptos" w:hAnsiTheme="minorHAnsi" w:cstheme="minorHAnsi"/>
          <w:color w:val="auto"/>
          <w:kern w:val="2"/>
          <w:sz w:val="24"/>
          <w:szCs w:val="24"/>
          <w:lang w:eastAsia="en-US"/>
          <w14:ligatures w14:val="standardContextual"/>
        </w:rPr>
        <w:t>.</w:t>
      </w:r>
    </w:p>
    <w:p w14:paraId="0FFE8BCF"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 xml:space="preserve">Grubb, A.R., Brown, S.J. and Hall, P. (2017). The Emotionally Intelligent Officer? Exploring Decision-Making Style and Emotional Intelligence in Hostage and Crisis Negotiators and Non-Negotiator-Trained Police Officers. </w:t>
      </w:r>
      <w:r w:rsidRPr="0099635E">
        <w:rPr>
          <w:rFonts w:asciiTheme="minorHAnsi" w:hAnsiTheme="minorHAnsi" w:cstheme="minorHAnsi"/>
          <w:i/>
          <w:iCs/>
          <w:sz w:val="24"/>
          <w:szCs w:val="24"/>
        </w:rPr>
        <w:t>Journal of Police and Criminal Psychology</w:t>
      </w:r>
      <w:r w:rsidRPr="0099635E">
        <w:rPr>
          <w:rFonts w:asciiTheme="minorHAnsi" w:hAnsiTheme="minorHAnsi" w:cstheme="minorHAnsi"/>
          <w:sz w:val="24"/>
          <w:szCs w:val="24"/>
        </w:rPr>
        <w:t xml:space="preserve">, 33(2), pp.123–136. </w:t>
      </w:r>
      <w:proofErr w:type="spellStart"/>
      <w:proofErr w:type="gramStart"/>
      <w:r w:rsidRPr="0099635E">
        <w:rPr>
          <w:rFonts w:asciiTheme="minorHAnsi" w:hAnsiTheme="minorHAnsi" w:cstheme="minorHAnsi"/>
          <w:sz w:val="24"/>
          <w:szCs w:val="24"/>
        </w:rPr>
        <w:t>doi:https</w:t>
      </w:r>
      <w:proofErr w:type="spellEnd"/>
      <w:r w:rsidRPr="0099635E">
        <w:rPr>
          <w:rFonts w:asciiTheme="minorHAnsi" w:hAnsiTheme="minorHAnsi" w:cstheme="minorHAnsi"/>
          <w:sz w:val="24"/>
          <w:szCs w:val="24"/>
        </w:rPr>
        <w:t>://doi.org/10.1007/s11896-017-9240-2</w:t>
      </w:r>
      <w:proofErr w:type="gramEnd"/>
      <w:r w:rsidRPr="0099635E">
        <w:rPr>
          <w:rFonts w:asciiTheme="minorHAnsi" w:hAnsiTheme="minorHAnsi" w:cstheme="minorHAnsi"/>
          <w:sz w:val="24"/>
          <w:szCs w:val="24"/>
        </w:rPr>
        <w:t>.</w:t>
      </w:r>
    </w:p>
    <w:p w14:paraId="33463295" w14:textId="77777777" w:rsidR="0099635E" w:rsidRDefault="0099635E" w:rsidP="0099635E">
      <w:pPr>
        <w:rPr>
          <w:rFonts w:asciiTheme="minorHAnsi" w:hAnsiTheme="minorHAnsi" w:cstheme="minorHAnsi"/>
          <w:sz w:val="24"/>
          <w:szCs w:val="24"/>
        </w:rPr>
      </w:pPr>
      <w:r w:rsidRPr="004A5537">
        <w:rPr>
          <w:rFonts w:asciiTheme="minorHAnsi" w:hAnsiTheme="minorHAnsi" w:cstheme="minorHAnsi"/>
          <w:sz w:val="24"/>
          <w:szCs w:val="24"/>
        </w:rPr>
        <w:t xml:space="preserve">Haslam, A., Reicher, S. and </w:t>
      </w:r>
      <w:proofErr w:type="spellStart"/>
      <w:r w:rsidRPr="004A5537">
        <w:rPr>
          <w:rFonts w:asciiTheme="minorHAnsi" w:hAnsiTheme="minorHAnsi" w:cstheme="minorHAnsi"/>
          <w:sz w:val="24"/>
          <w:szCs w:val="24"/>
        </w:rPr>
        <w:t>Platow</w:t>
      </w:r>
      <w:proofErr w:type="spellEnd"/>
      <w:r w:rsidRPr="004A5537">
        <w:rPr>
          <w:rFonts w:asciiTheme="minorHAnsi" w:hAnsiTheme="minorHAnsi" w:cstheme="minorHAnsi"/>
          <w:sz w:val="24"/>
          <w:szCs w:val="24"/>
        </w:rPr>
        <w:t xml:space="preserve">, M. (2020). </w:t>
      </w:r>
      <w:r w:rsidRPr="004A5537">
        <w:rPr>
          <w:rFonts w:asciiTheme="minorHAnsi" w:hAnsiTheme="minorHAnsi" w:cstheme="minorHAnsi"/>
          <w:i/>
          <w:iCs/>
          <w:sz w:val="24"/>
          <w:szCs w:val="24"/>
        </w:rPr>
        <w:t xml:space="preserve">The New Psychology of </w:t>
      </w:r>
      <w:proofErr w:type="gramStart"/>
      <w:r w:rsidRPr="004A5537">
        <w:rPr>
          <w:rFonts w:asciiTheme="minorHAnsi" w:hAnsiTheme="minorHAnsi" w:cstheme="minorHAnsi"/>
          <w:i/>
          <w:iCs/>
          <w:sz w:val="24"/>
          <w:szCs w:val="24"/>
        </w:rPr>
        <w:t>Leadership :</w:t>
      </w:r>
      <w:proofErr w:type="gramEnd"/>
      <w:r w:rsidRPr="004A5537">
        <w:rPr>
          <w:rFonts w:asciiTheme="minorHAnsi" w:hAnsiTheme="minorHAnsi" w:cstheme="minorHAnsi"/>
          <w:i/>
          <w:iCs/>
          <w:sz w:val="24"/>
          <w:szCs w:val="24"/>
        </w:rPr>
        <w:t xml:space="preserve"> identity, Influence and Power</w:t>
      </w:r>
      <w:r w:rsidRPr="004A5537">
        <w:rPr>
          <w:rFonts w:asciiTheme="minorHAnsi" w:hAnsiTheme="minorHAnsi" w:cstheme="minorHAnsi"/>
          <w:sz w:val="24"/>
          <w:szCs w:val="24"/>
        </w:rPr>
        <w:t>. Hove: Psychology.</w:t>
      </w:r>
    </w:p>
    <w:p w14:paraId="270F4251"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 xml:space="preserve">Hersey, P., Blanchard, K.H. and Johnson, D.E. (2013). </w:t>
      </w:r>
      <w:r w:rsidRPr="0099635E">
        <w:rPr>
          <w:rFonts w:asciiTheme="minorHAnsi" w:hAnsiTheme="minorHAnsi" w:cstheme="minorHAnsi"/>
          <w:i/>
          <w:iCs/>
          <w:sz w:val="24"/>
          <w:szCs w:val="24"/>
        </w:rPr>
        <w:t xml:space="preserve">Management of Organizational </w:t>
      </w:r>
      <w:proofErr w:type="spellStart"/>
      <w:proofErr w:type="gramStart"/>
      <w:r w:rsidRPr="0099635E">
        <w:rPr>
          <w:rFonts w:asciiTheme="minorHAnsi" w:hAnsiTheme="minorHAnsi" w:cstheme="minorHAnsi"/>
          <w:i/>
          <w:iCs/>
          <w:sz w:val="24"/>
          <w:szCs w:val="24"/>
        </w:rPr>
        <w:t>Behavior</w:t>
      </w:r>
      <w:proofErr w:type="spellEnd"/>
      <w:r w:rsidRPr="0099635E">
        <w:rPr>
          <w:rFonts w:asciiTheme="minorHAnsi" w:hAnsiTheme="minorHAnsi" w:cstheme="minorHAnsi"/>
          <w:i/>
          <w:iCs/>
          <w:sz w:val="24"/>
          <w:szCs w:val="24"/>
        </w:rPr>
        <w:t xml:space="preserve"> :</w:t>
      </w:r>
      <w:proofErr w:type="gramEnd"/>
      <w:r w:rsidRPr="0099635E">
        <w:rPr>
          <w:rFonts w:asciiTheme="minorHAnsi" w:hAnsiTheme="minorHAnsi" w:cstheme="minorHAnsi"/>
          <w:i/>
          <w:iCs/>
          <w:sz w:val="24"/>
          <w:szCs w:val="24"/>
        </w:rPr>
        <w:t xml:space="preserve"> Leading Human Resources</w:t>
      </w:r>
      <w:r w:rsidRPr="0099635E">
        <w:rPr>
          <w:rFonts w:asciiTheme="minorHAnsi" w:hAnsiTheme="minorHAnsi" w:cstheme="minorHAnsi"/>
          <w:sz w:val="24"/>
          <w:szCs w:val="24"/>
        </w:rPr>
        <w:t>. 10th ed. Boston: Pearson.</w:t>
      </w:r>
    </w:p>
    <w:p w14:paraId="0F6FDC25"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Hester, M. and </w:t>
      </w:r>
      <w:proofErr w:type="spellStart"/>
      <w:r w:rsidRPr="00AC13D5">
        <w:rPr>
          <w:rFonts w:asciiTheme="minorHAnsi" w:eastAsia="Aptos" w:hAnsiTheme="minorHAnsi" w:cstheme="minorHAnsi"/>
          <w:color w:val="auto"/>
          <w:kern w:val="2"/>
          <w:sz w:val="24"/>
          <w:szCs w:val="24"/>
          <w:lang w:eastAsia="en-US"/>
          <w14:ligatures w14:val="standardContextual"/>
        </w:rPr>
        <w:t>Westmarland</w:t>
      </w:r>
      <w:proofErr w:type="spellEnd"/>
      <w:r w:rsidRPr="00AC13D5">
        <w:rPr>
          <w:rFonts w:asciiTheme="minorHAnsi" w:eastAsia="Aptos" w:hAnsiTheme="minorHAnsi" w:cstheme="minorHAnsi"/>
          <w:color w:val="auto"/>
          <w:kern w:val="2"/>
          <w:sz w:val="24"/>
          <w:szCs w:val="24"/>
          <w:lang w:eastAsia="en-US"/>
          <w14:ligatures w14:val="standardContextual"/>
        </w:rPr>
        <w:t xml:space="preserve">, N. (2006). Domestic violence perpetrators. </w:t>
      </w:r>
      <w:r w:rsidRPr="00AC13D5">
        <w:rPr>
          <w:rFonts w:asciiTheme="minorHAnsi" w:eastAsia="Aptos" w:hAnsiTheme="minorHAnsi" w:cstheme="minorHAnsi"/>
          <w:i/>
          <w:iCs/>
          <w:color w:val="auto"/>
          <w:kern w:val="2"/>
          <w:sz w:val="24"/>
          <w:szCs w:val="24"/>
          <w:lang w:eastAsia="en-US"/>
          <w14:ligatures w14:val="standardContextual"/>
        </w:rPr>
        <w:t>Criminal Justice Matters</w:t>
      </w:r>
      <w:r w:rsidRPr="00AC13D5">
        <w:rPr>
          <w:rFonts w:asciiTheme="minorHAnsi" w:eastAsia="Aptos" w:hAnsiTheme="minorHAnsi" w:cstheme="minorHAnsi"/>
          <w:color w:val="auto"/>
          <w:kern w:val="2"/>
          <w:sz w:val="24"/>
          <w:szCs w:val="24"/>
          <w:lang w:eastAsia="en-US"/>
          <w14:ligatures w14:val="standardContextual"/>
        </w:rPr>
        <w:t xml:space="preserve">, 66(1), pp.34–35.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://doi.org/10.1080/09627250608553400</w:t>
      </w:r>
      <w:proofErr w:type="gramEnd"/>
      <w:r w:rsidRPr="00AC13D5">
        <w:rPr>
          <w:rFonts w:asciiTheme="minorHAnsi" w:eastAsia="Aptos" w:hAnsiTheme="minorHAnsi" w:cstheme="minorHAnsi"/>
          <w:color w:val="auto"/>
          <w:kern w:val="2"/>
          <w:sz w:val="24"/>
          <w:szCs w:val="24"/>
          <w:lang w:eastAsia="en-US"/>
          <w14:ligatures w14:val="standardContextual"/>
        </w:rPr>
        <w:t>.</w:t>
      </w:r>
    </w:p>
    <w:p w14:paraId="515D2C31"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Hohl, K., Bradford, B. and Stanko, E.A. (2010). Influencing Trust and Confidence in the London Metropolitan Police: Results from an Experiment Testing the Effect of Leaflet Drops on Public Opinion. </w:t>
      </w:r>
      <w:r w:rsidRPr="00AC13D5">
        <w:rPr>
          <w:rFonts w:asciiTheme="minorHAnsi" w:eastAsia="Aptos" w:hAnsiTheme="minorHAnsi" w:cstheme="minorHAnsi"/>
          <w:i/>
          <w:iCs/>
          <w:color w:val="auto"/>
          <w:kern w:val="2"/>
          <w:sz w:val="24"/>
          <w:szCs w:val="24"/>
          <w:lang w:eastAsia="en-US"/>
          <w14:ligatures w14:val="standardContextual"/>
        </w:rPr>
        <w:t>British Journal of Criminology</w:t>
      </w:r>
      <w:r w:rsidRPr="00AC13D5">
        <w:rPr>
          <w:rFonts w:asciiTheme="minorHAnsi" w:eastAsia="Aptos" w:hAnsiTheme="minorHAnsi" w:cstheme="minorHAnsi"/>
          <w:color w:val="auto"/>
          <w:kern w:val="2"/>
          <w:sz w:val="24"/>
          <w:szCs w:val="24"/>
          <w:lang w:eastAsia="en-US"/>
          <w14:ligatures w14:val="standardContextual"/>
        </w:rPr>
        <w:t xml:space="preserve">, 50(3), pp.491–513.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://doi.org/10.1093/</w:t>
      </w:r>
      <w:proofErr w:type="spellStart"/>
      <w:r w:rsidRPr="00AC13D5">
        <w:rPr>
          <w:rFonts w:asciiTheme="minorHAnsi" w:eastAsia="Aptos" w:hAnsiTheme="minorHAnsi" w:cstheme="minorHAnsi"/>
          <w:color w:val="auto"/>
          <w:kern w:val="2"/>
          <w:sz w:val="24"/>
          <w:szCs w:val="24"/>
          <w:lang w:eastAsia="en-US"/>
          <w14:ligatures w14:val="standardContextual"/>
        </w:rPr>
        <w:t>bjc</w:t>
      </w:r>
      <w:proofErr w:type="spellEnd"/>
      <w:r w:rsidRPr="00AC13D5">
        <w:rPr>
          <w:rFonts w:asciiTheme="minorHAnsi" w:eastAsia="Aptos" w:hAnsiTheme="minorHAnsi" w:cstheme="minorHAnsi"/>
          <w:color w:val="auto"/>
          <w:kern w:val="2"/>
          <w:sz w:val="24"/>
          <w:szCs w:val="24"/>
          <w:lang w:eastAsia="en-US"/>
          <w14:ligatures w14:val="standardContextual"/>
        </w:rPr>
        <w:t>/azq005</w:t>
      </w:r>
      <w:proofErr w:type="gramEnd"/>
      <w:r w:rsidRPr="00AC13D5">
        <w:rPr>
          <w:rFonts w:asciiTheme="minorHAnsi" w:eastAsia="Aptos" w:hAnsiTheme="minorHAnsi" w:cstheme="minorHAnsi"/>
          <w:color w:val="auto"/>
          <w:kern w:val="2"/>
          <w:sz w:val="24"/>
          <w:szCs w:val="24"/>
          <w:lang w:eastAsia="en-US"/>
          <w14:ligatures w14:val="standardContextual"/>
        </w:rPr>
        <w:t>.</w:t>
      </w:r>
    </w:p>
    <w:p w14:paraId="7E7528D7"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Home Office (2018). </w:t>
      </w:r>
      <w:r w:rsidRPr="00AC13D5">
        <w:rPr>
          <w:rFonts w:asciiTheme="minorHAnsi" w:hAnsiTheme="minorHAnsi" w:cstheme="minorHAnsi"/>
          <w:i/>
          <w:iCs/>
          <w:sz w:val="24"/>
          <w:szCs w:val="24"/>
        </w:rPr>
        <w:t>Police Transformation fund: Investments in 2018 to 2019</w:t>
      </w:r>
      <w:r w:rsidRPr="00AC13D5">
        <w:rPr>
          <w:rFonts w:asciiTheme="minorHAnsi" w:hAnsiTheme="minorHAnsi" w:cstheme="minorHAnsi"/>
          <w:sz w:val="24"/>
          <w:szCs w:val="24"/>
        </w:rPr>
        <w:t xml:space="preserve">. [online] </w:t>
      </w:r>
    </w:p>
    <w:p w14:paraId="6FACC686"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lastRenderedPageBreak/>
        <w:t xml:space="preserve">Home Office (2020). </w:t>
      </w:r>
      <w:r w:rsidRPr="00AC13D5">
        <w:rPr>
          <w:rFonts w:asciiTheme="minorHAnsi" w:hAnsiTheme="minorHAnsi" w:cstheme="minorHAnsi"/>
          <w:i/>
          <w:iCs/>
          <w:sz w:val="24"/>
          <w:szCs w:val="24"/>
        </w:rPr>
        <w:t>Home Office Guidance Conduct, Efficiency and Effectiveness: Statutory Guidance on Professional Standards, Performance and Integrity in Policing</w:t>
      </w:r>
      <w:r w:rsidRPr="00AC13D5">
        <w:rPr>
          <w:rFonts w:asciiTheme="minorHAnsi" w:hAnsiTheme="minorHAnsi" w:cstheme="minorHAnsi"/>
          <w:sz w:val="24"/>
          <w:szCs w:val="24"/>
        </w:rPr>
        <w:t>. [online] Available at: https://assets.publishing.service.gov.uk/media/5e3ae3efed915d09378bf705/Home_Office_Statutory_Guidance_0502.pdf [Accessed 12 Sep. 2024].</w:t>
      </w:r>
    </w:p>
    <w:p w14:paraId="5248FDC9"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Hoofnagle, C.J., Sloot, B.V.D. and </w:t>
      </w:r>
      <w:proofErr w:type="spellStart"/>
      <w:r w:rsidRPr="00AC13D5">
        <w:rPr>
          <w:rFonts w:asciiTheme="minorHAnsi" w:eastAsia="Aptos" w:hAnsiTheme="minorHAnsi" w:cstheme="minorHAnsi"/>
          <w:color w:val="auto"/>
          <w:kern w:val="2"/>
          <w:sz w:val="24"/>
          <w:szCs w:val="24"/>
          <w:lang w:eastAsia="en-US"/>
          <w14:ligatures w14:val="standardContextual"/>
        </w:rPr>
        <w:t>Borgesius</w:t>
      </w:r>
      <w:proofErr w:type="spellEnd"/>
      <w:r w:rsidRPr="00AC13D5">
        <w:rPr>
          <w:rFonts w:asciiTheme="minorHAnsi" w:eastAsia="Aptos" w:hAnsiTheme="minorHAnsi" w:cstheme="minorHAnsi"/>
          <w:color w:val="auto"/>
          <w:kern w:val="2"/>
          <w:sz w:val="24"/>
          <w:szCs w:val="24"/>
          <w:lang w:eastAsia="en-US"/>
          <w14:ligatures w14:val="standardContextual"/>
        </w:rPr>
        <w:t xml:space="preserve">, F.Z. (2019). The European Union General Data Protection regulation: What It Is and What It Means. </w:t>
      </w:r>
      <w:r w:rsidRPr="00AC13D5">
        <w:rPr>
          <w:rFonts w:asciiTheme="minorHAnsi" w:eastAsia="Aptos" w:hAnsiTheme="minorHAnsi" w:cstheme="minorHAnsi"/>
          <w:i/>
          <w:iCs/>
          <w:color w:val="auto"/>
          <w:kern w:val="2"/>
          <w:sz w:val="24"/>
          <w:szCs w:val="24"/>
          <w:lang w:eastAsia="en-US"/>
          <w14:ligatures w14:val="standardContextual"/>
        </w:rPr>
        <w:t>Information &amp; Communications Technology Law</w:t>
      </w:r>
      <w:r w:rsidRPr="00AC13D5">
        <w:rPr>
          <w:rFonts w:asciiTheme="minorHAnsi" w:eastAsia="Aptos" w:hAnsiTheme="minorHAnsi" w:cstheme="minorHAnsi"/>
          <w:color w:val="auto"/>
          <w:kern w:val="2"/>
          <w:sz w:val="24"/>
          <w:szCs w:val="24"/>
          <w:lang w:eastAsia="en-US"/>
          <w14:ligatures w14:val="standardContextual"/>
        </w:rPr>
        <w:t xml:space="preserve">, [online] 28(1), pp.65–98.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://doi.org/10.1080/13600834.2019.1573501</w:t>
      </w:r>
      <w:proofErr w:type="gramEnd"/>
      <w:r w:rsidRPr="00AC13D5">
        <w:rPr>
          <w:rFonts w:asciiTheme="minorHAnsi" w:eastAsia="Aptos" w:hAnsiTheme="minorHAnsi" w:cstheme="minorHAnsi"/>
          <w:color w:val="auto"/>
          <w:kern w:val="2"/>
          <w:sz w:val="24"/>
          <w:szCs w:val="24"/>
          <w:lang w:eastAsia="en-US"/>
          <w14:ligatures w14:val="standardContextual"/>
        </w:rPr>
        <w:t>.</w:t>
      </w:r>
    </w:p>
    <w:p w14:paraId="553CF2A4"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Hu, X. and Lovrich, N.P. (2024). </w:t>
      </w:r>
      <w:r w:rsidRPr="00AC13D5">
        <w:rPr>
          <w:rFonts w:asciiTheme="minorHAnsi" w:eastAsia="Aptos" w:hAnsiTheme="minorHAnsi" w:cstheme="minorHAnsi"/>
          <w:i/>
          <w:iCs/>
          <w:color w:val="auto"/>
          <w:kern w:val="2"/>
          <w:sz w:val="24"/>
          <w:szCs w:val="24"/>
          <w:lang w:eastAsia="en-US"/>
          <w14:ligatures w14:val="standardContextual"/>
        </w:rPr>
        <w:t>Social Media and Criminal Justice</w:t>
      </w:r>
      <w:r w:rsidRPr="00AC13D5">
        <w:rPr>
          <w:rFonts w:asciiTheme="minorHAnsi" w:eastAsia="Aptos" w:hAnsiTheme="minorHAnsi" w:cstheme="minorHAnsi"/>
          <w:color w:val="auto"/>
          <w:kern w:val="2"/>
          <w:sz w:val="24"/>
          <w:szCs w:val="24"/>
          <w:lang w:eastAsia="en-US"/>
          <w14:ligatures w14:val="standardContextual"/>
        </w:rPr>
        <w:t>. Taylor &amp; Francis.</w:t>
      </w:r>
    </w:p>
    <w:p w14:paraId="1E3569A1" w14:textId="77777777" w:rsidR="0099635E" w:rsidRDefault="0099635E" w:rsidP="0099635E">
      <w:pPr>
        <w:rPr>
          <w:rFonts w:asciiTheme="minorHAnsi" w:hAnsiTheme="minorHAnsi" w:cstheme="minorHAnsi"/>
          <w:sz w:val="24"/>
          <w:szCs w:val="24"/>
        </w:rPr>
      </w:pPr>
      <w:r w:rsidRPr="00CD194A">
        <w:rPr>
          <w:rFonts w:asciiTheme="minorHAnsi" w:hAnsiTheme="minorHAnsi" w:cstheme="minorHAnsi"/>
          <w:sz w:val="24"/>
          <w:szCs w:val="24"/>
        </w:rPr>
        <w:t xml:space="preserve">John Eric Adair (1989). </w:t>
      </w:r>
      <w:r w:rsidRPr="00CD194A">
        <w:rPr>
          <w:rFonts w:asciiTheme="minorHAnsi" w:hAnsiTheme="minorHAnsi" w:cstheme="minorHAnsi"/>
          <w:i/>
          <w:iCs/>
          <w:sz w:val="24"/>
          <w:szCs w:val="24"/>
        </w:rPr>
        <w:t>Action-centred Leadership</w:t>
      </w:r>
      <w:r w:rsidRPr="00CD194A">
        <w:rPr>
          <w:rFonts w:asciiTheme="minorHAnsi" w:hAnsiTheme="minorHAnsi" w:cstheme="minorHAnsi"/>
          <w:sz w:val="24"/>
          <w:szCs w:val="24"/>
        </w:rPr>
        <w:t xml:space="preserve">. </w:t>
      </w:r>
      <w:proofErr w:type="spellStart"/>
      <w:r w:rsidRPr="00CD194A">
        <w:rPr>
          <w:rFonts w:asciiTheme="minorHAnsi" w:hAnsiTheme="minorHAnsi" w:cstheme="minorHAnsi"/>
          <w:sz w:val="24"/>
          <w:szCs w:val="24"/>
        </w:rPr>
        <w:t>Petaling</w:t>
      </w:r>
      <w:proofErr w:type="spellEnd"/>
      <w:r w:rsidRPr="00CD194A">
        <w:rPr>
          <w:rFonts w:asciiTheme="minorHAnsi" w:hAnsiTheme="minorHAnsi" w:cstheme="minorHAnsi"/>
          <w:sz w:val="24"/>
          <w:szCs w:val="24"/>
        </w:rPr>
        <w:t xml:space="preserve"> Jaya, Selangor: </w:t>
      </w:r>
      <w:proofErr w:type="spellStart"/>
      <w:r w:rsidRPr="00CD194A">
        <w:rPr>
          <w:rFonts w:asciiTheme="minorHAnsi" w:hAnsiTheme="minorHAnsi" w:cstheme="minorHAnsi"/>
          <w:sz w:val="24"/>
          <w:szCs w:val="24"/>
        </w:rPr>
        <w:t>Pelanduk</w:t>
      </w:r>
      <w:proofErr w:type="spellEnd"/>
      <w:r w:rsidRPr="00CD194A">
        <w:rPr>
          <w:rFonts w:asciiTheme="minorHAnsi" w:hAnsiTheme="minorHAnsi" w:cstheme="minorHAnsi"/>
          <w:sz w:val="24"/>
          <w:szCs w:val="24"/>
        </w:rPr>
        <w:t xml:space="preserve"> Publications (M.</w:t>
      </w:r>
    </w:p>
    <w:p w14:paraId="0221F61F" w14:textId="77777777" w:rsidR="0099635E" w:rsidRDefault="0099635E" w:rsidP="0099635E">
      <w:pPr>
        <w:rPr>
          <w:rFonts w:asciiTheme="minorHAnsi" w:hAnsiTheme="minorHAnsi" w:cstheme="minorHAnsi"/>
          <w:sz w:val="24"/>
          <w:szCs w:val="24"/>
        </w:rPr>
      </w:pPr>
      <w:r w:rsidRPr="00C31750">
        <w:rPr>
          <w:rFonts w:asciiTheme="minorHAnsi" w:hAnsiTheme="minorHAnsi" w:cstheme="minorHAnsi"/>
          <w:sz w:val="24"/>
          <w:szCs w:val="24"/>
        </w:rPr>
        <w:t xml:space="preserve">Kotter, J.P. (1996). </w:t>
      </w:r>
      <w:r w:rsidRPr="00C31750">
        <w:rPr>
          <w:rFonts w:asciiTheme="minorHAnsi" w:hAnsiTheme="minorHAnsi" w:cstheme="minorHAnsi"/>
          <w:i/>
          <w:iCs/>
          <w:sz w:val="24"/>
          <w:szCs w:val="24"/>
        </w:rPr>
        <w:t>Leading Change</w:t>
      </w:r>
      <w:r w:rsidRPr="00C31750">
        <w:rPr>
          <w:rFonts w:asciiTheme="minorHAnsi" w:hAnsiTheme="minorHAnsi" w:cstheme="minorHAnsi"/>
          <w:sz w:val="24"/>
          <w:szCs w:val="24"/>
        </w:rPr>
        <w:t>. Boston, Mass.: Harvard Business School Press.</w:t>
      </w:r>
    </w:p>
    <w:p w14:paraId="6BEBB250"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Levi, D.M., Doig, A., </w:t>
      </w:r>
      <w:proofErr w:type="spellStart"/>
      <w:r w:rsidRPr="00AC13D5">
        <w:rPr>
          <w:rFonts w:asciiTheme="minorHAnsi" w:hAnsiTheme="minorHAnsi" w:cstheme="minorHAnsi"/>
          <w:sz w:val="24"/>
          <w:szCs w:val="24"/>
        </w:rPr>
        <w:t>Gundur</w:t>
      </w:r>
      <w:proofErr w:type="spellEnd"/>
      <w:r w:rsidRPr="00AC13D5">
        <w:rPr>
          <w:rFonts w:asciiTheme="minorHAnsi" w:hAnsiTheme="minorHAnsi" w:cstheme="minorHAnsi"/>
          <w:sz w:val="24"/>
          <w:szCs w:val="24"/>
        </w:rPr>
        <w:t xml:space="preserve">, R., Wall, D. and Williams, M. (2015). </w:t>
      </w:r>
      <w:r w:rsidRPr="00AC13D5">
        <w:rPr>
          <w:rFonts w:asciiTheme="minorHAnsi" w:hAnsiTheme="minorHAnsi" w:cstheme="minorHAnsi"/>
          <w:i/>
          <w:iCs/>
          <w:sz w:val="24"/>
          <w:szCs w:val="24"/>
        </w:rPr>
        <w:t>The Implications of Economic Cybercrime for Policing</w:t>
      </w:r>
      <w:r w:rsidRPr="00AC13D5">
        <w:rPr>
          <w:rFonts w:asciiTheme="minorHAnsi" w:hAnsiTheme="minorHAnsi" w:cstheme="minorHAnsi"/>
          <w:sz w:val="24"/>
          <w:szCs w:val="24"/>
        </w:rPr>
        <w:t>. [online] Available at: https://orca.cardiff.ac.uk/id/eprint/88156/1/Economic-Cybercrime-FullReport.pdf [Accessed 7 Nov. 2024].</w:t>
      </w:r>
    </w:p>
    <w:p w14:paraId="4C24A9F7"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Lieberman, J.D., Koetzle, D. and Sakiyama, M. (2013). Police Departments’ Use of Facebook. </w:t>
      </w:r>
      <w:r w:rsidRPr="00AC13D5">
        <w:rPr>
          <w:rFonts w:asciiTheme="minorHAnsi" w:eastAsia="Aptos" w:hAnsiTheme="minorHAnsi" w:cstheme="minorHAnsi"/>
          <w:i/>
          <w:iCs/>
          <w:color w:val="auto"/>
          <w:kern w:val="2"/>
          <w:sz w:val="24"/>
          <w:szCs w:val="24"/>
          <w:lang w:eastAsia="en-US"/>
          <w14:ligatures w14:val="standardContextual"/>
        </w:rPr>
        <w:t>Police Quarterly</w:t>
      </w:r>
      <w:r w:rsidRPr="00AC13D5">
        <w:rPr>
          <w:rFonts w:asciiTheme="minorHAnsi" w:eastAsia="Aptos" w:hAnsiTheme="minorHAnsi" w:cstheme="minorHAnsi"/>
          <w:color w:val="auto"/>
          <w:kern w:val="2"/>
          <w:sz w:val="24"/>
          <w:szCs w:val="24"/>
          <w:lang w:eastAsia="en-US"/>
          <w14:ligatures w14:val="standardContextual"/>
        </w:rPr>
        <w:t xml:space="preserve">, 16(4), pp.438–462.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://doi.org/10.1177/1098611113495049</w:t>
      </w:r>
      <w:proofErr w:type="gramEnd"/>
      <w:r w:rsidRPr="00AC13D5">
        <w:rPr>
          <w:rFonts w:asciiTheme="minorHAnsi" w:eastAsia="Aptos" w:hAnsiTheme="minorHAnsi" w:cstheme="minorHAnsi"/>
          <w:color w:val="auto"/>
          <w:kern w:val="2"/>
          <w:sz w:val="24"/>
          <w:szCs w:val="24"/>
          <w:lang w:eastAsia="en-US"/>
          <w14:ligatures w14:val="standardContextual"/>
        </w:rPr>
        <w:t>.</w:t>
      </w:r>
    </w:p>
    <w:p w14:paraId="35993FB9"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Lyons, D. (2015). </w:t>
      </w:r>
      <w:r w:rsidRPr="00AC13D5">
        <w:rPr>
          <w:rFonts w:asciiTheme="minorHAnsi" w:hAnsiTheme="minorHAnsi" w:cstheme="minorHAnsi"/>
          <w:i/>
          <w:iCs/>
          <w:sz w:val="24"/>
          <w:szCs w:val="24"/>
        </w:rPr>
        <w:t>The Power of Feedback in Modern Policing – Police Business Advisor</w:t>
      </w:r>
      <w:r w:rsidRPr="00AC13D5">
        <w:rPr>
          <w:rFonts w:asciiTheme="minorHAnsi" w:hAnsiTheme="minorHAnsi" w:cstheme="minorHAnsi"/>
          <w:sz w:val="24"/>
          <w:szCs w:val="24"/>
        </w:rPr>
        <w:t>. [online] Police Business Advisor. Available at: https://policebusinessadvisor.com/2015/12/28/the-power-of-feedback-in-modern-policing/.</w:t>
      </w:r>
    </w:p>
    <w:p w14:paraId="532E71A0"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Meijer, A. and </w:t>
      </w:r>
      <w:proofErr w:type="spellStart"/>
      <w:r w:rsidRPr="00AC13D5">
        <w:rPr>
          <w:rFonts w:asciiTheme="minorHAnsi" w:eastAsia="Aptos" w:hAnsiTheme="minorHAnsi" w:cstheme="minorHAnsi"/>
          <w:color w:val="auto"/>
          <w:kern w:val="2"/>
          <w:sz w:val="24"/>
          <w:szCs w:val="24"/>
          <w:lang w:eastAsia="en-US"/>
          <w14:ligatures w14:val="standardContextual"/>
        </w:rPr>
        <w:t>Thaens</w:t>
      </w:r>
      <w:proofErr w:type="spellEnd"/>
      <w:r w:rsidRPr="00AC13D5">
        <w:rPr>
          <w:rFonts w:asciiTheme="minorHAnsi" w:eastAsia="Aptos" w:hAnsiTheme="minorHAnsi" w:cstheme="minorHAnsi"/>
          <w:color w:val="auto"/>
          <w:kern w:val="2"/>
          <w:sz w:val="24"/>
          <w:szCs w:val="24"/>
          <w:lang w:eastAsia="en-US"/>
          <w14:ligatures w14:val="standardContextual"/>
        </w:rPr>
        <w:t xml:space="preserve">, M. (2013). Social Media strategies: Understanding the Differences between North American Police Departments. </w:t>
      </w:r>
      <w:r w:rsidRPr="00AC13D5">
        <w:rPr>
          <w:rFonts w:asciiTheme="minorHAnsi" w:eastAsia="Aptos" w:hAnsiTheme="minorHAnsi" w:cstheme="minorHAnsi"/>
          <w:i/>
          <w:iCs/>
          <w:color w:val="auto"/>
          <w:kern w:val="2"/>
          <w:sz w:val="24"/>
          <w:szCs w:val="24"/>
          <w:lang w:eastAsia="en-US"/>
          <w14:ligatures w14:val="standardContextual"/>
        </w:rPr>
        <w:t>Government Information Quarterly</w:t>
      </w:r>
      <w:r w:rsidRPr="00AC13D5">
        <w:rPr>
          <w:rFonts w:asciiTheme="minorHAnsi" w:eastAsia="Aptos" w:hAnsiTheme="minorHAnsi" w:cstheme="minorHAnsi"/>
          <w:color w:val="auto"/>
          <w:kern w:val="2"/>
          <w:sz w:val="24"/>
          <w:szCs w:val="24"/>
          <w:lang w:eastAsia="en-US"/>
          <w14:ligatures w14:val="standardContextual"/>
        </w:rPr>
        <w:t xml:space="preserve">, [online] 30(4), pp.343–350.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://doi.org/10.1016/j.giq.2013.05.023</w:t>
      </w:r>
      <w:proofErr w:type="gramEnd"/>
      <w:r w:rsidRPr="00AC13D5">
        <w:rPr>
          <w:rFonts w:asciiTheme="minorHAnsi" w:eastAsia="Aptos" w:hAnsiTheme="minorHAnsi" w:cstheme="minorHAnsi"/>
          <w:color w:val="auto"/>
          <w:kern w:val="2"/>
          <w:sz w:val="24"/>
          <w:szCs w:val="24"/>
          <w:lang w:eastAsia="en-US"/>
          <w14:ligatures w14:val="standardContextual"/>
        </w:rPr>
        <w:t>.</w:t>
      </w:r>
    </w:p>
    <w:p w14:paraId="37C9E3AA"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Meijer, A. and </w:t>
      </w:r>
      <w:proofErr w:type="spellStart"/>
      <w:r w:rsidRPr="00AC13D5">
        <w:rPr>
          <w:rFonts w:asciiTheme="minorHAnsi" w:eastAsia="Aptos" w:hAnsiTheme="minorHAnsi" w:cstheme="minorHAnsi"/>
          <w:color w:val="auto"/>
          <w:kern w:val="2"/>
          <w:sz w:val="24"/>
          <w:szCs w:val="24"/>
          <w:lang w:eastAsia="en-US"/>
          <w14:ligatures w14:val="standardContextual"/>
        </w:rPr>
        <w:t>Thaens</w:t>
      </w:r>
      <w:proofErr w:type="spellEnd"/>
      <w:r w:rsidRPr="00AC13D5">
        <w:rPr>
          <w:rFonts w:asciiTheme="minorHAnsi" w:eastAsia="Aptos" w:hAnsiTheme="minorHAnsi" w:cstheme="minorHAnsi"/>
          <w:color w:val="auto"/>
          <w:kern w:val="2"/>
          <w:sz w:val="24"/>
          <w:szCs w:val="24"/>
          <w:lang w:eastAsia="en-US"/>
          <w14:ligatures w14:val="standardContextual"/>
        </w:rPr>
        <w:t xml:space="preserve">, M. (2013a). Social Media strategies: Understanding the Differences between North American Police Departments. </w:t>
      </w:r>
      <w:r w:rsidRPr="00AC13D5">
        <w:rPr>
          <w:rFonts w:asciiTheme="minorHAnsi" w:eastAsia="Aptos" w:hAnsiTheme="minorHAnsi" w:cstheme="minorHAnsi"/>
          <w:i/>
          <w:iCs/>
          <w:color w:val="auto"/>
          <w:kern w:val="2"/>
          <w:sz w:val="24"/>
          <w:szCs w:val="24"/>
          <w:lang w:eastAsia="en-US"/>
          <w14:ligatures w14:val="standardContextual"/>
        </w:rPr>
        <w:t>Government Information Quarterly</w:t>
      </w:r>
      <w:r w:rsidRPr="00AC13D5">
        <w:rPr>
          <w:rFonts w:asciiTheme="minorHAnsi" w:eastAsia="Aptos" w:hAnsiTheme="minorHAnsi" w:cstheme="minorHAnsi"/>
          <w:color w:val="auto"/>
          <w:kern w:val="2"/>
          <w:sz w:val="24"/>
          <w:szCs w:val="24"/>
          <w:lang w:eastAsia="en-US"/>
          <w14:ligatures w14:val="standardContextual"/>
        </w:rPr>
        <w:t xml:space="preserve">, [online] 30(4), pp.343–350.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://doi.org/10.1016/j.giq.2013.05.023</w:t>
      </w:r>
      <w:proofErr w:type="gramEnd"/>
      <w:r w:rsidRPr="00AC13D5">
        <w:rPr>
          <w:rFonts w:asciiTheme="minorHAnsi" w:eastAsia="Aptos" w:hAnsiTheme="minorHAnsi" w:cstheme="minorHAnsi"/>
          <w:color w:val="auto"/>
          <w:kern w:val="2"/>
          <w:sz w:val="24"/>
          <w:szCs w:val="24"/>
          <w:lang w:eastAsia="en-US"/>
          <w14:ligatures w14:val="standardContextual"/>
        </w:rPr>
        <w:t>.</w:t>
      </w:r>
    </w:p>
    <w:p w14:paraId="572FB0BF"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Metropolitan Police (2022). </w:t>
      </w:r>
      <w:r w:rsidRPr="00AC13D5">
        <w:rPr>
          <w:rFonts w:asciiTheme="minorHAnsi" w:hAnsiTheme="minorHAnsi" w:cstheme="minorHAnsi"/>
          <w:i/>
          <w:iCs/>
          <w:sz w:val="24"/>
          <w:szCs w:val="24"/>
        </w:rPr>
        <w:t>Strategy for inclusion, Diversity and Engagement - Action Plan 2022-2023</w:t>
      </w:r>
      <w:r w:rsidRPr="00AC13D5">
        <w:rPr>
          <w:rFonts w:asciiTheme="minorHAnsi" w:hAnsiTheme="minorHAnsi" w:cstheme="minorHAnsi"/>
          <w:sz w:val="24"/>
          <w:szCs w:val="24"/>
        </w:rPr>
        <w:t>. [online] Available at: https://www.met.police.uk/police-forces/metropolitan-police/areas/about-us/about-the-met/met-diversity-and-inclusion-strategy-stride/ [Accessed 12 Sep. 2024].</w:t>
      </w:r>
    </w:p>
    <w:p w14:paraId="5B9C6DDF"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Miles-Johnson, T. (2013). LGBTI Variations in Crime Reporting. </w:t>
      </w:r>
      <w:r w:rsidRPr="00AC13D5">
        <w:rPr>
          <w:rFonts w:asciiTheme="minorHAnsi" w:hAnsiTheme="minorHAnsi" w:cstheme="minorHAnsi"/>
          <w:i/>
          <w:iCs/>
          <w:sz w:val="24"/>
          <w:szCs w:val="24"/>
        </w:rPr>
        <w:t>SAGE Open</w:t>
      </w:r>
      <w:r w:rsidRPr="00AC13D5">
        <w:rPr>
          <w:rFonts w:asciiTheme="minorHAnsi" w:hAnsiTheme="minorHAnsi" w:cstheme="minorHAnsi"/>
          <w:sz w:val="24"/>
          <w:szCs w:val="24"/>
        </w:rPr>
        <w:t xml:space="preserve">, 3(2), p.215824401349070. </w:t>
      </w:r>
      <w:proofErr w:type="spellStart"/>
      <w:r w:rsidRPr="00AC13D5">
        <w:rPr>
          <w:rFonts w:asciiTheme="minorHAnsi" w:hAnsiTheme="minorHAnsi" w:cstheme="minorHAnsi"/>
          <w:sz w:val="24"/>
          <w:szCs w:val="24"/>
        </w:rPr>
        <w:t>doi</w:t>
      </w:r>
      <w:proofErr w:type="spellEnd"/>
      <w:r w:rsidRPr="00AC13D5">
        <w:rPr>
          <w:rFonts w:asciiTheme="minorHAnsi" w:hAnsiTheme="minorHAnsi" w:cstheme="minorHAnsi"/>
          <w:sz w:val="24"/>
          <w:szCs w:val="24"/>
        </w:rPr>
        <w:t>: https://doi.org/10.1177/2158244013490707.</w:t>
      </w:r>
    </w:p>
    <w:p w14:paraId="1B2FDFBA" w14:textId="77777777" w:rsidR="0099635E" w:rsidRPr="0099635E" w:rsidRDefault="0099635E" w:rsidP="0099635E">
      <w:pPr>
        <w:rPr>
          <w:rFonts w:asciiTheme="minorHAnsi" w:hAnsiTheme="minorHAnsi" w:cstheme="minorHAnsi"/>
          <w:sz w:val="24"/>
          <w:szCs w:val="24"/>
        </w:rPr>
      </w:pPr>
      <w:proofErr w:type="spellStart"/>
      <w:r w:rsidRPr="0099635E">
        <w:rPr>
          <w:rFonts w:asciiTheme="minorHAnsi" w:hAnsiTheme="minorHAnsi" w:cstheme="minorHAnsi"/>
          <w:sz w:val="24"/>
          <w:szCs w:val="24"/>
        </w:rPr>
        <w:t>Muczyk</w:t>
      </w:r>
      <w:proofErr w:type="spellEnd"/>
      <w:r w:rsidRPr="0099635E">
        <w:rPr>
          <w:rFonts w:asciiTheme="minorHAnsi" w:hAnsiTheme="minorHAnsi" w:cstheme="minorHAnsi"/>
          <w:sz w:val="24"/>
          <w:szCs w:val="24"/>
        </w:rPr>
        <w:t xml:space="preserve">, J.P. and Reimann, B.C. (1987). The Case for Directive Leadership. </w:t>
      </w:r>
      <w:r w:rsidRPr="0099635E">
        <w:rPr>
          <w:rFonts w:asciiTheme="minorHAnsi" w:hAnsiTheme="minorHAnsi" w:cstheme="minorHAnsi"/>
          <w:i/>
          <w:iCs/>
          <w:sz w:val="24"/>
          <w:szCs w:val="24"/>
        </w:rPr>
        <w:t>Academy of Management Perspectives</w:t>
      </w:r>
      <w:r w:rsidRPr="0099635E">
        <w:rPr>
          <w:rFonts w:asciiTheme="minorHAnsi" w:hAnsiTheme="minorHAnsi" w:cstheme="minorHAnsi"/>
          <w:sz w:val="24"/>
          <w:szCs w:val="24"/>
        </w:rPr>
        <w:t xml:space="preserve">, 1(4), pp.301–311. </w:t>
      </w:r>
      <w:proofErr w:type="spellStart"/>
      <w:proofErr w:type="gramStart"/>
      <w:r w:rsidRPr="0099635E">
        <w:rPr>
          <w:rFonts w:asciiTheme="minorHAnsi" w:hAnsiTheme="minorHAnsi" w:cstheme="minorHAnsi"/>
          <w:sz w:val="24"/>
          <w:szCs w:val="24"/>
        </w:rPr>
        <w:t>doi:https</w:t>
      </w:r>
      <w:proofErr w:type="spellEnd"/>
      <w:r w:rsidRPr="0099635E">
        <w:rPr>
          <w:rFonts w:asciiTheme="minorHAnsi" w:hAnsiTheme="minorHAnsi" w:cstheme="minorHAnsi"/>
          <w:sz w:val="24"/>
          <w:szCs w:val="24"/>
        </w:rPr>
        <w:t>://doi.org/10.5465/ame.1987.4275646</w:t>
      </w:r>
      <w:proofErr w:type="gramEnd"/>
      <w:r w:rsidRPr="0099635E">
        <w:rPr>
          <w:rFonts w:asciiTheme="minorHAnsi" w:hAnsiTheme="minorHAnsi" w:cstheme="minorHAnsi"/>
          <w:sz w:val="24"/>
          <w:szCs w:val="24"/>
        </w:rPr>
        <w:t>.</w:t>
      </w:r>
    </w:p>
    <w:p w14:paraId="16A6A2A3"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National Police Chiefs' Council (2016). </w:t>
      </w:r>
      <w:r w:rsidRPr="00AC13D5">
        <w:rPr>
          <w:rFonts w:asciiTheme="minorHAnsi" w:hAnsiTheme="minorHAnsi" w:cstheme="minorHAnsi"/>
          <w:i/>
          <w:iCs/>
          <w:sz w:val="24"/>
          <w:szCs w:val="24"/>
        </w:rPr>
        <w:t>POLICING VISION 2030 Strategic Policing Partnership Board</w:t>
      </w:r>
      <w:r w:rsidRPr="00AC13D5">
        <w:rPr>
          <w:rFonts w:asciiTheme="minorHAnsi" w:hAnsiTheme="minorHAnsi" w:cstheme="minorHAnsi"/>
          <w:sz w:val="24"/>
          <w:szCs w:val="24"/>
        </w:rPr>
        <w:t>. [online] Available at: https://www.npcc.police.uk/SysSiteAssets/media/downloads/publications/policing-vision/policing-vision-2030.pdf [Accessed 12 Sep. 2024].</w:t>
      </w:r>
    </w:p>
    <w:p w14:paraId="11BA064F" w14:textId="77777777" w:rsidR="0099635E" w:rsidRPr="00AC13D5" w:rsidRDefault="0099635E" w:rsidP="00517B18">
      <w:pPr>
        <w:rPr>
          <w:rFonts w:asciiTheme="minorHAnsi" w:hAnsiTheme="minorHAnsi" w:cstheme="minorHAnsi"/>
          <w:sz w:val="24"/>
          <w:szCs w:val="24"/>
        </w:rPr>
      </w:pPr>
      <w:proofErr w:type="spellStart"/>
      <w:r w:rsidRPr="00AC13D5">
        <w:rPr>
          <w:rFonts w:asciiTheme="minorHAnsi" w:hAnsiTheme="minorHAnsi" w:cstheme="minorHAnsi"/>
          <w:sz w:val="24"/>
          <w:szCs w:val="24"/>
        </w:rPr>
        <w:lastRenderedPageBreak/>
        <w:t>Neyroud</w:t>
      </w:r>
      <w:proofErr w:type="spellEnd"/>
      <w:r w:rsidRPr="00AC13D5">
        <w:rPr>
          <w:rFonts w:asciiTheme="minorHAnsi" w:hAnsiTheme="minorHAnsi" w:cstheme="minorHAnsi"/>
          <w:sz w:val="24"/>
          <w:szCs w:val="24"/>
        </w:rPr>
        <w:t xml:space="preserve"> QPM, P. (2010). Review of Police Leadership and Training Peter </w:t>
      </w:r>
      <w:proofErr w:type="spellStart"/>
      <w:r w:rsidRPr="00AC13D5">
        <w:rPr>
          <w:rFonts w:asciiTheme="minorHAnsi" w:hAnsiTheme="minorHAnsi" w:cstheme="minorHAnsi"/>
          <w:sz w:val="24"/>
          <w:szCs w:val="24"/>
        </w:rPr>
        <w:t>Neyroud</w:t>
      </w:r>
      <w:proofErr w:type="spellEnd"/>
      <w:r w:rsidRPr="00AC13D5">
        <w:rPr>
          <w:rFonts w:asciiTheme="minorHAnsi" w:hAnsiTheme="minorHAnsi" w:cstheme="minorHAnsi"/>
          <w:sz w:val="24"/>
          <w:szCs w:val="24"/>
        </w:rPr>
        <w:t xml:space="preserve"> QPM Chief Constable Volume Two Appendixes. [online] Available at: https://assets.publishing.service.gov.uk/media/5a759a0f40f0b67f59fce2a6/appendices.pdf [Accessed 7 Nov. 2024].</w:t>
      </w:r>
    </w:p>
    <w:p w14:paraId="2890B5EE"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NPCC (2016). </w:t>
      </w:r>
      <w:r w:rsidRPr="00AC13D5">
        <w:rPr>
          <w:rFonts w:asciiTheme="minorHAnsi" w:hAnsiTheme="minorHAnsi" w:cstheme="minorHAnsi"/>
          <w:i/>
          <w:iCs/>
          <w:sz w:val="24"/>
          <w:szCs w:val="24"/>
        </w:rPr>
        <w:t>Police Chiefs and PCCs Set out a Vision for Policing in 2025</w:t>
      </w:r>
      <w:r w:rsidRPr="00AC13D5">
        <w:rPr>
          <w:rFonts w:asciiTheme="minorHAnsi" w:hAnsiTheme="minorHAnsi" w:cstheme="minorHAnsi"/>
          <w:sz w:val="24"/>
          <w:szCs w:val="24"/>
        </w:rPr>
        <w:t>. [online] Police.uk. Available at: https://news.npcc.police.uk/releases/police-chiefs-and-pccs-set-out-a-vision-for-policing-in-2025 [Accessed 7 Nov. 2024].</w:t>
      </w:r>
    </w:p>
    <w:p w14:paraId="52A02BE6"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O’Driscoll, D. (2018). </w:t>
      </w:r>
      <w:r w:rsidRPr="00AC13D5">
        <w:rPr>
          <w:rFonts w:asciiTheme="minorHAnsi" w:hAnsiTheme="minorHAnsi" w:cstheme="minorHAnsi"/>
          <w:i/>
          <w:iCs/>
          <w:sz w:val="24"/>
          <w:szCs w:val="24"/>
        </w:rPr>
        <w:t>Policing and Harm to Marginalised Groups</w:t>
      </w:r>
      <w:r w:rsidRPr="00AC13D5">
        <w:rPr>
          <w:rFonts w:asciiTheme="minorHAnsi" w:hAnsiTheme="minorHAnsi" w:cstheme="minorHAnsi"/>
          <w:sz w:val="24"/>
          <w:szCs w:val="24"/>
        </w:rPr>
        <w:t>. [online] Available at: https://assets.publishing.service.gov.uk/media/5b190291ed915d2cbae4af2f/Policing_and_Harm_to_Marginalised_Groups.pdf [Accessed 28 Oct. 2024].</w:t>
      </w:r>
    </w:p>
    <w:p w14:paraId="65C0F87C" w14:textId="77777777" w:rsid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 xml:space="preserve">Olie, R.L. (1993). Book </w:t>
      </w:r>
      <w:proofErr w:type="gramStart"/>
      <w:r w:rsidRPr="0099635E">
        <w:rPr>
          <w:rFonts w:asciiTheme="minorHAnsi" w:hAnsiTheme="minorHAnsi" w:cstheme="minorHAnsi"/>
          <w:sz w:val="24"/>
          <w:szCs w:val="24"/>
        </w:rPr>
        <w:t>Reviews :</w:t>
      </w:r>
      <w:proofErr w:type="gramEnd"/>
      <w:r w:rsidRPr="0099635E">
        <w:rPr>
          <w:rFonts w:asciiTheme="minorHAnsi" w:hAnsiTheme="minorHAnsi" w:cstheme="minorHAnsi"/>
          <w:sz w:val="24"/>
          <w:szCs w:val="24"/>
        </w:rPr>
        <w:t xml:space="preserve"> Alan Bryman: Charisma and Leadership in Organisations. </w:t>
      </w:r>
      <w:r w:rsidRPr="0099635E">
        <w:rPr>
          <w:rFonts w:asciiTheme="minorHAnsi" w:hAnsiTheme="minorHAnsi" w:cstheme="minorHAnsi"/>
          <w:i/>
          <w:iCs/>
          <w:sz w:val="24"/>
          <w:szCs w:val="24"/>
        </w:rPr>
        <w:t>Organisation Studies</w:t>
      </w:r>
      <w:r w:rsidRPr="0099635E">
        <w:rPr>
          <w:rFonts w:asciiTheme="minorHAnsi" w:hAnsiTheme="minorHAnsi" w:cstheme="minorHAnsi"/>
          <w:sz w:val="24"/>
          <w:szCs w:val="24"/>
        </w:rPr>
        <w:t xml:space="preserve">, 14(3), pp.459–464. </w:t>
      </w:r>
      <w:proofErr w:type="spellStart"/>
      <w:proofErr w:type="gramStart"/>
      <w:r w:rsidRPr="0099635E">
        <w:rPr>
          <w:rFonts w:asciiTheme="minorHAnsi" w:hAnsiTheme="minorHAnsi" w:cstheme="minorHAnsi"/>
          <w:sz w:val="24"/>
          <w:szCs w:val="24"/>
        </w:rPr>
        <w:t>doi:https</w:t>
      </w:r>
      <w:proofErr w:type="spellEnd"/>
      <w:r w:rsidRPr="0099635E">
        <w:rPr>
          <w:rFonts w:asciiTheme="minorHAnsi" w:hAnsiTheme="minorHAnsi" w:cstheme="minorHAnsi"/>
          <w:sz w:val="24"/>
          <w:szCs w:val="24"/>
        </w:rPr>
        <w:t>://doi.org/10.1177/017084069301400309</w:t>
      </w:r>
      <w:proofErr w:type="gramEnd"/>
      <w:r w:rsidRPr="0099635E">
        <w:rPr>
          <w:rFonts w:asciiTheme="minorHAnsi" w:hAnsiTheme="minorHAnsi" w:cstheme="minorHAnsi"/>
          <w:sz w:val="24"/>
          <w:szCs w:val="24"/>
        </w:rPr>
        <w:t>.</w:t>
      </w:r>
    </w:p>
    <w:p w14:paraId="37099666" w14:textId="77777777" w:rsidR="0099635E" w:rsidRDefault="0099635E" w:rsidP="0099635E">
      <w:pPr>
        <w:rPr>
          <w:rFonts w:asciiTheme="minorHAnsi" w:hAnsiTheme="minorHAnsi" w:cstheme="minorHAnsi"/>
          <w:sz w:val="24"/>
          <w:szCs w:val="24"/>
        </w:rPr>
      </w:pPr>
      <w:r w:rsidRPr="00056A98">
        <w:rPr>
          <w:rFonts w:asciiTheme="minorHAnsi" w:hAnsiTheme="minorHAnsi" w:cstheme="minorHAnsi"/>
          <w:sz w:val="24"/>
          <w:szCs w:val="24"/>
        </w:rPr>
        <w:t xml:space="preserve">Page, L. (2023). </w:t>
      </w:r>
      <w:r w:rsidRPr="00056A98">
        <w:rPr>
          <w:rFonts w:asciiTheme="minorHAnsi" w:hAnsiTheme="minorHAnsi" w:cstheme="minorHAnsi"/>
          <w:i/>
          <w:iCs/>
          <w:sz w:val="24"/>
          <w:szCs w:val="24"/>
        </w:rPr>
        <w:t>What Is a Dynamic Risk Assessment?</w:t>
      </w:r>
      <w:r w:rsidRPr="00056A98">
        <w:rPr>
          <w:rFonts w:asciiTheme="minorHAnsi" w:hAnsiTheme="minorHAnsi" w:cstheme="minorHAnsi"/>
          <w:sz w:val="24"/>
          <w:szCs w:val="24"/>
        </w:rPr>
        <w:t xml:space="preserve"> [online] </w:t>
      </w:r>
      <w:proofErr w:type="spellStart"/>
      <w:r w:rsidRPr="00056A98">
        <w:rPr>
          <w:rFonts w:asciiTheme="minorHAnsi" w:hAnsiTheme="minorHAnsi" w:cstheme="minorHAnsi"/>
          <w:sz w:val="24"/>
          <w:szCs w:val="24"/>
        </w:rPr>
        <w:t>Peoplesafe</w:t>
      </w:r>
      <w:proofErr w:type="spellEnd"/>
      <w:r w:rsidRPr="00056A98">
        <w:rPr>
          <w:rFonts w:asciiTheme="minorHAnsi" w:hAnsiTheme="minorHAnsi" w:cstheme="minorHAnsi"/>
          <w:sz w:val="24"/>
          <w:szCs w:val="24"/>
        </w:rPr>
        <w:t>. Available at: https://peoplesafe.co.uk/blogs/what-is-a-dynamic-risk-assessment/ [Accessed 6 Jan. 2025].</w:t>
      </w:r>
    </w:p>
    <w:p w14:paraId="05DB895F"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Palmiotto, M.J. (2011). </w:t>
      </w:r>
      <w:r w:rsidRPr="00AC13D5">
        <w:rPr>
          <w:rFonts w:asciiTheme="minorHAnsi" w:eastAsia="Aptos" w:hAnsiTheme="minorHAnsi" w:cstheme="minorHAnsi"/>
          <w:i/>
          <w:iCs/>
          <w:color w:val="auto"/>
          <w:kern w:val="2"/>
          <w:sz w:val="24"/>
          <w:szCs w:val="24"/>
          <w:lang w:eastAsia="en-US"/>
          <w14:ligatures w14:val="standardContextual"/>
        </w:rPr>
        <w:t>Community Policing</w:t>
      </w:r>
      <w:r w:rsidRPr="00AC13D5">
        <w:rPr>
          <w:rFonts w:asciiTheme="minorHAnsi" w:eastAsia="Aptos" w:hAnsiTheme="minorHAnsi" w:cstheme="minorHAnsi"/>
          <w:color w:val="auto"/>
          <w:kern w:val="2"/>
          <w:sz w:val="24"/>
          <w:szCs w:val="24"/>
          <w:lang w:eastAsia="en-US"/>
          <w14:ligatures w14:val="standardContextual"/>
        </w:rPr>
        <w:t>. Routledge.</w:t>
      </w:r>
    </w:p>
    <w:p w14:paraId="5231AB79"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Ratcliffe, J.H. (2016). </w:t>
      </w:r>
      <w:r w:rsidRPr="00AC13D5">
        <w:rPr>
          <w:rFonts w:asciiTheme="minorHAnsi" w:hAnsiTheme="minorHAnsi" w:cstheme="minorHAnsi"/>
          <w:i/>
          <w:iCs/>
          <w:sz w:val="24"/>
          <w:szCs w:val="24"/>
        </w:rPr>
        <w:t>Intelligence-Led Policing</w:t>
      </w:r>
      <w:r w:rsidRPr="00AC13D5">
        <w:rPr>
          <w:rFonts w:asciiTheme="minorHAnsi" w:hAnsiTheme="minorHAnsi" w:cstheme="minorHAnsi"/>
          <w:sz w:val="24"/>
          <w:szCs w:val="24"/>
        </w:rPr>
        <w:t xml:space="preserve">. [online] Routledge. </w:t>
      </w:r>
      <w:proofErr w:type="spellStart"/>
      <w:r w:rsidRPr="00AC13D5">
        <w:rPr>
          <w:rFonts w:asciiTheme="minorHAnsi" w:hAnsiTheme="minorHAnsi" w:cstheme="minorHAnsi"/>
          <w:sz w:val="24"/>
          <w:szCs w:val="24"/>
        </w:rPr>
        <w:t>doi</w:t>
      </w:r>
      <w:proofErr w:type="spellEnd"/>
      <w:r w:rsidRPr="00AC13D5">
        <w:rPr>
          <w:rFonts w:asciiTheme="minorHAnsi" w:hAnsiTheme="minorHAnsi" w:cstheme="minorHAnsi"/>
          <w:sz w:val="24"/>
          <w:szCs w:val="24"/>
        </w:rPr>
        <w:t>: https://doi.org/10.4324/9781315717579.</w:t>
      </w:r>
    </w:p>
    <w:p w14:paraId="568C1001"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Ruddell, R. and Jones, N. (2013). </w:t>
      </w:r>
      <w:proofErr w:type="gramStart"/>
      <w:r w:rsidRPr="00AC13D5">
        <w:rPr>
          <w:rFonts w:asciiTheme="minorHAnsi" w:eastAsia="Aptos" w:hAnsiTheme="minorHAnsi" w:cstheme="minorHAnsi"/>
          <w:color w:val="auto"/>
          <w:kern w:val="2"/>
          <w:sz w:val="24"/>
          <w:szCs w:val="24"/>
          <w:lang w:eastAsia="en-US"/>
          <w14:ligatures w14:val="standardContextual"/>
        </w:rPr>
        <w:t>Social Media</w:t>
      </w:r>
      <w:proofErr w:type="gramEnd"/>
      <w:r w:rsidRPr="00AC13D5">
        <w:rPr>
          <w:rFonts w:asciiTheme="minorHAnsi" w:eastAsia="Aptos" w:hAnsiTheme="minorHAnsi" w:cstheme="minorHAnsi"/>
          <w:color w:val="auto"/>
          <w:kern w:val="2"/>
          <w:sz w:val="24"/>
          <w:szCs w:val="24"/>
          <w:lang w:eastAsia="en-US"/>
          <w14:ligatures w14:val="standardContextual"/>
        </w:rPr>
        <w:t xml:space="preserve"> and policing: Matching the Message to the Audience. </w:t>
      </w:r>
      <w:r w:rsidRPr="00AC13D5">
        <w:rPr>
          <w:rFonts w:asciiTheme="minorHAnsi" w:eastAsia="Aptos" w:hAnsiTheme="minorHAnsi" w:cstheme="minorHAnsi"/>
          <w:i/>
          <w:iCs/>
          <w:color w:val="auto"/>
          <w:kern w:val="2"/>
          <w:sz w:val="24"/>
          <w:szCs w:val="24"/>
          <w:lang w:eastAsia="en-US"/>
          <w14:ligatures w14:val="standardContextual"/>
        </w:rPr>
        <w:t>Safer Communities</w:t>
      </w:r>
      <w:r w:rsidRPr="00AC13D5">
        <w:rPr>
          <w:rFonts w:asciiTheme="minorHAnsi" w:eastAsia="Aptos" w:hAnsiTheme="minorHAnsi" w:cstheme="minorHAnsi"/>
          <w:color w:val="auto"/>
          <w:kern w:val="2"/>
          <w:sz w:val="24"/>
          <w:szCs w:val="24"/>
          <w:lang w:eastAsia="en-US"/>
          <w14:ligatures w14:val="standardContextual"/>
        </w:rPr>
        <w:t xml:space="preserve">, 12(2), pp.64–70.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://doi.org/10.1108/17578041311315030</w:t>
      </w:r>
      <w:proofErr w:type="gramEnd"/>
      <w:r w:rsidRPr="00AC13D5">
        <w:rPr>
          <w:rFonts w:asciiTheme="minorHAnsi" w:eastAsia="Aptos" w:hAnsiTheme="minorHAnsi" w:cstheme="minorHAnsi"/>
          <w:color w:val="auto"/>
          <w:kern w:val="2"/>
          <w:sz w:val="24"/>
          <w:szCs w:val="24"/>
          <w:lang w:eastAsia="en-US"/>
          <w14:ligatures w14:val="standardContextual"/>
        </w:rPr>
        <w:t>.</w:t>
      </w:r>
    </w:p>
    <w:p w14:paraId="564EE867"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Schneider, C.J. (2016). </w:t>
      </w:r>
      <w:r w:rsidRPr="00AC13D5">
        <w:rPr>
          <w:rFonts w:asciiTheme="minorHAnsi" w:eastAsia="Aptos" w:hAnsiTheme="minorHAnsi" w:cstheme="minorHAnsi"/>
          <w:i/>
          <w:iCs/>
          <w:color w:val="auto"/>
          <w:kern w:val="2"/>
          <w:sz w:val="24"/>
          <w:szCs w:val="24"/>
          <w:lang w:eastAsia="en-US"/>
          <w14:ligatures w14:val="standardContextual"/>
        </w:rPr>
        <w:t xml:space="preserve">Policing and social </w:t>
      </w:r>
      <w:proofErr w:type="gramStart"/>
      <w:r w:rsidRPr="00AC13D5">
        <w:rPr>
          <w:rFonts w:asciiTheme="minorHAnsi" w:eastAsia="Aptos" w:hAnsiTheme="minorHAnsi" w:cstheme="minorHAnsi"/>
          <w:i/>
          <w:iCs/>
          <w:color w:val="auto"/>
          <w:kern w:val="2"/>
          <w:sz w:val="24"/>
          <w:szCs w:val="24"/>
          <w:lang w:eastAsia="en-US"/>
          <w14:ligatures w14:val="standardContextual"/>
        </w:rPr>
        <w:t>media :</w:t>
      </w:r>
      <w:proofErr w:type="gramEnd"/>
      <w:r w:rsidRPr="00AC13D5">
        <w:rPr>
          <w:rFonts w:asciiTheme="minorHAnsi" w:eastAsia="Aptos" w:hAnsiTheme="minorHAnsi" w:cstheme="minorHAnsi"/>
          <w:i/>
          <w:iCs/>
          <w:color w:val="auto"/>
          <w:kern w:val="2"/>
          <w:sz w:val="24"/>
          <w:szCs w:val="24"/>
          <w:lang w:eastAsia="en-US"/>
          <w14:ligatures w14:val="standardContextual"/>
        </w:rPr>
        <w:t xml:space="preserve"> social control in an era of new media</w:t>
      </w:r>
      <w:r w:rsidRPr="00AC13D5">
        <w:rPr>
          <w:rFonts w:asciiTheme="minorHAnsi" w:eastAsia="Aptos" w:hAnsiTheme="minorHAnsi" w:cstheme="minorHAnsi"/>
          <w:color w:val="auto"/>
          <w:kern w:val="2"/>
          <w:sz w:val="24"/>
          <w:szCs w:val="24"/>
          <w:lang w:eastAsia="en-US"/>
          <w14:ligatures w14:val="standardContextual"/>
        </w:rPr>
        <w:t>. Lanham, Maryland: Lexington Books.</w:t>
      </w:r>
    </w:p>
    <w:p w14:paraId="2C36A2CB" w14:textId="77777777" w:rsidR="0099635E" w:rsidRPr="00AC13D5" w:rsidRDefault="0099635E" w:rsidP="00517B18">
      <w:pPr>
        <w:rPr>
          <w:rFonts w:asciiTheme="minorHAnsi" w:hAnsiTheme="minorHAnsi" w:cstheme="minorHAnsi"/>
          <w:sz w:val="24"/>
          <w:szCs w:val="24"/>
        </w:rPr>
      </w:pPr>
      <w:proofErr w:type="spellStart"/>
      <w:r w:rsidRPr="00AC13D5">
        <w:rPr>
          <w:rFonts w:asciiTheme="minorHAnsi" w:hAnsiTheme="minorHAnsi" w:cstheme="minorHAnsi"/>
          <w:sz w:val="24"/>
          <w:szCs w:val="24"/>
        </w:rPr>
        <w:t>Signori</w:t>
      </w:r>
      <w:proofErr w:type="spellEnd"/>
      <w:r w:rsidRPr="00AC13D5">
        <w:rPr>
          <w:rFonts w:asciiTheme="minorHAnsi" w:hAnsiTheme="minorHAnsi" w:cstheme="minorHAnsi"/>
          <w:sz w:val="24"/>
          <w:szCs w:val="24"/>
        </w:rPr>
        <w:t xml:space="preserve">, R., Heinrich, D.P., Wootton, A.B. and Davey, C.L. (2023). Relational continuity in community policing: Insights from a human-centred design perspective. Policing: A Journal of Policy and Practice, 17(1). </w:t>
      </w:r>
      <w:proofErr w:type="spellStart"/>
      <w:r w:rsidRPr="00AC13D5">
        <w:rPr>
          <w:rFonts w:asciiTheme="minorHAnsi" w:hAnsiTheme="minorHAnsi" w:cstheme="minorHAnsi"/>
          <w:sz w:val="24"/>
          <w:szCs w:val="24"/>
        </w:rPr>
        <w:t>doi</w:t>
      </w:r>
      <w:proofErr w:type="spellEnd"/>
      <w:r w:rsidRPr="00AC13D5">
        <w:rPr>
          <w:rFonts w:asciiTheme="minorHAnsi" w:hAnsiTheme="minorHAnsi" w:cstheme="minorHAnsi"/>
          <w:sz w:val="24"/>
          <w:szCs w:val="24"/>
        </w:rPr>
        <w:t>: https://doi.org/10.1093/police/paad038.</w:t>
      </w:r>
    </w:p>
    <w:p w14:paraId="47100463"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South Wales Police (2024). </w:t>
      </w:r>
      <w:r w:rsidRPr="00AC13D5">
        <w:rPr>
          <w:rFonts w:asciiTheme="minorHAnsi" w:eastAsia="Aptos" w:hAnsiTheme="minorHAnsi" w:cstheme="minorHAnsi"/>
          <w:i/>
          <w:iCs/>
          <w:color w:val="auto"/>
          <w:kern w:val="2"/>
          <w:sz w:val="24"/>
          <w:szCs w:val="24"/>
          <w:lang w:eastAsia="en-US"/>
          <w14:ligatures w14:val="standardContextual"/>
        </w:rPr>
        <w:t>Social Media House Rules</w:t>
      </w:r>
      <w:r w:rsidRPr="00AC13D5">
        <w:rPr>
          <w:rFonts w:asciiTheme="minorHAnsi" w:eastAsia="Aptos" w:hAnsiTheme="minorHAnsi" w:cstheme="minorHAnsi"/>
          <w:color w:val="auto"/>
          <w:kern w:val="2"/>
          <w:sz w:val="24"/>
          <w:szCs w:val="24"/>
          <w:lang w:eastAsia="en-US"/>
          <w14:ligatures w14:val="standardContextual"/>
        </w:rPr>
        <w:t>. [online] Available at: https://www.south-wales.police.uk/police-forces/south-wales-police/areas/about-us/about-us/social-media/social-media-house-rules/ [Accessed 14 Nov. 2024].</w:t>
      </w:r>
    </w:p>
    <w:p w14:paraId="4C851E1C" w14:textId="77777777" w:rsidR="0099635E" w:rsidRPr="00AC13D5" w:rsidRDefault="0099635E" w:rsidP="00517B18">
      <w:pPr>
        <w:rPr>
          <w:rFonts w:asciiTheme="minorHAnsi" w:hAnsiTheme="minorHAnsi" w:cstheme="minorHAnsi"/>
          <w:sz w:val="24"/>
          <w:szCs w:val="24"/>
        </w:rPr>
      </w:pPr>
      <w:r w:rsidRPr="00AC13D5">
        <w:rPr>
          <w:rFonts w:asciiTheme="minorHAnsi" w:hAnsiTheme="minorHAnsi" w:cstheme="minorHAnsi"/>
          <w:sz w:val="24"/>
          <w:szCs w:val="24"/>
        </w:rPr>
        <w:t xml:space="preserve">Strong, J. (2019). </w:t>
      </w:r>
      <w:r w:rsidRPr="00AC13D5">
        <w:rPr>
          <w:rFonts w:asciiTheme="minorHAnsi" w:hAnsiTheme="minorHAnsi" w:cstheme="minorHAnsi"/>
          <w:i/>
          <w:iCs/>
          <w:sz w:val="24"/>
          <w:szCs w:val="24"/>
        </w:rPr>
        <w:t>Policing Education Qualifications Framework (PEQF) implementation Frequently Asked Questions</w:t>
      </w:r>
      <w:r w:rsidRPr="00AC13D5">
        <w:rPr>
          <w:rFonts w:asciiTheme="minorHAnsi" w:hAnsiTheme="minorHAnsi" w:cstheme="minorHAnsi"/>
          <w:sz w:val="24"/>
          <w:szCs w:val="24"/>
        </w:rPr>
        <w:t>. [online] pp.1–10. Available at: https://www.polfed.org/Wilts/media/1580/policing-eductation-qualifications-framework-faqs.pdf [Accessed 12 Sep. 2024].</w:t>
      </w:r>
    </w:p>
    <w:p w14:paraId="29E0F157"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The Police Foundation (2014). </w:t>
      </w:r>
      <w:r w:rsidRPr="00AC13D5">
        <w:rPr>
          <w:rFonts w:asciiTheme="minorHAnsi" w:eastAsia="Aptos" w:hAnsiTheme="minorHAnsi" w:cstheme="minorHAnsi"/>
          <w:i/>
          <w:iCs/>
          <w:color w:val="auto"/>
          <w:kern w:val="2"/>
          <w:sz w:val="24"/>
          <w:szCs w:val="24"/>
          <w:lang w:eastAsia="en-US"/>
          <w14:ligatures w14:val="standardContextual"/>
        </w:rPr>
        <w:t>Police Use of Social Media</w:t>
      </w:r>
      <w:r w:rsidRPr="00AC13D5">
        <w:rPr>
          <w:rFonts w:asciiTheme="minorHAnsi" w:eastAsia="Aptos" w:hAnsiTheme="minorHAnsi" w:cstheme="minorHAnsi"/>
          <w:color w:val="auto"/>
          <w:kern w:val="2"/>
          <w:sz w:val="24"/>
          <w:szCs w:val="24"/>
          <w:lang w:eastAsia="en-US"/>
          <w14:ligatures w14:val="standardContextual"/>
        </w:rPr>
        <w:t>. [online] Available at: https://www.police-foundation.org.uk/wp-content/uploads/2017/08/Social_media_briefing_FINAL.pdf [Accessed 18 Nov. 2024].</w:t>
      </w:r>
    </w:p>
    <w:p w14:paraId="35974FED"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Trottier, D. (2012). Policing Social Media. </w:t>
      </w:r>
      <w:r w:rsidRPr="00AC13D5">
        <w:rPr>
          <w:rFonts w:asciiTheme="minorHAnsi" w:eastAsia="Aptos" w:hAnsiTheme="minorHAnsi" w:cstheme="minorHAnsi"/>
          <w:i/>
          <w:iCs/>
          <w:color w:val="auto"/>
          <w:kern w:val="2"/>
          <w:sz w:val="24"/>
          <w:szCs w:val="24"/>
          <w:lang w:eastAsia="en-US"/>
          <w14:ligatures w14:val="standardContextual"/>
        </w:rPr>
        <w:t xml:space="preserve">Canadian Review of Sociology/Revue Canadienne De </w:t>
      </w:r>
      <w:proofErr w:type="spellStart"/>
      <w:r w:rsidRPr="00AC13D5">
        <w:rPr>
          <w:rFonts w:asciiTheme="minorHAnsi" w:eastAsia="Aptos" w:hAnsiTheme="minorHAnsi" w:cstheme="minorHAnsi"/>
          <w:i/>
          <w:iCs/>
          <w:color w:val="auto"/>
          <w:kern w:val="2"/>
          <w:sz w:val="24"/>
          <w:szCs w:val="24"/>
          <w:lang w:eastAsia="en-US"/>
          <w14:ligatures w14:val="standardContextual"/>
        </w:rPr>
        <w:t>Sociologie</w:t>
      </w:r>
      <w:proofErr w:type="spellEnd"/>
      <w:r w:rsidRPr="00AC13D5">
        <w:rPr>
          <w:rFonts w:asciiTheme="minorHAnsi" w:eastAsia="Aptos" w:hAnsiTheme="minorHAnsi" w:cstheme="minorHAnsi"/>
          <w:color w:val="auto"/>
          <w:kern w:val="2"/>
          <w:sz w:val="24"/>
          <w:szCs w:val="24"/>
          <w:lang w:eastAsia="en-US"/>
          <w14:ligatures w14:val="standardContextual"/>
        </w:rPr>
        <w:t xml:space="preserve">, 49(4), pp.411–425.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://doi.org/10.1111/j.1755-618x.2012.01302.x</w:t>
      </w:r>
      <w:proofErr w:type="gramEnd"/>
      <w:r w:rsidRPr="00AC13D5">
        <w:rPr>
          <w:rFonts w:asciiTheme="minorHAnsi" w:eastAsia="Aptos" w:hAnsiTheme="minorHAnsi" w:cstheme="minorHAnsi"/>
          <w:color w:val="auto"/>
          <w:kern w:val="2"/>
          <w:sz w:val="24"/>
          <w:szCs w:val="24"/>
          <w:lang w:eastAsia="en-US"/>
          <w14:ligatures w14:val="standardContextual"/>
        </w:rPr>
        <w:t>.</w:t>
      </w:r>
    </w:p>
    <w:p w14:paraId="08E20F38"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Trottier, D. (2016). </w:t>
      </w:r>
      <w:r w:rsidRPr="00AC13D5">
        <w:rPr>
          <w:rFonts w:asciiTheme="minorHAnsi" w:eastAsia="Aptos" w:hAnsiTheme="minorHAnsi" w:cstheme="minorHAnsi"/>
          <w:i/>
          <w:iCs/>
          <w:color w:val="auto"/>
          <w:kern w:val="2"/>
          <w:sz w:val="24"/>
          <w:szCs w:val="24"/>
          <w:lang w:eastAsia="en-US"/>
          <w14:ligatures w14:val="standardContextual"/>
        </w:rPr>
        <w:t>Social Media as Surveillance Rethinking Visibility in a Converging World</w:t>
      </w:r>
      <w:r w:rsidRPr="00AC13D5">
        <w:rPr>
          <w:rFonts w:asciiTheme="minorHAnsi" w:eastAsia="Aptos" w:hAnsiTheme="minorHAnsi" w:cstheme="minorHAnsi"/>
          <w:color w:val="auto"/>
          <w:kern w:val="2"/>
          <w:sz w:val="24"/>
          <w:szCs w:val="24"/>
          <w:lang w:eastAsia="en-US"/>
          <w14:ligatures w14:val="standardContextual"/>
        </w:rPr>
        <w:t>. 1st ed. Routledge.</w:t>
      </w:r>
    </w:p>
    <w:p w14:paraId="636E7BD5"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Trottier, D. and Fuchs, C. (2015). </w:t>
      </w:r>
      <w:r w:rsidRPr="00AC13D5">
        <w:rPr>
          <w:rFonts w:asciiTheme="minorHAnsi" w:eastAsia="Aptos" w:hAnsiTheme="minorHAnsi" w:cstheme="minorHAnsi"/>
          <w:i/>
          <w:iCs/>
          <w:color w:val="auto"/>
          <w:kern w:val="2"/>
          <w:sz w:val="24"/>
          <w:szCs w:val="24"/>
          <w:lang w:eastAsia="en-US"/>
          <w14:ligatures w14:val="standardContextual"/>
        </w:rPr>
        <w:t xml:space="preserve">Social media, Politics and the </w:t>
      </w:r>
      <w:proofErr w:type="gramStart"/>
      <w:r w:rsidRPr="00AC13D5">
        <w:rPr>
          <w:rFonts w:asciiTheme="minorHAnsi" w:eastAsia="Aptos" w:hAnsiTheme="minorHAnsi" w:cstheme="minorHAnsi"/>
          <w:i/>
          <w:iCs/>
          <w:color w:val="auto"/>
          <w:kern w:val="2"/>
          <w:sz w:val="24"/>
          <w:szCs w:val="24"/>
          <w:lang w:eastAsia="en-US"/>
          <w14:ligatures w14:val="standardContextual"/>
        </w:rPr>
        <w:t>State :</w:t>
      </w:r>
      <w:proofErr w:type="gramEnd"/>
      <w:r w:rsidRPr="00AC13D5">
        <w:rPr>
          <w:rFonts w:asciiTheme="minorHAnsi" w:eastAsia="Aptos" w:hAnsiTheme="minorHAnsi" w:cstheme="minorHAnsi"/>
          <w:i/>
          <w:iCs/>
          <w:color w:val="auto"/>
          <w:kern w:val="2"/>
          <w:sz w:val="24"/>
          <w:szCs w:val="24"/>
          <w:lang w:eastAsia="en-US"/>
          <w14:ligatures w14:val="standardContextual"/>
        </w:rPr>
        <w:t xml:space="preserve"> protests, revolutions, riots, Crime and Policing in the Age of Facebook, Twitter and YouTube</w:t>
      </w:r>
      <w:r w:rsidRPr="00AC13D5">
        <w:rPr>
          <w:rFonts w:asciiTheme="minorHAnsi" w:eastAsia="Aptos" w:hAnsiTheme="minorHAnsi" w:cstheme="minorHAnsi"/>
          <w:color w:val="auto"/>
          <w:kern w:val="2"/>
          <w:sz w:val="24"/>
          <w:szCs w:val="24"/>
          <w:lang w:eastAsia="en-US"/>
          <w14:ligatures w14:val="standardContextual"/>
        </w:rPr>
        <w:t>. New York: Routledge.</w:t>
      </w:r>
    </w:p>
    <w:p w14:paraId="209185D4"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lastRenderedPageBreak/>
        <w:t xml:space="preserve">Tyler, T.R. (2004). Enhancing Police Legitimacy. </w:t>
      </w:r>
      <w:r w:rsidRPr="00AC13D5">
        <w:rPr>
          <w:rFonts w:asciiTheme="minorHAnsi" w:eastAsia="Aptos" w:hAnsiTheme="minorHAnsi" w:cstheme="minorHAnsi"/>
          <w:i/>
          <w:iCs/>
          <w:color w:val="auto"/>
          <w:kern w:val="2"/>
          <w:sz w:val="24"/>
          <w:szCs w:val="24"/>
          <w:lang w:eastAsia="en-US"/>
          <w14:ligatures w14:val="standardContextual"/>
        </w:rPr>
        <w:t>The ANNALS of the American Academy of Political and Social Science</w:t>
      </w:r>
      <w:r w:rsidRPr="00AC13D5">
        <w:rPr>
          <w:rFonts w:asciiTheme="minorHAnsi" w:eastAsia="Aptos" w:hAnsiTheme="minorHAnsi" w:cstheme="minorHAnsi"/>
          <w:color w:val="auto"/>
          <w:kern w:val="2"/>
          <w:sz w:val="24"/>
          <w:szCs w:val="24"/>
          <w:lang w:eastAsia="en-US"/>
          <w14:ligatures w14:val="standardContextual"/>
        </w:rPr>
        <w:t xml:space="preserve">, [online] 593(1), pp.84–99.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://doi.org/10.1177/0002716203262627</w:t>
      </w:r>
      <w:proofErr w:type="gramEnd"/>
      <w:r w:rsidRPr="00AC13D5">
        <w:rPr>
          <w:rFonts w:asciiTheme="minorHAnsi" w:eastAsia="Aptos" w:hAnsiTheme="minorHAnsi" w:cstheme="minorHAnsi"/>
          <w:color w:val="auto"/>
          <w:kern w:val="2"/>
          <w:sz w:val="24"/>
          <w:szCs w:val="24"/>
          <w:lang w:eastAsia="en-US"/>
          <w14:ligatures w14:val="standardContextual"/>
        </w:rPr>
        <w:t>.</w:t>
      </w:r>
    </w:p>
    <w:p w14:paraId="09C7DBA1"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Tyler, T.R. (2006). </w:t>
      </w:r>
      <w:r w:rsidRPr="00AC13D5">
        <w:rPr>
          <w:rFonts w:asciiTheme="minorHAnsi" w:eastAsia="Aptos" w:hAnsiTheme="minorHAnsi" w:cstheme="minorHAnsi"/>
          <w:i/>
          <w:iCs/>
          <w:color w:val="auto"/>
          <w:kern w:val="2"/>
          <w:sz w:val="24"/>
          <w:szCs w:val="24"/>
          <w:lang w:eastAsia="en-US"/>
          <w14:ligatures w14:val="standardContextual"/>
        </w:rPr>
        <w:t>Why people obey the law</w:t>
      </w:r>
      <w:r w:rsidRPr="00AC13D5">
        <w:rPr>
          <w:rFonts w:asciiTheme="minorHAnsi" w:eastAsia="Aptos" w:hAnsiTheme="minorHAnsi" w:cstheme="minorHAnsi"/>
          <w:color w:val="auto"/>
          <w:kern w:val="2"/>
          <w:sz w:val="24"/>
          <w:szCs w:val="24"/>
          <w:lang w:eastAsia="en-US"/>
          <w14:ligatures w14:val="standardContextual"/>
        </w:rPr>
        <w:t xml:space="preserve">. </w:t>
      </w:r>
      <w:proofErr w:type="spellStart"/>
      <w:r w:rsidRPr="00AC13D5">
        <w:rPr>
          <w:rFonts w:asciiTheme="minorHAnsi" w:eastAsia="Aptos" w:hAnsiTheme="minorHAnsi" w:cstheme="minorHAnsi"/>
          <w:color w:val="auto"/>
          <w:kern w:val="2"/>
          <w:sz w:val="24"/>
          <w:szCs w:val="24"/>
          <w:lang w:eastAsia="en-US"/>
          <w14:ligatures w14:val="standardContextual"/>
        </w:rPr>
        <w:t>Princenton</w:t>
      </w:r>
      <w:proofErr w:type="spellEnd"/>
      <w:r w:rsidRPr="00AC13D5">
        <w:rPr>
          <w:rFonts w:asciiTheme="minorHAnsi" w:eastAsia="Aptos" w:hAnsiTheme="minorHAnsi" w:cstheme="minorHAnsi"/>
          <w:color w:val="auto"/>
          <w:kern w:val="2"/>
          <w:sz w:val="24"/>
          <w:szCs w:val="24"/>
          <w:lang w:eastAsia="en-US"/>
          <w14:ligatures w14:val="standardContextual"/>
        </w:rPr>
        <w:t xml:space="preserve"> New Jersey: Princeton University Press.</w:t>
      </w:r>
    </w:p>
    <w:p w14:paraId="53415926" w14:textId="77777777" w:rsidR="0099635E" w:rsidRPr="00AC13D5" w:rsidRDefault="0099635E" w:rsidP="00AC13D5">
      <w:pPr>
        <w:overflowPunct/>
        <w:autoSpaceDE/>
        <w:autoSpaceDN/>
        <w:adjustRightInd/>
        <w:spacing w:after="160" w:line="259" w:lineRule="auto"/>
        <w:textAlignment w:val="auto"/>
        <w:rPr>
          <w:rFonts w:asciiTheme="minorHAnsi" w:eastAsia="Aptos" w:hAnsiTheme="minorHAnsi" w:cstheme="minorHAnsi"/>
          <w:color w:val="auto"/>
          <w:kern w:val="2"/>
          <w:sz w:val="24"/>
          <w:szCs w:val="24"/>
          <w:lang w:eastAsia="en-US"/>
          <w14:ligatures w14:val="standardContextual"/>
        </w:rPr>
      </w:pPr>
      <w:r w:rsidRPr="00AC13D5">
        <w:rPr>
          <w:rFonts w:asciiTheme="minorHAnsi" w:eastAsia="Aptos" w:hAnsiTheme="minorHAnsi" w:cstheme="minorHAnsi"/>
          <w:color w:val="auto"/>
          <w:kern w:val="2"/>
          <w:sz w:val="24"/>
          <w:szCs w:val="24"/>
          <w:lang w:eastAsia="en-US"/>
          <w14:ligatures w14:val="standardContextual"/>
        </w:rPr>
        <w:t xml:space="preserve">Walsh, J.P. and O’Connor, C. (2018). </w:t>
      </w:r>
      <w:proofErr w:type="gramStart"/>
      <w:r w:rsidRPr="00AC13D5">
        <w:rPr>
          <w:rFonts w:asciiTheme="minorHAnsi" w:eastAsia="Aptos" w:hAnsiTheme="minorHAnsi" w:cstheme="minorHAnsi"/>
          <w:color w:val="auto"/>
          <w:kern w:val="2"/>
          <w:sz w:val="24"/>
          <w:szCs w:val="24"/>
          <w:lang w:eastAsia="en-US"/>
          <w14:ligatures w14:val="standardContextual"/>
        </w:rPr>
        <w:t>Social Media</w:t>
      </w:r>
      <w:proofErr w:type="gramEnd"/>
      <w:r w:rsidRPr="00AC13D5">
        <w:rPr>
          <w:rFonts w:asciiTheme="minorHAnsi" w:eastAsia="Aptos" w:hAnsiTheme="minorHAnsi" w:cstheme="minorHAnsi"/>
          <w:color w:val="auto"/>
          <w:kern w:val="2"/>
          <w:sz w:val="24"/>
          <w:szCs w:val="24"/>
          <w:lang w:eastAsia="en-US"/>
          <w14:ligatures w14:val="standardContextual"/>
        </w:rPr>
        <w:t xml:space="preserve"> and policing: a Review of Recent Research. </w:t>
      </w:r>
      <w:r w:rsidRPr="00AC13D5">
        <w:rPr>
          <w:rFonts w:asciiTheme="minorHAnsi" w:eastAsia="Aptos" w:hAnsiTheme="minorHAnsi" w:cstheme="minorHAnsi"/>
          <w:i/>
          <w:iCs/>
          <w:color w:val="auto"/>
          <w:kern w:val="2"/>
          <w:sz w:val="24"/>
          <w:szCs w:val="24"/>
          <w:lang w:eastAsia="en-US"/>
          <w14:ligatures w14:val="standardContextual"/>
        </w:rPr>
        <w:t>Sociology Compass</w:t>
      </w:r>
      <w:r w:rsidRPr="00AC13D5">
        <w:rPr>
          <w:rFonts w:asciiTheme="minorHAnsi" w:eastAsia="Aptos" w:hAnsiTheme="minorHAnsi" w:cstheme="minorHAnsi"/>
          <w:color w:val="auto"/>
          <w:kern w:val="2"/>
          <w:sz w:val="24"/>
          <w:szCs w:val="24"/>
          <w:lang w:eastAsia="en-US"/>
          <w14:ligatures w14:val="standardContextual"/>
        </w:rPr>
        <w:t xml:space="preserve">, [online] 13(1), pp.1–14. </w:t>
      </w:r>
      <w:proofErr w:type="spellStart"/>
      <w:proofErr w:type="gramStart"/>
      <w:r w:rsidRPr="00AC13D5">
        <w:rPr>
          <w:rFonts w:asciiTheme="minorHAnsi" w:eastAsia="Aptos" w:hAnsiTheme="minorHAnsi" w:cstheme="minorHAnsi"/>
          <w:color w:val="auto"/>
          <w:kern w:val="2"/>
          <w:sz w:val="24"/>
          <w:szCs w:val="24"/>
          <w:lang w:eastAsia="en-US"/>
          <w14:ligatures w14:val="standardContextual"/>
        </w:rPr>
        <w:t>doi:https</w:t>
      </w:r>
      <w:proofErr w:type="spellEnd"/>
      <w:r w:rsidRPr="00AC13D5">
        <w:rPr>
          <w:rFonts w:asciiTheme="minorHAnsi" w:eastAsia="Aptos" w:hAnsiTheme="minorHAnsi" w:cstheme="minorHAnsi"/>
          <w:color w:val="auto"/>
          <w:kern w:val="2"/>
          <w:sz w:val="24"/>
          <w:szCs w:val="24"/>
          <w:lang w:eastAsia="en-US"/>
          <w14:ligatures w14:val="standardContextual"/>
        </w:rPr>
        <w:t>://doi.org/10.1111/soc4.12648</w:t>
      </w:r>
      <w:proofErr w:type="gramEnd"/>
      <w:r w:rsidRPr="00AC13D5">
        <w:rPr>
          <w:rFonts w:asciiTheme="minorHAnsi" w:eastAsia="Aptos" w:hAnsiTheme="minorHAnsi" w:cstheme="minorHAnsi"/>
          <w:color w:val="auto"/>
          <w:kern w:val="2"/>
          <w:sz w:val="24"/>
          <w:szCs w:val="24"/>
          <w:lang w:eastAsia="en-US"/>
          <w14:ligatures w14:val="standardContextual"/>
        </w:rPr>
        <w:t>.</w:t>
      </w:r>
    </w:p>
    <w:p w14:paraId="0D05E059" w14:textId="77777777" w:rsidR="0099635E" w:rsidRPr="0099635E" w:rsidRDefault="0099635E" w:rsidP="0099635E">
      <w:pPr>
        <w:rPr>
          <w:rFonts w:asciiTheme="minorHAnsi" w:hAnsiTheme="minorHAnsi" w:cstheme="minorHAnsi"/>
          <w:sz w:val="24"/>
          <w:szCs w:val="24"/>
        </w:rPr>
      </w:pPr>
      <w:r w:rsidRPr="0099635E">
        <w:rPr>
          <w:rFonts w:asciiTheme="minorHAnsi" w:hAnsiTheme="minorHAnsi" w:cstheme="minorHAnsi"/>
          <w:sz w:val="24"/>
          <w:szCs w:val="24"/>
        </w:rPr>
        <w:t xml:space="preserve">Wang, Q., Hou, H. and Li, Z. (2022). Participative leadership: a Literature Review and Prospects for Future Research. </w:t>
      </w:r>
      <w:r w:rsidRPr="0099635E">
        <w:rPr>
          <w:rFonts w:asciiTheme="minorHAnsi" w:hAnsiTheme="minorHAnsi" w:cstheme="minorHAnsi"/>
          <w:i/>
          <w:iCs/>
          <w:sz w:val="24"/>
          <w:szCs w:val="24"/>
        </w:rPr>
        <w:t>Frontiers in Psychology</w:t>
      </w:r>
      <w:r w:rsidRPr="0099635E">
        <w:rPr>
          <w:rFonts w:asciiTheme="minorHAnsi" w:hAnsiTheme="minorHAnsi" w:cstheme="minorHAnsi"/>
          <w:sz w:val="24"/>
          <w:szCs w:val="24"/>
        </w:rPr>
        <w:t xml:space="preserve">, [online] 13(1). </w:t>
      </w:r>
      <w:proofErr w:type="spellStart"/>
      <w:proofErr w:type="gramStart"/>
      <w:r w:rsidRPr="0099635E">
        <w:rPr>
          <w:rFonts w:asciiTheme="minorHAnsi" w:hAnsiTheme="minorHAnsi" w:cstheme="minorHAnsi"/>
          <w:sz w:val="24"/>
          <w:szCs w:val="24"/>
        </w:rPr>
        <w:t>doi:https</w:t>
      </w:r>
      <w:proofErr w:type="spellEnd"/>
      <w:r w:rsidRPr="0099635E">
        <w:rPr>
          <w:rFonts w:asciiTheme="minorHAnsi" w:hAnsiTheme="minorHAnsi" w:cstheme="minorHAnsi"/>
          <w:sz w:val="24"/>
          <w:szCs w:val="24"/>
        </w:rPr>
        <w:t>://doi.org/10.3389/fpsyg.2022.924357</w:t>
      </w:r>
      <w:proofErr w:type="gramEnd"/>
      <w:r w:rsidRPr="0099635E">
        <w:rPr>
          <w:rFonts w:asciiTheme="minorHAnsi" w:hAnsiTheme="minorHAnsi" w:cstheme="minorHAnsi"/>
          <w:sz w:val="24"/>
          <w:szCs w:val="24"/>
        </w:rPr>
        <w:t>.</w:t>
      </w:r>
    </w:p>
    <w:p w14:paraId="357C6C22" w14:textId="77777777" w:rsidR="0099635E" w:rsidRDefault="0099635E" w:rsidP="00517B18">
      <w:pPr>
        <w:rPr>
          <w:rFonts w:asciiTheme="minorHAnsi" w:hAnsiTheme="minorHAnsi" w:cstheme="minorHAnsi"/>
          <w:sz w:val="24"/>
          <w:szCs w:val="24"/>
        </w:rPr>
      </w:pPr>
      <w:proofErr w:type="spellStart"/>
      <w:r w:rsidRPr="00AC13D5">
        <w:rPr>
          <w:rFonts w:asciiTheme="minorHAnsi" w:hAnsiTheme="minorHAnsi" w:cstheme="minorHAnsi"/>
          <w:sz w:val="24"/>
          <w:szCs w:val="24"/>
        </w:rPr>
        <w:t>Westmarland</w:t>
      </w:r>
      <w:proofErr w:type="spellEnd"/>
      <w:r w:rsidRPr="00AC13D5">
        <w:rPr>
          <w:rFonts w:asciiTheme="minorHAnsi" w:hAnsiTheme="minorHAnsi" w:cstheme="minorHAnsi"/>
          <w:sz w:val="24"/>
          <w:szCs w:val="24"/>
        </w:rPr>
        <w:t xml:space="preserve">, L. and Conway, S. (2020). Police Ethics and Integrity: Keeping the ‘Blue Code’ of Silence. </w:t>
      </w:r>
      <w:r w:rsidRPr="00AC13D5">
        <w:rPr>
          <w:rFonts w:asciiTheme="minorHAnsi" w:hAnsiTheme="minorHAnsi" w:cstheme="minorHAnsi"/>
          <w:i/>
          <w:iCs/>
          <w:sz w:val="24"/>
          <w:szCs w:val="24"/>
        </w:rPr>
        <w:t>International Journal of Police Science &amp; Management</w:t>
      </w:r>
      <w:r w:rsidRPr="00AC13D5">
        <w:rPr>
          <w:rFonts w:asciiTheme="minorHAnsi" w:hAnsiTheme="minorHAnsi" w:cstheme="minorHAnsi"/>
          <w:sz w:val="24"/>
          <w:szCs w:val="24"/>
        </w:rPr>
        <w:t>, [online] 22(4), pp.378–392. Available at: https://journals.sagepub.com/doi/full/10.1177/1461355720947762 [Accessed 24 Sep. 2024].</w:t>
      </w:r>
    </w:p>
    <w:p w14:paraId="05994604" w14:textId="77777777" w:rsidR="0099635E" w:rsidRDefault="0099635E" w:rsidP="00517B18">
      <w:pPr>
        <w:rPr>
          <w:rFonts w:asciiTheme="minorHAnsi" w:hAnsiTheme="minorHAnsi" w:cstheme="minorHAnsi"/>
          <w:sz w:val="24"/>
          <w:szCs w:val="24"/>
        </w:rPr>
      </w:pPr>
    </w:p>
    <w:p w14:paraId="305319A2" w14:textId="77777777" w:rsidR="0099635E" w:rsidRDefault="0099635E" w:rsidP="00517B18">
      <w:pPr>
        <w:rPr>
          <w:rFonts w:asciiTheme="minorHAnsi" w:hAnsiTheme="minorHAnsi" w:cstheme="minorHAnsi"/>
          <w:sz w:val="24"/>
          <w:szCs w:val="24"/>
        </w:rPr>
      </w:pPr>
    </w:p>
    <w:p w14:paraId="6754CFCE" w14:textId="77777777" w:rsidR="0099635E" w:rsidRDefault="0099635E" w:rsidP="00517B18">
      <w:pPr>
        <w:rPr>
          <w:rFonts w:asciiTheme="minorHAnsi" w:hAnsiTheme="minorHAnsi" w:cstheme="minorHAnsi"/>
          <w:sz w:val="24"/>
          <w:szCs w:val="24"/>
        </w:rPr>
      </w:pPr>
    </w:p>
    <w:p w14:paraId="29DB79D4" w14:textId="77777777" w:rsidR="0099635E" w:rsidRDefault="0099635E" w:rsidP="00517B18">
      <w:pPr>
        <w:rPr>
          <w:rFonts w:asciiTheme="minorHAnsi" w:hAnsiTheme="minorHAnsi" w:cstheme="minorHAnsi"/>
          <w:sz w:val="24"/>
          <w:szCs w:val="24"/>
        </w:rPr>
      </w:pPr>
    </w:p>
    <w:p w14:paraId="42B275F1" w14:textId="77777777" w:rsidR="0099635E" w:rsidRDefault="0099635E" w:rsidP="00517B18">
      <w:pPr>
        <w:rPr>
          <w:rFonts w:asciiTheme="minorHAnsi" w:hAnsiTheme="minorHAnsi" w:cstheme="minorHAnsi"/>
          <w:sz w:val="24"/>
          <w:szCs w:val="24"/>
        </w:rPr>
      </w:pPr>
    </w:p>
    <w:p w14:paraId="2BC35258" w14:textId="77777777" w:rsidR="0099635E" w:rsidRDefault="0099635E" w:rsidP="00517B18">
      <w:pPr>
        <w:rPr>
          <w:rFonts w:asciiTheme="minorHAnsi" w:hAnsiTheme="minorHAnsi" w:cstheme="minorHAnsi"/>
          <w:sz w:val="24"/>
          <w:szCs w:val="24"/>
        </w:rPr>
      </w:pPr>
    </w:p>
    <w:p w14:paraId="0CE85461" w14:textId="77777777" w:rsidR="0099635E" w:rsidRDefault="0099635E" w:rsidP="00517B18">
      <w:pPr>
        <w:rPr>
          <w:rFonts w:asciiTheme="minorHAnsi" w:hAnsiTheme="minorHAnsi" w:cstheme="minorHAnsi"/>
          <w:sz w:val="24"/>
          <w:szCs w:val="24"/>
        </w:rPr>
      </w:pPr>
    </w:p>
    <w:p w14:paraId="518B935C" w14:textId="77777777" w:rsidR="0099635E" w:rsidRDefault="0099635E" w:rsidP="00517B18">
      <w:pPr>
        <w:rPr>
          <w:rFonts w:asciiTheme="minorHAnsi" w:hAnsiTheme="minorHAnsi" w:cstheme="minorHAnsi"/>
          <w:sz w:val="24"/>
          <w:szCs w:val="24"/>
        </w:rPr>
      </w:pPr>
    </w:p>
    <w:p w14:paraId="2A8E95EC" w14:textId="77777777" w:rsidR="0099635E" w:rsidRDefault="0099635E" w:rsidP="00517B18">
      <w:pPr>
        <w:rPr>
          <w:rFonts w:asciiTheme="minorHAnsi" w:hAnsiTheme="minorHAnsi" w:cstheme="minorHAnsi"/>
          <w:sz w:val="24"/>
          <w:szCs w:val="24"/>
        </w:rPr>
      </w:pPr>
    </w:p>
    <w:p w14:paraId="7AF8E5C3" w14:textId="77777777" w:rsidR="0099635E" w:rsidRDefault="0099635E" w:rsidP="00517B18">
      <w:pPr>
        <w:rPr>
          <w:rFonts w:asciiTheme="minorHAnsi" w:hAnsiTheme="minorHAnsi" w:cstheme="minorHAnsi"/>
          <w:sz w:val="24"/>
          <w:szCs w:val="24"/>
        </w:rPr>
      </w:pPr>
    </w:p>
    <w:p w14:paraId="685AAE1A" w14:textId="77777777" w:rsidR="0099635E" w:rsidRDefault="0099635E" w:rsidP="00517B18">
      <w:pPr>
        <w:rPr>
          <w:rFonts w:asciiTheme="minorHAnsi" w:hAnsiTheme="minorHAnsi" w:cstheme="minorHAnsi"/>
          <w:sz w:val="24"/>
          <w:szCs w:val="24"/>
        </w:rPr>
      </w:pPr>
    </w:p>
    <w:p w14:paraId="231281F5" w14:textId="77777777" w:rsidR="0099635E" w:rsidRDefault="0099635E" w:rsidP="00517B18">
      <w:pPr>
        <w:rPr>
          <w:rFonts w:asciiTheme="minorHAnsi" w:hAnsiTheme="minorHAnsi" w:cstheme="minorHAnsi"/>
          <w:sz w:val="24"/>
          <w:szCs w:val="24"/>
        </w:rPr>
      </w:pPr>
    </w:p>
    <w:p w14:paraId="45C67202" w14:textId="77777777" w:rsidR="0099635E" w:rsidRDefault="0099635E" w:rsidP="00517B18">
      <w:pPr>
        <w:rPr>
          <w:rFonts w:asciiTheme="minorHAnsi" w:hAnsiTheme="minorHAnsi" w:cstheme="minorHAnsi"/>
          <w:sz w:val="24"/>
          <w:szCs w:val="24"/>
        </w:rPr>
      </w:pPr>
    </w:p>
    <w:p w14:paraId="3B2520BF" w14:textId="77777777" w:rsidR="0099635E" w:rsidRDefault="0099635E" w:rsidP="00517B18">
      <w:pPr>
        <w:rPr>
          <w:rFonts w:asciiTheme="minorHAnsi" w:hAnsiTheme="minorHAnsi" w:cstheme="minorHAnsi"/>
          <w:sz w:val="24"/>
          <w:szCs w:val="24"/>
        </w:rPr>
      </w:pPr>
    </w:p>
    <w:p w14:paraId="57D1AF89" w14:textId="77777777" w:rsidR="0099635E" w:rsidRDefault="0099635E" w:rsidP="00517B18">
      <w:pPr>
        <w:rPr>
          <w:rFonts w:asciiTheme="minorHAnsi" w:hAnsiTheme="minorHAnsi" w:cstheme="minorHAnsi"/>
          <w:sz w:val="24"/>
          <w:szCs w:val="24"/>
        </w:rPr>
      </w:pPr>
    </w:p>
    <w:p w14:paraId="41D5646D" w14:textId="77777777" w:rsidR="0099635E" w:rsidRDefault="0099635E" w:rsidP="00517B18">
      <w:pPr>
        <w:rPr>
          <w:rFonts w:asciiTheme="minorHAnsi" w:hAnsiTheme="minorHAnsi" w:cstheme="minorHAnsi"/>
          <w:sz w:val="24"/>
          <w:szCs w:val="24"/>
        </w:rPr>
      </w:pPr>
    </w:p>
    <w:p w14:paraId="1E53D0EB" w14:textId="77777777" w:rsidR="0099635E" w:rsidRDefault="0099635E" w:rsidP="00517B18">
      <w:pPr>
        <w:rPr>
          <w:rFonts w:asciiTheme="minorHAnsi" w:hAnsiTheme="minorHAnsi" w:cstheme="minorHAnsi"/>
          <w:sz w:val="24"/>
          <w:szCs w:val="24"/>
        </w:rPr>
      </w:pPr>
    </w:p>
    <w:p w14:paraId="79D4DB4F" w14:textId="77777777" w:rsidR="0099635E" w:rsidRDefault="0099635E" w:rsidP="00517B18">
      <w:pPr>
        <w:rPr>
          <w:rFonts w:asciiTheme="minorHAnsi" w:hAnsiTheme="minorHAnsi" w:cstheme="minorHAnsi"/>
          <w:sz w:val="24"/>
          <w:szCs w:val="24"/>
        </w:rPr>
      </w:pPr>
    </w:p>
    <w:p w14:paraId="55F61E98" w14:textId="77777777" w:rsidR="0099635E" w:rsidRDefault="0099635E" w:rsidP="00517B18">
      <w:pPr>
        <w:rPr>
          <w:rFonts w:asciiTheme="minorHAnsi" w:hAnsiTheme="minorHAnsi" w:cstheme="minorHAnsi"/>
          <w:sz w:val="24"/>
          <w:szCs w:val="24"/>
        </w:rPr>
      </w:pPr>
    </w:p>
    <w:p w14:paraId="57E4FE1E" w14:textId="77777777" w:rsidR="0099635E" w:rsidRDefault="0099635E" w:rsidP="00517B18">
      <w:pPr>
        <w:rPr>
          <w:rFonts w:asciiTheme="minorHAnsi" w:hAnsiTheme="minorHAnsi" w:cstheme="minorHAnsi"/>
          <w:sz w:val="24"/>
          <w:szCs w:val="24"/>
        </w:rPr>
      </w:pPr>
    </w:p>
    <w:p w14:paraId="183945F0" w14:textId="77777777" w:rsidR="0099635E" w:rsidRDefault="0099635E" w:rsidP="00517B18">
      <w:pPr>
        <w:rPr>
          <w:rFonts w:asciiTheme="minorHAnsi" w:hAnsiTheme="minorHAnsi" w:cstheme="minorHAnsi"/>
          <w:sz w:val="24"/>
          <w:szCs w:val="24"/>
        </w:rPr>
      </w:pPr>
    </w:p>
    <w:p w14:paraId="7EE6A42F" w14:textId="77777777" w:rsidR="0099635E" w:rsidRDefault="0099635E" w:rsidP="00517B18">
      <w:pPr>
        <w:rPr>
          <w:rFonts w:asciiTheme="minorHAnsi" w:hAnsiTheme="minorHAnsi" w:cstheme="minorHAnsi"/>
          <w:sz w:val="24"/>
          <w:szCs w:val="24"/>
        </w:rPr>
      </w:pPr>
    </w:p>
    <w:p w14:paraId="2E5D98DF" w14:textId="77777777" w:rsidR="0099635E" w:rsidRDefault="0099635E" w:rsidP="00517B18">
      <w:pPr>
        <w:rPr>
          <w:rFonts w:asciiTheme="minorHAnsi" w:hAnsiTheme="minorHAnsi" w:cstheme="minorHAnsi"/>
          <w:sz w:val="24"/>
          <w:szCs w:val="24"/>
        </w:rPr>
      </w:pPr>
    </w:p>
    <w:p w14:paraId="41F0C70F" w14:textId="77777777" w:rsidR="0099635E" w:rsidRDefault="0099635E" w:rsidP="00517B18">
      <w:pPr>
        <w:rPr>
          <w:rFonts w:asciiTheme="minorHAnsi" w:hAnsiTheme="minorHAnsi" w:cstheme="minorHAnsi"/>
          <w:sz w:val="24"/>
          <w:szCs w:val="24"/>
        </w:rPr>
      </w:pPr>
    </w:p>
    <w:p w14:paraId="2C4A5EB3" w14:textId="77777777" w:rsidR="0099635E" w:rsidRDefault="0099635E" w:rsidP="00517B18">
      <w:pPr>
        <w:rPr>
          <w:rFonts w:asciiTheme="minorHAnsi" w:hAnsiTheme="minorHAnsi" w:cstheme="minorHAnsi"/>
          <w:sz w:val="24"/>
          <w:szCs w:val="24"/>
        </w:rPr>
      </w:pPr>
    </w:p>
    <w:p w14:paraId="28294B84" w14:textId="77777777" w:rsidR="0099635E" w:rsidRDefault="0099635E" w:rsidP="00517B18">
      <w:pPr>
        <w:rPr>
          <w:rFonts w:asciiTheme="minorHAnsi" w:hAnsiTheme="minorHAnsi" w:cstheme="minorHAnsi"/>
          <w:sz w:val="24"/>
          <w:szCs w:val="24"/>
        </w:rPr>
      </w:pPr>
    </w:p>
    <w:p w14:paraId="46F32636" w14:textId="77777777" w:rsidR="0099635E" w:rsidRDefault="0099635E" w:rsidP="00517B18">
      <w:pPr>
        <w:rPr>
          <w:rFonts w:asciiTheme="minorHAnsi" w:hAnsiTheme="minorHAnsi" w:cstheme="minorHAnsi"/>
          <w:sz w:val="24"/>
          <w:szCs w:val="24"/>
        </w:rPr>
      </w:pPr>
    </w:p>
    <w:p w14:paraId="2125E9C7" w14:textId="77777777" w:rsidR="0099635E" w:rsidRPr="00AC13D5" w:rsidRDefault="0099635E" w:rsidP="00517B18">
      <w:pPr>
        <w:rPr>
          <w:rFonts w:asciiTheme="minorHAnsi" w:hAnsiTheme="minorHAnsi" w:cstheme="minorHAnsi"/>
          <w:sz w:val="24"/>
          <w:szCs w:val="24"/>
        </w:rPr>
      </w:pPr>
    </w:p>
    <w:p w14:paraId="544FDB7B" w14:textId="77777777" w:rsidR="0099635E" w:rsidRPr="00E42B64" w:rsidRDefault="0099635E" w:rsidP="0099635E"/>
    <w:p w14:paraId="7322061F" w14:textId="77777777" w:rsidR="0099635E" w:rsidRDefault="0099635E" w:rsidP="00517B18">
      <w:pPr>
        <w:keepNext/>
        <w:ind w:right="237"/>
        <w:rPr>
          <w:rFonts w:asciiTheme="minorHAnsi" w:hAnsiTheme="minorHAnsi" w:cstheme="minorHAnsi"/>
          <w:b/>
          <w:sz w:val="24"/>
          <w:szCs w:val="24"/>
        </w:rPr>
      </w:pPr>
    </w:p>
    <w:p w14:paraId="6FDA82CC" w14:textId="77777777" w:rsidR="0099635E" w:rsidRPr="00AC13D5" w:rsidRDefault="0099635E" w:rsidP="00517B18">
      <w:pPr>
        <w:keepNext/>
        <w:ind w:right="237"/>
        <w:rPr>
          <w:rFonts w:asciiTheme="minorHAnsi" w:hAnsiTheme="minorHAnsi" w:cstheme="minorHAnsi"/>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0057"/>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47BF"/>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7B18"/>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8B3"/>
    <w:rsid w:val="007D0A07"/>
    <w:rsid w:val="007D0C96"/>
    <w:rsid w:val="007D133D"/>
    <w:rsid w:val="007D3EB4"/>
    <w:rsid w:val="007D3F16"/>
    <w:rsid w:val="007D78CC"/>
    <w:rsid w:val="007E2846"/>
    <w:rsid w:val="007E4FC2"/>
    <w:rsid w:val="007F3F7E"/>
    <w:rsid w:val="007F52E2"/>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635E"/>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3D5"/>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1487"/>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E66"/>
    <w:rsid w:val="00DB2767"/>
    <w:rsid w:val="00DC4729"/>
    <w:rsid w:val="00DE556F"/>
    <w:rsid w:val="00DF4CF5"/>
    <w:rsid w:val="00E03B6D"/>
    <w:rsid w:val="00E1218C"/>
    <w:rsid w:val="00E17160"/>
    <w:rsid w:val="00E27E98"/>
    <w:rsid w:val="00E35BEC"/>
    <w:rsid w:val="00E50821"/>
    <w:rsid w:val="00E50EF8"/>
    <w:rsid w:val="00E51F91"/>
    <w:rsid w:val="00E53FBD"/>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08FF"/>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C13D5"/>
    <w:pPr>
      <w:overflowPunct/>
      <w:autoSpaceDE/>
      <w:autoSpaceDN/>
      <w:adjustRightInd/>
      <w:spacing w:before="100" w:beforeAutospacing="1" w:after="100" w:afterAutospacing="1"/>
      <w:textAlignment w:val="auto"/>
    </w:pPr>
    <w:rPr>
      <w:rFonts w:ascii="Aptos" w:eastAsia="Aptos" w:hAnsi="Aptos" w:cs="Aptos"/>
      <w:color w:val="auto"/>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29</Pages>
  <Words>8468</Words>
  <Characters>54514</Characters>
  <Application>Microsoft Office Word</Application>
  <DocSecurity>0</DocSecurity>
  <Lines>454</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Demery,Alicia swp8328</cp:lastModifiedBy>
  <cp:revision>9</cp:revision>
  <cp:lastPrinted>2014-08-26T08:55:00Z</cp:lastPrinted>
  <dcterms:created xsi:type="dcterms:W3CDTF">2023-10-03T13:52:00Z</dcterms:created>
  <dcterms:modified xsi:type="dcterms:W3CDTF">2025-01-07T16:41:00Z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2024-11-07T16:42:37Z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7304a455-d68c-4223-8e3f-4b39ff412ea1</vt:lpwstr>
  </property>
  <property fmtid="{D5CDD505-2E9C-101B-9397-08002B2CF9AE}" pid="9" name="MSIP_Label_66cf8fe5-b7b7-4df7-b38d-1c61ac2f6639_ContentBits">
    <vt:lpwstr>0</vt:lpwstr>
  </property>
</Properties>
</file>