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32"/>
        <w:gridCol w:w="3709"/>
      </w:tblGrid>
      <w:tr w:rsidR="00324F0A" w:rsidRPr="006D5A61" w:rsidTr="00BF7B76">
        <w:trPr>
          <w:trHeight w:val="2286"/>
        </w:trPr>
        <w:tc>
          <w:tcPr>
            <w:tcW w:w="3232" w:type="dxa"/>
          </w:tcPr>
          <w:p w:rsidR="00EA17EE" w:rsidRPr="003E6207" w:rsidRDefault="00EA17EE" w:rsidP="00EA17EE">
            <w:pPr>
              <w:jc w:val="both"/>
              <w:rPr>
                <w:rFonts w:asciiTheme="minorHAnsi" w:hAnsiTheme="minorHAnsi"/>
              </w:rPr>
            </w:pPr>
            <w:r w:rsidRPr="003E6207">
              <w:rPr>
                <w:rFonts w:asciiTheme="minorHAnsi" w:hAnsiTheme="minorHAnsi"/>
              </w:rPr>
              <w:t>Advantages/Disadvantages</w:t>
            </w:r>
          </w:p>
          <w:p w:rsidR="00324F0A" w:rsidRPr="003E6207" w:rsidRDefault="00324F0A" w:rsidP="0089622C">
            <w:pPr>
              <w:pStyle w:val="NoSpacing"/>
              <w:spacing w:line="360" w:lineRule="auto"/>
              <w:rPr>
                <w:sz w:val="24"/>
                <w:szCs w:val="24"/>
              </w:rPr>
            </w:pPr>
          </w:p>
        </w:tc>
        <w:tc>
          <w:tcPr>
            <w:tcW w:w="3709" w:type="dxa"/>
          </w:tcPr>
          <w:p w:rsidR="00324F0A" w:rsidRPr="00D766A3" w:rsidRDefault="00EA17EE" w:rsidP="00D766A3">
            <w:pPr>
              <w:pStyle w:val="NoSpacing"/>
              <w:jc w:val="both"/>
            </w:pPr>
            <w:r w:rsidRPr="009C6AF7">
              <w:rPr>
                <w:sz w:val="24"/>
                <w:szCs w:val="24"/>
              </w:rPr>
              <w:t xml:space="preserve">The recommendations and analysis provided by this report </w:t>
            </w:r>
            <w:r w:rsidRPr="00BD0424">
              <w:rPr>
                <w:b/>
                <w:color w:val="FF0000"/>
                <w:sz w:val="24"/>
                <w:szCs w:val="24"/>
              </w:rPr>
              <w:t>will allow</w:t>
            </w:r>
            <w:r w:rsidRPr="00BD0424">
              <w:rPr>
                <w:color w:val="FF0000"/>
                <w:sz w:val="24"/>
                <w:szCs w:val="24"/>
              </w:rPr>
              <w:t xml:space="preserve"> </w:t>
            </w:r>
            <w:r w:rsidRPr="009C6AF7">
              <w:rPr>
                <w:sz w:val="24"/>
                <w:szCs w:val="24"/>
              </w:rPr>
              <w:t xml:space="preserve">the Board of Directors to make decisions on the future of Microchips plc </w:t>
            </w:r>
            <w:r w:rsidRPr="00BD0424">
              <w:rPr>
                <w:b/>
                <w:color w:val="FF0000"/>
                <w:sz w:val="24"/>
                <w:szCs w:val="24"/>
              </w:rPr>
              <w:t>to improve</w:t>
            </w:r>
            <w:r w:rsidRPr="00BD0424">
              <w:rPr>
                <w:color w:val="FF0000"/>
                <w:sz w:val="24"/>
                <w:szCs w:val="24"/>
              </w:rPr>
              <w:t xml:space="preserve"> </w:t>
            </w:r>
            <w:r w:rsidRPr="009C6AF7">
              <w:rPr>
                <w:sz w:val="24"/>
                <w:szCs w:val="24"/>
              </w:rPr>
              <w:t>financial performance and benefit shareholders</w:t>
            </w:r>
            <w:r>
              <w:rPr>
                <w:sz w:val="24"/>
                <w:szCs w:val="24"/>
              </w:rPr>
              <w:t>.</w:t>
            </w:r>
          </w:p>
        </w:tc>
      </w:tr>
      <w:tr w:rsidR="00324F0A" w:rsidRPr="006D5A61" w:rsidTr="00D5481D">
        <w:trPr>
          <w:trHeight w:val="1863"/>
        </w:trPr>
        <w:tc>
          <w:tcPr>
            <w:tcW w:w="3232" w:type="dxa"/>
          </w:tcPr>
          <w:p w:rsidR="00324F0A" w:rsidRPr="003E6207" w:rsidRDefault="00324F0A" w:rsidP="0089622C">
            <w:pPr>
              <w:pStyle w:val="NoSpacing"/>
              <w:spacing w:line="360" w:lineRule="auto"/>
              <w:rPr>
                <w:sz w:val="24"/>
                <w:szCs w:val="24"/>
              </w:rPr>
            </w:pPr>
            <w:r w:rsidRPr="003E6207">
              <w:rPr>
                <w:sz w:val="24"/>
                <w:szCs w:val="24"/>
              </w:rPr>
              <w:t>Aim/Purpose</w:t>
            </w:r>
          </w:p>
        </w:tc>
        <w:tc>
          <w:tcPr>
            <w:tcW w:w="3709" w:type="dxa"/>
          </w:tcPr>
          <w:p w:rsidR="00324F0A" w:rsidRPr="00BD0424" w:rsidRDefault="00324F0A" w:rsidP="0089622C">
            <w:pPr>
              <w:jc w:val="both"/>
              <w:rPr>
                <w:rFonts w:asciiTheme="minorHAnsi" w:hAnsiTheme="minorHAnsi"/>
              </w:rPr>
            </w:pPr>
            <w:r w:rsidRPr="00BD0424">
              <w:rPr>
                <w:rFonts w:asciiTheme="minorHAnsi" w:hAnsiTheme="minorHAnsi" w:cs="Arial"/>
                <w:b/>
              </w:rPr>
              <w:t>2.2 Liquidity -</w:t>
            </w:r>
            <w:r w:rsidRPr="00BD0424">
              <w:rPr>
                <w:rFonts w:asciiTheme="minorHAnsi" w:hAnsiTheme="minorHAnsi" w:cs="Arial"/>
              </w:rPr>
              <w:t xml:space="preserve">To analyse the liquidity of Microchips plc, </w:t>
            </w:r>
            <w:r w:rsidRPr="00BD0424">
              <w:rPr>
                <w:rFonts w:asciiTheme="minorHAnsi" w:hAnsiTheme="minorHAnsi" w:cs="Arial"/>
                <w:b/>
                <w:color w:val="FF0000"/>
              </w:rPr>
              <w:t>the report looks at</w:t>
            </w:r>
            <w:r w:rsidRPr="00BD0424">
              <w:rPr>
                <w:rFonts w:asciiTheme="minorHAnsi" w:hAnsiTheme="minorHAnsi" w:cs="Arial"/>
                <w:color w:val="FF0000"/>
              </w:rPr>
              <w:t xml:space="preserve"> </w:t>
            </w:r>
            <w:r w:rsidRPr="00BD0424">
              <w:rPr>
                <w:rFonts w:asciiTheme="minorHAnsi" w:hAnsiTheme="minorHAnsi" w:cs="Arial"/>
              </w:rPr>
              <w:t>the following financial ratios – the Current Ratio and the Quick Ratio.</w:t>
            </w:r>
          </w:p>
        </w:tc>
      </w:tr>
      <w:tr w:rsidR="00FB360F" w:rsidRPr="00F06E3D" w:rsidTr="0089622C">
        <w:tc>
          <w:tcPr>
            <w:tcW w:w="3232" w:type="dxa"/>
          </w:tcPr>
          <w:p w:rsidR="00FB360F" w:rsidRPr="003E6207" w:rsidRDefault="00FB360F" w:rsidP="0089622C">
            <w:pPr>
              <w:pStyle w:val="NoSpacing"/>
              <w:spacing w:line="360" w:lineRule="auto"/>
              <w:rPr>
                <w:sz w:val="24"/>
                <w:szCs w:val="24"/>
              </w:rPr>
            </w:pPr>
            <w:r w:rsidRPr="003E6207">
              <w:rPr>
                <w:sz w:val="24"/>
                <w:szCs w:val="24"/>
              </w:rPr>
              <w:t>Certainty/Uncertainty</w:t>
            </w:r>
          </w:p>
        </w:tc>
        <w:tc>
          <w:tcPr>
            <w:tcW w:w="3709" w:type="dxa"/>
          </w:tcPr>
          <w:p w:rsidR="00FB360F" w:rsidRPr="00F06E3D" w:rsidRDefault="00FB360F" w:rsidP="0089622C">
            <w:pPr>
              <w:pStyle w:val="NoSpacing"/>
              <w:jc w:val="both"/>
              <w:rPr>
                <w:sz w:val="20"/>
                <w:szCs w:val="20"/>
              </w:rPr>
            </w:pPr>
            <w:r w:rsidRPr="00F06E3D">
              <w:rPr>
                <w:rFonts w:cs="Arial"/>
                <w:sz w:val="20"/>
                <w:szCs w:val="20"/>
              </w:rPr>
              <w:t xml:space="preserve">The Price/Earnings ratio links the market value of a share to the earnings per share. It is a measure of investor confidence where a high P/E ratio indicates that </w:t>
            </w:r>
            <w:r w:rsidRPr="00EA42BD">
              <w:rPr>
                <w:rFonts w:cs="Arial"/>
                <w:b/>
                <w:color w:val="FF0000"/>
                <w:sz w:val="20"/>
                <w:szCs w:val="20"/>
              </w:rPr>
              <w:t>there is confidence in the future</w:t>
            </w:r>
            <w:r w:rsidRPr="00EA42BD">
              <w:rPr>
                <w:rFonts w:cs="Arial"/>
                <w:color w:val="FF0000"/>
                <w:sz w:val="20"/>
                <w:szCs w:val="20"/>
              </w:rPr>
              <w:t xml:space="preserve"> </w:t>
            </w:r>
            <w:r w:rsidRPr="00F06E3D">
              <w:rPr>
                <w:rFonts w:cs="Arial"/>
                <w:sz w:val="20"/>
                <w:szCs w:val="20"/>
              </w:rPr>
              <w:t>earning potential of the business and that investors are prepared to pay more.</w:t>
            </w:r>
          </w:p>
        </w:tc>
      </w:tr>
      <w:tr w:rsidR="00FB360F" w:rsidRPr="00593EAB" w:rsidTr="0089622C">
        <w:trPr>
          <w:trHeight w:val="613"/>
        </w:trPr>
        <w:tc>
          <w:tcPr>
            <w:tcW w:w="3232" w:type="dxa"/>
            <w:vMerge w:val="restart"/>
          </w:tcPr>
          <w:p w:rsidR="00FB360F" w:rsidRPr="003E6207" w:rsidRDefault="00FB360F" w:rsidP="0089622C">
            <w:pPr>
              <w:pStyle w:val="NoSpacing"/>
              <w:spacing w:line="360" w:lineRule="auto"/>
              <w:rPr>
                <w:sz w:val="24"/>
                <w:szCs w:val="24"/>
              </w:rPr>
            </w:pPr>
            <w:r w:rsidRPr="003E6207">
              <w:rPr>
                <w:sz w:val="24"/>
                <w:szCs w:val="24"/>
              </w:rPr>
              <w:t>Decreasing/Increasing</w:t>
            </w:r>
          </w:p>
        </w:tc>
        <w:tc>
          <w:tcPr>
            <w:tcW w:w="3709" w:type="dxa"/>
            <w:vMerge w:val="restart"/>
          </w:tcPr>
          <w:p w:rsidR="00FB360F" w:rsidRPr="00593EAB" w:rsidRDefault="00FB360F" w:rsidP="0089622C">
            <w:pPr>
              <w:pStyle w:val="NoSpacing"/>
              <w:jc w:val="both"/>
              <w:rPr>
                <w:sz w:val="20"/>
                <w:szCs w:val="20"/>
              </w:rPr>
            </w:pPr>
            <w:r w:rsidRPr="00263C80">
              <w:rPr>
                <w:b/>
                <w:color w:val="FF0000"/>
                <w:sz w:val="20"/>
                <w:szCs w:val="20"/>
              </w:rPr>
              <w:t>Decreasing</w:t>
            </w:r>
            <w:r w:rsidRPr="00593EAB">
              <w:rPr>
                <w:sz w:val="20"/>
                <w:szCs w:val="20"/>
              </w:rPr>
              <w:t xml:space="preserve"> - The 2009 figure of 2.7% for Microchips plc </w:t>
            </w:r>
            <w:r w:rsidRPr="00263C80">
              <w:rPr>
                <w:b/>
                <w:color w:val="FF0000"/>
                <w:sz w:val="20"/>
                <w:szCs w:val="20"/>
              </w:rPr>
              <w:t>is significantly lower than</w:t>
            </w:r>
            <w:r w:rsidRPr="00593EAB">
              <w:rPr>
                <w:sz w:val="20"/>
                <w:szCs w:val="20"/>
              </w:rPr>
              <w:t xml:space="preserve"> the similar sized competitor (5.7%) and the business sector norm (6.4%). This can be partly explained by </w:t>
            </w:r>
            <w:r w:rsidRPr="00263C80">
              <w:rPr>
                <w:b/>
                <w:color w:val="FF0000"/>
                <w:sz w:val="20"/>
                <w:szCs w:val="20"/>
              </w:rPr>
              <w:t>the declining growth in sales</w:t>
            </w:r>
            <w:r w:rsidRPr="00263C80">
              <w:rPr>
                <w:color w:val="FF0000"/>
                <w:sz w:val="20"/>
                <w:szCs w:val="20"/>
              </w:rPr>
              <w:t xml:space="preserve"> </w:t>
            </w:r>
            <w:r w:rsidRPr="00593EAB">
              <w:rPr>
                <w:sz w:val="20"/>
                <w:szCs w:val="20"/>
              </w:rPr>
              <w:t>and increasing COS base that was highlighted in the GP% and NP% sections.</w:t>
            </w:r>
          </w:p>
        </w:tc>
      </w:tr>
      <w:tr w:rsidR="00FB360F" w:rsidRPr="00263C80" w:rsidTr="0089622C">
        <w:trPr>
          <w:trHeight w:val="612"/>
        </w:trPr>
        <w:tc>
          <w:tcPr>
            <w:tcW w:w="3232" w:type="dxa"/>
            <w:vMerge/>
          </w:tcPr>
          <w:p w:rsidR="00FB360F" w:rsidRPr="003E6207" w:rsidRDefault="00FB360F" w:rsidP="0089622C">
            <w:pPr>
              <w:pStyle w:val="NoSpacing"/>
              <w:spacing w:line="360" w:lineRule="auto"/>
              <w:rPr>
                <w:sz w:val="24"/>
                <w:szCs w:val="24"/>
              </w:rPr>
            </w:pPr>
          </w:p>
        </w:tc>
        <w:tc>
          <w:tcPr>
            <w:tcW w:w="3709" w:type="dxa"/>
            <w:vMerge/>
          </w:tcPr>
          <w:p w:rsidR="00FB360F" w:rsidRPr="00263C80" w:rsidRDefault="00FB360F" w:rsidP="0089622C">
            <w:pPr>
              <w:pStyle w:val="NoSpacing"/>
              <w:jc w:val="both"/>
              <w:rPr>
                <w:b/>
                <w:color w:val="FF0000"/>
                <w:sz w:val="20"/>
                <w:szCs w:val="20"/>
              </w:rPr>
            </w:pPr>
          </w:p>
        </w:tc>
      </w:tr>
      <w:tr w:rsidR="00324F0A" w:rsidRPr="006D5A61" w:rsidTr="002A29BD">
        <w:trPr>
          <w:trHeight w:val="1170"/>
        </w:trPr>
        <w:tc>
          <w:tcPr>
            <w:tcW w:w="3232" w:type="dxa"/>
          </w:tcPr>
          <w:p w:rsidR="00324F0A" w:rsidRPr="003E6207" w:rsidRDefault="00324F0A" w:rsidP="0089622C">
            <w:pPr>
              <w:pStyle w:val="NoSpacing"/>
              <w:spacing w:line="360" w:lineRule="auto"/>
              <w:rPr>
                <w:sz w:val="24"/>
                <w:szCs w:val="24"/>
              </w:rPr>
            </w:pPr>
            <w:r w:rsidRPr="003E6207">
              <w:rPr>
                <w:sz w:val="24"/>
                <w:szCs w:val="24"/>
              </w:rPr>
              <w:t>Giving exceptions</w:t>
            </w:r>
          </w:p>
        </w:tc>
        <w:tc>
          <w:tcPr>
            <w:tcW w:w="3709" w:type="dxa"/>
          </w:tcPr>
          <w:p w:rsidR="00324F0A" w:rsidRPr="00BD0424" w:rsidRDefault="00324F0A" w:rsidP="0089622C">
            <w:pPr>
              <w:ind w:left="360"/>
              <w:rPr>
                <w:rFonts w:asciiTheme="minorHAnsi" w:hAnsiTheme="minorHAnsi" w:cs="Arial"/>
              </w:rPr>
            </w:pPr>
            <w:r w:rsidRPr="00BD0424">
              <w:rPr>
                <w:rFonts w:asciiTheme="minorHAnsi" w:hAnsiTheme="minorHAnsi" w:cs="Arial"/>
              </w:rPr>
              <w:t xml:space="preserve">High gearing </w:t>
            </w:r>
            <w:r w:rsidRPr="00BD0424">
              <w:rPr>
                <w:rFonts w:asciiTheme="minorHAnsi" w:hAnsiTheme="minorHAnsi" w:cs="Arial"/>
                <w:b/>
                <w:color w:val="FF0000"/>
              </w:rPr>
              <w:t>only works when</w:t>
            </w:r>
            <w:r w:rsidRPr="00BD0424">
              <w:rPr>
                <w:rFonts w:asciiTheme="minorHAnsi" w:hAnsiTheme="minorHAnsi" w:cs="Arial"/>
                <w:color w:val="FF0000"/>
              </w:rPr>
              <w:t xml:space="preserve"> </w:t>
            </w:r>
            <w:r w:rsidRPr="00BD0424">
              <w:rPr>
                <w:rFonts w:asciiTheme="minorHAnsi" w:hAnsiTheme="minorHAnsi" w:cs="Arial"/>
              </w:rPr>
              <w:t>profit levels are high.</w:t>
            </w:r>
          </w:p>
          <w:p w:rsidR="00324F0A" w:rsidRPr="006D5A61" w:rsidRDefault="00324F0A" w:rsidP="0089622C">
            <w:pPr>
              <w:pStyle w:val="NoSpacing"/>
              <w:spacing w:line="360" w:lineRule="auto"/>
              <w:jc w:val="both"/>
              <w:rPr>
                <w:sz w:val="20"/>
                <w:szCs w:val="20"/>
              </w:rPr>
            </w:pPr>
          </w:p>
        </w:tc>
      </w:tr>
      <w:tr w:rsidR="00FB360F" w:rsidRPr="006D5A61" w:rsidTr="0089622C">
        <w:tc>
          <w:tcPr>
            <w:tcW w:w="3232" w:type="dxa"/>
          </w:tcPr>
          <w:p w:rsidR="00FB360F" w:rsidRPr="003E6207" w:rsidRDefault="00FB360F" w:rsidP="0089622C">
            <w:pPr>
              <w:pStyle w:val="NoSpacing"/>
              <w:spacing w:line="360" w:lineRule="auto"/>
              <w:rPr>
                <w:sz w:val="24"/>
                <w:szCs w:val="24"/>
              </w:rPr>
            </w:pPr>
            <w:r w:rsidRPr="003E6207">
              <w:rPr>
                <w:sz w:val="24"/>
                <w:szCs w:val="24"/>
              </w:rPr>
              <w:t>Problems/Solutions</w:t>
            </w:r>
          </w:p>
        </w:tc>
        <w:tc>
          <w:tcPr>
            <w:tcW w:w="3709" w:type="dxa"/>
          </w:tcPr>
          <w:p w:rsidR="00FB360F" w:rsidRPr="00BD0424" w:rsidRDefault="00FB360F" w:rsidP="0089622C">
            <w:pPr>
              <w:ind w:left="360"/>
              <w:jc w:val="both"/>
            </w:pPr>
            <w:r w:rsidRPr="00BD0424">
              <w:rPr>
                <w:rFonts w:asciiTheme="minorHAnsi" w:hAnsiTheme="minorHAnsi" w:cs="Arial"/>
              </w:rPr>
              <w:t xml:space="preserve">Review the debtors to see who owes what and how long they take to pay. Identify </w:t>
            </w:r>
            <w:r w:rsidRPr="00BD0424">
              <w:rPr>
                <w:rFonts w:asciiTheme="minorHAnsi" w:hAnsiTheme="minorHAnsi" w:cs="Arial"/>
                <w:b/>
                <w:color w:val="FF0000"/>
              </w:rPr>
              <w:t>any high risk or problem</w:t>
            </w:r>
            <w:r w:rsidRPr="00BD0424">
              <w:rPr>
                <w:rFonts w:asciiTheme="minorHAnsi" w:hAnsiTheme="minorHAnsi" w:cs="Arial"/>
                <w:color w:val="FF0000"/>
              </w:rPr>
              <w:t xml:space="preserve"> </w:t>
            </w:r>
            <w:r w:rsidRPr="00BD0424">
              <w:rPr>
                <w:rFonts w:asciiTheme="minorHAnsi" w:hAnsiTheme="minorHAnsi" w:cs="Arial"/>
              </w:rPr>
              <w:t>customers that require remedial action.</w:t>
            </w:r>
          </w:p>
        </w:tc>
      </w:tr>
      <w:tr w:rsidR="00324F0A" w:rsidRPr="006D5A61" w:rsidTr="006522FE">
        <w:trPr>
          <w:trHeight w:val="1165"/>
        </w:trPr>
        <w:tc>
          <w:tcPr>
            <w:tcW w:w="3232" w:type="dxa"/>
          </w:tcPr>
          <w:p w:rsidR="00324F0A" w:rsidRPr="003E6207" w:rsidRDefault="00324F0A" w:rsidP="0089622C">
            <w:pPr>
              <w:pStyle w:val="NoSpacing"/>
              <w:spacing w:line="360" w:lineRule="auto"/>
              <w:rPr>
                <w:sz w:val="24"/>
                <w:szCs w:val="24"/>
              </w:rPr>
            </w:pPr>
            <w:r w:rsidRPr="003E6207">
              <w:rPr>
                <w:sz w:val="24"/>
                <w:szCs w:val="24"/>
              </w:rPr>
              <w:t>Showing/Proving</w:t>
            </w:r>
          </w:p>
        </w:tc>
        <w:tc>
          <w:tcPr>
            <w:tcW w:w="3709" w:type="dxa"/>
          </w:tcPr>
          <w:p w:rsidR="00324F0A" w:rsidRPr="00BD0424" w:rsidRDefault="00324F0A" w:rsidP="0089622C">
            <w:pPr>
              <w:pStyle w:val="NoSpacing"/>
              <w:jc w:val="both"/>
              <w:rPr>
                <w:sz w:val="24"/>
                <w:szCs w:val="24"/>
              </w:rPr>
            </w:pPr>
            <w:r w:rsidRPr="00BD0424">
              <w:rPr>
                <w:sz w:val="24"/>
                <w:szCs w:val="24"/>
              </w:rPr>
              <w:t xml:space="preserve">The actual amounts spent on COS </w:t>
            </w:r>
            <w:r w:rsidRPr="00BD0424">
              <w:rPr>
                <w:b/>
                <w:color w:val="FF0000"/>
                <w:sz w:val="24"/>
                <w:szCs w:val="24"/>
              </w:rPr>
              <w:t xml:space="preserve">can be calculated from </w:t>
            </w:r>
            <w:r w:rsidRPr="00BD0424">
              <w:rPr>
                <w:sz w:val="24"/>
                <w:szCs w:val="24"/>
              </w:rPr>
              <w:t>the Sales, GP% and relative COS %.</w:t>
            </w:r>
          </w:p>
        </w:tc>
      </w:tr>
      <w:tr w:rsidR="00FB360F" w:rsidRPr="006948DC" w:rsidTr="0089622C">
        <w:tc>
          <w:tcPr>
            <w:tcW w:w="3232" w:type="dxa"/>
          </w:tcPr>
          <w:p w:rsidR="00FB360F" w:rsidRPr="003E6207" w:rsidRDefault="00FB360F" w:rsidP="0089622C">
            <w:pPr>
              <w:pStyle w:val="NoSpacing"/>
              <w:spacing w:line="360" w:lineRule="auto"/>
              <w:rPr>
                <w:sz w:val="24"/>
                <w:szCs w:val="24"/>
              </w:rPr>
            </w:pPr>
            <w:r w:rsidRPr="003E6207">
              <w:rPr>
                <w:sz w:val="24"/>
                <w:szCs w:val="24"/>
              </w:rPr>
              <w:t xml:space="preserve">Background </w:t>
            </w:r>
            <w:r w:rsidRPr="003E6207">
              <w:rPr>
                <w:sz w:val="18"/>
                <w:szCs w:val="18"/>
              </w:rPr>
              <w:t>(added by DCW)</w:t>
            </w:r>
            <w:r w:rsidRPr="003E6207">
              <w:rPr>
                <w:sz w:val="24"/>
                <w:szCs w:val="24"/>
              </w:rPr>
              <w:t xml:space="preserve"> </w:t>
            </w:r>
          </w:p>
        </w:tc>
        <w:tc>
          <w:tcPr>
            <w:tcW w:w="3709" w:type="dxa"/>
          </w:tcPr>
          <w:p w:rsidR="00FB360F" w:rsidRPr="00BD0424" w:rsidRDefault="00FB360F" w:rsidP="00BD0424">
            <w:pPr>
              <w:pStyle w:val="NoSpacing"/>
              <w:jc w:val="both"/>
              <w:rPr>
                <w:sz w:val="24"/>
                <w:szCs w:val="24"/>
              </w:rPr>
            </w:pPr>
            <w:r w:rsidRPr="00BD0424">
              <w:rPr>
                <w:sz w:val="24"/>
                <w:szCs w:val="24"/>
              </w:rPr>
              <w:t>Microchips plc is a manufacturing business which produces electronics components for sale to the audio-visual industry.</w:t>
            </w:r>
          </w:p>
        </w:tc>
      </w:tr>
    </w:tbl>
    <w:p w:rsidR="00F43974" w:rsidRDefault="00F43974"/>
    <w:p w:rsidR="00D766A3" w:rsidRDefault="00D766A3"/>
    <w:p w:rsidR="00D766A3" w:rsidRDefault="00D766A3"/>
    <w:p w:rsidR="00D766A3" w:rsidRDefault="00D766A3"/>
    <w:p w:rsidR="00174972" w:rsidRPr="00174972" w:rsidRDefault="00174972">
      <w:pPr>
        <w:rPr>
          <w:rFonts w:asciiTheme="minorHAnsi" w:hAnsiTheme="minorHAnsi"/>
          <w:b/>
          <w:i/>
          <w:sz w:val="32"/>
          <w:szCs w:val="32"/>
        </w:rPr>
      </w:pPr>
      <w:r w:rsidRPr="00174972">
        <w:rPr>
          <w:rFonts w:asciiTheme="minorHAnsi" w:hAnsiTheme="minorHAnsi"/>
          <w:b/>
          <w:i/>
          <w:sz w:val="32"/>
          <w:szCs w:val="32"/>
        </w:rPr>
        <w:lastRenderedPageBreak/>
        <w:t>Try to match all 8 headings below with the correct paragraphs</w:t>
      </w:r>
      <w:r>
        <w:rPr>
          <w:rFonts w:asciiTheme="minorHAnsi" w:hAnsiTheme="minorHAnsi"/>
          <w:b/>
          <w:i/>
          <w:sz w:val="32"/>
          <w:szCs w:val="32"/>
        </w:rPr>
        <w:t>:-</w:t>
      </w:r>
    </w:p>
    <w:p w:rsidR="00174972" w:rsidRPr="00174972" w:rsidRDefault="00174972">
      <w:pPr>
        <w:rPr>
          <w:rFonts w:asciiTheme="minorHAnsi" w:hAnsiTheme="minorHAnsi"/>
          <w:b/>
          <w:i/>
          <w:sz w:val="32"/>
          <w:szCs w:val="32"/>
        </w:rPr>
      </w:pPr>
    </w:p>
    <w:p w:rsidR="00174972" w:rsidRDefault="0017497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859A4" w:rsidTr="00D766A3">
        <w:tc>
          <w:tcPr>
            <w:tcW w:w="4508" w:type="dxa"/>
          </w:tcPr>
          <w:p w:rsidR="00B859A4" w:rsidRPr="00DB5A5B" w:rsidRDefault="00610E26" w:rsidP="00DB5A5B">
            <w:pPr>
              <w:jc w:val="both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(1)  </w:t>
            </w:r>
            <w:r w:rsidR="00B859A4" w:rsidRPr="00DB5A5B">
              <w:rPr>
                <w:rFonts w:asciiTheme="minorHAnsi" w:hAnsiTheme="minorHAnsi"/>
              </w:rPr>
              <w:t>Advantages/Disadvantages</w:t>
            </w:r>
          </w:p>
          <w:p w:rsidR="00B859A4" w:rsidRPr="00DB5A5B" w:rsidRDefault="00B859A4" w:rsidP="00DB5A5B">
            <w:pPr>
              <w:jc w:val="both"/>
              <w:rPr>
                <w:rFonts w:asciiTheme="minorHAnsi" w:hAnsiTheme="minorHAnsi"/>
              </w:rPr>
            </w:pPr>
          </w:p>
        </w:tc>
        <w:tc>
          <w:tcPr>
            <w:tcW w:w="4508" w:type="dxa"/>
          </w:tcPr>
          <w:p w:rsidR="00B859A4" w:rsidRPr="00DB5A5B" w:rsidRDefault="00610E26" w:rsidP="00DB5A5B">
            <w:pPr>
              <w:pStyle w:val="NoSpacing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(A) </w:t>
            </w:r>
            <w:r w:rsidR="00B859A4" w:rsidRPr="00DB5A5B">
              <w:rPr>
                <w:sz w:val="24"/>
                <w:szCs w:val="24"/>
              </w:rPr>
              <w:t>The 2009 figure of 2.7% for Microchips plc is significantly lower than the similar sized competitor (5.7%) and the business sector norm (6.4%). This can be partly explained by the declining growth in sales and increasing COS base that was highlighted in the GP% and NP% sections.</w:t>
            </w:r>
          </w:p>
        </w:tc>
      </w:tr>
      <w:tr w:rsidR="000509E3" w:rsidTr="00D766A3">
        <w:tc>
          <w:tcPr>
            <w:tcW w:w="4508" w:type="dxa"/>
          </w:tcPr>
          <w:p w:rsidR="000509E3" w:rsidRPr="00DB5A5B" w:rsidRDefault="00610E26" w:rsidP="00DB5A5B">
            <w:pPr>
              <w:jc w:val="both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(2) </w:t>
            </w:r>
            <w:r w:rsidR="000509E3" w:rsidRPr="00DB5A5B">
              <w:rPr>
                <w:rFonts w:asciiTheme="minorHAnsi" w:hAnsiTheme="minorHAnsi"/>
              </w:rPr>
              <w:t>Giving exceptions</w:t>
            </w:r>
          </w:p>
        </w:tc>
        <w:tc>
          <w:tcPr>
            <w:tcW w:w="4508" w:type="dxa"/>
          </w:tcPr>
          <w:p w:rsidR="000509E3" w:rsidRPr="00DB5A5B" w:rsidRDefault="00BE67C0" w:rsidP="000F65C0">
            <w:pPr>
              <w:pStyle w:val="NoSpacing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(B) </w:t>
            </w:r>
            <w:r w:rsidR="000509E3" w:rsidRPr="00DB5A5B">
              <w:rPr>
                <w:sz w:val="24"/>
                <w:szCs w:val="24"/>
              </w:rPr>
              <w:t>Microchips plc is a manufacturing business produc</w:t>
            </w:r>
            <w:r w:rsidR="000F65C0">
              <w:rPr>
                <w:sz w:val="24"/>
                <w:szCs w:val="24"/>
              </w:rPr>
              <w:t>ing</w:t>
            </w:r>
            <w:r w:rsidR="000509E3" w:rsidRPr="00DB5A5B">
              <w:rPr>
                <w:sz w:val="24"/>
                <w:szCs w:val="24"/>
              </w:rPr>
              <w:t xml:space="preserve"> electronics components for sale to the audio-visual industry.</w:t>
            </w:r>
          </w:p>
        </w:tc>
      </w:tr>
      <w:tr w:rsidR="000509E3" w:rsidTr="00D766A3">
        <w:tc>
          <w:tcPr>
            <w:tcW w:w="4508" w:type="dxa"/>
          </w:tcPr>
          <w:p w:rsidR="000509E3" w:rsidRPr="00DB5A5B" w:rsidRDefault="00610E26" w:rsidP="00DB5A5B">
            <w:pPr>
              <w:jc w:val="both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(3) </w:t>
            </w:r>
            <w:r w:rsidR="000509E3" w:rsidRPr="00DB5A5B">
              <w:rPr>
                <w:rFonts w:asciiTheme="minorHAnsi" w:hAnsiTheme="minorHAnsi"/>
              </w:rPr>
              <w:t>Certainty/Uncertainty</w:t>
            </w:r>
          </w:p>
        </w:tc>
        <w:tc>
          <w:tcPr>
            <w:tcW w:w="4508" w:type="dxa"/>
          </w:tcPr>
          <w:p w:rsidR="000509E3" w:rsidRPr="00DB5A5B" w:rsidRDefault="00BE67C0" w:rsidP="00817853">
            <w:pPr>
              <w:jc w:val="both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(C) </w:t>
            </w:r>
            <w:r w:rsidR="000509E3" w:rsidRPr="00DB5A5B">
              <w:rPr>
                <w:rFonts w:asciiTheme="minorHAnsi" w:hAnsiTheme="minorHAnsi"/>
              </w:rPr>
              <w:t xml:space="preserve">The actual amounts spent on COS can be calculated </w:t>
            </w:r>
            <w:r w:rsidR="00817853">
              <w:rPr>
                <w:rFonts w:asciiTheme="minorHAnsi" w:hAnsiTheme="minorHAnsi"/>
              </w:rPr>
              <w:t>via</w:t>
            </w:r>
            <w:r w:rsidR="000509E3" w:rsidRPr="00DB5A5B">
              <w:rPr>
                <w:rFonts w:asciiTheme="minorHAnsi" w:hAnsiTheme="minorHAnsi"/>
              </w:rPr>
              <w:t xml:space="preserve"> Sales, GP% and relative COS %.</w:t>
            </w:r>
          </w:p>
        </w:tc>
      </w:tr>
      <w:tr w:rsidR="000509E3" w:rsidTr="00D766A3">
        <w:tc>
          <w:tcPr>
            <w:tcW w:w="4508" w:type="dxa"/>
          </w:tcPr>
          <w:p w:rsidR="000509E3" w:rsidRPr="00DB5A5B" w:rsidRDefault="00610E26" w:rsidP="00DB5A5B">
            <w:pPr>
              <w:jc w:val="both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(4) </w:t>
            </w:r>
            <w:r w:rsidR="004A2874" w:rsidRPr="00DB5A5B">
              <w:rPr>
                <w:rFonts w:asciiTheme="minorHAnsi" w:hAnsiTheme="minorHAnsi"/>
              </w:rPr>
              <w:t>Problems/Solutions</w:t>
            </w:r>
          </w:p>
        </w:tc>
        <w:tc>
          <w:tcPr>
            <w:tcW w:w="4508" w:type="dxa"/>
          </w:tcPr>
          <w:p w:rsidR="000509E3" w:rsidRPr="00DB5A5B" w:rsidRDefault="00BE67C0" w:rsidP="00D3342C">
            <w:pPr>
              <w:jc w:val="both"/>
              <w:rPr>
                <w:rFonts w:asciiTheme="minorHAnsi" w:hAnsiTheme="minorHAnsi"/>
              </w:rPr>
            </w:pPr>
            <w:r>
              <w:rPr>
                <w:rFonts w:asciiTheme="minorHAnsi" w:hAnsiTheme="minorHAnsi" w:cs="Arial"/>
              </w:rPr>
              <w:t xml:space="preserve">(D) </w:t>
            </w:r>
            <w:r w:rsidR="000509E3" w:rsidRPr="00DB5A5B">
              <w:rPr>
                <w:rFonts w:asciiTheme="minorHAnsi" w:hAnsiTheme="minorHAnsi" w:cs="Arial"/>
              </w:rPr>
              <w:t xml:space="preserve">To analyse the liquidity of Microchips plc, the report looks at the Current Ratio </w:t>
            </w:r>
            <w:r w:rsidR="004A62CF" w:rsidRPr="00DB5A5B">
              <w:rPr>
                <w:rFonts w:asciiTheme="minorHAnsi" w:hAnsiTheme="minorHAnsi" w:cs="Arial"/>
              </w:rPr>
              <w:t>and Quick</w:t>
            </w:r>
            <w:r w:rsidR="000509E3" w:rsidRPr="00DB5A5B">
              <w:rPr>
                <w:rFonts w:asciiTheme="minorHAnsi" w:hAnsiTheme="minorHAnsi" w:cs="Arial"/>
              </w:rPr>
              <w:t xml:space="preserve"> </w:t>
            </w:r>
            <w:r w:rsidR="00D3342C">
              <w:rPr>
                <w:rFonts w:asciiTheme="minorHAnsi" w:hAnsiTheme="minorHAnsi" w:cs="Arial"/>
              </w:rPr>
              <w:t>financial r</w:t>
            </w:r>
            <w:r w:rsidR="000509E3" w:rsidRPr="00DB5A5B">
              <w:rPr>
                <w:rFonts w:asciiTheme="minorHAnsi" w:hAnsiTheme="minorHAnsi" w:cs="Arial"/>
              </w:rPr>
              <w:t>atio</w:t>
            </w:r>
            <w:r w:rsidR="00D3342C">
              <w:rPr>
                <w:rFonts w:asciiTheme="minorHAnsi" w:hAnsiTheme="minorHAnsi" w:cs="Arial"/>
              </w:rPr>
              <w:t>s</w:t>
            </w:r>
            <w:r w:rsidR="000509E3" w:rsidRPr="00DB5A5B">
              <w:rPr>
                <w:rFonts w:asciiTheme="minorHAnsi" w:hAnsiTheme="minorHAnsi" w:cs="Arial"/>
              </w:rPr>
              <w:t>.</w:t>
            </w:r>
          </w:p>
        </w:tc>
      </w:tr>
      <w:tr w:rsidR="000509E3" w:rsidTr="00D766A3">
        <w:tc>
          <w:tcPr>
            <w:tcW w:w="4508" w:type="dxa"/>
          </w:tcPr>
          <w:p w:rsidR="000509E3" w:rsidRPr="00DB5A5B" w:rsidRDefault="00610E26" w:rsidP="00610E26">
            <w:pPr>
              <w:jc w:val="both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(5) </w:t>
            </w:r>
            <w:r w:rsidR="00CB51FD" w:rsidRPr="00DB5A5B">
              <w:rPr>
                <w:rFonts w:asciiTheme="minorHAnsi" w:hAnsiTheme="minorHAnsi"/>
              </w:rPr>
              <w:t>Background</w:t>
            </w:r>
          </w:p>
        </w:tc>
        <w:tc>
          <w:tcPr>
            <w:tcW w:w="4508" w:type="dxa"/>
          </w:tcPr>
          <w:p w:rsidR="000509E3" w:rsidRPr="00DB5A5B" w:rsidRDefault="00BE67C0" w:rsidP="00BE67C0">
            <w:pPr>
              <w:jc w:val="both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(E) </w:t>
            </w:r>
            <w:r w:rsidR="000509E3" w:rsidRPr="00DB5A5B">
              <w:rPr>
                <w:rFonts w:asciiTheme="minorHAnsi" w:hAnsiTheme="minorHAnsi"/>
              </w:rPr>
              <w:t>High gearing only works when profit levels are high</w:t>
            </w:r>
          </w:p>
        </w:tc>
      </w:tr>
      <w:tr w:rsidR="000509E3" w:rsidTr="00D766A3">
        <w:tc>
          <w:tcPr>
            <w:tcW w:w="4508" w:type="dxa"/>
          </w:tcPr>
          <w:p w:rsidR="000509E3" w:rsidRPr="00DB5A5B" w:rsidRDefault="00610E26" w:rsidP="00DB5A5B">
            <w:pPr>
              <w:jc w:val="both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(6) </w:t>
            </w:r>
            <w:r w:rsidR="000509E3" w:rsidRPr="00DB5A5B">
              <w:rPr>
                <w:rFonts w:asciiTheme="minorHAnsi" w:hAnsiTheme="minorHAnsi"/>
              </w:rPr>
              <w:t>Showing/proving</w:t>
            </w:r>
          </w:p>
        </w:tc>
        <w:tc>
          <w:tcPr>
            <w:tcW w:w="4508" w:type="dxa"/>
          </w:tcPr>
          <w:p w:rsidR="000509E3" w:rsidRPr="00DB5A5B" w:rsidRDefault="00BE67C0" w:rsidP="00DB5A5B">
            <w:pPr>
              <w:jc w:val="both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(F) </w:t>
            </w:r>
            <w:r w:rsidR="00DB5A5B" w:rsidRPr="00DB5A5B">
              <w:rPr>
                <w:rFonts w:asciiTheme="minorHAnsi" w:hAnsiTheme="minorHAnsi"/>
              </w:rPr>
              <w:t>Review the debtors to see who owes what and how long they take to pay. Identify and high risk or problem customers that require remedial action.</w:t>
            </w:r>
          </w:p>
        </w:tc>
      </w:tr>
      <w:tr w:rsidR="000509E3" w:rsidTr="00D766A3">
        <w:tc>
          <w:tcPr>
            <w:tcW w:w="4508" w:type="dxa"/>
          </w:tcPr>
          <w:p w:rsidR="000509E3" w:rsidRPr="00DB5A5B" w:rsidRDefault="00610E26" w:rsidP="00DB5A5B">
            <w:pPr>
              <w:jc w:val="both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(7) </w:t>
            </w:r>
            <w:r w:rsidR="000509E3" w:rsidRPr="00DB5A5B">
              <w:rPr>
                <w:rFonts w:asciiTheme="minorHAnsi" w:hAnsiTheme="minorHAnsi"/>
              </w:rPr>
              <w:t>Decreasing/Increasing</w:t>
            </w:r>
          </w:p>
        </w:tc>
        <w:tc>
          <w:tcPr>
            <w:tcW w:w="4508" w:type="dxa"/>
          </w:tcPr>
          <w:p w:rsidR="000509E3" w:rsidRPr="00DB5A5B" w:rsidRDefault="00BE67C0" w:rsidP="00942F8C">
            <w:pPr>
              <w:jc w:val="both"/>
              <w:rPr>
                <w:rFonts w:asciiTheme="minorHAnsi" w:hAnsiTheme="minorHAnsi"/>
              </w:rPr>
            </w:pPr>
            <w:r>
              <w:rPr>
                <w:rFonts w:asciiTheme="minorHAnsi" w:hAnsiTheme="minorHAnsi" w:cs="Arial"/>
              </w:rPr>
              <w:t xml:space="preserve">(G) </w:t>
            </w:r>
            <w:r w:rsidR="000509E3" w:rsidRPr="00DB5A5B">
              <w:rPr>
                <w:rFonts w:asciiTheme="minorHAnsi" w:hAnsiTheme="minorHAnsi" w:cs="Arial"/>
              </w:rPr>
              <w:t xml:space="preserve">The Price/Earnings ratio links the market value of a share to the earnings per share. It is a measure of investor confidence where a high ratio indicates that there is confidence in the future </w:t>
            </w:r>
            <w:r w:rsidR="00942F8C">
              <w:rPr>
                <w:rFonts w:asciiTheme="minorHAnsi" w:hAnsiTheme="minorHAnsi" w:cs="Arial"/>
              </w:rPr>
              <w:t xml:space="preserve">business </w:t>
            </w:r>
            <w:r w:rsidR="000509E3" w:rsidRPr="00DB5A5B">
              <w:rPr>
                <w:rFonts w:asciiTheme="minorHAnsi" w:hAnsiTheme="minorHAnsi" w:cs="Arial"/>
              </w:rPr>
              <w:t>earning potential and that investors are prepared to pay more.</w:t>
            </w:r>
          </w:p>
        </w:tc>
      </w:tr>
      <w:tr w:rsidR="000509E3" w:rsidTr="00D766A3">
        <w:tc>
          <w:tcPr>
            <w:tcW w:w="4508" w:type="dxa"/>
          </w:tcPr>
          <w:p w:rsidR="000509E3" w:rsidRPr="00DB5A5B" w:rsidRDefault="00610E26" w:rsidP="00DB5A5B">
            <w:pPr>
              <w:jc w:val="both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(8) </w:t>
            </w:r>
            <w:r w:rsidR="000509E3" w:rsidRPr="00DB5A5B">
              <w:rPr>
                <w:rFonts w:asciiTheme="minorHAnsi" w:hAnsiTheme="minorHAnsi"/>
              </w:rPr>
              <w:t>Aim/Purpose</w:t>
            </w:r>
          </w:p>
        </w:tc>
        <w:tc>
          <w:tcPr>
            <w:tcW w:w="4508" w:type="dxa"/>
          </w:tcPr>
          <w:p w:rsidR="000509E3" w:rsidRPr="00DB5A5B" w:rsidRDefault="00BE67C0" w:rsidP="00DB5A5B">
            <w:pPr>
              <w:jc w:val="both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(H) </w:t>
            </w:r>
            <w:r w:rsidR="000509E3" w:rsidRPr="00DB5A5B">
              <w:rPr>
                <w:rFonts w:asciiTheme="minorHAnsi" w:hAnsiTheme="minorHAnsi"/>
              </w:rPr>
              <w:t>The recommendations and analysis provided by this report will allow the Board of Directors to make decisions on the future of Microchips plc to improve financial performance and benefit shareholders</w:t>
            </w:r>
          </w:p>
        </w:tc>
      </w:tr>
    </w:tbl>
    <w:p w:rsidR="00D766A3" w:rsidRDefault="00D766A3"/>
    <w:p w:rsidR="00B21A64" w:rsidRDefault="00B21A64">
      <w:pPr>
        <w:rPr>
          <w:rFonts w:asciiTheme="minorHAnsi" w:hAnsiTheme="minorHAnsi"/>
          <w:sz w:val="28"/>
          <w:szCs w:val="28"/>
        </w:rPr>
      </w:pPr>
      <w:r w:rsidRPr="00B21A64">
        <w:rPr>
          <w:rFonts w:asciiTheme="minorHAnsi" w:hAnsiTheme="minorHAnsi"/>
          <w:sz w:val="28"/>
          <w:szCs w:val="28"/>
        </w:rPr>
        <w:t>1</w:t>
      </w:r>
      <w:r>
        <w:rPr>
          <w:rFonts w:asciiTheme="minorHAnsi" w:hAnsiTheme="minorHAnsi"/>
          <w:sz w:val="28"/>
          <w:szCs w:val="28"/>
        </w:rPr>
        <w:t xml:space="preserve">     _______</w:t>
      </w:r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  <w:t>5</w:t>
      </w:r>
      <w:r>
        <w:rPr>
          <w:rFonts w:asciiTheme="minorHAnsi" w:hAnsiTheme="minorHAnsi"/>
          <w:sz w:val="28"/>
          <w:szCs w:val="28"/>
        </w:rPr>
        <w:tab/>
        <w:t>________</w:t>
      </w:r>
    </w:p>
    <w:p w:rsidR="00B21A64" w:rsidRDefault="00B21A64">
      <w:pPr>
        <w:rPr>
          <w:rFonts w:asciiTheme="minorHAnsi" w:hAnsiTheme="minorHAnsi"/>
          <w:sz w:val="28"/>
          <w:szCs w:val="28"/>
        </w:rPr>
      </w:pPr>
    </w:p>
    <w:p w:rsidR="00B21A64" w:rsidRPr="00B21A64" w:rsidRDefault="00B21A64">
      <w:pPr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2     _______</w:t>
      </w:r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  <w:t>6</w:t>
      </w:r>
      <w:r>
        <w:rPr>
          <w:rFonts w:asciiTheme="minorHAnsi" w:hAnsiTheme="minorHAnsi"/>
          <w:sz w:val="28"/>
          <w:szCs w:val="28"/>
        </w:rPr>
        <w:tab/>
        <w:t>________</w:t>
      </w:r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</w:r>
    </w:p>
    <w:p w:rsidR="00B21A64" w:rsidRDefault="00B21A64">
      <w:pPr>
        <w:rPr>
          <w:rFonts w:asciiTheme="minorHAnsi" w:hAnsiTheme="minorHAnsi"/>
          <w:sz w:val="28"/>
          <w:szCs w:val="28"/>
        </w:rPr>
      </w:pPr>
    </w:p>
    <w:p w:rsidR="00B21A64" w:rsidRPr="00B21A64" w:rsidRDefault="00B21A64">
      <w:pPr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3     _______</w:t>
      </w:r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  <w:t>7</w:t>
      </w:r>
      <w:r>
        <w:rPr>
          <w:rFonts w:asciiTheme="minorHAnsi" w:hAnsiTheme="minorHAnsi"/>
          <w:sz w:val="28"/>
          <w:szCs w:val="28"/>
        </w:rPr>
        <w:tab/>
        <w:t>________</w:t>
      </w:r>
    </w:p>
    <w:p w:rsidR="00B21A64" w:rsidRDefault="00B21A64">
      <w:pPr>
        <w:rPr>
          <w:rFonts w:asciiTheme="minorHAnsi" w:hAnsiTheme="minorHAnsi"/>
          <w:sz w:val="28"/>
          <w:szCs w:val="28"/>
        </w:rPr>
      </w:pPr>
    </w:p>
    <w:p w:rsidR="00B21A64" w:rsidRPr="00B21A64" w:rsidRDefault="00B21A64">
      <w:pPr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4     _______</w:t>
      </w:r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</w:r>
      <w:bookmarkStart w:id="0" w:name="_GoBack"/>
      <w:bookmarkEnd w:id="0"/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  <w:t>8</w:t>
      </w:r>
      <w:r>
        <w:rPr>
          <w:rFonts w:asciiTheme="minorHAnsi" w:hAnsiTheme="minorHAnsi"/>
          <w:sz w:val="28"/>
          <w:szCs w:val="28"/>
        </w:rPr>
        <w:tab/>
        <w:t>________</w:t>
      </w:r>
    </w:p>
    <w:sectPr w:rsidR="00B21A64" w:rsidRPr="00B21A6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B3704" w:rsidRDefault="00FB3704" w:rsidP="00413EBD">
      <w:r>
        <w:separator/>
      </w:r>
    </w:p>
  </w:endnote>
  <w:endnote w:type="continuationSeparator" w:id="0">
    <w:p w:rsidR="00FB3704" w:rsidRDefault="00FB3704" w:rsidP="00413EB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B3704" w:rsidRDefault="00FB3704" w:rsidP="00413EBD">
      <w:r>
        <w:separator/>
      </w:r>
    </w:p>
  </w:footnote>
  <w:footnote w:type="continuationSeparator" w:id="0">
    <w:p w:rsidR="00FB3704" w:rsidRDefault="00FB3704" w:rsidP="00413EB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13EBD" w:rsidRPr="00413EBD" w:rsidRDefault="00413EBD">
    <w:pPr>
      <w:pStyle w:val="Header"/>
      <w:rPr>
        <w:rFonts w:asciiTheme="minorHAnsi" w:hAnsiTheme="minorHAnsi"/>
        <w:b/>
        <w:sz w:val="32"/>
        <w:szCs w:val="32"/>
      </w:rPr>
    </w:pPr>
    <w:r w:rsidRPr="00413EBD">
      <w:rPr>
        <w:rFonts w:asciiTheme="minorHAnsi" w:hAnsiTheme="minorHAnsi"/>
        <w:b/>
        <w:sz w:val="32"/>
        <w:szCs w:val="32"/>
      </w:rPr>
      <w:t xml:space="preserve">Matching functions of writing with the correct paragraphs </w:t>
    </w:r>
  </w:p>
  <w:p w:rsidR="00413EBD" w:rsidRPr="00413EBD" w:rsidRDefault="00413EBD">
    <w:pPr>
      <w:pStyle w:val="Header"/>
      <w:rPr>
        <w:rFonts w:asciiTheme="minorHAnsi" w:hAnsiTheme="minorHAnsi"/>
        <w:b/>
        <w:sz w:val="32"/>
        <w:szCs w:val="3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360F"/>
    <w:rsid w:val="00032E90"/>
    <w:rsid w:val="00035ECF"/>
    <w:rsid w:val="000367E8"/>
    <w:rsid w:val="00043515"/>
    <w:rsid w:val="000509E3"/>
    <w:rsid w:val="000533C7"/>
    <w:rsid w:val="00057530"/>
    <w:rsid w:val="00074F1D"/>
    <w:rsid w:val="00080D8A"/>
    <w:rsid w:val="000860D1"/>
    <w:rsid w:val="000A6BB0"/>
    <w:rsid w:val="000D0D55"/>
    <w:rsid w:val="000D78D7"/>
    <w:rsid w:val="000E39D3"/>
    <w:rsid w:val="000F3817"/>
    <w:rsid w:val="000F41FE"/>
    <w:rsid w:val="000F65C0"/>
    <w:rsid w:val="00101027"/>
    <w:rsid w:val="00101750"/>
    <w:rsid w:val="00122F60"/>
    <w:rsid w:val="00134D77"/>
    <w:rsid w:val="0013518B"/>
    <w:rsid w:val="001654B7"/>
    <w:rsid w:val="00174972"/>
    <w:rsid w:val="00177EDE"/>
    <w:rsid w:val="00184110"/>
    <w:rsid w:val="0018549E"/>
    <w:rsid w:val="001857BE"/>
    <w:rsid w:val="001875BC"/>
    <w:rsid w:val="00191278"/>
    <w:rsid w:val="00197BDB"/>
    <w:rsid w:val="001B1FC2"/>
    <w:rsid w:val="001B731A"/>
    <w:rsid w:val="001C0161"/>
    <w:rsid w:val="001C38FB"/>
    <w:rsid w:val="001C5787"/>
    <w:rsid w:val="001E4B0C"/>
    <w:rsid w:val="001F3EDC"/>
    <w:rsid w:val="002109D6"/>
    <w:rsid w:val="00231C38"/>
    <w:rsid w:val="002320B9"/>
    <w:rsid w:val="002362BD"/>
    <w:rsid w:val="00237EA3"/>
    <w:rsid w:val="002562C4"/>
    <w:rsid w:val="002623B9"/>
    <w:rsid w:val="00262BA2"/>
    <w:rsid w:val="00282914"/>
    <w:rsid w:val="00285FAC"/>
    <w:rsid w:val="00294E05"/>
    <w:rsid w:val="002B1D6E"/>
    <w:rsid w:val="002B5B72"/>
    <w:rsid w:val="002C008C"/>
    <w:rsid w:val="002D31B8"/>
    <w:rsid w:val="002D4902"/>
    <w:rsid w:val="00302BD0"/>
    <w:rsid w:val="00303D74"/>
    <w:rsid w:val="00320C1E"/>
    <w:rsid w:val="00324F0A"/>
    <w:rsid w:val="003276B9"/>
    <w:rsid w:val="0034774C"/>
    <w:rsid w:val="00357F74"/>
    <w:rsid w:val="0038535A"/>
    <w:rsid w:val="0038561C"/>
    <w:rsid w:val="003A22E8"/>
    <w:rsid w:val="003A25EA"/>
    <w:rsid w:val="003C6023"/>
    <w:rsid w:val="003E1600"/>
    <w:rsid w:val="003E6207"/>
    <w:rsid w:val="003F153C"/>
    <w:rsid w:val="00413EBD"/>
    <w:rsid w:val="004271D4"/>
    <w:rsid w:val="00435F14"/>
    <w:rsid w:val="0044663C"/>
    <w:rsid w:val="00456405"/>
    <w:rsid w:val="00473254"/>
    <w:rsid w:val="004818CA"/>
    <w:rsid w:val="004868AC"/>
    <w:rsid w:val="0048744A"/>
    <w:rsid w:val="004903D9"/>
    <w:rsid w:val="004A2874"/>
    <w:rsid w:val="004A62CF"/>
    <w:rsid w:val="004B22E7"/>
    <w:rsid w:val="004B274A"/>
    <w:rsid w:val="004C6A94"/>
    <w:rsid w:val="004D668C"/>
    <w:rsid w:val="004D6BAA"/>
    <w:rsid w:val="004D7D82"/>
    <w:rsid w:val="004E51E5"/>
    <w:rsid w:val="00501C68"/>
    <w:rsid w:val="0050247C"/>
    <w:rsid w:val="005128AE"/>
    <w:rsid w:val="00517E17"/>
    <w:rsid w:val="005221A9"/>
    <w:rsid w:val="0054036A"/>
    <w:rsid w:val="00541796"/>
    <w:rsid w:val="00544C70"/>
    <w:rsid w:val="00553568"/>
    <w:rsid w:val="00564FFD"/>
    <w:rsid w:val="0058722A"/>
    <w:rsid w:val="00596AEC"/>
    <w:rsid w:val="00597433"/>
    <w:rsid w:val="005D0CE6"/>
    <w:rsid w:val="005F5556"/>
    <w:rsid w:val="00606F43"/>
    <w:rsid w:val="00610DAC"/>
    <w:rsid w:val="00610E26"/>
    <w:rsid w:val="00617F33"/>
    <w:rsid w:val="0062196C"/>
    <w:rsid w:val="00626E92"/>
    <w:rsid w:val="006302C3"/>
    <w:rsid w:val="0063156C"/>
    <w:rsid w:val="006362B2"/>
    <w:rsid w:val="00636F55"/>
    <w:rsid w:val="00653198"/>
    <w:rsid w:val="006629B8"/>
    <w:rsid w:val="00670A63"/>
    <w:rsid w:val="00675B38"/>
    <w:rsid w:val="00692DC6"/>
    <w:rsid w:val="006B5DEF"/>
    <w:rsid w:val="006E4FBA"/>
    <w:rsid w:val="006E61AF"/>
    <w:rsid w:val="00702868"/>
    <w:rsid w:val="00711E3A"/>
    <w:rsid w:val="00731F6C"/>
    <w:rsid w:val="007360CB"/>
    <w:rsid w:val="00743082"/>
    <w:rsid w:val="007559E9"/>
    <w:rsid w:val="00770AEE"/>
    <w:rsid w:val="007710AE"/>
    <w:rsid w:val="007738AB"/>
    <w:rsid w:val="00783598"/>
    <w:rsid w:val="007B41A0"/>
    <w:rsid w:val="007B429A"/>
    <w:rsid w:val="007C502D"/>
    <w:rsid w:val="007C5628"/>
    <w:rsid w:val="007E68F9"/>
    <w:rsid w:val="007F6F34"/>
    <w:rsid w:val="007F7529"/>
    <w:rsid w:val="008002B7"/>
    <w:rsid w:val="00807C18"/>
    <w:rsid w:val="0081184D"/>
    <w:rsid w:val="00817853"/>
    <w:rsid w:val="0083137A"/>
    <w:rsid w:val="00834222"/>
    <w:rsid w:val="00835A6A"/>
    <w:rsid w:val="00847348"/>
    <w:rsid w:val="0085390E"/>
    <w:rsid w:val="0086495E"/>
    <w:rsid w:val="008B1215"/>
    <w:rsid w:val="008B5895"/>
    <w:rsid w:val="008C3A49"/>
    <w:rsid w:val="008D635D"/>
    <w:rsid w:val="0090010A"/>
    <w:rsid w:val="009035EC"/>
    <w:rsid w:val="00913829"/>
    <w:rsid w:val="009231A1"/>
    <w:rsid w:val="0093761C"/>
    <w:rsid w:val="00942F8C"/>
    <w:rsid w:val="00944E33"/>
    <w:rsid w:val="00960770"/>
    <w:rsid w:val="009869E9"/>
    <w:rsid w:val="00997D6B"/>
    <w:rsid w:val="009A1D8A"/>
    <w:rsid w:val="009B474C"/>
    <w:rsid w:val="009C6AF7"/>
    <w:rsid w:val="009C6D32"/>
    <w:rsid w:val="009C6E9C"/>
    <w:rsid w:val="009F0453"/>
    <w:rsid w:val="009F62FA"/>
    <w:rsid w:val="00A10EB2"/>
    <w:rsid w:val="00A110B0"/>
    <w:rsid w:val="00A17CB7"/>
    <w:rsid w:val="00A17E80"/>
    <w:rsid w:val="00A3111A"/>
    <w:rsid w:val="00A33C03"/>
    <w:rsid w:val="00A54F8C"/>
    <w:rsid w:val="00A60058"/>
    <w:rsid w:val="00A61C5E"/>
    <w:rsid w:val="00A7589F"/>
    <w:rsid w:val="00A76F26"/>
    <w:rsid w:val="00A804AA"/>
    <w:rsid w:val="00A9438A"/>
    <w:rsid w:val="00AA7A7D"/>
    <w:rsid w:val="00AB6EE4"/>
    <w:rsid w:val="00AB7661"/>
    <w:rsid w:val="00AC154C"/>
    <w:rsid w:val="00AE63BF"/>
    <w:rsid w:val="00AE78AA"/>
    <w:rsid w:val="00AF665B"/>
    <w:rsid w:val="00B03BBF"/>
    <w:rsid w:val="00B169A2"/>
    <w:rsid w:val="00B21A64"/>
    <w:rsid w:val="00B33253"/>
    <w:rsid w:val="00B3468D"/>
    <w:rsid w:val="00B574F9"/>
    <w:rsid w:val="00B618D9"/>
    <w:rsid w:val="00B67313"/>
    <w:rsid w:val="00B728DC"/>
    <w:rsid w:val="00B8433A"/>
    <w:rsid w:val="00B859A4"/>
    <w:rsid w:val="00BB3034"/>
    <w:rsid w:val="00BD0424"/>
    <w:rsid w:val="00BE54A4"/>
    <w:rsid w:val="00BE67C0"/>
    <w:rsid w:val="00BF06B8"/>
    <w:rsid w:val="00C04916"/>
    <w:rsid w:val="00C35BAE"/>
    <w:rsid w:val="00C42E5B"/>
    <w:rsid w:val="00C45288"/>
    <w:rsid w:val="00C50C19"/>
    <w:rsid w:val="00C54C0B"/>
    <w:rsid w:val="00C65812"/>
    <w:rsid w:val="00C741F8"/>
    <w:rsid w:val="00C919F6"/>
    <w:rsid w:val="00CB51FD"/>
    <w:rsid w:val="00CC4C3D"/>
    <w:rsid w:val="00CC5F43"/>
    <w:rsid w:val="00CD521F"/>
    <w:rsid w:val="00CF0078"/>
    <w:rsid w:val="00CF1E5E"/>
    <w:rsid w:val="00CF1F03"/>
    <w:rsid w:val="00D01ACC"/>
    <w:rsid w:val="00D027D1"/>
    <w:rsid w:val="00D05DF8"/>
    <w:rsid w:val="00D3342C"/>
    <w:rsid w:val="00D37517"/>
    <w:rsid w:val="00D4739D"/>
    <w:rsid w:val="00D766A3"/>
    <w:rsid w:val="00D768D7"/>
    <w:rsid w:val="00D92CAE"/>
    <w:rsid w:val="00D97892"/>
    <w:rsid w:val="00DA4EAA"/>
    <w:rsid w:val="00DB5A5B"/>
    <w:rsid w:val="00DD52E6"/>
    <w:rsid w:val="00DE62E0"/>
    <w:rsid w:val="00E07F2D"/>
    <w:rsid w:val="00E67507"/>
    <w:rsid w:val="00E7070C"/>
    <w:rsid w:val="00E718FF"/>
    <w:rsid w:val="00E95B44"/>
    <w:rsid w:val="00E96CEC"/>
    <w:rsid w:val="00EA17EE"/>
    <w:rsid w:val="00EA4292"/>
    <w:rsid w:val="00EB41BD"/>
    <w:rsid w:val="00ED1BF3"/>
    <w:rsid w:val="00ED222C"/>
    <w:rsid w:val="00EE71AD"/>
    <w:rsid w:val="00EF44DA"/>
    <w:rsid w:val="00F0044A"/>
    <w:rsid w:val="00F032FC"/>
    <w:rsid w:val="00F20E2E"/>
    <w:rsid w:val="00F25CBE"/>
    <w:rsid w:val="00F306FB"/>
    <w:rsid w:val="00F359F7"/>
    <w:rsid w:val="00F37ED9"/>
    <w:rsid w:val="00F43974"/>
    <w:rsid w:val="00F44EE9"/>
    <w:rsid w:val="00F51963"/>
    <w:rsid w:val="00F76984"/>
    <w:rsid w:val="00FA75AB"/>
    <w:rsid w:val="00FA7E6B"/>
    <w:rsid w:val="00FB2742"/>
    <w:rsid w:val="00FB360F"/>
    <w:rsid w:val="00FB3704"/>
    <w:rsid w:val="00FC264D"/>
    <w:rsid w:val="00FD0CD2"/>
    <w:rsid w:val="00FD6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26055BD-002F-4C00-82D8-89CF98DA88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B360F"/>
    <w:pPr>
      <w:spacing w:after="0" w:line="240" w:lineRule="auto"/>
    </w:pPr>
    <w:rPr>
      <w:rFonts w:ascii="Times New Roman" w:eastAsia="MS Mincho" w:hAnsi="Times New Roman" w:cs="Times New Roman"/>
      <w:sz w:val="24"/>
      <w:szCs w:val="24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B360F"/>
    <w:pPr>
      <w:spacing w:after="0" w:line="240" w:lineRule="auto"/>
    </w:pPr>
  </w:style>
  <w:style w:type="table" w:styleId="TableGrid">
    <w:name w:val="Table Grid"/>
    <w:basedOn w:val="TableNormal"/>
    <w:uiPriority w:val="39"/>
    <w:rsid w:val="00FB36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C008C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008C"/>
    <w:rPr>
      <w:rFonts w:ascii="Segoe UI" w:eastAsia="MS Mincho" w:hAnsi="Segoe UI" w:cs="Segoe UI"/>
      <w:sz w:val="18"/>
      <w:szCs w:val="18"/>
      <w:lang w:eastAsia="ja-JP"/>
    </w:rPr>
  </w:style>
  <w:style w:type="paragraph" w:styleId="ListParagraph">
    <w:name w:val="List Paragraph"/>
    <w:basedOn w:val="Normal"/>
    <w:uiPriority w:val="34"/>
    <w:qFormat/>
    <w:rsid w:val="00610E2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13EB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13EBD"/>
    <w:rPr>
      <w:rFonts w:ascii="Times New Roman" w:eastAsia="MS Mincho" w:hAnsi="Times New Roman" w:cs="Times New Roman"/>
      <w:sz w:val="24"/>
      <w:szCs w:val="24"/>
      <w:lang w:eastAsia="ja-JP"/>
    </w:rPr>
  </w:style>
  <w:style w:type="paragraph" w:styleId="Footer">
    <w:name w:val="footer"/>
    <w:basedOn w:val="Normal"/>
    <w:link w:val="FooterChar"/>
    <w:uiPriority w:val="99"/>
    <w:unhideWhenUsed/>
    <w:rsid w:val="00413EB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13EBD"/>
    <w:rPr>
      <w:rFonts w:ascii="Times New Roman" w:eastAsia="MS Mincho" w:hAnsi="Times New Roman" w:cs="Times New Roman"/>
      <w:sz w:val="24"/>
      <w:szCs w:val="24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6599CF-1D36-4FE2-BBB7-138F8946D4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2</Pages>
  <Words>472</Words>
  <Characters>2694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3160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43</cp:revision>
  <cp:lastPrinted>2016-10-04T09:23:00Z</cp:lastPrinted>
  <dcterms:created xsi:type="dcterms:W3CDTF">2016-10-03T13:47:00Z</dcterms:created>
  <dcterms:modified xsi:type="dcterms:W3CDTF">2016-10-04T09:34:00Z</dcterms:modified>
</cp:coreProperties>
</file>