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09B32" w14:textId="77B83E13" w:rsidR="005A3A3D" w:rsidRDefault="005A3A3D" w:rsidP="005A3A3D">
      <w:pPr>
        <w:spacing w:line="360" w:lineRule="auto"/>
        <w:jc w:val="center"/>
        <w:rPr>
          <w:rFonts w:ascii="Times New Roman" w:eastAsia="Times New Roman" w:hAnsi="Times New Roman" w:cs="Times New Roman"/>
          <w:b/>
          <w:sz w:val="32"/>
          <w:szCs w:val="32"/>
        </w:rPr>
      </w:pPr>
    </w:p>
    <w:p w14:paraId="723248C6" w14:textId="0E1EC719" w:rsidR="00A04316" w:rsidRDefault="00A04316" w:rsidP="005A3A3D">
      <w:pPr>
        <w:spacing w:line="360" w:lineRule="auto"/>
        <w:jc w:val="center"/>
        <w:rPr>
          <w:rFonts w:ascii="Times New Roman" w:eastAsia="Times New Roman" w:hAnsi="Times New Roman" w:cs="Times New Roman"/>
          <w:b/>
          <w:sz w:val="32"/>
          <w:szCs w:val="32"/>
        </w:rPr>
      </w:pPr>
    </w:p>
    <w:p w14:paraId="4DC8C49A" w14:textId="2A2B1C77" w:rsidR="00A04316" w:rsidRDefault="00A04316" w:rsidP="005A3A3D">
      <w:pPr>
        <w:spacing w:line="360" w:lineRule="auto"/>
        <w:jc w:val="center"/>
        <w:rPr>
          <w:rFonts w:ascii="Times New Roman" w:eastAsia="Times New Roman" w:hAnsi="Times New Roman" w:cs="Times New Roman"/>
          <w:b/>
          <w:sz w:val="32"/>
          <w:szCs w:val="32"/>
        </w:rPr>
      </w:pPr>
    </w:p>
    <w:p w14:paraId="52EFD6DF" w14:textId="56131A74" w:rsidR="00A04316" w:rsidRDefault="00A04316" w:rsidP="005A3A3D">
      <w:pPr>
        <w:spacing w:line="360" w:lineRule="auto"/>
        <w:jc w:val="center"/>
        <w:rPr>
          <w:rFonts w:ascii="Times New Roman" w:eastAsia="Times New Roman" w:hAnsi="Times New Roman" w:cs="Times New Roman"/>
          <w:b/>
          <w:sz w:val="32"/>
          <w:szCs w:val="32"/>
        </w:rPr>
      </w:pPr>
    </w:p>
    <w:p w14:paraId="35EAAE21" w14:textId="77777777" w:rsidR="00A04316" w:rsidRDefault="00A04316" w:rsidP="005A3A3D">
      <w:pPr>
        <w:spacing w:line="360" w:lineRule="auto"/>
        <w:jc w:val="center"/>
        <w:rPr>
          <w:rFonts w:ascii="Times New Roman" w:eastAsia="Times New Roman" w:hAnsi="Times New Roman" w:cs="Times New Roman"/>
          <w:b/>
          <w:sz w:val="32"/>
          <w:szCs w:val="32"/>
        </w:rPr>
      </w:pPr>
    </w:p>
    <w:p w14:paraId="4F7299AB" w14:textId="77777777" w:rsidR="005A3A3D" w:rsidRDefault="005A3A3D" w:rsidP="005A3A3D">
      <w:pPr>
        <w:spacing w:line="360" w:lineRule="auto"/>
        <w:jc w:val="center"/>
        <w:rPr>
          <w:rFonts w:ascii="Times New Roman" w:eastAsia="Times New Roman" w:hAnsi="Times New Roman" w:cs="Times New Roman"/>
          <w:b/>
          <w:sz w:val="32"/>
          <w:szCs w:val="32"/>
        </w:rPr>
      </w:pPr>
    </w:p>
    <w:p w14:paraId="79189162" w14:textId="67472A53" w:rsidR="00A04316" w:rsidRPr="00A04316" w:rsidRDefault="00A04316" w:rsidP="00A04316">
      <w:pPr>
        <w:rPr>
          <w:rFonts w:ascii="Times New Roman" w:eastAsia="Calibri" w:hAnsi="Times New Roman" w:cs="Times New Roman"/>
          <w:sz w:val="24"/>
          <w:szCs w:val="24"/>
          <w:lang w:val="en-IN"/>
        </w:rPr>
      </w:pPr>
    </w:p>
    <w:p w14:paraId="3E8E4367" w14:textId="77777777" w:rsidR="00A04316" w:rsidRPr="00A04316" w:rsidRDefault="00A04316" w:rsidP="00A04316">
      <w:pPr>
        <w:spacing w:line="360" w:lineRule="auto"/>
        <w:ind w:left="720" w:hanging="720"/>
        <w:jc w:val="center"/>
        <w:rPr>
          <w:rFonts w:ascii="Times New Roman" w:hAnsi="Times New Roman" w:cs="Times New Roman"/>
          <w:b/>
          <w:sz w:val="40"/>
          <w:szCs w:val="24"/>
          <w:u w:val="single"/>
          <w:lang w:val="en-GB"/>
        </w:rPr>
      </w:pPr>
      <w:r w:rsidRPr="00A04316">
        <w:rPr>
          <w:rFonts w:ascii="Times New Roman" w:hAnsi="Times New Roman" w:cs="Times New Roman"/>
          <w:b/>
          <w:sz w:val="40"/>
          <w:szCs w:val="24"/>
          <w:u w:val="single"/>
          <w:lang w:val="en-GB"/>
        </w:rPr>
        <w:t>Dumitru Razvan Tudora</w:t>
      </w:r>
    </w:p>
    <w:p w14:paraId="72BCA859" w14:textId="77777777" w:rsidR="00A04316" w:rsidRPr="00A04316" w:rsidRDefault="00A04316" w:rsidP="00A04316">
      <w:pPr>
        <w:spacing w:line="360" w:lineRule="auto"/>
        <w:ind w:left="720" w:hanging="720"/>
        <w:jc w:val="center"/>
        <w:rPr>
          <w:rFonts w:ascii="Times New Roman" w:hAnsi="Times New Roman" w:cs="Times New Roman"/>
          <w:b/>
          <w:sz w:val="40"/>
          <w:szCs w:val="24"/>
          <w:u w:val="single"/>
          <w:lang w:val="en-GB"/>
        </w:rPr>
      </w:pPr>
      <w:r w:rsidRPr="00A04316">
        <w:rPr>
          <w:rFonts w:ascii="Times New Roman" w:hAnsi="Times New Roman" w:cs="Times New Roman"/>
          <w:b/>
          <w:sz w:val="40"/>
          <w:szCs w:val="24"/>
          <w:u w:val="single"/>
          <w:lang w:val="en-GB"/>
        </w:rPr>
        <w:t>Student nr:1913294</w:t>
      </w:r>
    </w:p>
    <w:p w14:paraId="6B0CEB62" w14:textId="42B79A54" w:rsidR="00A04316" w:rsidRDefault="00A04316" w:rsidP="00A04316">
      <w:pPr>
        <w:spacing w:line="360" w:lineRule="auto"/>
        <w:ind w:left="720" w:hanging="720"/>
        <w:jc w:val="center"/>
        <w:rPr>
          <w:rFonts w:ascii="Times New Roman" w:hAnsi="Times New Roman" w:cs="Times New Roman"/>
          <w:b/>
          <w:sz w:val="40"/>
          <w:szCs w:val="24"/>
          <w:u w:val="single"/>
          <w:lang w:val="en-GB"/>
        </w:rPr>
      </w:pPr>
      <w:r>
        <w:rPr>
          <w:rFonts w:ascii="Times New Roman" w:hAnsi="Times New Roman" w:cs="Times New Roman"/>
          <w:b/>
          <w:sz w:val="40"/>
          <w:szCs w:val="24"/>
          <w:u w:val="single"/>
          <w:lang w:val="en-GB"/>
        </w:rPr>
        <w:t>Accounting F</w:t>
      </w:r>
      <w:bookmarkStart w:id="0" w:name="_GoBack"/>
      <w:bookmarkEnd w:id="0"/>
      <w:r>
        <w:rPr>
          <w:rFonts w:ascii="Times New Roman" w:hAnsi="Times New Roman" w:cs="Times New Roman"/>
          <w:b/>
          <w:sz w:val="40"/>
          <w:szCs w:val="24"/>
          <w:u w:val="single"/>
          <w:lang w:val="en-GB"/>
        </w:rPr>
        <w:t>undamentals</w:t>
      </w:r>
    </w:p>
    <w:p w14:paraId="1D6AF4EB" w14:textId="1FB6B4D7" w:rsidR="00A04316" w:rsidRDefault="00A04316" w:rsidP="00A04316">
      <w:pPr>
        <w:spacing w:line="360" w:lineRule="auto"/>
        <w:ind w:left="720" w:hanging="720"/>
        <w:jc w:val="center"/>
        <w:rPr>
          <w:rFonts w:ascii="Times New Roman" w:hAnsi="Times New Roman" w:cs="Times New Roman"/>
          <w:b/>
          <w:sz w:val="40"/>
          <w:szCs w:val="24"/>
          <w:u w:val="single"/>
        </w:rPr>
      </w:pPr>
      <w:r w:rsidRPr="00A04316">
        <w:rPr>
          <w:rFonts w:ascii="Times New Roman" w:hAnsi="Times New Roman" w:cs="Times New Roman"/>
          <w:b/>
          <w:sz w:val="40"/>
          <w:szCs w:val="24"/>
          <w:u w:val="single"/>
        </w:rPr>
        <w:t>Dr. Emad Elkhashen</w:t>
      </w:r>
    </w:p>
    <w:p w14:paraId="3F44543A" w14:textId="26F2084C" w:rsidR="00A04316" w:rsidRDefault="00A04316" w:rsidP="00A04316">
      <w:pPr>
        <w:spacing w:line="360" w:lineRule="auto"/>
        <w:ind w:left="720" w:hanging="720"/>
        <w:jc w:val="center"/>
        <w:rPr>
          <w:rFonts w:ascii="Times New Roman" w:hAnsi="Times New Roman" w:cs="Times New Roman"/>
          <w:b/>
          <w:sz w:val="40"/>
          <w:szCs w:val="24"/>
          <w:u w:val="single"/>
          <w:lang w:val="en-GB"/>
        </w:rPr>
      </w:pPr>
      <w:r>
        <w:rPr>
          <w:rFonts w:ascii="Times New Roman" w:hAnsi="Times New Roman" w:cs="Times New Roman"/>
          <w:b/>
          <w:sz w:val="40"/>
          <w:szCs w:val="24"/>
          <w:u w:val="single"/>
        </w:rPr>
        <w:t>Assesment 1</w:t>
      </w:r>
    </w:p>
    <w:p w14:paraId="64DA059E" w14:textId="6C02A112" w:rsidR="00CD60BE" w:rsidRDefault="00CD60BE">
      <w:pPr>
        <w:rPr>
          <w:rFonts w:ascii="Times New Roman" w:eastAsia="Times New Roman" w:hAnsi="Times New Roman" w:cs="Times New Roman"/>
          <w:b/>
          <w:sz w:val="24"/>
          <w:szCs w:val="24"/>
        </w:rPr>
      </w:pPr>
    </w:p>
    <w:p w14:paraId="05EB4425" w14:textId="413A65E4" w:rsidR="00CD60BE" w:rsidRDefault="00CD60BE" w:rsidP="00CD60BE">
      <w:pPr>
        <w:spacing w:line="360" w:lineRule="auto"/>
      </w:pPr>
    </w:p>
    <w:p w14:paraId="7863A1BC" w14:textId="68B30A01" w:rsidR="00A04316" w:rsidRDefault="00A04316" w:rsidP="00CD60BE">
      <w:pPr>
        <w:spacing w:line="360" w:lineRule="auto"/>
      </w:pPr>
    </w:p>
    <w:p w14:paraId="3793A427" w14:textId="360D3333" w:rsidR="00A04316" w:rsidRDefault="00A04316" w:rsidP="00CD60BE">
      <w:pPr>
        <w:spacing w:line="360" w:lineRule="auto"/>
      </w:pPr>
    </w:p>
    <w:p w14:paraId="33720CDC" w14:textId="39642BE3" w:rsidR="00A04316" w:rsidRDefault="00A04316" w:rsidP="00CD60BE">
      <w:pPr>
        <w:spacing w:line="360" w:lineRule="auto"/>
      </w:pPr>
    </w:p>
    <w:p w14:paraId="52F486BE" w14:textId="09E21AB7" w:rsidR="00A04316" w:rsidRDefault="00A04316" w:rsidP="00CD60BE">
      <w:pPr>
        <w:spacing w:line="360" w:lineRule="auto"/>
      </w:pPr>
    </w:p>
    <w:p w14:paraId="4227A357" w14:textId="05B217AD" w:rsidR="00A04316" w:rsidRDefault="00A04316" w:rsidP="00CD60BE">
      <w:pPr>
        <w:spacing w:line="360" w:lineRule="auto"/>
      </w:pPr>
    </w:p>
    <w:p w14:paraId="1C42FDE0" w14:textId="51122C6D" w:rsidR="00A04316" w:rsidRDefault="00A04316" w:rsidP="00CD60BE">
      <w:pPr>
        <w:spacing w:line="360" w:lineRule="auto"/>
      </w:pPr>
    </w:p>
    <w:p w14:paraId="413F3853" w14:textId="3160A31E" w:rsidR="00A04316" w:rsidRDefault="00A04316" w:rsidP="00CD60BE">
      <w:pPr>
        <w:spacing w:line="360" w:lineRule="auto"/>
      </w:pPr>
    </w:p>
    <w:p w14:paraId="635E7D01" w14:textId="3AEE77AA" w:rsidR="00A04316" w:rsidRDefault="00A04316" w:rsidP="00CD60BE">
      <w:pPr>
        <w:spacing w:line="360" w:lineRule="auto"/>
      </w:pPr>
    </w:p>
    <w:p w14:paraId="6971889A" w14:textId="43925F9A" w:rsidR="00A04316" w:rsidRDefault="00A04316" w:rsidP="00CD60BE">
      <w:pPr>
        <w:spacing w:line="360" w:lineRule="auto"/>
      </w:pPr>
    </w:p>
    <w:p w14:paraId="616A60BF" w14:textId="490E7C5E" w:rsidR="00A04316" w:rsidRDefault="00A04316" w:rsidP="00CD60BE">
      <w:pPr>
        <w:spacing w:line="360" w:lineRule="auto"/>
      </w:pPr>
    </w:p>
    <w:p w14:paraId="4BC5FB17" w14:textId="053E6C23" w:rsidR="00A04316" w:rsidRDefault="00A04316" w:rsidP="00CD60BE">
      <w:pPr>
        <w:spacing w:line="360" w:lineRule="auto"/>
      </w:pPr>
    </w:p>
    <w:p w14:paraId="6D0BC602" w14:textId="77777777" w:rsidR="00A04316" w:rsidRDefault="00A04316" w:rsidP="00CD60BE">
      <w:pPr>
        <w:spacing w:line="360" w:lineRule="auto"/>
      </w:pPr>
    </w:p>
    <w:p w14:paraId="7CA90B92" w14:textId="09D35723" w:rsidR="004A035E" w:rsidRDefault="004A035E" w:rsidP="00B86ACE">
      <w:pPr>
        <w:spacing w:line="360" w:lineRule="auto"/>
        <w:jc w:val="both"/>
        <w:rPr>
          <w:rFonts w:ascii="Times New Roman" w:eastAsia="Times New Roman" w:hAnsi="Times New Roman" w:cs="Times New Roman"/>
          <w:b/>
          <w:sz w:val="24"/>
          <w:szCs w:val="24"/>
        </w:rPr>
      </w:pPr>
    </w:p>
    <w:p w14:paraId="0BC2A180" w14:textId="44BA6DCD" w:rsidR="00A04316" w:rsidRDefault="00A04316" w:rsidP="00B86ACE">
      <w:pPr>
        <w:spacing w:line="360" w:lineRule="auto"/>
        <w:jc w:val="both"/>
        <w:rPr>
          <w:rFonts w:ascii="Times New Roman" w:eastAsia="Times New Roman" w:hAnsi="Times New Roman" w:cs="Times New Roman"/>
          <w:b/>
          <w:sz w:val="24"/>
          <w:szCs w:val="24"/>
        </w:rPr>
      </w:pPr>
    </w:p>
    <w:p w14:paraId="3F1338E7" w14:textId="77777777" w:rsidR="00A04316" w:rsidRPr="00B86ACE" w:rsidRDefault="00A04316" w:rsidP="00B86ACE">
      <w:pPr>
        <w:spacing w:line="360" w:lineRule="auto"/>
        <w:jc w:val="both"/>
        <w:rPr>
          <w:rFonts w:ascii="Times New Roman" w:eastAsia="Times New Roman" w:hAnsi="Times New Roman" w:cs="Times New Roman"/>
          <w:b/>
          <w:sz w:val="24"/>
          <w:szCs w:val="24"/>
        </w:rPr>
      </w:pPr>
    </w:p>
    <w:p w14:paraId="7C2DE39C" w14:textId="77777777" w:rsidR="004A035E" w:rsidRPr="00B86ACE" w:rsidRDefault="00533DC7" w:rsidP="00B86ACE">
      <w:pPr>
        <w:pStyle w:val="Heading1"/>
        <w:rPr>
          <w:b w:val="0"/>
        </w:rPr>
      </w:pPr>
      <w:bookmarkStart w:id="1" w:name="_Toc49180297"/>
      <w:r w:rsidRPr="00B86ACE">
        <w:t>Q1</w:t>
      </w:r>
      <w:bookmarkEnd w:id="1"/>
    </w:p>
    <w:p w14:paraId="0781D661" w14:textId="36C41F0A"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Below is the preparation of Income Statement of Wales plc’s for the year ended 31st December 2019.</w:t>
      </w:r>
    </w:p>
    <w:tbl>
      <w:tblPr>
        <w:tblStyle w:val="Table1"/>
        <w:tblW w:w="795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5630"/>
        <w:gridCol w:w="1160"/>
        <w:gridCol w:w="1160"/>
      </w:tblGrid>
      <w:tr w:rsidR="004A035E" w:rsidRPr="00B86ACE" w14:paraId="23FCEC9F" w14:textId="77777777">
        <w:trPr>
          <w:trHeight w:val="1215"/>
        </w:trPr>
        <w:tc>
          <w:tcPr>
            <w:tcW w:w="563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0A00B6"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Income Statement of Wales plc</w:t>
            </w:r>
          </w:p>
          <w:p w14:paraId="69CA05CE"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As on December 31, 2019</w:t>
            </w:r>
          </w:p>
        </w:tc>
        <w:tc>
          <w:tcPr>
            <w:tcW w:w="116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4D98D0"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c>
          <w:tcPr>
            <w:tcW w:w="116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9EC2965"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r>
      <w:tr w:rsidR="004A035E" w:rsidRPr="00B86ACE" w14:paraId="4A82A957" w14:textId="77777777">
        <w:trPr>
          <w:trHeight w:val="414"/>
        </w:trPr>
        <w:tc>
          <w:tcPr>
            <w:tcW w:w="563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90E5CF0"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7104078"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586414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645C3508"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1A74E1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Revenue from sales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A6AA56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8579E2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30300</w:t>
            </w:r>
          </w:p>
        </w:tc>
      </w:tr>
      <w:tr w:rsidR="004A035E" w:rsidRPr="00B86ACE" w14:paraId="649BF5FD"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06B6A7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Less: Expenses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3DF588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A5406F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2AF34A0"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E38D6F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Cost of sales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59B4BF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18780</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1BF4B0E"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2CA32DC5"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6829E1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Gross profit</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BF89D0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BACBB87"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11520</w:t>
            </w:r>
          </w:p>
        </w:tc>
      </w:tr>
      <w:tr w:rsidR="004A035E" w:rsidRPr="00B86ACE" w14:paraId="45094FE1"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B1F9EA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Less: Overhead Expenses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7156BF1"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BDAD42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C620865"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14A4CA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Administration expenses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A6C2578"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4144.8</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1E65545"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58CE6D3E"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7E8B36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Depreciation</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5365BEB"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2880</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1710B6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3265DE03"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241B7A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Distribution expenses</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E2FF44A"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2160</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0BB743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2FB7D757" w14:textId="77777777">
        <w:trPr>
          <w:trHeight w:val="830"/>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902DAE2" w14:textId="0668D1D2" w:rsidR="004A035E" w:rsidRPr="00B86ACE" w:rsidRDefault="00B86AC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Earnings</w:t>
            </w:r>
            <w:r w:rsidR="00533DC7" w:rsidRPr="00B86ACE">
              <w:rPr>
                <w:rFonts w:ascii="Times New Roman" w:eastAsia="Times New Roman" w:hAnsi="Times New Roman" w:cs="Times New Roman"/>
                <w:b/>
                <w:sz w:val="24"/>
                <w:szCs w:val="24"/>
              </w:rPr>
              <w:t xml:space="preserve"> Before Interest and Tax (EBIT)</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D93BB2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77F74F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2335.2</w:t>
            </w:r>
          </w:p>
        </w:tc>
      </w:tr>
      <w:tr w:rsidR="004A035E" w:rsidRPr="00B86ACE" w14:paraId="401E84A3"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ACCFEBF"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Less: Interest </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555AC9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240</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2CA25F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168AAE32"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DD3453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lastRenderedPageBreak/>
              <w:t>Earnings Before Tax (EBT)</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D14482B"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E21822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2095.2</w:t>
            </w:r>
          </w:p>
        </w:tc>
      </w:tr>
      <w:tr w:rsidR="004A035E" w:rsidRPr="00B86ACE" w14:paraId="48365B51"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149653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Less: Tax </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7BDD46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1600</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889C42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2FFBAC52" w14:textId="77777777">
        <w:trPr>
          <w:trHeight w:val="515"/>
        </w:trPr>
        <w:tc>
          <w:tcPr>
            <w:tcW w:w="563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859FBC7"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Net Profit</w:t>
            </w: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F1CFAD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1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5CF625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495.2</w:t>
            </w:r>
          </w:p>
        </w:tc>
      </w:tr>
    </w:tbl>
    <w:p w14:paraId="650E9908"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7C11C08A"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The calculation of depreciation</w:t>
      </w:r>
      <w:r w:rsidRPr="00B86ACE">
        <w:rPr>
          <w:rFonts w:ascii="Times New Roman" w:eastAsia="Times New Roman" w:hAnsi="Times New Roman" w:cs="Times New Roman"/>
          <w:sz w:val="24"/>
          <w:szCs w:val="24"/>
        </w:rPr>
        <w:t xml:space="preserve"> is presented below.</w:t>
      </w:r>
    </w:p>
    <w:p w14:paraId="501458E8"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Journal entries of depreciation of plants and buildings are posted below.</w:t>
      </w:r>
    </w:p>
    <w:tbl>
      <w:tblPr>
        <w:tblStyle w:val="Table2"/>
        <w:tblW w:w="528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960"/>
        <w:gridCol w:w="1160"/>
        <w:gridCol w:w="1160"/>
      </w:tblGrid>
      <w:tr w:rsidR="004A035E" w:rsidRPr="00B86ACE" w14:paraId="5AC2B194" w14:textId="77777777">
        <w:trPr>
          <w:trHeight w:val="530"/>
        </w:trPr>
        <w:tc>
          <w:tcPr>
            <w:tcW w:w="2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A38FFA"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Particulars</w:t>
            </w:r>
          </w:p>
        </w:tc>
        <w:tc>
          <w:tcPr>
            <w:tcW w:w="11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D73F8A"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Amount</w:t>
            </w:r>
          </w:p>
        </w:tc>
        <w:tc>
          <w:tcPr>
            <w:tcW w:w="11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AD632F"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Amount</w:t>
            </w:r>
          </w:p>
        </w:tc>
      </w:tr>
      <w:tr w:rsidR="004A035E" w:rsidRPr="00B86ACE" w14:paraId="6129AB41" w14:textId="77777777">
        <w:trPr>
          <w:trHeight w:val="515"/>
        </w:trPr>
        <w:tc>
          <w:tcPr>
            <w:tcW w:w="2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235ABF"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Depreciation a/c … Dr.</w:t>
            </w:r>
          </w:p>
        </w:tc>
        <w:tc>
          <w:tcPr>
            <w:tcW w:w="116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5D4560"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2560</w:t>
            </w:r>
          </w:p>
        </w:tc>
        <w:tc>
          <w:tcPr>
            <w:tcW w:w="116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3B549B"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2560</w:t>
            </w:r>
          </w:p>
        </w:tc>
      </w:tr>
      <w:tr w:rsidR="004A035E" w:rsidRPr="00B86ACE" w14:paraId="717756E3" w14:textId="77777777">
        <w:trPr>
          <w:trHeight w:val="935"/>
        </w:trPr>
        <w:tc>
          <w:tcPr>
            <w:tcW w:w="2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9BBA80"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Accumulated depreciation a/c ... Cr.</w:t>
            </w: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F4E8AD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330C80D"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488015EB" w14:textId="77777777">
        <w:trPr>
          <w:trHeight w:val="530"/>
        </w:trPr>
        <w:tc>
          <w:tcPr>
            <w:tcW w:w="2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A4D3D3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(Depreciation of plant)</w:t>
            </w: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5031956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93CB1DC"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510D7B3A" w14:textId="77777777">
        <w:trPr>
          <w:trHeight w:val="515"/>
        </w:trPr>
        <w:tc>
          <w:tcPr>
            <w:tcW w:w="2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4D5BFC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Depreciation a/c … Dr.</w:t>
            </w:r>
          </w:p>
        </w:tc>
        <w:tc>
          <w:tcPr>
            <w:tcW w:w="1160" w:type="dxa"/>
            <w:vMerge w:val="restart"/>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72ADBE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320</w:t>
            </w:r>
          </w:p>
        </w:tc>
        <w:tc>
          <w:tcPr>
            <w:tcW w:w="1160" w:type="dxa"/>
            <w:vMerge w:val="restart"/>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242358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320</w:t>
            </w:r>
          </w:p>
        </w:tc>
      </w:tr>
      <w:tr w:rsidR="004A035E" w:rsidRPr="00B86ACE" w14:paraId="7CF1FBD2" w14:textId="77777777">
        <w:trPr>
          <w:trHeight w:val="830"/>
        </w:trPr>
        <w:tc>
          <w:tcPr>
            <w:tcW w:w="2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D3D3677"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Accumulated depreciation a/c ... Cr.</w:t>
            </w: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005F3745"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5FD802D8"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50652E2" w14:textId="77777777">
        <w:trPr>
          <w:trHeight w:val="530"/>
        </w:trPr>
        <w:tc>
          <w:tcPr>
            <w:tcW w:w="2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A56B05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(Depreciation of building)</w:t>
            </w: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AB78F4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60"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0EFFC3C7"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5EA6544F"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2DFD3AFC" w14:textId="487553DE"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So, total amount </w:t>
      </w:r>
      <w:r w:rsidR="00996676">
        <w:rPr>
          <w:rFonts w:ascii="Times New Roman" w:eastAsia="Times New Roman" w:hAnsi="Times New Roman" w:cs="Times New Roman"/>
          <w:sz w:val="24"/>
          <w:szCs w:val="24"/>
        </w:rPr>
        <w:t xml:space="preserve">of </w:t>
      </w:r>
      <w:r w:rsidRPr="00B86ACE">
        <w:rPr>
          <w:rFonts w:ascii="Times New Roman" w:eastAsia="Times New Roman" w:hAnsi="Times New Roman" w:cs="Times New Roman"/>
          <w:sz w:val="24"/>
          <w:szCs w:val="24"/>
        </w:rPr>
        <w:t>depreciation = (2560 + 320) = 2880.</w:t>
      </w:r>
    </w:p>
    <w:p w14:paraId="66CC98AE"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Plant’s current valuation = (25600 - 2560 - 4960) = 18080</w:t>
      </w:r>
    </w:p>
    <w:p w14:paraId="520A41D2"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Building’s current valuation = (16000 - 4260 - 320) = 11420</w:t>
      </w:r>
    </w:p>
    <w:p w14:paraId="6E8C03BB" w14:textId="77777777" w:rsidR="004A035E" w:rsidRPr="00B86ACE" w:rsidRDefault="004A035E" w:rsidP="00B86ACE">
      <w:pPr>
        <w:spacing w:line="360" w:lineRule="auto"/>
        <w:jc w:val="both"/>
        <w:rPr>
          <w:rFonts w:ascii="Times New Roman" w:eastAsia="Times New Roman" w:hAnsi="Times New Roman" w:cs="Times New Roman"/>
          <w:b/>
          <w:sz w:val="24"/>
          <w:szCs w:val="24"/>
        </w:rPr>
      </w:pPr>
    </w:p>
    <w:p w14:paraId="0C781319"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The calculation of administrative expenses</w:t>
      </w:r>
      <w:r w:rsidRPr="00B86ACE">
        <w:rPr>
          <w:rFonts w:ascii="Times New Roman" w:eastAsia="Times New Roman" w:hAnsi="Times New Roman" w:cs="Times New Roman"/>
          <w:sz w:val="24"/>
          <w:szCs w:val="24"/>
        </w:rPr>
        <w:t xml:space="preserve"> is below.</w:t>
      </w:r>
    </w:p>
    <w:p w14:paraId="75816ACA"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Administration expenses = (2920+ 500 + 320 + 164.8 + 240) = 4144.80</w:t>
      </w:r>
    </w:p>
    <w:p w14:paraId="00EAB6E1" w14:textId="77777777" w:rsidR="004A035E" w:rsidRPr="00B86ACE" w:rsidRDefault="004A035E" w:rsidP="00B86ACE">
      <w:pPr>
        <w:spacing w:line="360" w:lineRule="auto"/>
        <w:jc w:val="both"/>
        <w:rPr>
          <w:rFonts w:ascii="Times New Roman" w:eastAsia="Times New Roman" w:hAnsi="Times New Roman" w:cs="Times New Roman"/>
          <w:b/>
          <w:sz w:val="24"/>
          <w:szCs w:val="24"/>
        </w:rPr>
      </w:pPr>
    </w:p>
    <w:p w14:paraId="47769401"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The calculation of the trade receivable</w:t>
      </w:r>
      <w:r w:rsidRPr="00B86ACE">
        <w:rPr>
          <w:rFonts w:ascii="Times New Roman" w:eastAsia="Times New Roman" w:hAnsi="Times New Roman" w:cs="Times New Roman"/>
          <w:sz w:val="24"/>
          <w:szCs w:val="24"/>
        </w:rPr>
        <w:t xml:space="preserve"> is below.</w:t>
      </w:r>
    </w:p>
    <w:p w14:paraId="2B18C208"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2% allowance on trade receivable = [8240 * 2%] = 164.8 (</w:t>
      </w:r>
      <w:r w:rsidRPr="00B86ACE">
        <w:rPr>
          <w:rFonts w:ascii="Times New Roman" w:hAnsi="Times New Roman" w:cs="Times New Roman"/>
          <w:color w:val="222222"/>
          <w:sz w:val="24"/>
          <w:szCs w:val="24"/>
          <w:highlight w:val="white"/>
        </w:rPr>
        <w:t>Rahayu and Martanti, 2020</w:t>
      </w:r>
      <w:r w:rsidRPr="00B86ACE">
        <w:rPr>
          <w:rFonts w:ascii="Times New Roman" w:eastAsia="Times New Roman" w:hAnsi="Times New Roman" w:cs="Times New Roman"/>
          <w:sz w:val="24"/>
          <w:szCs w:val="24"/>
        </w:rPr>
        <w:t>)</w:t>
      </w:r>
    </w:p>
    <w:p w14:paraId="6FD87FC6"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Trade receivable’s current valuation = (8240 - 164.8 - 240) = 7835.2</w:t>
      </w:r>
    </w:p>
    <w:p w14:paraId="5FAACB16"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363DE415"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The calculation cost of goods sold</w:t>
      </w:r>
      <w:r w:rsidRPr="00B86ACE">
        <w:rPr>
          <w:rFonts w:ascii="Times New Roman" w:eastAsia="Times New Roman" w:hAnsi="Times New Roman" w:cs="Times New Roman"/>
          <w:sz w:val="24"/>
          <w:szCs w:val="24"/>
        </w:rPr>
        <w:t xml:space="preserve"> is below.</w:t>
      </w:r>
    </w:p>
    <w:p w14:paraId="7F63D257"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Cost of sales = (16220 + 2560) = 18780</w:t>
      </w:r>
    </w:p>
    <w:p w14:paraId="33895635"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36BCF9CF"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Below is the presentation of the Balance Sheet of Wales Plc as on31st December 2019 (</w:t>
      </w:r>
      <w:r w:rsidRPr="00B86ACE">
        <w:rPr>
          <w:rFonts w:ascii="Times New Roman" w:hAnsi="Times New Roman" w:cs="Times New Roman"/>
          <w:color w:val="222222"/>
          <w:sz w:val="24"/>
          <w:szCs w:val="24"/>
          <w:highlight w:val="white"/>
        </w:rPr>
        <w:t>Naseem et al., 2017</w:t>
      </w:r>
      <w:r w:rsidRPr="00B86ACE">
        <w:rPr>
          <w:rFonts w:ascii="Times New Roman" w:eastAsia="Times New Roman" w:hAnsi="Times New Roman" w:cs="Times New Roman"/>
          <w:sz w:val="24"/>
          <w:szCs w:val="24"/>
        </w:rPr>
        <w:t>).</w:t>
      </w:r>
    </w:p>
    <w:p w14:paraId="0AC849C7" w14:textId="77777777" w:rsidR="004A035E" w:rsidRPr="00B86ACE" w:rsidRDefault="004A035E" w:rsidP="00B86ACE">
      <w:pPr>
        <w:spacing w:line="360" w:lineRule="auto"/>
        <w:jc w:val="both"/>
        <w:rPr>
          <w:rFonts w:ascii="Times New Roman" w:eastAsia="Times New Roman" w:hAnsi="Times New Roman" w:cs="Times New Roman"/>
          <w:sz w:val="24"/>
          <w:szCs w:val="24"/>
        </w:rPr>
      </w:pPr>
    </w:p>
    <w:tbl>
      <w:tblPr>
        <w:tblStyle w:val="Table3"/>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994"/>
        <w:gridCol w:w="820"/>
        <w:gridCol w:w="819"/>
        <w:gridCol w:w="3089"/>
        <w:gridCol w:w="819"/>
        <w:gridCol w:w="819"/>
      </w:tblGrid>
      <w:tr w:rsidR="004A035E" w:rsidRPr="00B86ACE" w14:paraId="0625C405" w14:textId="77777777">
        <w:trPr>
          <w:trHeight w:val="800"/>
        </w:trPr>
        <w:tc>
          <w:tcPr>
            <w:tcW w:w="9356" w:type="dxa"/>
            <w:gridSpan w:val="6"/>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C30706"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Wales plc</w:t>
            </w:r>
          </w:p>
          <w:p w14:paraId="14F13FB5"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Balance Sheet as on December 31, 2019</w:t>
            </w:r>
          </w:p>
        </w:tc>
      </w:tr>
      <w:tr w:rsidR="004A035E" w:rsidRPr="00B86ACE" w14:paraId="609B4C14" w14:textId="77777777">
        <w:trPr>
          <w:trHeight w:val="414"/>
        </w:trPr>
        <w:tc>
          <w:tcPr>
            <w:tcW w:w="9356" w:type="dxa"/>
            <w:gridSpan w:val="6"/>
            <w:vMerge/>
            <w:tcBorders>
              <w:bottom w:val="single" w:sz="6" w:space="0" w:color="000000"/>
            </w:tcBorders>
            <w:shd w:val="clear" w:color="auto" w:fill="auto"/>
            <w:tcMar>
              <w:top w:w="100" w:type="dxa"/>
              <w:left w:w="100" w:type="dxa"/>
              <w:bottom w:w="100" w:type="dxa"/>
              <w:right w:w="100" w:type="dxa"/>
            </w:tcMar>
          </w:tcPr>
          <w:p w14:paraId="71DDAF4F"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36050B8D"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0C28823"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Assets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1ED7DA3"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EF97E4E"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46F30A3"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Liabilities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8A98D79"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BA50D88" w14:textId="77777777" w:rsidR="004A035E" w:rsidRPr="00B86ACE" w:rsidRDefault="00533DC7" w:rsidP="00CD60B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w:t>
            </w:r>
          </w:p>
        </w:tc>
      </w:tr>
      <w:tr w:rsidR="004A035E" w:rsidRPr="00B86ACE" w14:paraId="39ADE9B5"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A98DE7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Fixed Assets:</w:t>
            </w:r>
          </w:p>
        </w:tc>
        <w:tc>
          <w:tcPr>
            <w:tcW w:w="819" w:type="dxa"/>
            <w:shd w:val="clear" w:color="auto" w:fill="auto"/>
            <w:tcMar>
              <w:top w:w="100" w:type="dxa"/>
              <w:left w:w="100" w:type="dxa"/>
              <w:bottom w:w="100" w:type="dxa"/>
              <w:right w:w="100" w:type="dxa"/>
            </w:tcMar>
          </w:tcPr>
          <w:p w14:paraId="559C391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shd w:val="clear" w:color="auto" w:fill="auto"/>
            <w:tcMar>
              <w:top w:w="100" w:type="dxa"/>
              <w:left w:w="100" w:type="dxa"/>
              <w:bottom w:w="100" w:type="dxa"/>
              <w:right w:w="100" w:type="dxa"/>
            </w:tcMar>
          </w:tcPr>
          <w:p w14:paraId="65467BD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C091309"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Equity Capital:</w:t>
            </w:r>
          </w:p>
        </w:tc>
        <w:tc>
          <w:tcPr>
            <w:tcW w:w="819" w:type="dxa"/>
            <w:shd w:val="clear" w:color="auto" w:fill="auto"/>
            <w:tcMar>
              <w:top w:w="100" w:type="dxa"/>
              <w:left w:w="100" w:type="dxa"/>
              <w:bottom w:w="100" w:type="dxa"/>
              <w:right w:w="100" w:type="dxa"/>
            </w:tcMar>
          </w:tcPr>
          <w:p w14:paraId="632C21C0"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2F17A8A7"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3EF2CD8"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FEB92D4"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Building</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B6CB33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11420</w:t>
            </w:r>
          </w:p>
        </w:tc>
        <w:tc>
          <w:tcPr>
            <w:tcW w:w="819" w:type="dxa"/>
            <w:shd w:val="clear" w:color="auto" w:fill="auto"/>
            <w:tcMar>
              <w:top w:w="100" w:type="dxa"/>
              <w:left w:w="100" w:type="dxa"/>
              <w:bottom w:w="100" w:type="dxa"/>
              <w:right w:w="100" w:type="dxa"/>
            </w:tcMar>
          </w:tcPr>
          <w:p w14:paraId="4423596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B28E4B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Share premium</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ADBDBD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5000</w:t>
            </w:r>
          </w:p>
        </w:tc>
        <w:tc>
          <w:tcPr>
            <w:tcW w:w="819" w:type="dxa"/>
            <w:shd w:val="clear" w:color="auto" w:fill="auto"/>
            <w:tcMar>
              <w:top w:w="100" w:type="dxa"/>
              <w:left w:w="100" w:type="dxa"/>
              <w:bottom w:w="100" w:type="dxa"/>
              <w:right w:w="100" w:type="dxa"/>
            </w:tcMar>
          </w:tcPr>
          <w:p w14:paraId="2F8E5F6A"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27CFEB5"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9980AF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Land</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8E8D3C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20000</w:t>
            </w:r>
          </w:p>
        </w:tc>
        <w:tc>
          <w:tcPr>
            <w:tcW w:w="819" w:type="dxa"/>
            <w:shd w:val="clear" w:color="auto" w:fill="auto"/>
            <w:tcMar>
              <w:top w:w="100" w:type="dxa"/>
              <w:left w:w="100" w:type="dxa"/>
              <w:bottom w:w="100" w:type="dxa"/>
              <w:right w:w="100" w:type="dxa"/>
            </w:tcMar>
          </w:tcPr>
          <w:p w14:paraId="07109E4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3940938"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Revaluation surplus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132688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5000</w:t>
            </w:r>
          </w:p>
        </w:tc>
        <w:tc>
          <w:tcPr>
            <w:tcW w:w="819" w:type="dxa"/>
            <w:shd w:val="clear" w:color="auto" w:fill="auto"/>
            <w:tcMar>
              <w:top w:w="100" w:type="dxa"/>
              <w:left w:w="100" w:type="dxa"/>
              <w:bottom w:w="100" w:type="dxa"/>
              <w:right w:w="100" w:type="dxa"/>
            </w:tcMar>
          </w:tcPr>
          <w:p w14:paraId="05E021CA"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9000F08"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04406D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Plant</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CC6DFD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18080</w:t>
            </w:r>
          </w:p>
        </w:tc>
        <w:tc>
          <w:tcPr>
            <w:tcW w:w="819" w:type="dxa"/>
            <w:shd w:val="clear" w:color="auto" w:fill="auto"/>
            <w:tcMar>
              <w:top w:w="100" w:type="dxa"/>
              <w:left w:w="100" w:type="dxa"/>
              <w:bottom w:w="100" w:type="dxa"/>
              <w:right w:w="100" w:type="dxa"/>
            </w:tcMar>
          </w:tcPr>
          <w:p w14:paraId="14870F6A"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C67114E"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 ordinary shares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90F8ED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29000</w:t>
            </w:r>
          </w:p>
        </w:tc>
        <w:tc>
          <w:tcPr>
            <w:tcW w:w="819" w:type="dxa"/>
            <w:shd w:val="clear" w:color="auto" w:fill="auto"/>
            <w:tcMar>
              <w:top w:w="100" w:type="dxa"/>
              <w:left w:w="100" w:type="dxa"/>
              <w:bottom w:w="100" w:type="dxa"/>
              <w:right w:w="100" w:type="dxa"/>
            </w:tcMar>
          </w:tcPr>
          <w:p w14:paraId="24E89099"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4CC33E2D" w14:textId="77777777">
        <w:trPr>
          <w:trHeight w:val="57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24D6A64"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Total Amount of Fixed Assets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EF758EA"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21AFA0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49500</w:t>
            </w: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FF5A88A"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12% Debenture</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E4FAE78"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4000</w:t>
            </w:r>
          </w:p>
        </w:tc>
        <w:tc>
          <w:tcPr>
            <w:tcW w:w="819" w:type="dxa"/>
            <w:shd w:val="clear" w:color="auto" w:fill="auto"/>
            <w:tcMar>
              <w:top w:w="100" w:type="dxa"/>
              <w:left w:w="100" w:type="dxa"/>
              <w:bottom w:w="100" w:type="dxa"/>
              <w:right w:w="100" w:type="dxa"/>
            </w:tcMar>
          </w:tcPr>
          <w:p w14:paraId="01E51780"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70625EF5"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935126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Current Assets:</w:t>
            </w:r>
          </w:p>
        </w:tc>
        <w:tc>
          <w:tcPr>
            <w:tcW w:w="819" w:type="dxa"/>
            <w:shd w:val="clear" w:color="auto" w:fill="auto"/>
            <w:tcMar>
              <w:top w:w="100" w:type="dxa"/>
              <w:left w:w="100" w:type="dxa"/>
              <w:bottom w:w="100" w:type="dxa"/>
              <w:right w:w="100" w:type="dxa"/>
            </w:tcMar>
          </w:tcPr>
          <w:p w14:paraId="0410B46C"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0FE63807"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E001F24"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Retained profits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5B75D34"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8380</w:t>
            </w:r>
          </w:p>
        </w:tc>
        <w:tc>
          <w:tcPr>
            <w:tcW w:w="819" w:type="dxa"/>
            <w:shd w:val="clear" w:color="auto" w:fill="auto"/>
            <w:tcMar>
              <w:top w:w="100" w:type="dxa"/>
              <w:left w:w="100" w:type="dxa"/>
              <w:bottom w:w="100" w:type="dxa"/>
              <w:right w:w="100" w:type="dxa"/>
            </w:tcMar>
          </w:tcPr>
          <w:p w14:paraId="567F6569"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244C7149" w14:textId="77777777">
        <w:trPr>
          <w:trHeight w:val="57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8E1D9D7"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Cash at bank</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B6EB1E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320</w:t>
            </w:r>
          </w:p>
        </w:tc>
        <w:tc>
          <w:tcPr>
            <w:tcW w:w="819" w:type="dxa"/>
            <w:shd w:val="clear" w:color="auto" w:fill="auto"/>
            <w:tcMar>
              <w:top w:w="100" w:type="dxa"/>
              <w:left w:w="100" w:type="dxa"/>
              <w:bottom w:w="100" w:type="dxa"/>
              <w:right w:w="100" w:type="dxa"/>
            </w:tcMar>
          </w:tcPr>
          <w:p w14:paraId="40AB7F2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E39B04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Total Amount of Equity Capital</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62CFEC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7369706"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51380</w:t>
            </w:r>
          </w:p>
        </w:tc>
      </w:tr>
      <w:tr w:rsidR="004A035E" w:rsidRPr="00B86ACE" w14:paraId="767431A5"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3A2C886"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Inventory</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6F38FB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3120</w:t>
            </w:r>
          </w:p>
        </w:tc>
        <w:tc>
          <w:tcPr>
            <w:tcW w:w="819" w:type="dxa"/>
            <w:shd w:val="clear" w:color="auto" w:fill="auto"/>
            <w:tcMar>
              <w:top w:w="100" w:type="dxa"/>
              <w:left w:w="100" w:type="dxa"/>
              <w:bottom w:w="100" w:type="dxa"/>
              <w:right w:w="100" w:type="dxa"/>
            </w:tcMar>
          </w:tcPr>
          <w:p w14:paraId="38DCA9C2"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469484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Current Liabilities:</w:t>
            </w:r>
          </w:p>
        </w:tc>
        <w:tc>
          <w:tcPr>
            <w:tcW w:w="819" w:type="dxa"/>
            <w:shd w:val="clear" w:color="auto" w:fill="auto"/>
            <w:tcMar>
              <w:top w:w="100" w:type="dxa"/>
              <w:left w:w="100" w:type="dxa"/>
              <w:bottom w:w="100" w:type="dxa"/>
              <w:right w:w="100" w:type="dxa"/>
            </w:tcMar>
          </w:tcPr>
          <w:p w14:paraId="560591BF"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2EB525B4"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5CA4FC21"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2A17D2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Trade receivables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84C1976"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7835.2</w:t>
            </w:r>
          </w:p>
        </w:tc>
        <w:tc>
          <w:tcPr>
            <w:tcW w:w="819" w:type="dxa"/>
            <w:shd w:val="clear" w:color="auto" w:fill="auto"/>
            <w:tcMar>
              <w:top w:w="100" w:type="dxa"/>
              <w:left w:w="100" w:type="dxa"/>
              <w:bottom w:w="100" w:type="dxa"/>
              <w:right w:w="100" w:type="dxa"/>
            </w:tcMar>
          </w:tcPr>
          <w:p w14:paraId="4A79B635"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A4FF023"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Income tax payable</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7BC433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1600</w:t>
            </w:r>
          </w:p>
        </w:tc>
        <w:tc>
          <w:tcPr>
            <w:tcW w:w="819" w:type="dxa"/>
            <w:shd w:val="clear" w:color="auto" w:fill="auto"/>
            <w:tcMar>
              <w:top w:w="100" w:type="dxa"/>
              <w:left w:w="100" w:type="dxa"/>
              <w:bottom w:w="100" w:type="dxa"/>
              <w:right w:w="100" w:type="dxa"/>
            </w:tcMar>
          </w:tcPr>
          <w:p w14:paraId="7C6C2A70"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0AEFDCB8"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0695821"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Total Amount of Current Assets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466B12C"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2A7ADE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11275.2</w:t>
            </w: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5C6D38D"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Trade payables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7AEAC40"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4480</w:t>
            </w:r>
          </w:p>
        </w:tc>
        <w:tc>
          <w:tcPr>
            <w:tcW w:w="819" w:type="dxa"/>
            <w:shd w:val="clear" w:color="auto" w:fill="auto"/>
            <w:tcMar>
              <w:top w:w="100" w:type="dxa"/>
              <w:left w:w="100" w:type="dxa"/>
              <w:bottom w:w="100" w:type="dxa"/>
              <w:right w:w="100" w:type="dxa"/>
            </w:tcMar>
          </w:tcPr>
          <w:p w14:paraId="0312FFE6"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4CF457B9"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EF3413C"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451A62B8"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204A05D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2CE2AB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Accumulated depreciation</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A48CD99"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2815.2</w:t>
            </w:r>
          </w:p>
        </w:tc>
        <w:tc>
          <w:tcPr>
            <w:tcW w:w="819" w:type="dxa"/>
            <w:shd w:val="clear" w:color="auto" w:fill="auto"/>
            <w:tcMar>
              <w:top w:w="100" w:type="dxa"/>
              <w:left w:w="100" w:type="dxa"/>
              <w:bottom w:w="100" w:type="dxa"/>
              <w:right w:w="100" w:type="dxa"/>
            </w:tcMar>
          </w:tcPr>
          <w:p w14:paraId="660445BD"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686223FD"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4D63BE8"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39C51C1B"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59D41611"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85F7759"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Outstanding Insurance fees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1725DC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500</w:t>
            </w:r>
          </w:p>
        </w:tc>
        <w:tc>
          <w:tcPr>
            <w:tcW w:w="819" w:type="dxa"/>
            <w:shd w:val="clear" w:color="auto" w:fill="auto"/>
            <w:tcMar>
              <w:top w:w="100" w:type="dxa"/>
              <w:left w:w="100" w:type="dxa"/>
              <w:bottom w:w="100" w:type="dxa"/>
              <w:right w:w="100" w:type="dxa"/>
            </w:tcMar>
          </w:tcPr>
          <w:p w14:paraId="5B83BFCE"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A035E" w:rsidRPr="00B86ACE" w14:paraId="47D2D010" w14:textId="77777777">
        <w:trPr>
          <w:trHeight w:val="515"/>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80B9F2B"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10E5EA93"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19" w:type="dxa"/>
            <w:shd w:val="clear" w:color="auto" w:fill="auto"/>
            <w:tcMar>
              <w:top w:w="100" w:type="dxa"/>
              <w:left w:w="100" w:type="dxa"/>
              <w:bottom w:w="100" w:type="dxa"/>
              <w:right w:w="100" w:type="dxa"/>
            </w:tcMar>
          </w:tcPr>
          <w:p w14:paraId="5F64B47C"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56CE3E5"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Total Amount of Current Liabilities</w:t>
            </w:r>
          </w:p>
        </w:tc>
        <w:tc>
          <w:tcPr>
            <w:tcW w:w="819" w:type="dxa"/>
            <w:shd w:val="clear" w:color="auto" w:fill="auto"/>
            <w:tcMar>
              <w:top w:w="100" w:type="dxa"/>
              <w:left w:w="100" w:type="dxa"/>
              <w:bottom w:w="100" w:type="dxa"/>
              <w:right w:w="100" w:type="dxa"/>
            </w:tcMar>
          </w:tcPr>
          <w:p w14:paraId="2D6FA2C8"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EC49D49"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9395.2</w:t>
            </w:r>
          </w:p>
        </w:tc>
      </w:tr>
      <w:tr w:rsidR="004A035E" w:rsidRPr="00B86ACE" w14:paraId="576406B4" w14:textId="77777777">
        <w:trPr>
          <w:trHeight w:val="830"/>
        </w:trPr>
        <w:tc>
          <w:tcPr>
            <w:tcW w:w="299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D84C7C8"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The total amount of assets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9F138EB"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621738C"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60775.2</w:t>
            </w:r>
          </w:p>
        </w:tc>
        <w:tc>
          <w:tcPr>
            <w:tcW w:w="3088"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C5ABC7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The total amount of Stockholders equity and current liabilities</w:t>
            </w: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FFC1B2F" w14:textId="77777777" w:rsidR="004A035E" w:rsidRPr="00B86ACE" w:rsidRDefault="004A035E"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1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5ABB5A2" w14:textId="77777777" w:rsidR="004A035E" w:rsidRPr="00B86ACE" w:rsidRDefault="00533DC7" w:rsidP="00B86A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60775.2</w:t>
            </w:r>
          </w:p>
        </w:tc>
      </w:tr>
    </w:tbl>
    <w:p w14:paraId="33621529"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54D2A3B4" w14:textId="77777777" w:rsidR="004A035E" w:rsidRPr="00B86ACE" w:rsidRDefault="00533DC7" w:rsidP="00B86ACE">
      <w:pPr>
        <w:pStyle w:val="Heading1"/>
      </w:pPr>
      <w:bookmarkStart w:id="2" w:name="_Toc49180298"/>
      <w:r w:rsidRPr="00B86ACE">
        <w:t>Q2</w:t>
      </w:r>
      <w:bookmarkEnd w:id="2"/>
    </w:p>
    <w:p w14:paraId="2FDF1A1E"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Below is the ratio analysis of Jerry plc for both the year of 2019 and 2018.</w:t>
      </w:r>
    </w:p>
    <w:p w14:paraId="1CF9AFB1"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w:t>
      </w:r>
    </w:p>
    <w:p w14:paraId="31D5D505" w14:textId="77777777" w:rsidR="004A035E" w:rsidRPr="00B86ACE" w:rsidRDefault="00533DC7" w:rsidP="00B86ACE">
      <w:pPr>
        <w:spacing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7359F1B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Return on capital employed    = Earnings Before Interest and Tax / Capital employed</w:t>
      </w:r>
    </w:p>
    <w:p w14:paraId="5C9BC01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23 / 135.1</w:t>
      </w:r>
    </w:p>
    <w:p w14:paraId="5E2529DD"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0.17024</w:t>
      </w:r>
    </w:p>
    <w:p w14:paraId="52C3F89F"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Here, Capital employed    </w:t>
      </w:r>
      <w:r w:rsidRPr="00B86ACE">
        <w:rPr>
          <w:rFonts w:ascii="Times New Roman" w:eastAsia="Times New Roman" w:hAnsi="Times New Roman" w:cs="Times New Roman"/>
          <w:sz w:val="24"/>
          <w:szCs w:val="24"/>
        </w:rPr>
        <w:tab/>
        <w:t>= Total assets - current liabilities</w:t>
      </w:r>
    </w:p>
    <w:p w14:paraId="4325D6D6" w14:textId="77777777" w:rsidR="004A035E" w:rsidRPr="00B86ACE" w:rsidRDefault="00533DC7" w:rsidP="00B86ACE">
      <w:pPr>
        <w:spacing w:before="240" w:after="240" w:line="360" w:lineRule="auto"/>
        <w:ind w:left="144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286.1 - 151</w:t>
      </w:r>
    </w:p>
    <w:p w14:paraId="1DAF98E0"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135.1</w:t>
      </w:r>
    </w:p>
    <w:p w14:paraId="748887A3"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lastRenderedPageBreak/>
        <w:t>2018</w:t>
      </w:r>
    </w:p>
    <w:p w14:paraId="34C8763F"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Return on capital employed    = Earnings Before Interest and Tax / Capital employed</w:t>
      </w:r>
    </w:p>
    <w:p w14:paraId="096D167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29.7 / 145.4</w:t>
      </w:r>
    </w:p>
    <w:p w14:paraId="3902D8C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0.20426</w:t>
      </w:r>
    </w:p>
    <w:p w14:paraId="3D43EB9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Here Capital employed    </w:t>
      </w:r>
      <w:r w:rsidRPr="00B86ACE">
        <w:rPr>
          <w:rFonts w:ascii="Times New Roman" w:eastAsia="Times New Roman" w:hAnsi="Times New Roman" w:cs="Times New Roman"/>
          <w:sz w:val="24"/>
          <w:szCs w:val="24"/>
        </w:rPr>
        <w:tab/>
        <w:t>= Total assets - current liabilities</w:t>
      </w:r>
    </w:p>
    <w:p w14:paraId="71B1E5C1" w14:textId="77777777" w:rsidR="004A035E" w:rsidRPr="00B86ACE" w:rsidRDefault="00533DC7" w:rsidP="00B86ACE">
      <w:pPr>
        <w:spacing w:before="240" w:after="240" w:line="360" w:lineRule="auto"/>
        <w:ind w:left="144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293.8 - 148.4</w:t>
      </w:r>
    </w:p>
    <w:p w14:paraId="50C81E84"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145.4</w:t>
      </w:r>
    </w:p>
    <w:p w14:paraId="28477C1B"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5970DC9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Return on equity     </w:t>
      </w:r>
      <w:r w:rsidRPr="00B86ACE">
        <w:rPr>
          <w:rFonts w:ascii="Times New Roman" w:eastAsia="Times New Roman" w:hAnsi="Times New Roman" w:cs="Times New Roman"/>
          <w:sz w:val="24"/>
          <w:szCs w:val="24"/>
        </w:rPr>
        <w:tab/>
        <w:t>= Net income / Shareholder’s equity (</w:t>
      </w:r>
      <w:r w:rsidRPr="00B86ACE">
        <w:rPr>
          <w:rFonts w:ascii="Times New Roman" w:hAnsi="Times New Roman" w:cs="Times New Roman"/>
          <w:color w:val="222222"/>
          <w:sz w:val="24"/>
          <w:szCs w:val="24"/>
          <w:highlight w:val="white"/>
        </w:rPr>
        <w:t>Kourtis, Kourtis and Curtis, 2019</w:t>
      </w:r>
      <w:r w:rsidRPr="00B86ACE">
        <w:rPr>
          <w:rFonts w:ascii="Times New Roman" w:eastAsia="Times New Roman" w:hAnsi="Times New Roman" w:cs="Times New Roman"/>
          <w:sz w:val="24"/>
          <w:szCs w:val="24"/>
        </w:rPr>
        <w:t>)</w:t>
      </w:r>
    </w:p>
    <w:p w14:paraId="59CB8351"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12.9 / 93.2</w:t>
      </w:r>
    </w:p>
    <w:p w14:paraId="6F799AEE"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.1384</w:t>
      </w:r>
    </w:p>
    <w:p w14:paraId="27399ADE"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Here Shareholder’s equity   </w:t>
      </w:r>
      <w:r w:rsidRPr="00B86ACE">
        <w:rPr>
          <w:rFonts w:ascii="Times New Roman" w:eastAsia="Times New Roman" w:hAnsi="Times New Roman" w:cs="Times New Roman"/>
          <w:sz w:val="24"/>
          <w:szCs w:val="24"/>
        </w:rPr>
        <w:tab/>
        <w:t xml:space="preserve">= Retained earning + Share capital </w:t>
      </w:r>
    </w:p>
    <w:p w14:paraId="67F6FA9B" w14:textId="77777777" w:rsidR="004A035E" w:rsidRPr="00B86ACE" w:rsidRDefault="00533DC7" w:rsidP="00B86ACE">
      <w:pPr>
        <w:spacing w:line="360" w:lineRule="auto"/>
        <w:ind w:firstLine="72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17.8 + 57.2 + 18.2</w:t>
      </w:r>
    </w:p>
    <w:p w14:paraId="08F902D9"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93.2</w:t>
      </w:r>
    </w:p>
    <w:p w14:paraId="53EEFFF2"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12DDBAD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Return on equity     </w:t>
      </w:r>
      <w:r w:rsidRPr="00B86ACE">
        <w:rPr>
          <w:rFonts w:ascii="Times New Roman" w:eastAsia="Times New Roman" w:hAnsi="Times New Roman" w:cs="Times New Roman"/>
          <w:sz w:val="24"/>
          <w:szCs w:val="24"/>
        </w:rPr>
        <w:tab/>
        <w:t>Net income / Shareholder’s equity</w:t>
      </w:r>
    </w:p>
    <w:p w14:paraId="5F55680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18.3 / 80.3</w:t>
      </w:r>
    </w:p>
    <w:p w14:paraId="6A83B40B"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.2279</w:t>
      </w:r>
    </w:p>
    <w:p w14:paraId="599F075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Shareholder’s equity   = Share capital + Retained earning</w:t>
      </w:r>
    </w:p>
    <w:p w14:paraId="44E9DD1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17.8 + 57.2 + 5.3</w:t>
      </w:r>
    </w:p>
    <w:p w14:paraId="5AD47E1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80.3</w:t>
      </w:r>
    </w:p>
    <w:p w14:paraId="24F55EE5"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3.</w:t>
      </w:r>
    </w:p>
    <w:p w14:paraId="74462F4F"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4391EBC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EPS </w:t>
      </w:r>
      <w:r w:rsidRPr="00B86ACE">
        <w:rPr>
          <w:rFonts w:ascii="Times New Roman" w:eastAsia="Times New Roman" w:hAnsi="Times New Roman" w:cs="Times New Roman"/>
          <w:sz w:val="24"/>
          <w:szCs w:val="24"/>
        </w:rPr>
        <w:tab/>
        <w:t>= Net income / Outstanding shares (Total number)</w:t>
      </w:r>
    </w:p>
    <w:p w14:paraId="500EF15B"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12.9 / 17.8</w:t>
      </w:r>
    </w:p>
    <w:p w14:paraId="684E158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0.7247</w:t>
      </w:r>
    </w:p>
    <w:p w14:paraId="169C1A2F"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7DA53D8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EPS </w:t>
      </w:r>
      <w:r w:rsidRPr="00B86ACE">
        <w:rPr>
          <w:rFonts w:ascii="Times New Roman" w:eastAsia="Times New Roman" w:hAnsi="Times New Roman" w:cs="Times New Roman"/>
          <w:sz w:val="24"/>
          <w:szCs w:val="24"/>
        </w:rPr>
        <w:tab/>
        <w:t>= Net income / Outstanding shares (Total number)</w:t>
      </w:r>
    </w:p>
    <w:p w14:paraId="4735AC85"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18.3 / 17.8</w:t>
      </w:r>
    </w:p>
    <w:p w14:paraId="712853BD"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1.0281</w:t>
      </w:r>
    </w:p>
    <w:p w14:paraId="3321694E"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4.</w:t>
      </w:r>
    </w:p>
    <w:p w14:paraId="23D1A1B1"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3C34BA4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Gross profit margin </w:t>
      </w:r>
      <w:r w:rsidRPr="00B86ACE">
        <w:rPr>
          <w:rFonts w:ascii="Times New Roman" w:eastAsia="Times New Roman" w:hAnsi="Times New Roman" w:cs="Times New Roman"/>
          <w:sz w:val="24"/>
          <w:szCs w:val="24"/>
        </w:rPr>
        <w:tab/>
        <w:t>= (Gross profit / Revenue) * 100 (</w:t>
      </w:r>
      <w:r w:rsidRPr="00B86ACE">
        <w:rPr>
          <w:rFonts w:ascii="Times New Roman" w:hAnsi="Times New Roman" w:cs="Times New Roman"/>
          <w:color w:val="222222"/>
          <w:sz w:val="24"/>
          <w:szCs w:val="24"/>
          <w:highlight w:val="white"/>
        </w:rPr>
        <w:t>Chalu and Lubawa, 2018</w:t>
      </w:r>
      <w:r w:rsidRPr="00B86ACE">
        <w:rPr>
          <w:rFonts w:ascii="Times New Roman" w:eastAsia="Times New Roman" w:hAnsi="Times New Roman" w:cs="Times New Roman"/>
          <w:sz w:val="24"/>
          <w:szCs w:val="24"/>
        </w:rPr>
        <w:t>)</w:t>
      </w:r>
    </w:p>
    <w:p w14:paraId="4DDBDBE3"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(191.8 / 501.3) * 100</w:t>
      </w:r>
    </w:p>
    <w:p w14:paraId="068F6AFC"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38.2605</w:t>
      </w:r>
    </w:p>
    <w:p w14:paraId="4707FF04"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18CF228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Gross profit margin </w:t>
      </w:r>
      <w:r w:rsidRPr="00B86ACE">
        <w:rPr>
          <w:rFonts w:ascii="Times New Roman" w:eastAsia="Times New Roman" w:hAnsi="Times New Roman" w:cs="Times New Roman"/>
          <w:sz w:val="24"/>
          <w:szCs w:val="24"/>
        </w:rPr>
        <w:tab/>
        <w:t>= (Gross profit / Revenue) * 100</w:t>
      </w:r>
    </w:p>
    <w:p w14:paraId="5D6B97D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(186.9 / 486.8) * 100</w:t>
      </w:r>
    </w:p>
    <w:p w14:paraId="03ACD8F1"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38.3936</w:t>
      </w:r>
    </w:p>
    <w:p w14:paraId="190B541E"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5.</w:t>
      </w:r>
    </w:p>
    <w:p w14:paraId="62A6D013"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3489463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Asset turnover = Net sales / average total assets</w:t>
      </w:r>
    </w:p>
    <w:p w14:paraId="11567EC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501.3 / 289.95</w:t>
      </w:r>
    </w:p>
    <w:p w14:paraId="3E494106"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1.7289</w:t>
      </w:r>
    </w:p>
    <w:p w14:paraId="1B5062A4"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Here Average total assets = (Previous year’s total assets + Current year total assets) / 2 ()</w:t>
      </w:r>
    </w:p>
    <w:p w14:paraId="75E4F0C9" w14:textId="5FD54408"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xml:space="preserve">= </w:t>
      </w:r>
      <w:r w:rsidR="00B86ACE" w:rsidRPr="00B86ACE">
        <w:rPr>
          <w:rFonts w:ascii="Times New Roman" w:eastAsia="Times New Roman" w:hAnsi="Times New Roman" w:cs="Times New Roman"/>
          <w:sz w:val="24"/>
          <w:szCs w:val="24"/>
        </w:rPr>
        <w:t>(293.8</w:t>
      </w:r>
      <w:r w:rsidRPr="00B86ACE">
        <w:rPr>
          <w:rFonts w:ascii="Times New Roman" w:eastAsia="Times New Roman" w:hAnsi="Times New Roman" w:cs="Times New Roman"/>
          <w:sz w:val="24"/>
          <w:szCs w:val="24"/>
        </w:rPr>
        <w:t xml:space="preserve"> + 286.1) / 2</w:t>
      </w:r>
    </w:p>
    <w:p w14:paraId="6AF64C99"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289.95</w:t>
      </w:r>
    </w:p>
    <w:p w14:paraId="05E573E9"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4E9C5B8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Asset turnover = Net sales / average total assets</w:t>
      </w:r>
    </w:p>
    <w:p w14:paraId="5F70387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486.8 / 146.9</w:t>
      </w:r>
    </w:p>
    <w:p w14:paraId="6F33E335"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3.3138</w:t>
      </w:r>
    </w:p>
    <w:p w14:paraId="34A05341"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Here, Average total assets = (Previous year’s total assets + Current year total assets +) / 2</w:t>
      </w:r>
    </w:p>
    <w:p w14:paraId="05A6A6C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(0 + 293.8) / 2</w:t>
      </w:r>
    </w:p>
    <w:p w14:paraId="6558E2A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146.9</w:t>
      </w:r>
    </w:p>
    <w:p w14:paraId="1DFD0481"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Due to the unavailability of data, the total amount of assets for the year 2017 is considered as 0.</w:t>
      </w:r>
    </w:p>
    <w:p w14:paraId="0EA293CB"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6.</w:t>
      </w:r>
    </w:p>
    <w:p w14:paraId="0E0C9ECD"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1534DFF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Stock holding period   = (Inventory / Cost of sales) * 365</w:t>
      </w:r>
    </w:p>
    <w:p w14:paraId="2880B0C4"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(38.8 / 309.5) * 365</w:t>
      </w:r>
    </w:p>
    <w:p w14:paraId="6C0A2538"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45.7577</w:t>
      </w:r>
    </w:p>
    <w:p w14:paraId="5C42C343"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0849CD2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Stock holding period   = (Inventory / Cost of sales) * 365</w:t>
      </w:r>
    </w:p>
    <w:p w14:paraId="12508659"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(41.1 / 299.9) * 365</w:t>
      </w:r>
    </w:p>
    <w:p w14:paraId="363EBFC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50.0217</w:t>
      </w:r>
    </w:p>
    <w:p w14:paraId="204F042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7.</w:t>
      </w:r>
    </w:p>
    <w:p w14:paraId="125F89D1"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7636C02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Debtors collection period   </w:t>
      </w:r>
      <w:r w:rsidRPr="00B86ACE">
        <w:rPr>
          <w:rFonts w:ascii="Times New Roman" w:eastAsia="Times New Roman" w:hAnsi="Times New Roman" w:cs="Times New Roman"/>
          <w:sz w:val="24"/>
          <w:szCs w:val="24"/>
        </w:rPr>
        <w:tab/>
        <w:t>= (Trade receivables / Sales) * 365</w:t>
      </w:r>
    </w:p>
    <w:p w14:paraId="2D75D4CF"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(114.9 / 501.3) * 365</w:t>
      </w:r>
    </w:p>
    <w:p w14:paraId="1C71D7C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83.6595</w:t>
      </w:r>
    </w:p>
    <w:p w14:paraId="56709BB4"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3912262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Debtors collection period   </w:t>
      </w:r>
      <w:r w:rsidRPr="00B86ACE">
        <w:rPr>
          <w:rFonts w:ascii="Times New Roman" w:eastAsia="Times New Roman" w:hAnsi="Times New Roman" w:cs="Times New Roman"/>
          <w:sz w:val="24"/>
          <w:szCs w:val="24"/>
        </w:rPr>
        <w:tab/>
        <w:t>= (Trade receivables / Sales) * 365</w:t>
      </w:r>
    </w:p>
    <w:p w14:paraId="084D7C6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(114.7 / 486.8) * 365</w:t>
      </w:r>
    </w:p>
    <w:p w14:paraId="1FA97E84"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86.0014</w:t>
      </w:r>
    </w:p>
    <w:p w14:paraId="4467494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8.</w:t>
      </w:r>
    </w:p>
    <w:p w14:paraId="4973BD0E"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782890C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Current ratio   = Current assets / Current Liabilities</w:t>
      </w:r>
    </w:p>
    <w:p w14:paraId="4746580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153.9 / 151</w:t>
      </w:r>
    </w:p>
    <w:p w14:paraId="70AC515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1.0192</w:t>
      </w:r>
    </w:p>
    <w:p w14:paraId="1DB8A0E4"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Here, Current assets = (trade receivable + Inventory + Cash)</w:t>
      </w:r>
    </w:p>
    <w:p w14:paraId="4F010619"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114.9 + 38.8 + 0.2</w:t>
      </w:r>
    </w:p>
    <w:p w14:paraId="7553BA8E"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153.9</w:t>
      </w:r>
    </w:p>
    <w:p w14:paraId="2828D2BF" w14:textId="238B9FE1"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 xml:space="preserve">And Current Liabilities </w:t>
      </w:r>
      <w:r w:rsidRPr="00B86ACE">
        <w:rPr>
          <w:rFonts w:ascii="Times New Roman" w:eastAsia="Times New Roman" w:hAnsi="Times New Roman" w:cs="Times New Roman"/>
          <w:sz w:val="24"/>
          <w:szCs w:val="24"/>
        </w:rPr>
        <w:tab/>
        <w:t xml:space="preserve">= </w:t>
      </w:r>
      <w:r w:rsidR="001879C3" w:rsidRPr="00B86ACE">
        <w:rPr>
          <w:rFonts w:ascii="Times New Roman" w:eastAsia="Times New Roman" w:hAnsi="Times New Roman" w:cs="Times New Roman"/>
          <w:sz w:val="24"/>
          <w:szCs w:val="24"/>
        </w:rPr>
        <w:t>(Trade</w:t>
      </w:r>
      <w:r w:rsidRPr="00B86ACE">
        <w:rPr>
          <w:rFonts w:ascii="Times New Roman" w:eastAsia="Times New Roman" w:hAnsi="Times New Roman" w:cs="Times New Roman"/>
          <w:sz w:val="24"/>
          <w:szCs w:val="24"/>
        </w:rPr>
        <w:t xml:space="preserve"> payables + Other creditors) </w:t>
      </w:r>
    </w:p>
    <w:p w14:paraId="4129B849" w14:textId="77777777" w:rsidR="004A035E" w:rsidRPr="00B86ACE" w:rsidRDefault="00533DC7" w:rsidP="00B86ACE">
      <w:pPr>
        <w:spacing w:before="240" w:after="240" w:line="360" w:lineRule="auto"/>
        <w:ind w:left="2160" w:firstLine="72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(84.1 + 66.9)</w:t>
      </w:r>
    </w:p>
    <w:p w14:paraId="788FAC9F" w14:textId="77777777" w:rsidR="004A035E" w:rsidRPr="00B86ACE" w:rsidRDefault="00533DC7" w:rsidP="00B86ACE">
      <w:pPr>
        <w:spacing w:before="240" w:after="240" w:line="360" w:lineRule="auto"/>
        <w:ind w:left="288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151.0</w:t>
      </w:r>
    </w:p>
    <w:p w14:paraId="3ADE4360"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7BCB9E33"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Current ratio   = Current assets / Current Liabilities</w:t>
      </w:r>
    </w:p>
    <w:p w14:paraId="4D81130C"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156.5 / 148.4</w:t>
      </w:r>
    </w:p>
    <w:p w14:paraId="6BC48B6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1.0546</w:t>
      </w:r>
    </w:p>
    <w:p w14:paraId="6E24B24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Here, Current assets = (trade receivable + Inventory + Cash)</w:t>
      </w:r>
    </w:p>
    <w:p w14:paraId="10D923B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(114.7 + 41.1 + 0.7)</w:t>
      </w:r>
    </w:p>
    <w:p w14:paraId="753B108B"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156.5</w:t>
      </w:r>
    </w:p>
    <w:p w14:paraId="75F69D21" w14:textId="75D70CD8"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And Current Liabilities = </w:t>
      </w:r>
      <w:r w:rsidR="00B86ACE" w:rsidRPr="00B86ACE">
        <w:rPr>
          <w:rFonts w:ascii="Times New Roman" w:eastAsia="Times New Roman" w:hAnsi="Times New Roman" w:cs="Times New Roman"/>
          <w:sz w:val="24"/>
          <w:szCs w:val="24"/>
        </w:rPr>
        <w:t>(Trade</w:t>
      </w:r>
      <w:r w:rsidRPr="00B86ACE">
        <w:rPr>
          <w:rFonts w:ascii="Times New Roman" w:eastAsia="Times New Roman" w:hAnsi="Times New Roman" w:cs="Times New Roman"/>
          <w:sz w:val="24"/>
          <w:szCs w:val="24"/>
        </w:rPr>
        <w:t xml:space="preserve"> payables + Other creditors)</w:t>
      </w:r>
    </w:p>
    <w:p w14:paraId="10F6E5E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(75.8 + 72.6)</w:t>
      </w:r>
    </w:p>
    <w:p w14:paraId="6ADEFD4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148.4</w:t>
      </w:r>
    </w:p>
    <w:p w14:paraId="07A75A4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9.</w:t>
      </w:r>
    </w:p>
    <w:p w14:paraId="3A3EDC03"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188B3BDB"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Gearing ratio   = Total debt / Shareholder’s equity</w:t>
      </w:r>
    </w:p>
    <w:p w14:paraId="3083EF1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192.9 / 93.2</w:t>
      </w:r>
    </w:p>
    <w:p w14:paraId="5078177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2.0697</w:t>
      </w:r>
    </w:p>
    <w:p w14:paraId="2A298028" w14:textId="73C5F02D"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Here, Total debt </w:t>
      </w:r>
      <w:r w:rsidRPr="00B86ACE">
        <w:rPr>
          <w:rFonts w:ascii="Times New Roman" w:eastAsia="Times New Roman" w:hAnsi="Times New Roman" w:cs="Times New Roman"/>
          <w:sz w:val="24"/>
          <w:szCs w:val="24"/>
        </w:rPr>
        <w:tab/>
        <w:t xml:space="preserve">= </w:t>
      </w:r>
      <w:r w:rsidR="00B86ACE" w:rsidRPr="00B86ACE">
        <w:rPr>
          <w:rFonts w:ascii="Times New Roman" w:eastAsia="Times New Roman" w:hAnsi="Times New Roman" w:cs="Times New Roman"/>
          <w:sz w:val="24"/>
          <w:szCs w:val="24"/>
        </w:rPr>
        <w:t>(Long</w:t>
      </w:r>
      <w:r w:rsidRPr="00B86ACE">
        <w:rPr>
          <w:rFonts w:ascii="Times New Roman" w:eastAsia="Times New Roman" w:hAnsi="Times New Roman" w:cs="Times New Roman"/>
          <w:sz w:val="24"/>
          <w:szCs w:val="24"/>
        </w:rPr>
        <w:t xml:space="preserve"> term loans + Current liabilities) </w:t>
      </w:r>
    </w:p>
    <w:p w14:paraId="15265A65" w14:textId="77777777" w:rsidR="004A035E" w:rsidRPr="00B86ACE" w:rsidRDefault="00533DC7" w:rsidP="00B86ACE">
      <w:pPr>
        <w:spacing w:before="240" w:after="240" w:line="360" w:lineRule="auto"/>
        <w:ind w:left="1440" w:firstLine="72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(41.9 + 151.0) </w:t>
      </w:r>
      <w:r w:rsidRPr="00B86ACE">
        <w:rPr>
          <w:rFonts w:ascii="Times New Roman" w:eastAsia="Times New Roman" w:hAnsi="Times New Roman" w:cs="Times New Roman"/>
          <w:sz w:val="24"/>
          <w:szCs w:val="24"/>
        </w:rPr>
        <w:tab/>
      </w:r>
    </w:p>
    <w:p w14:paraId="7B66A2B0" w14:textId="77777777" w:rsidR="004A035E" w:rsidRPr="00B86ACE" w:rsidRDefault="00533DC7" w:rsidP="00B86ACE">
      <w:pPr>
        <w:spacing w:before="240" w:after="240" w:line="360" w:lineRule="auto"/>
        <w:ind w:left="1440" w:firstLine="720"/>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 192.9</w:t>
      </w:r>
    </w:p>
    <w:p w14:paraId="2B7C3D83"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5850A2EE"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Gearing ratio   = Total debt / Shareholder’s equity</w:t>
      </w:r>
    </w:p>
    <w:p w14:paraId="28876439"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213.5 / 80.3</w:t>
      </w:r>
    </w:p>
    <w:p w14:paraId="6D1C976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2.6588</w:t>
      </w:r>
    </w:p>
    <w:p w14:paraId="7CEA1DB1" w14:textId="78BF4185"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Here, Total debt </w:t>
      </w:r>
      <w:r w:rsidRPr="00B86ACE">
        <w:rPr>
          <w:rFonts w:ascii="Times New Roman" w:eastAsia="Times New Roman" w:hAnsi="Times New Roman" w:cs="Times New Roman"/>
          <w:sz w:val="24"/>
          <w:szCs w:val="24"/>
        </w:rPr>
        <w:tab/>
        <w:t xml:space="preserve">= </w:t>
      </w:r>
      <w:r w:rsidR="00B86ACE" w:rsidRPr="00B86ACE">
        <w:rPr>
          <w:rFonts w:ascii="Times New Roman" w:eastAsia="Times New Roman" w:hAnsi="Times New Roman" w:cs="Times New Roman"/>
          <w:sz w:val="24"/>
          <w:szCs w:val="24"/>
        </w:rPr>
        <w:t>(Long</w:t>
      </w:r>
      <w:r w:rsidRPr="00B86ACE">
        <w:rPr>
          <w:rFonts w:ascii="Times New Roman" w:eastAsia="Times New Roman" w:hAnsi="Times New Roman" w:cs="Times New Roman"/>
          <w:sz w:val="24"/>
          <w:szCs w:val="24"/>
        </w:rPr>
        <w:t xml:space="preserve"> term loans + Current liabilities) </w:t>
      </w:r>
    </w:p>
    <w:p w14:paraId="3C81FB20"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(65.1 +148.4)</w:t>
      </w:r>
    </w:p>
    <w:p w14:paraId="618BBCC9"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r>
      <w:r w:rsidRPr="00B86ACE">
        <w:rPr>
          <w:rFonts w:ascii="Times New Roman" w:eastAsia="Times New Roman" w:hAnsi="Times New Roman" w:cs="Times New Roman"/>
          <w:sz w:val="24"/>
          <w:szCs w:val="24"/>
        </w:rPr>
        <w:tab/>
        <w:t>= 213.5</w:t>
      </w:r>
    </w:p>
    <w:p w14:paraId="48D653C5"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10.</w:t>
      </w:r>
    </w:p>
    <w:p w14:paraId="615883DB"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2019</w:t>
      </w:r>
    </w:p>
    <w:p w14:paraId="1BC759DA" w14:textId="58CBE80F"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Interest </w:t>
      </w:r>
      <w:r w:rsidR="00B86ACE" w:rsidRPr="00B86ACE">
        <w:rPr>
          <w:rFonts w:ascii="Times New Roman" w:eastAsia="Times New Roman" w:hAnsi="Times New Roman" w:cs="Times New Roman"/>
          <w:sz w:val="24"/>
          <w:szCs w:val="24"/>
        </w:rPr>
        <w:t>cover =</w:t>
      </w:r>
      <w:r w:rsidRPr="00B86ACE">
        <w:rPr>
          <w:rFonts w:ascii="Times New Roman" w:eastAsia="Times New Roman" w:hAnsi="Times New Roman" w:cs="Times New Roman"/>
          <w:sz w:val="24"/>
          <w:szCs w:val="24"/>
        </w:rPr>
        <w:t xml:space="preserve"> EBIT / Cost of interest</w:t>
      </w:r>
    </w:p>
    <w:p w14:paraId="49CECC3F"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23 / 0.2</w:t>
      </w:r>
    </w:p>
    <w:p w14:paraId="1D7E74B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115</w:t>
      </w:r>
    </w:p>
    <w:p w14:paraId="17514710"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2018</w:t>
      </w:r>
    </w:p>
    <w:p w14:paraId="241FE078" w14:textId="0C0F12FE"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Interest </w:t>
      </w:r>
      <w:r w:rsidR="00B86ACE" w:rsidRPr="00B86ACE">
        <w:rPr>
          <w:rFonts w:ascii="Times New Roman" w:eastAsia="Times New Roman" w:hAnsi="Times New Roman" w:cs="Times New Roman"/>
          <w:sz w:val="24"/>
          <w:szCs w:val="24"/>
        </w:rPr>
        <w:t>cover =</w:t>
      </w:r>
      <w:r w:rsidRPr="00B86ACE">
        <w:rPr>
          <w:rFonts w:ascii="Times New Roman" w:eastAsia="Times New Roman" w:hAnsi="Times New Roman" w:cs="Times New Roman"/>
          <w:sz w:val="24"/>
          <w:szCs w:val="24"/>
        </w:rPr>
        <w:t xml:space="preserve"> EBIT / Cost of interest</w:t>
      </w:r>
    </w:p>
    <w:p w14:paraId="75F32326"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29.7 / 3.5</w:t>
      </w:r>
    </w:p>
    <w:p w14:paraId="0B98548E"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sz w:val="24"/>
          <w:szCs w:val="24"/>
        </w:rPr>
        <w:tab/>
        <w:t>= 8.4857</w:t>
      </w:r>
    </w:p>
    <w:p w14:paraId="6DF086DA"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w:t>
      </w:r>
    </w:p>
    <w:p w14:paraId="3F724D09"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1.</w:t>
      </w: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b/>
          <w:sz w:val="24"/>
          <w:szCs w:val="24"/>
        </w:rPr>
        <w:t>Return on capital employed</w:t>
      </w:r>
    </w:p>
    <w:p w14:paraId="1F022538" w14:textId="6493090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Per dollar profitability of Jerry plc can be measured by the ratio of return on capital employed (</w:t>
      </w:r>
      <w:r w:rsidRPr="00B86ACE">
        <w:rPr>
          <w:rFonts w:ascii="Times New Roman" w:hAnsi="Times New Roman" w:cs="Times New Roman"/>
          <w:color w:val="222222"/>
          <w:sz w:val="24"/>
          <w:szCs w:val="24"/>
          <w:highlight w:val="white"/>
        </w:rPr>
        <w:t>Jayawardhana, 2016</w:t>
      </w:r>
      <w:r w:rsidRPr="00B86ACE">
        <w:rPr>
          <w:rFonts w:ascii="Times New Roman" w:eastAsia="Times New Roman" w:hAnsi="Times New Roman" w:cs="Times New Roman"/>
          <w:sz w:val="24"/>
          <w:szCs w:val="24"/>
        </w:rPr>
        <w:t xml:space="preserve">). ROCE of 2018 and 2019 is 0.20 and 0.17 respectively which displays that the company was more proficient in 2018 in generating more profits out of </w:t>
      </w:r>
      <w:r w:rsidR="00A75CF1" w:rsidRPr="00B86ACE">
        <w:rPr>
          <w:rFonts w:ascii="Times New Roman" w:eastAsia="Times New Roman" w:hAnsi="Times New Roman" w:cs="Times New Roman"/>
          <w:sz w:val="24"/>
          <w:szCs w:val="24"/>
        </w:rPr>
        <w:t>1-dollar</w:t>
      </w:r>
      <w:r w:rsidRPr="00B86ACE">
        <w:rPr>
          <w:rFonts w:ascii="Times New Roman" w:eastAsia="Times New Roman" w:hAnsi="Times New Roman" w:cs="Times New Roman"/>
          <w:sz w:val="24"/>
          <w:szCs w:val="24"/>
        </w:rPr>
        <w:t xml:space="preserve"> capital investment.</w:t>
      </w:r>
    </w:p>
    <w:p w14:paraId="305A8BBE"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2.</w:t>
      </w: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b/>
          <w:sz w:val="24"/>
          <w:szCs w:val="24"/>
        </w:rPr>
        <w:t>Return on equity</w:t>
      </w:r>
    </w:p>
    <w:p w14:paraId="1CAFCCEB"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Profit generating capabilities of management through the utilization of shareholder's investment can be measured by the ratio of ROE. ROE of 2018 (.2279) indicates that profitability was higher in 2018. Although both the years were able to pay off the total cost of capital as ROE of both the year is more than 10%.</w:t>
      </w:r>
    </w:p>
    <w:p w14:paraId="1F55257F"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3</w:t>
      </w:r>
      <w:r w:rsidRPr="00B86ACE">
        <w:rPr>
          <w:rFonts w:ascii="Times New Roman" w:eastAsia="Times New Roman" w:hAnsi="Times New Roman" w:cs="Times New Roman"/>
          <w:sz w:val="24"/>
          <w:szCs w:val="24"/>
        </w:rPr>
        <w:t xml:space="preserve">. </w:t>
      </w:r>
      <w:r w:rsidRPr="00B86ACE">
        <w:rPr>
          <w:rFonts w:ascii="Times New Roman" w:eastAsia="Times New Roman" w:hAnsi="Times New Roman" w:cs="Times New Roman"/>
          <w:b/>
          <w:sz w:val="24"/>
          <w:szCs w:val="24"/>
        </w:rPr>
        <w:t>EPS</w:t>
      </w:r>
    </w:p>
    <w:p w14:paraId="208C2F9D"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EPS is a crucial performance measurement ratio which reveals that 2018 was more profitable in terms of revenue earned per outstanding shares.</w:t>
      </w:r>
    </w:p>
    <w:p w14:paraId="3D0B4F89"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4. Gross profit margin</w:t>
      </w:r>
    </w:p>
    <w:p w14:paraId="75F708C4"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Management was more efficient in managing COGS in 2018 as the gross profit margin is higher in 2018 compared to 2019.</w:t>
      </w:r>
    </w:p>
    <w:p w14:paraId="21184AC8"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5. Asset turnover</w:t>
      </w:r>
    </w:p>
    <w:p w14:paraId="3BF98CA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value of the asset turnover ratio in 2019 was 1.7289 and in 2018 it was 3.3138. The above value reveals that 2018 was more productive in terms of generating revenue from assets.</w:t>
      </w:r>
    </w:p>
    <w:p w14:paraId="6F95029B"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6. Stock holding period</w:t>
      </w:r>
    </w:p>
    <w:p w14:paraId="4291F9C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average time period of stock holdings of Jerry plc can be ascertained through the ratio of the stock holding period. Production management of Jerry Plc was more proficient in 2019 in stock management and the risk of obsolescence was much lower compared to 2018.</w:t>
      </w:r>
    </w:p>
    <w:p w14:paraId="75274E48"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7. Debtors collection period</w:t>
      </w:r>
    </w:p>
    <w:p w14:paraId="7FF312F1"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lastRenderedPageBreak/>
        <w:t>Debtor's collection period of 2018 and 2019 was 86.0014 and 83.6595 respectively. It is evident from the above data that the debt management policy and regulation were more effective and efficient in 2019.</w:t>
      </w:r>
    </w:p>
    <w:p w14:paraId="2B2AB23F"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8. Current ratio</w:t>
      </w:r>
    </w:p>
    <w:p w14:paraId="2004D6C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current ratio of 2018 is 1.0546 and 2019 is 1.0192. Differences were not high between the two consecutive year's current ratios (</w:t>
      </w:r>
      <w:r w:rsidRPr="00B86ACE">
        <w:rPr>
          <w:rFonts w:ascii="Times New Roman" w:hAnsi="Times New Roman" w:cs="Times New Roman"/>
          <w:color w:val="222222"/>
          <w:sz w:val="24"/>
          <w:szCs w:val="24"/>
          <w:highlight w:val="white"/>
        </w:rPr>
        <w:t>Willy, 2017</w:t>
      </w:r>
      <w:r w:rsidRPr="00B86ACE">
        <w:rPr>
          <w:rFonts w:ascii="Times New Roman" w:eastAsia="Times New Roman" w:hAnsi="Times New Roman" w:cs="Times New Roman"/>
          <w:sz w:val="24"/>
          <w:szCs w:val="24"/>
        </w:rPr>
        <w:t>). In both the years, the company was sufficiently liquidated to pay off the total liabilities of respective years.</w:t>
      </w:r>
    </w:p>
    <w:p w14:paraId="74AF88F8"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9. Gearing</w:t>
      </w:r>
    </w:p>
    <w:p w14:paraId="0D2690A7"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gearing ratio ascertained the proportion of borrowed and equity capital and it was higher in 2018 means risk exposure was higher in 2018.</w:t>
      </w:r>
    </w:p>
    <w:p w14:paraId="1B880234" w14:textId="77777777" w:rsidR="004A035E" w:rsidRPr="00B86ACE" w:rsidRDefault="00533DC7" w:rsidP="00B86ACE">
      <w:pPr>
        <w:spacing w:before="240" w:after="240" w:line="360" w:lineRule="auto"/>
        <w:jc w:val="both"/>
        <w:rPr>
          <w:rFonts w:ascii="Times New Roman" w:eastAsia="Times New Roman" w:hAnsi="Times New Roman" w:cs="Times New Roman"/>
          <w:b/>
          <w:sz w:val="24"/>
          <w:szCs w:val="24"/>
        </w:rPr>
      </w:pPr>
      <w:r w:rsidRPr="00B86ACE">
        <w:rPr>
          <w:rFonts w:ascii="Times New Roman" w:eastAsia="Times New Roman" w:hAnsi="Times New Roman" w:cs="Times New Roman"/>
          <w:b/>
          <w:sz w:val="24"/>
          <w:szCs w:val="24"/>
        </w:rPr>
        <w:t>10. Interest cover</w:t>
      </w:r>
    </w:p>
    <w:p w14:paraId="4BC94CD2" w14:textId="77777777" w:rsidR="004A035E" w:rsidRPr="00B86ACE" w:rsidRDefault="00533DC7" w:rsidP="00B86ACE">
      <w:pPr>
        <w:spacing w:before="240" w:after="240"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lower value of interest cover ratio in 2018 exhibits the management's inefficiency in arranging interest for the specific period's unsettled debt.</w:t>
      </w:r>
    </w:p>
    <w:p w14:paraId="0494FC85" w14:textId="77777777" w:rsidR="004A035E" w:rsidRPr="00B86ACE" w:rsidRDefault="00533DC7" w:rsidP="00B86ACE">
      <w:pPr>
        <w:pStyle w:val="Heading1"/>
      </w:pPr>
      <w:bookmarkStart w:id="3" w:name="_Toc49180299"/>
      <w:r w:rsidRPr="00B86ACE">
        <w:t>Q3</w:t>
      </w:r>
      <w:bookmarkEnd w:id="3"/>
    </w:p>
    <w:p w14:paraId="62A820D4"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(a)</w:t>
      </w:r>
    </w:p>
    <w:p w14:paraId="67004CCA"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Financial statements are prepared to provide relevant information to users in the decision-making process. Three different user groups of financial statements are discussed below.</w:t>
      </w:r>
    </w:p>
    <w:p w14:paraId="118ED12E"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Managers</w:t>
      </w:r>
      <w:r w:rsidRPr="00B86ACE">
        <w:rPr>
          <w:rFonts w:ascii="Times New Roman" w:eastAsia="Times New Roman" w:hAnsi="Times New Roman" w:cs="Times New Roman"/>
          <w:sz w:val="24"/>
          <w:szCs w:val="24"/>
        </w:rPr>
        <w:t xml:space="preserve"> - Management of the business is responsible for taking proper decisions in the operational process of the business. Managers of different segments of the organization critically analyze various financial statements to provide informative input in the discussion of future goal setting, budgeting and current financial condition of the organization. Financial statements also reveal information regarding the performances of each department and individual employees which assist managers to determine the areas of improvement. Based on this, managers can implement required training and other corrective measures in the process. </w:t>
      </w:r>
    </w:p>
    <w:p w14:paraId="2EFB857D" w14:textId="0B977155"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Customers</w:t>
      </w:r>
      <w:r w:rsidRPr="00B86ACE">
        <w:rPr>
          <w:rFonts w:ascii="Times New Roman" w:eastAsia="Times New Roman" w:hAnsi="Times New Roman" w:cs="Times New Roman"/>
          <w:sz w:val="24"/>
          <w:szCs w:val="24"/>
        </w:rPr>
        <w:t xml:space="preserve"> - Before engaging in any </w:t>
      </w:r>
      <w:r w:rsidR="00B86ACE" w:rsidRPr="00B86ACE">
        <w:rPr>
          <w:rFonts w:ascii="Times New Roman" w:eastAsia="Times New Roman" w:hAnsi="Times New Roman" w:cs="Times New Roman"/>
          <w:sz w:val="24"/>
          <w:szCs w:val="24"/>
        </w:rPr>
        <w:t>long-term</w:t>
      </w:r>
      <w:r w:rsidRPr="00B86ACE">
        <w:rPr>
          <w:rFonts w:ascii="Times New Roman" w:eastAsia="Times New Roman" w:hAnsi="Times New Roman" w:cs="Times New Roman"/>
          <w:sz w:val="24"/>
          <w:szCs w:val="24"/>
        </w:rPr>
        <w:t xml:space="preserve"> commitment with organizations, customers tend to analyze the managerial ability of the organizations as well as the operational stability of the </w:t>
      </w:r>
      <w:r w:rsidRPr="00B86ACE">
        <w:rPr>
          <w:rFonts w:ascii="Times New Roman" w:eastAsia="Times New Roman" w:hAnsi="Times New Roman" w:cs="Times New Roman"/>
          <w:sz w:val="24"/>
          <w:szCs w:val="24"/>
        </w:rPr>
        <w:lastRenderedPageBreak/>
        <w:t>process (</w:t>
      </w:r>
      <w:r w:rsidRPr="00B86ACE">
        <w:rPr>
          <w:rFonts w:ascii="Times New Roman" w:hAnsi="Times New Roman" w:cs="Times New Roman"/>
          <w:color w:val="222222"/>
          <w:sz w:val="24"/>
          <w:szCs w:val="24"/>
          <w:highlight w:val="white"/>
        </w:rPr>
        <w:t>Bentley-Goode, Newton and Thompson, 2017</w:t>
      </w:r>
      <w:r w:rsidRPr="00B86ACE">
        <w:rPr>
          <w:rFonts w:ascii="Times New Roman" w:eastAsia="Times New Roman" w:hAnsi="Times New Roman" w:cs="Times New Roman"/>
          <w:sz w:val="24"/>
          <w:szCs w:val="24"/>
        </w:rPr>
        <w:t>). Customers such as resellers or distributors analyzed the financial statements to determine the ability of a manufacturing company to maintain stability in the supply chain of any specialized component.</w:t>
      </w:r>
    </w:p>
    <w:p w14:paraId="023CD399"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b/>
          <w:sz w:val="24"/>
          <w:szCs w:val="24"/>
        </w:rPr>
        <w:t>Investors -</w:t>
      </w:r>
      <w:r w:rsidRPr="00B86ACE">
        <w:rPr>
          <w:rFonts w:ascii="Times New Roman" w:eastAsia="Times New Roman" w:hAnsi="Times New Roman" w:cs="Times New Roman"/>
          <w:sz w:val="24"/>
          <w:szCs w:val="24"/>
        </w:rPr>
        <w:t xml:space="preserve"> Financial statements are immensely crucial to the probable investors of the organization to determine the viability of the organization. Declaration of profits and growth rate in the financial statements helps investors to assess the future rate of dividends of the organization. An in-depth analysis of the financial statements reveals the risk exposure of the investment decision.  </w:t>
      </w:r>
    </w:p>
    <w:p w14:paraId="728E371F" w14:textId="77777777" w:rsidR="004A035E" w:rsidRPr="00B86ACE" w:rsidRDefault="004A035E" w:rsidP="00B86ACE">
      <w:pPr>
        <w:spacing w:line="360" w:lineRule="auto"/>
        <w:jc w:val="both"/>
        <w:rPr>
          <w:rFonts w:ascii="Times New Roman" w:eastAsia="Times New Roman" w:hAnsi="Times New Roman" w:cs="Times New Roman"/>
          <w:sz w:val="24"/>
          <w:szCs w:val="24"/>
        </w:rPr>
      </w:pPr>
    </w:p>
    <w:p w14:paraId="54E5965A"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w:t>
      </w:r>
    </w:p>
    <w:p w14:paraId="06C5CF71"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Financial statements must be prepared under a precise regulatory framework to attain the basic requirement of the user's information needs. Below are the advantages of highly regulated financial reporting.</w:t>
      </w:r>
    </w:p>
    <w:p w14:paraId="6DB3E63C" w14:textId="77777777" w:rsidR="004A035E" w:rsidRPr="00B86ACE" w:rsidRDefault="00533DC7" w:rsidP="00B86ACE">
      <w:pPr>
        <w:numPr>
          <w:ilvl w:val="0"/>
          <w:numId w:val="3"/>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Maintenance of records</w:t>
      </w:r>
      <w:r w:rsidRPr="00B86ACE">
        <w:rPr>
          <w:rFonts w:ascii="Times New Roman" w:eastAsia="Times New Roman" w:hAnsi="Times New Roman" w:cs="Times New Roman"/>
          <w:sz w:val="24"/>
          <w:szCs w:val="24"/>
        </w:rPr>
        <w:t xml:space="preserve"> - Appropriate way of reporting ensures the error-free records keeping policy. It decreases the dependency on the human resources for the record-keeping procedures.</w:t>
      </w:r>
    </w:p>
    <w:p w14:paraId="299470E0" w14:textId="77777777" w:rsidR="004A035E" w:rsidRPr="00B86ACE" w:rsidRDefault="00533DC7" w:rsidP="00B86ACE">
      <w:pPr>
        <w:numPr>
          <w:ilvl w:val="0"/>
          <w:numId w:val="3"/>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Preparation of financial statements</w:t>
      </w:r>
      <w:r w:rsidRPr="00B86ACE">
        <w:rPr>
          <w:rFonts w:ascii="Times New Roman" w:eastAsia="Times New Roman" w:hAnsi="Times New Roman" w:cs="Times New Roman"/>
          <w:sz w:val="24"/>
          <w:szCs w:val="24"/>
        </w:rPr>
        <w:t xml:space="preserve"> - Efficient record-keeping in a strict regulation helps the accountant to produce relevant, accurate and informative financial statements. Financial statements include a balance sheet, profit and loss statement and income statement and these statements reveal information that is necessary to produce an effective decision.</w:t>
      </w:r>
    </w:p>
    <w:p w14:paraId="3EBB1C90" w14:textId="77777777" w:rsidR="004A035E" w:rsidRPr="00B86ACE" w:rsidRDefault="00533DC7" w:rsidP="00B86ACE">
      <w:pPr>
        <w:numPr>
          <w:ilvl w:val="0"/>
          <w:numId w:val="3"/>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Comparative analysis</w:t>
      </w:r>
      <w:r w:rsidRPr="00B86ACE">
        <w:rPr>
          <w:rFonts w:ascii="Times New Roman" w:eastAsia="Times New Roman" w:hAnsi="Times New Roman" w:cs="Times New Roman"/>
          <w:sz w:val="24"/>
          <w:szCs w:val="24"/>
        </w:rPr>
        <w:t xml:space="preserve"> - Efficient reporting of financial statements helps management to get a deep insight into the financial outcomes of different fiscal years. This helps management to prepare a comparative study of different time frames to assess the stability of the financial condition.</w:t>
      </w:r>
    </w:p>
    <w:p w14:paraId="2B439C53"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Below are the discussions on the disadvantages of highly regulated financial reporting.</w:t>
      </w:r>
    </w:p>
    <w:p w14:paraId="5BD0F817" w14:textId="77777777" w:rsidR="004A035E" w:rsidRPr="00B86ACE" w:rsidRDefault="00533DC7" w:rsidP="00B86ACE">
      <w:pPr>
        <w:numPr>
          <w:ilvl w:val="0"/>
          <w:numId w:val="2"/>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 xml:space="preserve">Inflexible </w:t>
      </w:r>
      <w:r w:rsidRPr="00B86ACE">
        <w:rPr>
          <w:rFonts w:ascii="Times New Roman" w:eastAsia="Times New Roman" w:hAnsi="Times New Roman" w:cs="Times New Roman"/>
          <w:sz w:val="24"/>
          <w:szCs w:val="24"/>
        </w:rPr>
        <w:t>- Strict regulations of financial reporting reduce the flexibility of the financial process. Inflexibility diminishes the agility of financial reporting.</w:t>
      </w:r>
    </w:p>
    <w:p w14:paraId="7ACA5F52" w14:textId="77777777" w:rsidR="004A035E" w:rsidRPr="00B86ACE" w:rsidRDefault="00533DC7" w:rsidP="00B86ACE">
      <w:pPr>
        <w:numPr>
          <w:ilvl w:val="0"/>
          <w:numId w:val="2"/>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Reduces innovativeness</w:t>
      </w:r>
      <w:r w:rsidRPr="00B86ACE">
        <w:rPr>
          <w:rFonts w:ascii="Times New Roman" w:eastAsia="Times New Roman" w:hAnsi="Times New Roman" w:cs="Times New Roman"/>
          <w:sz w:val="24"/>
          <w:szCs w:val="24"/>
        </w:rPr>
        <w:t xml:space="preserve"> - Uncompromisingness decreases the scope of innovation in the financial reporting structure which hampers the effectiveness and efficiency of the financial reports.</w:t>
      </w:r>
    </w:p>
    <w:p w14:paraId="40B7CC3E" w14:textId="77777777" w:rsidR="004A035E" w:rsidRPr="00B86ACE" w:rsidRDefault="00533DC7" w:rsidP="00B86ACE">
      <w:pPr>
        <w:numPr>
          <w:ilvl w:val="0"/>
          <w:numId w:val="2"/>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lastRenderedPageBreak/>
        <w:t xml:space="preserve">Cost </w:t>
      </w:r>
      <w:r w:rsidRPr="00B86ACE">
        <w:rPr>
          <w:rFonts w:ascii="Times New Roman" w:eastAsia="Times New Roman" w:hAnsi="Times New Roman" w:cs="Times New Roman"/>
          <w:sz w:val="24"/>
          <w:szCs w:val="24"/>
        </w:rPr>
        <w:t>- High financial regulations of the organization attract higher amounts of cost due to rigorous record-keeping methods.</w:t>
      </w:r>
    </w:p>
    <w:p w14:paraId="66233F50" w14:textId="77777777" w:rsidR="004A035E" w:rsidRPr="00B86ACE" w:rsidRDefault="004A035E" w:rsidP="00B86ACE">
      <w:pPr>
        <w:spacing w:line="360" w:lineRule="auto"/>
        <w:ind w:left="720"/>
        <w:jc w:val="both"/>
        <w:rPr>
          <w:rFonts w:ascii="Times New Roman" w:eastAsia="Times New Roman" w:hAnsi="Times New Roman" w:cs="Times New Roman"/>
          <w:sz w:val="24"/>
          <w:szCs w:val="24"/>
        </w:rPr>
      </w:pPr>
    </w:p>
    <w:p w14:paraId="7140C344"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(c)</w:t>
      </w:r>
    </w:p>
    <w:p w14:paraId="5C8FF46C" w14:textId="77777777" w:rsidR="004A035E" w:rsidRPr="00B86ACE" w:rsidRDefault="00533DC7" w:rsidP="00B86ACE">
      <w:pPr>
        <w:spacing w:line="360" w:lineRule="auto"/>
        <w:jc w:val="both"/>
        <w:rPr>
          <w:rFonts w:ascii="Times New Roman" w:eastAsia="Times New Roman" w:hAnsi="Times New Roman" w:cs="Times New Roman"/>
          <w:sz w:val="24"/>
          <w:szCs w:val="24"/>
        </w:rPr>
      </w:pPr>
      <w:r w:rsidRPr="00B86ACE">
        <w:rPr>
          <w:rFonts w:ascii="Times New Roman" w:eastAsia="Times New Roman" w:hAnsi="Times New Roman" w:cs="Times New Roman"/>
          <w:sz w:val="24"/>
          <w:szCs w:val="24"/>
        </w:rPr>
        <w:t>The disadvantages of financial statements are provided below.</w:t>
      </w:r>
    </w:p>
    <w:p w14:paraId="19A0C2A8"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Dependent on a specific time frame</w:t>
      </w:r>
      <w:r w:rsidRPr="00B86ACE">
        <w:rPr>
          <w:rFonts w:ascii="Times New Roman" w:eastAsia="Times New Roman" w:hAnsi="Times New Roman" w:cs="Times New Roman"/>
          <w:sz w:val="24"/>
          <w:szCs w:val="24"/>
        </w:rPr>
        <w:t xml:space="preserve"> - Financial statements are prepared on the basis of a specific fiscal year. However, the financial analysis of a particular year does not provide a conclusive view of the financial health of the organization. For a detailed view, statements of multiple years must be considered.</w:t>
      </w:r>
    </w:p>
    <w:p w14:paraId="47585E54"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Intangible assets are ignored</w:t>
      </w:r>
      <w:r w:rsidRPr="00B86ACE">
        <w:rPr>
          <w:rFonts w:ascii="Times New Roman" w:eastAsia="Times New Roman" w:hAnsi="Times New Roman" w:cs="Times New Roman"/>
          <w:sz w:val="24"/>
          <w:szCs w:val="24"/>
        </w:rPr>
        <w:t xml:space="preserve"> - Procedures of financial statements do not consider any intangible assets as organizational assets but consider the expenses in the profit and loss statements or in the income statements (</w:t>
      </w:r>
      <w:r w:rsidRPr="00B86ACE">
        <w:rPr>
          <w:rFonts w:ascii="Times New Roman" w:hAnsi="Times New Roman" w:cs="Times New Roman"/>
          <w:color w:val="222222"/>
          <w:sz w:val="24"/>
          <w:szCs w:val="24"/>
          <w:highlight w:val="white"/>
        </w:rPr>
        <w:t>Danişman, 2018</w:t>
      </w:r>
      <w:r w:rsidRPr="00B86ACE">
        <w:rPr>
          <w:rFonts w:ascii="Times New Roman" w:eastAsia="Times New Roman" w:hAnsi="Times New Roman" w:cs="Times New Roman"/>
          <w:sz w:val="24"/>
          <w:szCs w:val="24"/>
        </w:rPr>
        <w:t>). It does not represent the original value of organizations which produces a substantial amount in developing goodwill or brand values.</w:t>
      </w:r>
    </w:p>
    <w:p w14:paraId="2427984E"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Ignore the impact of inflation</w:t>
      </w:r>
      <w:r w:rsidRPr="00B86ACE">
        <w:rPr>
          <w:rFonts w:ascii="Times New Roman" w:eastAsia="Times New Roman" w:hAnsi="Times New Roman" w:cs="Times New Roman"/>
          <w:sz w:val="24"/>
          <w:szCs w:val="24"/>
        </w:rPr>
        <w:t xml:space="preserve"> - Financial statement structure does not consider the inflation rate in the valuation of assets. As a result, it presents a comparatively lower amount of liabilities and assets in the balance sheet at the time of high inflation and vice versa.</w:t>
      </w:r>
    </w:p>
    <w:p w14:paraId="1E0AAF5F"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Based on historical cost</w:t>
      </w:r>
      <w:r w:rsidRPr="00B86ACE">
        <w:rPr>
          <w:rFonts w:ascii="Times New Roman" w:eastAsia="Times New Roman" w:hAnsi="Times New Roman" w:cs="Times New Roman"/>
          <w:sz w:val="24"/>
          <w:szCs w:val="24"/>
        </w:rPr>
        <w:t xml:space="preserve"> - Transactions of financial statements are recorded at their cost price. Balance sheets may provide misleading and irrelevant information to the users because of the more dependency on the historical cost.</w:t>
      </w:r>
    </w:p>
    <w:p w14:paraId="1AF68A7C"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Do not predict future value</w:t>
      </w:r>
      <w:r w:rsidRPr="00B86ACE">
        <w:rPr>
          <w:rFonts w:ascii="Times New Roman" w:eastAsia="Times New Roman" w:hAnsi="Times New Roman" w:cs="Times New Roman"/>
          <w:sz w:val="24"/>
          <w:szCs w:val="24"/>
        </w:rPr>
        <w:t xml:space="preserve"> - Financial statements are completely based on either historical data of the previous year or include the organizational financial condition of a particular time frame. However, it fails to meet the information requirement of future value projection of any financial component.</w:t>
      </w:r>
    </w:p>
    <w:p w14:paraId="7F2B68A5"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Unverified data</w:t>
      </w:r>
      <w:r w:rsidRPr="00B86ACE">
        <w:rPr>
          <w:rFonts w:ascii="Times New Roman" w:eastAsia="Times New Roman" w:hAnsi="Times New Roman" w:cs="Times New Roman"/>
          <w:sz w:val="24"/>
          <w:szCs w:val="24"/>
        </w:rPr>
        <w:t xml:space="preserve"> - Unaudited data of financial statements present unverified accounting information that does not ensure the compliance of accounting policies, controls and regulations.</w:t>
      </w:r>
    </w:p>
    <w:p w14:paraId="3F5A8B96" w14:textId="6FCE8EEE"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Disregards non-financial factors</w:t>
      </w:r>
      <w:r w:rsidRPr="00B86ACE">
        <w:rPr>
          <w:rFonts w:ascii="Times New Roman" w:eastAsia="Times New Roman" w:hAnsi="Times New Roman" w:cs="Times New Roman"/>
          <w:sz w:val="24"/>
          <w:szCs w:val="24"/>
        </w:rPr>
        <w:t xml:space="preserve"> - Non-financial factors such as external environmental factors, environmental attentiveness </w:t>
      </w:r>
      <w:r w:rsidR="00B86ACE" w:rsidRPr="00B86ACE">
        <w:rPr>
          <w:rFonts w:ascii="Times New Roman" w:eastAsia="Times New Roman" w:hAnsi="Times New Roman" w:cs="Times New Roman"/>
          <w:sz w:val="24"/>
          <w:szCs w:val="24"/>
        </w:rPr>
        <w:t>is</w:t>
      </w:r>
      <w:r w:rsidRPr="00B86ACE">
        <w:rPr>
          <w:rFonts w:ascii="Times New Roman" w:eastAsia="Times New Roman" w:hAnsi="Times New Roman" w:cs="Times New Roman"/>
          <w:sz w:val="24"/>
          <w:szCs w:val="24"/>
        </w:rPr>
        <w:t xml:space="preserve"> not inclusive in the financial statements. </w:t>
      </w:r>
    </w:p>
    <w:p w14:paraId="0FA9C6E5"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lastRenderedPageBreak/>
        <w:t>Fraud</w:t>
      </w:r>
      <w:r w:rsidRPr="00B86ACE">
        <w:rPr>
          <w:rFonts w:ascii="Times New Roman" w:eastAsia="Times New Roman" w:hAnsi="Times New Roman" w:cs="Times New Roman"/>
          <w:sz w:val="24"/>
          <w:szCs w:val="24"/>
        </w:rPr>
        <w:t xml:space="preserve"> - Management can window dress the operational as well as the overall financial results of the organization in order to represent better financial health of the organization. This act will surely be misleading while taking any significant decisions.</w:t>
      </w:r>
    </w:p>
    <w:p w14:paraId="7F400B04" w14:textId="77777777" w:rsidR="004A035E" w:rsidRPr="00B86ACE" w:rsidRDefault="00533DC7" w:rsidP="00B86ACE">
      <w:pPr>
        <w:numPr>
          <w:ilvl w:val="0"/>
          <w:numId w:val="1"/>
        </w:numPr>
        <w:spacing w:line="360" w:lineRule="auto"/>
        <w:jc w:val="both"/>
        <w:rPr>
          <w:rFonts w:ascii="Times New Roman" w:eastAsia="Times New Roman" w:hAnsi="Times New Roman" w:cs="Times New Roman"/>
          <w:sz w:val="24"/>
          <w:szCs w:val="24"/>
        </w:rPr>
      </w:pPr>
      <w:r w:rsidRPr="00A75CF1">
        <w:rPr>
          <w:rFonts w:ascii="Times New Roman" w:eastAsia="Times New Roman" w:hAnsi="Times New Roman" w:cs="Times New Roman"/>
          <w:b/>
          <w:bCs/>
          <w:sz w:val="24"/>
          <w:szCs w:val="24"/>
        </w:rPr>
        <w:t>Difficulties in comparing with industrial performance</w:t>
      </w:r>
      <w:r w:rsidRPr="00B86ACE">
        <w:rPr>
          <w:rFonts w:ascii="Times New Roman" w:eastAsia="Times New Roman" w:hAnsi="Times New Roman" w:cs="Times New Roman"/>
          <w:sz w:val="24"/>
          <w:szCs w:val="24"/>
        </w:rPr>
        <w:t xml:space="preserve"> - Different organizations use different accounting procedures in preparing their accounting statements. Hence, it is not always possible to compare the financial outcomes of different companies of the same industry through the comparison between their financial statements. </w:t>
      </w:r>
      <w:r w:rsidRPr="00B86ACE">
        <w:rPr>
          <w:rFonts w:ascii="Times New Roman" w:hAnsi="Times New Roman" w:cs="Times New Roman"/>
          <w:sz w:val="24"/>
          <w:szCs w:val="24"/>
        </w:rPr>
        <w:br w:type="page"/>
      </w:r>
    </w:p>
    <w:p w14:paraId="56F391C3" w14:textId="77777777" w:rsidR="004A035E" w:rsidRPr="00B86ACE" w:rsidRDefault="00533DC7" w:rsidP="00B86ACE">
      <w:pPr>
        <w:pStyle w:val="Heading1"/>
      </w:pPr>
      <w:bookmarkStart w:id="4" w:name="_Toc49180300"/>
      <w:r w:rsidRPr="00B86ACE">
        <w:lastRenderedPageBreak/>
        <w:t>Reference List</w:t>
      </w:r>
      <w:bookmarkEnd w:id="4"/>
    </w:p>
    <w:p w14:paraId="7B9C56BA"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Bentley-Goode, K.A., Newton, N.J. and Thompson, A.M., 2017. Business strategy, internal control over financial reporting, and audit reporting quality. </w:t>
      </w:r>
      <w:r w:rsidRPr="00B86ACE">
        <w:rPr>
          <w:rFonts w:ascii="Times New Roman" w:hAnsi="Times New Roman" w:cs="Times New Roman"/>
          <w:i/>
          <w:color w:val="222222"/>
          <w:sz w:val="24"/>
          <w:szCs w:val="24"/>
          <w:highlight w:val="white"/>
        </w:rPr>
        <w:t>Auditing: A Journal of Practice &amp; Theory</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36</w:t>
      </w:r>
      <w:r w:rsidRPr="00B86ACE">
        <w:rPr>
          <w:rFonts w:ascii="Times New Roman" w:hAnsi="Times New Roman" w:cs="Times New Roman"/>
          <w:color w:val="222222"/>
          <w:sz w:val="24"/>
          <w:szCs w:val="24"/>
          <w:highlight w:val="white"/>
        </w:rPr>
        <w:t>(4), pp.49-69.</w:t>
      </w:r>
    </w:p>
    <w:p w14:paraId="37B81EAC"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Chalu, H. and Lubawa, G., 2018. Using financial statements to analyze the effects of multiple Borrowings on SMEs financial performance in Tanzania. </w:t>
      </w:r>
      <w:r w:rsidRPr="00B86ACE">
        <w:rPr>
          <w:rFonts w:ascii="Times New Roman" w:hAnsi="Times New Roman" w:cs="Times New Roman"/>
          <w:i/>
          <w:color w:val="222222"/>
          <w:sz w:val="24"/>
          <w:szCs w:val="24"/>
          <w:highlight w:val="white"/>
        </w:rPr>
        <w:t>Inter. J. Res. Methodol. Soc. Sci</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1</w:t>
      </w:r>
      <w:r w:rsidRPr="00B86ACE">
        <w:rPr>
          <w:rFonts w:ascii="Times New Roman" w:hAnsi="Times New Roman" w:cs="Times New Roman"/>
          <w:color w:val="222222"/>
          <w:sz w:val="24"/>
          <w:szCs w:val="24"/>
          <w:highlight w:val="white"/>
        </w:rPr>
        <w:t>(4), pp.87-107.</w:t>
      </w:r>
    </w:p>
    <w:p w14:paraId="2D7D8520"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Danişman, G.Ö., 2018. Determinants of Bank Stability: A Financial Statement Analysis of Turkish Banks 1. </w:t>
      </w:r>
      <w:r w:rsidRPr="00B86ACE">
        <w:rPr>
          <w:rFonts w:ascii="Times New Roman" w:hAnsi="Times New Roman" w:cs="Times New Roman"/>
          <w:i/>
          <w:color w:val="222222"/>
          <w:sz w:val="24"/>
          <w:szCs w:val="24"/>
          <w:highlight w:val="white"/>
        </w:rPr>
        <w:t>Sosyoekonomi</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26</w:t>
      </w:r>
      <w:r w:rsidRPr="00B86ACE">
        <w:rPr>
          <w:rFonts w:ascii="Times New Roman" w:hAnsi="Times New Roman" w:cs="Times New Roman"/>
          <w:color w:val="222222"/>
          <w:sz w:val="24"/>
          <w:szCs w:val="24"/>
          <w:highlight w:val="white"/>
        </w:rPr>
        <w:t>(38), pp.87-103.</w:t>
      </w:r>
    </w:p>
    <w:p w14:paraId="4368F1E5"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Jayawardhana, A., 2016. Financial Performance Analysis of Adidas AG. </w:t>
      </w:r>
      <w:r w:rsidRPr="00B86ACE">
        <w:rPr>
          <w:rFonts w:ascii="Times New Roman" w:hAnsi="Times New Roman" w:cs="Times New Roman"/>
          <w:i/>
          <w:color w:val="222222"/>
          <w:sz w:val="24"/>
          <w:szCs w:val="24"/>
          <w:highlight w:val="white"/>
        </w:rPr>
        <w:t>European journal of business and management</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8</w:t>
      </w:r>
      <w:r w:rsidRPr="00B86ACE">
        <w:rPr>
          <w:rFonts w:ascii="Times New Roman" w:hAnsi="Times New Roman" w:cs="Times New Roman"/>
          <w:color w:val="222222"/>
          <w:sz w:val="24"/>
          <w:szCs w:val="24"/>
          <w:highlight w:val="white"/>
        </w:rPr>
        <w:t>(11), pp.74-82.</w:t>
      </w:r>
    </w:p>
    <w:p w14:paraId="2C14ACCB"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Kourtis, E., Kourtis, G. and Curtis, P., 2019. Αn Integrated Financial Ratio Analysis as a Navigation Compass through the Fraudulent Reporting Conundrum: Α Case Study. </w:t>
      </w:r>
      <w:r w:rsidRPr="00B86ACE">
        <w:rPr>
          <w:rFonts w:ascii="Times New Roman" w:hAnsi="Times New Roman" w:cs="Times New Roman"/>
          <w:i/>
          <w:color w:val="222222"/>
          <w:sz w:val="24"/>
          <w:szCs w:val="24"/>
          <w:highlight w:val="white"/>
        </w:rPr>
        <w:t>International Journal of Finance, Insurance and Risk Management</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9</w:t>
      </w:r>
      <w:r w:rsidRPr="00B86ACE">
        <w:rPr>
          <w:rFonts w:ascii="Times New Roman" w:hAnsi="Times New Roman" w:cs="Times New Roman"/>
          <w:color w:val="222222"/>
          <w:sz w:val="24"/>
          <w:szCs w:val="24"/>
          <w:highlight w:val="white"/>
        </w:rPr>
        <w:t>(1-2), pp.3-20.</w:t>
      </w:r>
    </w:p>
    <w:p w14:paraId="3035AFFA"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Naseem, M.A., Xiaoming, S., Riaz, S. and Rehman, R.U., 2017. Board attributes and financial performance: the evidence from an emerging economy. </w:t>
      </w:r>
      <w:r w:rsidRPr="00B86ACE">
        <w:rPr>
          <w:rFonts w:ascii="Times New Roman" w:hAnsi="Times New Roman" w:cs="Times New Roman"/>
          <w:i/>
          <w:color w:val="222222"/>
          <w:sz w:val="24"/>
          <w:szCs w:val="24"/>
          <w:highlight w:val="white"/>
        </w:rPr>
        <w:t>The journal of developing areas</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51</w:t>
      </w:r>
      <w:r w:rsidRPr="00B86ACE">
        <w:rPr>
          <w:rFonts w:ascii="Times New Roman" w:hAnsi="Times New Roman" w:cs="Times New Roman"/>
          <w:color w:val="222222"/>
          <w:sz w:val="24"/>
          <w:szCs w:val="24"/>
          <w:highlight w:val="white"/>
        </w:rPr>
        <w:t>(3), pp.281-297.</w:t>
      </w:r>
    </w:p>
    <w:p w14:paraId="16ACE78F"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Rahayu, R. and Martanti, D.E., 2020. ANALYSIS OF DC HWI BLITAR INCOME STATEMENTS. </w:t>
      </w:r>
      <w:r w:rsidRPr="00B86ACE">
        <w:rPr>
          <w:rFonts w:ascii="Times New Roman" w:hAnsi="Times New Roman" w:cs="Times New Roman"/>
          <w:i/>
          <w:color w:val="222222"/>
          <w:sz w:val="24"/>
          <w:szCs w:val="24"/>
          <w:highlight w:val="white"/>
        </w:rPr>
        <w:t>JOSAR (Journal of Students Academic Research)</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5</w:t>
      </w:r>
      <w:r w:rsidRPr="00B86ACE">
        <w:rPr>
          <w:rFonts w:ascii="Times New Roman" w:hAnsi="Times New Roman" w:cs="Times New Roman"/>
          <w:color w:val="222222"/>
          <w:sz w:val="24"/>
          <w:szCs w:val="24"/>
          <w:highlight w:val="white"/>
        </w:rPr>
        <w:t>(1), pp.54-61.</w:t>
      </w:r>
    </w:p>
    <w:p w14:paraId="023C1558" w14:textId="77777777" w:rsidR="005A3A3D" w:rsidRPr="00B86ACE" w:rsidRDefault="005A3A3D" w:rsidP="00B86ACE">
      <w:pPr>
        <w:spacing w:line="360" w:lineRule="auto"/>
        <w:jc w:val="both"/>
        <w:rPr>
          <w:rFonts w:ascii="Times New Roman" w:hAnsi="Times New Roman" w:cs="Times New Roman"/>
          <w:color w:val="222222"/>
          <w:sz w:val="24"/>
          <w:szCs w:val="24"/>
          <w:highlight w:val="white"/>
        </w:rPr>
      </w:pPr>
      <w:r w:rsidRPr="00B86ACE">
        <w:rPr>
          <w:rFonts w:ascii="Times New Roman" w:hAnsi="Times New Roman" w:cs="Times New Roman"/>
          <w:color w:val="222222"/>
          <w:sz w:val="24"/>
          <w:szCs w:val="24"/>
          <w:highlight w:val="white"/>
        </w:rPr>
        <w:t xml:space="preserve">Willy, S., 2017. Analysis of financial ratios to measure the company’s performance in the sectors of consumer goods at Pt. Nippon Indosari Corpindo, Tbk and Pt. Mayora Indah, Tbk. </w:t>
      </w:r>
      <w:r w:rsidRPr="00B86ACE">
        <w:rPr>
          <w:rFonts w:ascii="Times New Roman" w:hAnsi="Times New Roman" w:cs="Times New Roman"/>
          <w:i/>
          <w:color w:val="222222"/>
          <w:sz w:val="24"/>
          <w:szCs w:val="24"/>
          <w:highlight w:val="white"/>
        </w:rPr>
        <w:t>International Journal of Business and Economic Affairs</w:t>
      </w:r>
      <w:r w:rsidRPr="00B86ACE">
        <w:rPr>
          <w:rFonts w:ascii="Times New Roman" w:hAnsi="Times New Roman" w:cs="Times New Roman"/>
          <w:color w:val="222222"/>
          <w:sz w:val="24"/>
          <w:szCs w:val="24"/>
          <w:highlight w:val="white"/>
        </w:rPr>
        <w:t xml:space="preserve">, </w:t>
      </w:r>
      <w:r w:rsidRPr="00B86ACE">
        <w:rPr>
          <w:rFonts w:ascii="Times New Roman" w:hAnsi="Times New Roman" w:cs="Times New Roman"/>
          <w:i/>
          <w:color w:val="222222"/>
          <w:sz w:val="24"/>
          <w:szCs w:val="24"/>
          <w:highlight w:val="white"/>
        </w:rPr>
        <w:t>2</w:t>
      </w:r>
      <w:r w:rsidRPr="00B86ACE">
        <w:rPr>
          <w:rFonts w:ascii="Times New Roman" w:hAnsi="Times New Roman" w:cs="Times New Roman"/>
          <w:color w:val="222222"/>
          <w:sz w:val="24"/>
          <w:szCs w:val="24"/>
          <w:highlight w:val="white"/>
        </w:rPr>
        <w:t>(1), pp.45-51.</w:t>
      </w:r>
    </w:p>
    <w:sectPr w:rsidR="005A3A3D" w:rsidRPr="00B86ACE" w:rsidSect="00CD60B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10DA7" w14:textId="77777777" w:rsidR="00A76E03" w:rsidRDefault="00A76E03" w:rsidP="00CD60BE">
      <w:pPr>
        <w:spacing w:line="240" w:lineRule="auto"/>
      </w:pPr>
      <w:r>
        <w:separator/>
      </w:r>
    </w:p>
  </w:endnote>
  <w:endnote w:type="continuationSeparator" w:id="0">
    <w:p w14:paraId="57BAA7D9" w14:textId="77777777" w:rsidR="00A76E03" w:rsidRDefault="00A76E03" w:rsidP="00CD60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8564837"/>
      <w:docPartObj>
        <w:docPartGallery w:val="Page Numbers (Bottom of Page)"/>
        <w:docPartUnique/>
      </w:docPartObj>
    </w:sdtPr>
    <w:sdtEndPr/>
    <w:sdtContent>
      <w:sdt>
        <w:sdtPr>
          <w:id w:val="-1769616900"/>
          <w:docPartObj>
            <w:docPartGallery w:val="Page Numbers (Top of Page)"/>
            <w:docPartUnique/>
          </w:docPartObj>
        </w:sdtPr>
        <w:sdtEndPr/>
        <w:sdtContent>
          <w:p w14:paraId="1394263A" w14:textId="3BCDCC1D" w:rsidR="00265EA9" w:rsidRDefault="00265EA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A1DC6CD" w14:textId="77777777" w:rsidR="00CD60BE" w:rsidRDefault="00CD6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E273F" w14:textId="77777777" w:rsidR="00A76E03" w:rsidRDefault="00A76E03" w:rsidP="00CD60BE">
      <w:pPr>
        <w:spacing w:line="240" w:lineRule="auto"/>
      </w:pPr>
      <w:r>
        <w:separator/>
      </w:r>
    </w:p>
  </w:footnote>
  <w:footnote w:type="continuationSeparator" w:id="0">
    <w:p w14:paraId="55098D66" w14:textId="77777777" w:rsidR="00A76E03" w:rsidRDefault="00A76E03" w:rsidP="00CD60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2E5410"/>
    <w:multiLevelType w:val="hybridMultilevel"/>
    <w:tmpl w:val="00000000"/>
    <w:lvl w:ilvl="0" w:tplc="954C01C0">
      <w:start w:val="1"/>
      <w:numFmt w:val="bullet"/>
      <w:lvlText w:val="●"/>
      <w:lvlJc w:val="left"/>
      <w:pPr>
        <w:ind w:left="720" w:hanging="360"/>
      </w:pPr>
      <w:rPr>
        <w:u w:val="none"/>
      </w:rPr>
    </w:lvl>
    <w:lvl w:ilvl="1" w:tplc="7F822268">
      <w:start w:val="1"/>
      <w:numFmt w:val="bullet"/>
      <w:lvlText w:val="○"/>
      <w:lvlJc w:val="left"/>
      <w:pPr>
        <w:ind w:left="1440" w:hanging="360"/>
      </w:pPr>
      <w:rPr>
        <w:u w:val="none"/>
      </w:rPr>
    </w:lvl>
    <w:lvl w:ilvl="2" w:tplc="731A21B6">
      <w:start w:val="1"/>
      <w:numFmt w:val="bullet"/>
      <w:lvlText w:val="■"/>
      <w:lvlJc w:val="left"/>
      <w:pPr>
        <w:ind w:left="2160" w:hanging="360"/>
      </w:pPr>
      <w:rPr>
        <w:u w:val="none"/>
      </w:rPr>
    </w:lvl>
    <w:lvl w:ilvl="3" w:tplc="9C1083E4">
      <w:start w:val="1"/>
      <w:numFmt w:val="bullet"/>
      <w:lvlText w:val="●"/>
      <w:lvlJc w:val="left"/>
      <w:pPr>
        <w:ind w:left="2880" w:hanging="360"/>
      </w:pPr>
      <w:rPr>
        <w:u w:val="none"/>
      </w:rPr>
    </w:lvl>
    <w:lvl w:ilvl="4" w:tplc="4A5C14BA">
      <w:start w:val="1"/>
      <w:numFmt w:val="bullet"/>
      <w:lvlText w:val="○"/>
      <w:lvlJc w:val="left"/>
      <w:pPr>
        <w:ind w:left="3600" w:hanging="360"/>
      </w:pPr>
      <w:rPr>
        <w:u w:val="none"/>
      </w:rPr>
    </w:lvl>
    <w:lvl w:ilvl="5" w:tplc="A5309AF4">
      <w:start w:val="1"/>
      <w:numFmt w:val="bullet"/>
      <w:lvlText w:val="■"/>
      <w:lvlJc w:val="left"/>
      <w:pPr>
        <w:ind w:left="4320" w:hanging="360"/>
      </w:pPr>
      <w:rPr>
        <w:u w:val="none"/>
      </w:rPr>
    </w:lvl>
    <w:lvl w:ilvl="6" w:tplc="FDA2C5FC">
      <w:start w:val="1"/>
      <w:numFmt w:val="bullet"/>
      <w:lvlText w:val="●"/>
      <w:lvlJc w:val="left"/>
      <w:pPr>
        <w:ind w:left="5040" w:hanging="360"/>
      </w:pPr>
      <w:rPr>
        <w:u w:val="none"/>
      </w:rPr>
    </w:lvl>
    <w:lvl w:ilvl="7" w:tplc="07604A32">
      <w:start w:val="1"/>
      <w:numFmt w:val="bullet"/>
      <w:lvlText w:val="○"/>
      <w:lvlJc w:val="left"/>
      <w:pPr>
        <w:ind w:left="5760" w:hanging="360"/>
      </w:pPr>
      <w:rPr>
        <w:u w:val="none"/>
      </w:rPr>
    </w:lvl>
    <w:lvl w:ilvl="8" w:tplc="CEDE9570">
      <w:start w:val="1"/>
      <w:numFmt w:val="bullet"/>
      <w:lvlText w:val="■"/>
      <w:lvlJc w:val="left"/>
      <w:pPr>
        <w:ind w:left="6480" w:hanging="360"/>
      </w:pPr>
      <w:rPr>
        <w:u w:val="none"/>
      </w:rPr>
    </w:lvl>
  </w:abstractNum>
  <w:abstractNum w:abstractNumId="1" w15:restartNumberingAfterBreak="0">
    <w:nsid w:val="73C235B6"/>
    <w:multiLevelType w:val="hybridMultilevel"/>
    <w:tmpl w:val="00000000"/>
    <w:lvl w:ilvl="0" w:tplc="2AC89BF4">
      <w:start w:val="1"/>
      <w:numFmt w:val="bullet"/>
      <w:lvlText w:val="●"/>
      <w:lvlJc w:val="left"/>
      <w:pPr>
        <w:ind w:left="720" w:hanging="360"/>
      </w:pPr>
      <w:rPr>
        <w:u w:val="none"/>
      </w:rPr>
    </w:lvl>
    <w:lvl w:ilvl="1" w:tplc="83DE8378">
      <w:start w:val="1"/>
      <w:numFmt w:val="bullet"/>
      <w:lvlText w:val="○"/>
      <w:lvlJc w:val="left"/>
      <w:pPr>
        <w:ind w:left="1440" w:hanging="360"/>
      </w:pPr>
      <w:rPr>
        <w:u w:val="none"/>
      </w:rPr>
    </w:lvl>
    <w:lvl w:ilvl="2" w:tplc="0FA21A78">
      <w:start w:val="1"/>
      <w:numFmt w:val="bullet"/>
      <w:lvlText w:val="■"/>
      <w:lvlJc w:val="left"/>
      <w:pPr>
        <w:ind w:left="2160" w:hanging="360"/>
      </w:pPr>
      <w:rPr>
        <w:u w:val="none"/>
      </w:rPr>
    </w:lvl>
    <w:lvl w:ilvl="3" w:tplc="E65A96DA">
      <w:start w:val="1"/>
      <w:numFmt w:val="bullet"/>
      <w:lvlText w:val="●"/>
      <w:lvlJc w:val="left"/>
      <w:pPr>
        <w:ind w:left="2880" w:hanging="360"/>
      </w:pPr>
      <w:rPr>
        <w:u w:val="none"/>
      </w:rPr>
    </w:lvl>
    <w:lvl w:ilvl="4" w:tplc="D1367AF6">
      <w:start w:val="1"/>
      <w:numFmt w:val="bullet"/>
      <w:lvlText w:val="○"/>
      <w:lvlJc w:val="left"/>
      <w:pPr>
        <w:ind w:left="3600" w:hanging="360"/>
      </w:pPr>
      <w:rPr>
        <w:u w:val="none"/>
      </w:rPr>
    </w:lvl>
    <w:lvl w:ilvl="5" w:tplc="ACCEF2A2">
      <w:start w:val="1"/>
      <w:numFmt w:val="bullet"/>
      <w:lvlText w:val="■"/>
      <w:lvlJc w:val="left"/>
      <w:pPr>
        <w:ind w:left="4320" w:hanging="360"/>
      </w:pPr>
      <w:rPr>
        <w:u w:val="none"/>
      </w:rPr>
    </w:lvl>
    <w:lvl w:ilvl="6" w:tplc="E1D65D3A">
      <w:start w:val="1"/>
      <w:numFmt w:val="bullet"/>
      <w:lvlText w:val="●"/>
      <w:lvlJc w:val="left"/>
      <w:pPr>
        <w:ind w:left="5040" w:hanging="360"/>
      </w:pPr>
      <w:rPr>
        <w:u w:val="none"/>
      </w:rPr>
    </w:lvl>
    <w:lvl w:ilvl="7" w:tplc="D2465698">
      <w:start w:val="1"/>
      <w:numFmt w:val="bullet"/>
      <w:lvlText w:val="○"/>
      <w:lvlJc w:val="left"/>
      <w:pPr>
        <w:ind w:left="5760" w:hanging="360"/>
      </w:pPr>
      <w:rPr>
        <w:u w:val="none"/>
      </w:rPr>
    </w:lvl>
    <w:lvl w:ilvl="8" w:tplc="6C66F78A">
      <w:start w:val="1"/>
      <w:numFmt w:val="bullet"/>
      <w:lvlText w:val="■"/>
      <w:lvlJc w:val="left"/>
      <w:pPr>
        <w:ind w:left="6480" w:hanging="360"/>
      </w:pPr>
      <w:rPr>
        <w:u w:val="none"/>
      </w:rPr>
    </w:lvl>
  </w:abstractNum>
  <w:abstractNum w:abstractNumId="2" w15:restartNumberingAfterBreak="0">
    <w:nsid w:val="7A8AFB8B"/>
    <w:multiLevelType w:val="hybridMultilevel"/>
    <w:tmpl w:val="00000000"/>
    <w:lvl w:ilvl="0" w:tplc="16ECBDEC">
      <w:start w:val="1"/>
      <w:numFmt w:val="bullet"/>
      <w:lvlText w:val="●"/>
      <w:lvlJc w:val="left"/>
      <w:pPr>
        <w:ind w:left="720" w:hanging="360"/>
      </w:pPr>
      <w:rPr>
        <w:u w:val="none"/>
      </w:rPr>
    </w:lvl>
    <w:lvl w:ilvl="1" w:tplc="9EC8F41A">
      <w:start w:val="1"/>
      <w:numFmt w:val="bullet"/>
      <w:lvlText w:val="○"/>
      <w:lvlJc w:val="left"/>
      <w:pPr>
        <w:ind w:left="1440" w:hanging="360"/>
      </w:pPr>
      <w:rPr>
        <w:u w:val="none"/>
      </w:rPr>
    </w:lvl>
    <w:lvl w:ilvl="2" w:tplc="2C1457B0">
      <w:start w:val="1"/>
      <w:numFmt w:val="bullet"/>
      <w:lvlText w:val="■"/>
      <w:lvlJc w:val="left"/>
      <w:pPr>
        <w:ind w:left="2160" w:hanging="360"/>
      </w:pPr>
      <w:rPr>
        <w:u w:val="none"/>
      </w:rPr>
    </w:lvl>
    <w:lvl w:ilvl="3" w:tplc="6896E0A2">
      <w:start w:val="1"/>
      <w:numFmt w:val="bullet"/>
      <w:lvlText w:val="●"/>
      <w:lvlJc w:val="left"/>
      <w:pPr>
        <w:ind w:left="2880" w:hanging="360"/>
      </w:pPr>
      <w:rPr>
        <w:u w:val="none"/>
      </w:rPr>
    </w:lvl>
    <w:lvl w:ilvl="4" w:tplc="2F18033A">
      <w:start w:val="1"/>
      <w:numFmt w:val="bullet"/>
      <w:lvlText w:val="○"/>
      <w:lvlJc w:val="left"/>
      <w:pPr>
        <w:ind w:left="3600" w:hanging="360"/>
      </w:pPr>
      <w:rPr>
        <w:u w:val="none"/>
      </w:rPr>
    </w:lvl>
    <w:lvl w:ilvl="5" w:tplc="07801990">
      <w:start w:val="1"/>
      <w:numFmt w:val="bullet"/>
      <w:lvlText w:val="■"/>
      <w:lvlJc w:val="left"/>
      <w:pPr>
        <w:ind w:left="4320" w:hanging="360"/>
      </w:pPr>
      <w:rPr>
        <w:u w:val="none"/>
      </w:rPr>
    </w:lvl>
    <w:lvl w:ilvl="6" w:tplc="28B64C2E">
      <w:start w:val="1"/>
      <w:numFmt w:val="bullet"/>
      <w:lvlText w:val="●"/>
      <w:lvlJc w:val="left"/>
      <w:pPr>
        <w:ind w:left="5040" w:hanging="360"/>
      </w:pPr>
      <w:rPr>
        <w:u w:val="none"/>
      </w:rPr>
    </w:lvl>
    <w:lvl w:ilvl="7" w:tplc="ED906B2A">
      <w:start w:val="1"/>
      <w:numFmt w:val="bullet"/>
      <w:lvlText w:val="○"/>
      <w:lvlJc w:val="left"/>
      <w:pPr>
        <w:ind w:left="5760" w:hanging="360"/>
      </w:pPr>
      <w:rPr>
        <w:u w:val="none"/>
      </w:rPr>
    </w:lvl>
    <w:lvl w:ilvl="8" w:tplc="9EE43EBE">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35E"/>
    <w:rsid w:val="001879C3"/>
    <w:rsid w:val="0023308A"/>
    <w:rsid w:val="00265EA9"/>
    <w:rsid w:val="004A035E"/>
    <w:rsid w:val="00533DC7"/>
    <w:rsid w:val="005A3A3D"/>
    <w:rsid w:val="00996676"/>
    <w:rsid w:val="00A04316"/>
    <w:rsid w:val="00A75CF1"/>
    <w:rsid w:val="00A76E03"/>
    <w:rsid w:val="00B86ACE"/>
    <w:rsid w:val="00CD60BE"/>
    <w:rsid w:val="00FF2C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CA860"/>
  <w15:docId w15:val="{2EF7BC33-F43F-4DEC-BFEC-0B926D4E6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86AC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B86ACE"/>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character" w:customStyle="1" w:styleId="Heading7Char">
    <w:name w:val="Heading 7 Char"/>
    <w:basedOn w:val="DefaultParagraphFont"/>
    <w:link w:val="Heading7"/>
    <w:uiPriority w:val="9"/>
    <w:semiHidden/>
    <w:rsid w:val="00B86ACE"/>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CD60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D60BE"/>
    <w:pPr>
      <w:spacing w:after="100"/>
    </w:pPr>
  </w:style>
  <w:style w:type="character" w:styleId="Hyperlink">
    <w:name w:val="Hyperlink"/>
    <w:basedOn w:val="DefaultParagraphFont"/>
    <w:uiPriority w:val="99"/>
    <w:unhideWhenUsed/>
    <w:rsid w:val="00CD60BE"/>
    <w:rPr>
      <w:color w:val="0000FF" w:themeColor="hyperlink"/>
      <w:u w:val="single"/>
    </w:rPr>
  </w:style>
  <w:style w:type="paragraph" w:styleId="Header">
    <w:name w:val="header"/>
    <w:basedOn w:val="Normal"/>
    <w:link w:val="HeaderChar"/>
    <w:uiPriority w:val="99"/>
    <w:unhideWhenUsed/>
    <w:rsid w:val="00CD60BE"/>
    <w:pPr>
      <w:tabs>
        <w:tab w:val="center" w:pos="4513"/>
        <w:tab w:val="right" w:pos="9026"/>
      </w:tabs>
      <w:spacing w:line="240" w:lineRule="auto"/>
    </w:pPr>
  </w:style>
  <w:style w:type="character" w:customStyle="1" w:styleId="HeaderChar">
    <w:name w:val="Header Char"/>
    <w:basedOn w:val="DefaultParagraphFont"/>
    <w:link w:val="Header"/>
    <w:uiPriority w:val="99"/>
    <w:rsid w:val="00CD60BE"/>
  </w:style>
  <w:style w:type="paragraph" w:styleId="Footer">
    <w:name w:val="footer"/>
    <w:basedOn w:val="Normal"/>
    <w:link w:val="FooterChar"/>
    <w:uiPriority w:val="99"/>
    <w:unhideWhenUsed/>
    <w:rsid w:val="00CD60BE"/>
    <w:pPr>
      <w:tabs>
        <w:tab w:val="center" w:pos="4513"/>
        <w:tab w:val="right" w:pos="9026"/>
      </w:tabs>
      <w:spacing w:line="240" w:lineRule="auto"/>
    </w:pPr>
  </w:style>
  <w:style w:type="character" w:customStyle="1" w:styleId="FooterChar">
    <w:name w:val="Footer Char"/>
    <w:basedOn w:val="DefaultParagraphFont"/>
    <w:link w:val="Footer"/>
    <w:uiPriority w:val="99"/>
    <w:rsid w:val="00CD60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6B298-C4E1-4179-88DA-05725F280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17</Pages>
  <Words>2488</Words>
  <Characters>14183</Characters>
  <Application>Microsoft Office Word</Application>
  <DocSecurity>0</DocSecurity>
  <Lines>118</Lines>
  <Paragraphs>33</Paragraphs>
  <ScaleCrop>false</ScaleCrop>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tudora</dc:creator>
  <cp:lastModifiedBy>razvan tudora</cp:lastModifiedBy>
  <cp:revision>9</cp:revision>
  <dcterms:created xsi:type="dcterms:W3CDTF">2020-08-24T11:18:00Z</dcterms:created>
  <dcterms:modified xsi:type="dcterms:W3CDTF">2020-08-25T19:56:00Z</dcterms:modified>
</cp:coreProperties>
</file>