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3437F3" w:rsidRDefault="003437F3">
      <w:pPr>
        <w:spacing w:line="360" w:lineRule="auto"/>
      </w:pPr>
    </w:p>
    <w:p w14:paraId="00000002" w14:textId="77777777" w:rsidR="003437F3" w:rsidRDefault="003437F3">
      <w:pPr>
        <w:spacing w:line="360" w:lineRule="auto"/>
      </w:pPr>
    </w:p>
    <w:p w14:paraId="00000004" w14:textId="50193DA5" w:rsidR="003437F3" w:rsidRDefault="003437F3" w:rsidP="00720685">
      <w:pPr>
        <w:spacing w:after="300" w:line="360" w:lineRule="auto"/>
        <w:rPr>
          <w:sz w:val="22"/>
          <w:szCs w:val="22"/>
        </w:rPr>
      </w:pPr>
    </w:p>
    <w:p w14:paraId="408509A2" w14:textId="77777777" w:rsidR="00753813" w:rsidRDefault="00753813" w:rsidP="00720685">
      <w:pPr>
        <w:spacing w:after="300" w:line="360" w:lineRule="auto"/>
        <w:rPr>
          <w:sz w:val="22"/>
          <w:szCs w:val="22"/>
        </w:rPr>
      </w:pPr>
    </w:p>
    <w:p w14:paraId="0EFEE5B0" w14:textId="77777777" w:rsidR="00753813" w:rsidRPr="00E10910" w:rsidRDefault="00753813" w:rsidP="00720685">
      <w:pPr>
        <w:spacing w:after="300" w:line="360" w:lineRule="auto"/>
        <w:rPr>
          <w:sz w:val="22"/>
          <w:szCs w:val="22"/>
        </w:rPr>
      </w:pPr>
    </w:p>
    <w:p w14:paraId="54D9F9CF" w14:textId="7FCE5E24" w:rsidR="00720685" w:rsidRPr="00E10910" w:rsidRDefault="00720685" w:rsidP="00E10910">
      <w:pPr>
        <w:spacing w:after="600" w:line="360" w:lineRule="auto"/>
        <w:rPr>
          <w:rFonts w:ascii="Arial" w:eastAsia="Arial" w:hAnsi="Arial" w:cs="Arial"/>
          <w:b/>
          <w:bCs/>
          <w:sz w:val="22"/>
          <w:szCs w:val="22"/>
        </w:rPr>
      </w:pPr>
      <w:r w:rsidRPr="00E10910">
        <w:rPr>
          <w:rFonts w:ascii="Arial" w:eastAsia="Arial" w:hAnsi="Arial" w:cs="Arial"/>
          <w:b/>
          <w:bCs/>
          <w:sz w:val="22"/>
          <w:szCs w:val="22"/>
        </w:rPr>
        <w:t xml:space="preserve">NAME: </w:t>
      </w:r>
      <w:r w:rsidR="00D220BB">
        <w:rPr>
          <w:rFonts w:ascii="Arial" w:eastAsia="Arial" w:hAnsi="Arial" w:cs="Arial"/>
          <w:b/>
          <w:bCs/>
          <w:sz w:val="22"/>
          <w:szCs w:val="22"/>
        </w:rPr>
        <w:tab/>
      </w:r>
      <w:r w:rsidR="00D220BB">
        <w:rPr>
          <w:rFonts w:ascii="Arial" w:eastAsia="Arial" w:hAnsi="Arial" w:cs="Arial"/>
          <w:b/>
          <w:bCs/>
          <w:sz w:val="22"/>
          <w:szCs w:val="22"/>
        </w:rPr>
        <w:tab/>
      </w:r>
      <w:r w:rsidR="004715EE">
        <w:rPr>
          <w:rFonts w:ascii="Arial" w:eastAsia="Arial" w:hAnsi="Arial" w:cs="Arial"/>
          <w:b/>
          <w:bCs/>
          <w:sz w:val="22"/>
          <w:szCs w:val="22"/>
        </w:rPr>
        <w:tab/>
      </w:r>
      <w:r w:rsidRPr="00E10910">
        <w:rPr>
          <w:rFonts w:ascii="Arial" w:eastAsia="Arial" w:hAnsi="Arial" w:cs="Arial"/>
          <w:b/>
          <w:bCs/>
          <w:sz w:val="22"/>
          <w:szCs w:val="22"/>
        </w:rPr>
        <w:t>RACHEAL MONISOLA BECKER</w:t>
      </w:r>
    </w:p>
    <w:p w14:paraId="3BC88294" w14:textId="2AFE8896" w:rsidR="00720685" w:rsidRPr="00E10910" w:rsidRDefault="00720685" w:rsidP="00E10910">
      <w:pPr>
        <w:spacing w:after="600" w:line="360" w:lineRule="auto"/>
        <w:rPr>
          <w:rFonts w:ascii="Arial" w:eastAsia="Arial" w:hAnsi="Arial" w:cs="Arial"/>
          <w:b/>
          <w:bCs/>
          <w:sz w:val="22"/>
          <w:szCs w:val="22"/>
        </w:rPr>
      </w:pPr>
      <w:r w:rsidRPr="00E10910">
        <w:rPr>
          <w:rFonts w:ascii="Arial" w:eastAsia="Arial" w:hAnsi="Arial" w:cs="Arial"/>
          <w:b/>
          <w:bCs/>
          <w:sz w:val="22"/>
          <w:szCs w:val="22"/>
        </w:rPr>
        <w:t xml:space="preserve">STUDENT NUMBER: </w:t>
      </w:r>
      <w:r w:rsidR="004715EE">
        <w:rPr>
          <w:rFonts w:ascii="Arial" w:eastAsia="Arial" w:hAnsi="Arial" w:cs="Arial"/>
          <w:b/>
          <w:bCs/>
          <w:sz w:val="22"/>
          <w:szCs w:val="22"/>
        </w:rPr>
        <w:tab/>
      </w:r>
      <w:r w:rsidRPr="00E10910">
        <w:rPr>
          <w:rFonts w:ascii="Arial" w:eastAsia="Arial" w:hAnsi="Arial" w:cs="Arial"/>
          <w:b/>
          <w:bCs/>
          <w:sz w:val="22"/>
          <w:szCs w:val="22"/>
        </w:rPr>
        <w:t>2310797</w:t>
      </w:r>
    </w:p>
    <w:p w14:paraId="2463EC41" w14:textId="55580C36" w:rsidR="00E10910" w:rsidRPr="00E10910" w:rsidRDefault="00720685" w:rsidP="00E10910">
      <w:pPr>
        <w:spacing w:after="600" w:line="360" w:lineRule="auto"/>
        <w:rPr>
          <w:rFonts w:ascii="Arial" w:eastAsia="Arial" w:hAnsi="Arial" w:cs="Arial"/>
          <w:b/>
          <w:bCs/>
          <w:sz w:val="22"/>
          <w:szCs w:val="22"/>
        </w:rPr>
      </w:pPr>
      <w:r w:rsidRPr="00E10910">
        <w:rPr>
          <w:rFonts w:ascii="Arial" w:eastAsia="Arial" w:hAnsi="Arial" w:cs="Arial"/>
          <w:b/>
          <w:bCs/>
          <w:sz w:val="22"/>
          <w:szCs w:val="22"/>
        </w:rPr>
        <w:t xml:space="preserve">MODULE CODE: </w:t>
      </w:r>
      <w:r w:rsidR="004715EE">
        <w:rPr>
          <w:rFonts w:ascii="Arial" w:eastAsia="Arial" w:hAnsi="Arial" w:cs="Arial"/>
          <w:b/>
          <w:bCs/>
          <w:sz w:val="22"/>
          <w:szCs w:val="22"/>
        </w:rPr>
        <w:tab/>
      </w:r>
      <w:r w:rsidR="004715EE">
        <w:rPr>
          <w:rFonts w:ascii="Arial" w:eastAsia="Arial" w:hAnsi="Arial" w:cs="Arial"/>
          <w:b/>
          <w:bCs/>
          <w:sz w:val="22"/>
          <w:szCs w:val="22"/>
        </w:rPr>
        <w:tab/>
      </w:r>
      <w:r w:rsidRPr="00E10910">
        <w:rPr>
          <w:rFonts w:ascii="Arial" w:eastAsia="Arial" w:hAnsi="Arial" w:cs="Arial"/>
          <w:b/>
          <w:bCs/>
          <w:sz w:val="22"/>
          <w:szCs w:val="22"/>
        </w:rPr>
        <w:t>BMHP6030</w:t>
      </w:r>
      <w:r w:rsidR="00E10910">
        <w:rPr>
          <w:rFonts w:ascii="Arial" w:eastAsia="Arial" w:hAnsi="Arial" w:cs="Arial"/>
          <w:b/>
          <w:bCs/>
          <w:sz w:val="22"/>
          <w:szCs w:val="22"/>
        </w:rPr>
        <w:t>_</w:t>
      </w:r>
      <w:r w:rsidRPr="00E10910">
        <w:rPr>
          <w:rFonts w:ascii="Arial" w:eastAsia="Arial" w:hAnsi="Arial" w:cs="Arial"/>
          <w:b/>
          <w:bCs/>
          <w:sz w:val="22"/>
          <w:szCs w:val="22"/>
        </w:rPr>
        <w:t xml:space="preserve">BIRM </w:t>
      </w:r>
      <w:r w:rsidRPr="00E10910">
        <w:rPr>
          <w:rFonts w:ascii="Arial" w:eastAsia="Arial" w:hAnsi="Arial" w:cs="Arial"/>
          <w:b/>
          <w:bCs/>
          <w:sz w:val="22"/>
          <w:szCs w:val="22"/>
        </w:rPr>
        <w:tab/>
      </w:r>
    </w:p>
    <w:p w14:paraId="0F2A71BC" w14:textId="2DE35B6B" w:rsidR="00E10910" w:rsidRPr="00E10910" w:rsidRDefault="00E10910" w:rsidP="004715EE">
      <w:pPr>
        <w:spacing w:after="600" w:line="360" w:lineRule="auto"/>
        <w:ind w:left="2880" w:hanging="2880"/>
        <w:rPr>
          <w:rFonts w:ascii="Arial" w:eastAsia="Arial" w:hAnsi="Arial" w:cs="Arial"/>
          <w:b/>
          <w:bCs/>
          <w:sz w:val="22"/>
          <w:szCs w:val="22"/>
        </w:rPr>
      </w:pPr>
      <w:r w:rsidRPr="00E10910">
        <w:rPr>
          <w:rFonts w:ascii="Arial" w:eastAsia="Arial" w:hAnsi="Arial" w:cs="Arial"/>
          <w:b/>
          <w:bCs/>
          <w:sz w:val="22"/>
          <w:szCs w:val="22"/>
        </w:rPr>
        <w:t xml:space="preserve">TITTLE:  </w:t>
      </w:r>
      <w:r w:rsidR="004715EE">
        <w:rPr>
          <w:rFonts w:ascii="Arial" w:eastAsia="Arial" w:hAnsi="Arial" w:cs="Arial"/>
          <w:b/>
          <w:bCs/>
          <w:sz w:val="22"/>
          <w:szCs w:val="22"/>
        </w:rPr>
        <w:tab/>
      </w:r>
      <w:r w:rsidR="00720685" w:rsidRPr="00E10910">
        <w:rPr>
          <w:rFonts w:ascii="Arial" w:eastAsia="Arial" w:hAnsi="Arial" w:cs="Arial"/>
          <w:b/>
          <w:bCs/>
          <w:sz w:val="22"/>
          <w:szCs w:val="22"/>
        </w:rPr>
        <w:t>HEALTH, WELL</w:t>
      </w:r>
      <w:r>
        <w:rPr>
          <w:rFonts w:ascii="Arial" w:eastAsia="Arial" w:hAnsi="Arial" w:cs="Arial"/>
          <w:b/>
          <w:bCs/>
          <w:sz w:val="22"/>
          <w:szCs w:val="22"/>
        </w:rPr>
        <w:t>-</w:t>
      </w:r>
      <w:r w:rsidR="00720685" w:rsidRPr="00E10910">
        <w:rPr>
          <w:rFonts w:ascii="Arial" w:eastAsia="Arial" w:hAnsi="Arial" w:cs="Arial"/>
          <w:b/>
          <w:bCs/>
          <w:sz w:val="22"/>
          <w:szCs w:val="22"/>
        </w:rPr>
        <w:t>BEING AND SUSTAINABL</w:t>
      </w:r>
      <w:r w:rsidR="0071253D">
        <w:rPr>
          <w:rFonts w:ascii="Arial" w:eastAsia="Arial" w:hAnsi="Arial" w:cs="Arial"/>
          <w:b/>
          <w:bCs/>
          <w:sz w:val="22"/>
          <w:szCs w:val="22"/>
        </w:rPr>
        <w:t xml:space="preserve">E </w:t>
      </w:r>
      <w:r w:rsidR="00720685" w:rsidRPr="00E10910">
        <w:rPr>
          <w:rFonts w:ascii="Arial" w:eastAsia="Arial" w:hAnsi="Arial" w:cs="Arial"/>
          <w:b/>
          <w:bCs/>
          <w:sz w:val="22"/>
          <w:szCs w:val="22"/>
        </w:rPr>
        <w:t>DEVELOPMENT</w:t>
      </w:r>
    </w:p>
    <w:p w14:paraId="5FA91A6D" w14:textId="328EBF31" w:rsidR="00720685" w:rsidRPr="00E10910" w:rsidRDefault="00720685" w:rsidP="00E10910">
      <w:pPr>
        <w:spacing w:after="600" w:line="360" w:lineRule="auto"/>
        <w:rPr>
          <w:rFonts w:ascii="Arial" w:eastAsia="Arial" w:hAnsi="Arial" w:cs="Arial"/>
          <w:b/>
          <w:bCs/>
          <w:sz w:val="22"/>
          <w:szCs w:val="22"/>
        </w:rPr>
      </w:pPr>
      <w:r w:rsidRPr="00E10910">
        <w:rPr>
          <w:rFonts w:ascii="Arial" w:eastAsia="Arial" w:hAnsi="Arial" w:cs="Arial"/>
          <w:b/>
          <w:bCs/>
          <w:sz w:val="22"/>
          <w:szCs w:val="22"/>
        </w:rPr>
        <w:t>LECTURER:</w:t>
      </w:r>
      <w:r w:rsidR="00E10910" w:rsidRPr="00E10910">
        <w:rPr>
          <w:rFonts w:ascii="Arial" w:eastAsia="Arial" w:hAnsi="Arial" w:cs="Arial"/>
          <w:b/>
          <w:bCs/>
          <w:sz w:val="22"/>
          <w:szCs w:val="22"/>
        </w:rPr>
        <w:t xml:space="preserve"> </w:t>
      </w:r>
      <w:r w:rsidR="004715EE">
        <w:rPr>
          <w:rFonts w:ascii="Arial" w:eastAsia="Arial" w:hAnsi="Arial" w:cs="Arial"/>
          <w:b/>
          <w:bCs/>
          <w:sz w:val="22"/>
          <w:szCs w:val="22"/>
        </w:rPr>
        <w:tab/>
      </w:r>
      <w:r w:rsidR="004715EE">
        <w:rPr>
          <w:rFonts w:ascii="Arial" w:eastAsia="Arial" w:hAnsi="Arial" w:cs="Arial"/>
          <w:b/>
          <w:bCs/>
          <w:sz w:val="22"/>
          <w:szCs w:val="22"/>
        </w:rPr>
        <w:tab/>
      </w:r>
      <w:r w:rsidR="004715EE">
        <w:rPr>
          <w:rFonts w:ascii="Arial" w:eastAsia="Arial" w:hAnsi="Arial" w:cs="Arial"/>
          <w:b/>
          <w:bCs/>
          <w:sz w:val="22"/>
          <w:szCs w:val="22"/>
        </w:rPr>
        <w:tab/>
      </w:r>
      <w:r w:rsidR="00E10910" w:rsidRPr="00E10910">
        <w:rPr>
          <w:rFonts w:ascii="Arial" w:eastAsia="Arial" w:hAnsi="Arial" w:cs="Arial"/>
          <w:b/>
          <w:bCs/>
          <w:sz w:val="22"/>
          <w:szCs w:val="22"/>
        </w:rPr>
        <w:t xml:space="preserve">PHILIP </w:t>
      </w:r>
      <w:r w:rsidR="00753675">
        <w:rPr>
          <w:rFonts w:ascii="Arial" w:eastAsia="Arial" w:hAnsi="Arial" w:cs="Arial"/>
          <w:b/>
          <w:bCs/>
          <w:sz w:val="22"/>
          <w:szCs w:val="22"/>
        </w:rPr>
        <w:t>JONES</w:t>
      </w:r>
    </w:p>
    <w:p w14:paraId="31F65BF3" w14:textId="5524AE29" w:rsidR="00720685" w:rsidRDefault="00720685" w:rsidP="00720685">
      <w:pPr>
        <w:spacing w:after="600" w:line="360" w:lineRule="auto"/>
        <w:rPr>
          <w:rFonts w:ascii="Arial" w:eastAsia="Arial" w:hAnsi="Arial" w:cs="Arial"/>
          <w:b/>
          <w:bCs/>
          <w:sz w:val="28"/>
          <w:szCs w:val="28"/>
        </w:rPr>
      </w:pPr>
    </w:p>
    <w:p w14:paraId="21A66BF0" w14:textId="32827EEA" w:rsidR="00720685" w:rsidRDefault="00720685" w:rsidP="00720685">
      <w:pPr>
        <w:spacing w:after="600" w:line="360" w:lineRule="auto"/>
        <w:jc w:val="center"/>
        <w:rPr>
          <w:rFonts w:ascii="Arial" w:eastAsia="Arial" w:hAnsi="Arial" w:cs="Arial"/>
          <w:sz w:val="24"/>
          <w:szCs w:val="24"/>
        </w:rPr>
      </w:pPr>
    </w:p>
    <w:p w14:paraId="0000000C" w14:textId="5629EE43" w:rsidR="003437F3" w:rsidRDefault="00000000" w:rsidP="00720685">
      <w:pPr>
        <w:spacing w:after="600" w:line="360" w:lineRule="auto"/>
        <w:jc w:val="center"/>
      </w:pPr>
      <w:r>
        <w:br w:type="page"/>
      </w:r>
    </w:p>
    <w:p w14:paraId="0A8EEEC7" w14:textId="2C02DAE4" w:rsidR="00720685" w:rsidRPr="00720685" w:rsidRDefault="00720685">
      <w:pPr>
        <w:pStyle w:val="Heading1"/>
        <w:spacing w:before="280" w:after="160" w:line="360" w:lineRule="auto"/>
        <w:rPr>
          <w:rFonts w:ascii="Arial" w:eastAsia="Arial" w:hAnsi="Arial" w:cs="Arial"/>
          <w:b/>
          <w:bCs/>
          <w:color w:val="000000"/>
          <w:sz w:val="22"/>
          <w:szCs w:val="22"/>
        </w:rPr>
      </w:pPr>
      <w:r w:rsidRPr="00720685">
        <w:rPr>
          <w:rFonts w:ascii="Arial" w:eastAsia="Arial" w:hAnsi="Arial" w:cs="Arial"/>
          <w:b/>
          <w:bCs/>
          <w:color w:val="000000"/>
          <w:sz w:val="22"/>
          <w:szCs w:val="22"/>
        </w:rPr>
        <w:lastRenderedPageBreak/>
        <w:t>DEVELOPMENT GOALS: A CRITICAL EVALUATION OF SDG 3 AND SDG 10 IN UK HEALTH AND SOCIAL CARE</w:t>
      </w:r>
    </w:p>
    <w:p w14:paraId="0000000D" w14:textId="4A3C68D7" w:rsidR="003437F3" w:rsidRPr="00720685" w:rsidRDefault="00000000">
      <w:pPr>
        <w:pStyle w:val="Heading1"/>
        <w:spacing w:before="280" w:after="160" w:line="360" w:lineRule="auto"/>
        <w:rPr>
          <w:color w:val="000000"/>
          <w:sz w:val="22"/>
          <w:szCs w:val="22"/>
        </w:rPr>
      </w:pPr>
      <w:r w:rsidRPr="00720685">
        <w:rPr>
          <w:rFonts w:ascii="Arial" w:eastAsia="Arial" w:hAnsi="Arial" w:cs="Arial"/>
          <w:b/>
          <w:bCs/>
          <w:color w:val="000000"/>
          <w:sz w:val="22"/>
          <w:szCs w:val="22"/>
        </w:rPr>
        <w:t>I</w:t>
      </w:r>
      <w:r w:rsidR="00720685" w:rsidRPr="00720685">
        <w:rPr>
          <w:rFonts w:ascii="Arial" w:eastAsia="Arial" w:hAnsi="Arial" w:cs="Arial"/>
          <w:b/>
          <w:bCs/>
          <w:color w:val="000000"/>
          <w:sz w:val="22"/>
          <w:szCs w:val="22"/>
        </w:rPr>
        <w:t>NTRODUCTION</w:t>
      </w:r>
    </w:p>
    <w:p w14:paraId="0000000E" w14:textId="64D9435B" w:rsidR="003437F3" w:rsidRPr="00720685" w:rsidRDefault="00000000">
      <w:pPr>
        <w:spacing w:after="160" w:line="360" w:lineRule="auto"/>
        <w:jc w:val="both"/>
        <w:rPr>
          <w:sz w:val="22"/>
          <w:szCs w:val="22"/>
        </w:rPr>
      </w:pPr>
      <w:r w:rsidRPr="00720685">
        <w:rPr>
          <w:rFonts w:ascii="Arial" w:eastAsia="Arial" w:hAnsi="Arial" w:cs="Arial"/>
          <w:sz w:val="22"/>
          <w:szCs w:val="22"/>
        </w:rPr>
        <w:t xml:space="preserve">The relationship between human health, social wellbeing and sustainable development is neither peripheral nor </w:t>
      </w:r>
      <w:r w:rsidR="00720685" w:rsidRPr="00720685">
        <w:rPr>
          <w:rFonts w:ascii="Arial" w:eastAsia="Arial" w:hAnsi="Arial" w:cs="Arial"/>
          <w:sz w:val="22"/>
          <w:szCs w:val="22"/>
        </w:rPr>
        <w:t>aspirational it</w:t>
      </w:r>
      <w:r w:rsidRPr="00720685">
        <w:rPr>
          <w:rFonts w:ascii="Arial" w:eastAsia="Arial" w:hAnsi="Arial" w:cs="Arial"/>
          <w:sz w:val="22"/>
          <w:szCs w:val="22"/>
        </w:rPr>
        <w:t xml:space="preserve"> is structural. The conditions that determine whether people live long, healthy lives are overwhelmingly social, economic and environmental in nature, shaped by decisions made at international, national and local levels. Recognising this, the United Nations formalised the 2030 Agenda for Sustainable Development in 2015, establishing seventeen Sustainable Development Goals (SDGs) as the most comprehensive global commitment to human flourishing and planetary sustainability ever agreed by the international community (UN, 2015).</w:t>
      </w:r>
    </w:p>
    <w:p w14:paraId="0000000F" w14:textId="1117AAA8" w:rsidR="003437F3" w:rsidRPr="00720685" w:rsidRDefault="00000000">
      <w:pPr>
        <w:spacing w:after="160" w:line="360" w:lineRule="auto"/>
        <w:jc w:val="both"/>
        <w:rPr>
          <w:sz w:val="22"/>
          <w:szCs w:val="22"/>
        </w:rPr>
      </w:pPr>
      <w:r w:rsidRPr="00720685">
        <w:rPr>
          <w:rFonts w:ascii="Arial" w:eastAsia="Arial" w:hAnsi="Arial" w:cs="Arial"/>
          <w:sz w:val="22"/>
          <w:szCs w:val="22"/>
        </w:rPr>
        <w:t xml:space="preserve">This report critically examines two goals within that framework. Section One addresses SDG </w:t>
      </w:r>
      <w:proofErr w:type="gramStart"/>
      <w:r w:rsidRPr="00720685">
        <w:rPr>
          <w:rFonts w:ascii="Arial" w:eastAsia="Arial" w:hAnsi="Arial" w:cs="Arial"/>
          <w:sz w:val="22"/>
          <w:szCs w:val="22"/>
        </w:rPr>
        <w:t>3  Good</w:t>
      </w:r>
      <w:proofErr w:type="gramEnd"/>
      <w:r w:rsidRPr="00720685">
        <w:rPr>
          <w:rFonts w:ascii="Arial" w:eastAsia="Arial" w:hAnsi="Arial" w:cs="Arial"/>
          <w:sz w:val="22"/>
          <w:szCs w:val="22"/>
        </w:rPr>
        <w:t xml:space="preserve"> Health and Well-</w:t>
      </w:r>
      <w:proofErr w:type="gramStart"/>
      <w:r w:rsidRPr="00720685">
        <w:rPr>
          <w:rFonts w:ascii="Arial" w:eastAsia="Arial" w:hAnsi="Arial" w:cs="Arial"/>
          <w:sz w:val="22"/>
          <w:szCs w:val="22"/>
        </w:rPr>
        <w:t>Being  exploring</w:t>
      </w:r>
      <w:proofErr w:type="gramEnd"/>
      <w:r w:rsidRPr="00720685">
        <w:rPr>
          <w:rFonts w:ascii="Arial" w:eastAsia="Arial" w:hAnsi="Arial" w:cs="Arial"/>
          <w:sz w:val="22"/>
          <w:szCs w:val="22"/>
        </w:rPr>
        <w:t xml:space="preserve"> its global policy architecture, its translation into UK-specific programmes, and the theoretical frameworks through which its effectiveness can be evaluated. Section Two examines SDG </w:t>
      </w:r>
      <w:proofErr w:type="gramStart"/>
      <w:r w:rsidRPr="00720685">
        <w:rPr>
          <w:rFonts w:ascii="Arial" w:eastAsia="Arial" w:hAnsi="Arial" w:cs="Arial"/>
          <w:sz w:val="22"/>
          <w:szCs w:val="22"/>
        </w:rPr>
        <w:t>10  Reduced</w:t>
      </w:r>
      <w:proofErr w:type="gramEnd"/>
      <w:r w:rsidRPr="00720685">
        <w:rPr>
          <w:rFonts w:ascii="Arial" w:eastAsia="Arial" w:hAnsi="Arial" w:cs="Arial"/>
          <w:sz w:val="22"/>
          <w:szCs w:val="22"/>
        </w:rPr>
        <w:t xml:space="preserve"> </w:t>
      </w:r>
      <w:r w:rsidR="00E10910" w:rsidRPr="00720685">
        <w:rPr>
          <w:rFonts w:ascii="Arial" w:eastAsia="Arial" w:hAnsi="Arial" w:cs="Arial"/>
          <w:sz w:val="22"/>
          <w:szCs w:val="22"/>
        </w:rPr>
        <w:t>Inequalities chosen</w:t>
      </w:r>
      <w:r w:rsidRPr="00720685">
        <w:rPr>
          <w:rFonts w:ascii="Arial" w:eastAsia="Arial" w:hAnsi="Arial" w:cs="Arial"/>
          <w:sz w:val="22"/>
          <w:szCs w:val="22"/>
        </w:rPr>
        <w:t xml:space="preserve"> because health inequalities represent the most persistent systemic failure within UK health and social care, and because the two goals are fundamentally interdependent: the aspiration of universal good health cannot be realised in a society where structural inequality continues to determine who benefits from care and who does not.</w:t>
      </w:r>
    </w:p>
    <w:p w14:paraId="00000010" w14:textId="77777777" w:rsidR="003437F3" w:rsidRPr="00720685" w:rsidRDefault="00000000">
      <w:pPr>
        <w:spacing w:after="160" w:line="360" w:lineRule="auto"/>
        <w:jc w:val="both"/>
        <w:rPr>
          <w:sz w:val="22"/>
          <w:szCs w:val="22"/>
        </w:rPr>
      </w:pPr>
      <w:r w:rsidRPr="00720685">
        <w:rPr>
          <w:rFonts w:ascii="Arial" w:eastAsia="Arial" w:hAnsi="Arial" w:cs="Arial"/>
          <w:sz w:val="22"/>
          <w:szCs w:val="22"/>
        </w:rPr>
        <w:t xml:space="preserve">Drawing on peer-reviewed literature, government reports, epidemiological evidence and policy documents, this report argues that while the UK has produced ambitious frameworks across both areas, significant gaps between policy intention and lived experience </w:t>
      </w:r>
      <w:proofErr w:type="gramStart"/>
      <w:r w:rsidRPr="00720685">
        <w:rPr>
          <w:rFonts w:ascii="Arial" w:eastAsia="Arial" w:hAnsi="Arial" w:cs="Arial"/>
          <w:sz w:val="22"/>
          <w:szCs w:val="22"/>
        </w:rPr>
        <w:t>persist  particularly</w:t>
      </w:r>
      <w:proofErr w:type="gramEnd"/>
      <w:r w:rsidRPr="00720685">
        <w:rPr>
          <w:rFonts w:ascii="Arial" w:eastAsia="Arial" w:hAnsi="Arial" w:cs="Arial"/>
          <w:sz w:val="22"/>
          <w:szCs w:val="22"/>
        </w:rPr>
        <w:t xml:space="preserve"> for those navigating intersecting disadvantages of poverty, ethnicity and geography. Evidence-informed recommendations grounded in both theoretical analysis and practical evaluation are offered throughout.</w:t>
      </w:r>
    </w:p>
    <w:p w14:paraId="00000011" w14:textId="77777777" w:rsidR="003437F3" w:rsidRPr="00720685" w:rsidRDefault="00000000">
      <w:pPr>
        <w:rPr>
          <w:sz w:val="22"/>
          <w:szCs w:val="22"/>
        </w:rPr>
      </w:pPr>
      <w:r w:rsidRPr="00720685">
        <w:rPr>
          <w:sz w:val="22"/>
          <w:szCs w:val="22"/>
        </w:rPr>
        <w:br w:type="page"/>
      </w:r>
    </w:p>
    <w:p w14:paraId="00000012" w14:textId="40DD5F84" w:rsidR="003437F3" w:rsidRPr="00720685" w:rsidRDefault="00000000">
      <w:pPr>
        <w:pStyle w:val="Heading1"/>
        <w:spacing w:before="280" w:after="160" w:line="360" w:lineRule="auto"/>
        <w:rPr>
          <w:color w:val="000000"/>
          <w:sz w:val="22"/>
          <w:szCs w:val="22"/>
        </w:rPr>
      </w:pPr>
      <w:r w:rsidRPr="00720685">
        <w:rPr>
          <w:rFonts w:ascii="Arial" w:eastAsia="Arial" w:hAnsi="Arial" w:cs="Arial"/>
          <w:b/>
          <w:bCs/>
          <w:color w:val="000000"/>
          <w:sz w:val="22"/>
          <w:szCs w:val="22"/>
        </w:rPr>
        <w:lastRenderedPageBreak/>
        <w:t xml:space="preserve">Section 1: SDG </w:t>
      </w:r>
      <w:r w:rsidR="00720685" w:rsidRPr="00720685">
        <w:rPr>
          <w:rFonts w:ascii="Arial" w:eastAsia="Arial" w:hAnsi="Arial" w:cs="Arial"/>
          <w:b/>
          <w:bCs/>
          <w:color w:val="000000"/>
          <w:sz w:val="22"/>
          <w:szCs w:val="22"/>
        </w:rPr>
        <w:t>3 Good</w:t>
      </w:r>
      <w:r w:rsidRPr="00720685">
        <w:rPr>
          <w:rFonts w:ascii="Arial" w:eastAsia="Arial" w:hAnsi="Arial" w:cs="Arial"/>
          <w:b/>
          <w:bCs/>
          <w:color w:val="000000"/>
          <w:sz w:val="22"/>
          <w:szCs w:val="22"/>
        </w:rPr>
        <w:t xml:space="preserve"> Health and Well-Being</w:t>
      </w:r>
    </w:p>
    <w:p w14:paraId="00000013" w14:textId="77777777" w:rsidR="003437F3" w:rsidRPr="00720685" w:rsidRDefault="00000000">
      <w:pPr>
        <w:spacing w:before="200" w:after="120" w:line="360" w:lineRule="auto"/>
        <w:rPr>
          <w:sz w:val="22"/>
          <w:szCs w:val="22"/>
        </w:rPr>
      </w:pPr>
      <w:r w:rsidRPr="00720685">
        <w:rPr>
          <w:rFonts w:ascii="Arial" w:eastAsia="Arial" w:hAnsi="Arial" w:cs="Arial"/>
          <w:b/>
          <w:bCs/>
          <w:sz w:val="22"/>
          <w:szCs w:val="22"/>
          <w:u w:val="single"/>
        </w:rPr>
        <w:t>Overview of SDG 3</w:t>
      </w:r>
    </w:p>
    <w:p w14:paraId="00000014" w14:textId="77777777" w:rsidR="003437F3" w:rsidRPr="00720685" w:rsidRDefault="00000000">
      <w:pPr>
        <w:spacing w:after="160" w:line="360" w:lineRule="auto"/>
        <w:jc w:val="both"/>
        <w:rPr>
          <w:sz w:val="22"/>
          <w:szCs w:val="22"/>
        </w:rPr>
      </w:pPr>
      <w:r w:rsidRPr="00720685">
        <w:rPr>
          <w:rFonts w:ascii="Arial" w:eastAsia="Arial" w:hAnsi="Arial" w:cs="Arial"/>
          <w:sz w:val="22"/>
          <w:szCs w:val="22"/>
        </w:rPr>
        <w:t xml:space="preserve">Sustainable Development Goal 3 commits signatory nations, including the United Kingdom, to ensuring healthy lives and promoting well-being for all people at all ages. The goal encompasses seventeen specific targets, ranging from the reduction of maternal and child mortality (3.1 and 3.2) to the prevention of non-communicable diseases (3.4), achievement of universal health coverage (3.8), and strengthening of national capacity for health security (3.d) (UN, 2015). Central to the logic of SDG 3 is the recognition that health is not simply a matter of clinical </w:t>
      </w:r>
      <w:proofErr w:type="gramStart"/>
      <w:r w:rsidRPr="00720685">
        <w:rPr>
          <w:rFonts w:ascii="Arial" w:eastAsia="Arial" w:hAnsi="Arial" w:cs="Arial"/>
          <w:sz w:val="22"/>
          <w:szCs w:val="22"/>
        </w:rPr>
        <w:t>treatment  it</w:t>
      </w:r>
      <w:proofErr w:type="gramEnd"/>
      <w:r w:rsidRPr="00720685">
        <w:rPr>
          <w:rFonts w:ascii="Arial" w:eastAsia="Arial" w:hAnsi="Arial" w:cs="Arial"/>
          <w:sz w:val="22"/>
          <w:szCs w:val="22"/>
        </w:rPr>
        <w:t xml:space="preserve"> is an outcome produced by the intersection of social, economic and environmental conditions that the World Health Organization (1948) captured in its foundational constitutional definition of health as a state of complete physical, mental and social well-being, and not merely the absence of disease or infirmity.</w:t>
      </w:r>
    </w:p>
    <w:p w14:paraId="00000015" w14:textId="473E2213" w:rsidR="003437F3" w:rsidRPr="00720685" w:rsidRDefault="00000000">
      <w:pPr>
        <w:spacing w:after="160" w:line="360" w:lineRule="auto"/>
        <w:jc w:val="both"/>
        <w:rPr>
          <w:sz w:val="22"/>
          <w:szCs w:val="22"/>
        </w:rPr>
      </w:pPr>
      <w:r w:rsidRPr="00720685">
        <w:rPr>
          <w:rFonts w:ascii="Arial" w:eastAsia="Arial" w:hAnsi="Arial" w:cs="Arial"/>
          <w:sz w:val="22"/>
          <w:szCs w:val="22"/>
        </w:rPr>
        <w:t xml:space="preserve">This definition anticipated what Engel (1977) would later formalise as the biopsychosocial </w:t>
      </w:r>
      <w:r w:rsidR="00753675" w:rsidRPr="00720685">
        <w:rPr>
          <w:rFonts w:ascii="Arial" w:eastAsia="Arial" w:hAnsi="Arial" w:cs="Arial"/>
          <w:sz w:val="22"/>
          <w:szCs w:val="22"/>
        </w:rPr>
        <w:t>model the</w:t>
      </w:r>
      <w:r w:rsidRPr="00720685">
        <w:rPr>
          <w:rFonts w:ascii="Arial" w:eastAsia="Arial" w:hAnsi="Arial" w:cs="Arial"/>
          <w:sz w:val="22"/>
          <w:szCs w:val="22"/>
        </w:rPr>
        <w:t xml:space="preserve"> argument that biomedical reductionism, however technically sophisticated, is insufficient because it fails to account for the psychological and social dimensions of illness and recovery. The relevance of this to SDG 3 is direct: a goal targeting universal health coverage without attending to the social determinants that produce differential health outcomes will inevitably reproduce the inequalities it seeks to eliminate. This tension runs through both global and UK-specific literature.</w:t>
      </w:r>
    </w:p>
    <w:p w14:paraId="00000016" w14:textId="77777777" w:rsidR="003437F3" w:rsidRPr="00720685" w:rsidRDefault="00000000">
      <w:pPr>
        <w:spacing w:before="200" w:after="120" w:line="360" w:lineRule="auto"/>
        <w:rPr>
          <w:sz w:val="22"/>
          <w:szCs w:val="22"/>
        </w:rPr>
      </w:pPr>
      <w:r w:rsidRPr="00720685">
        <w:rPr>
          <w:rFonts w:ascii="Arial" w:eastAsia="Arial" w:hAnsi="Arial" w:cs="Arial"/>
          <w:b/>
          <w:bCs/>
          <w:sz w:val="22"/>
          <w:szCs w:val="22"/>
          <w:u w:val="single"/>
        </w:rPr>
        <w:t>Critical Evaluation of Global Policies and Initiatives</w:t>
      </w:r>
    </w:p>
    <w:p w14:paraId="00000017" w14:textId="11449069" w:rsidR="003437F3" w:rsidRPr="00720685" w:rsidRDefault="00000000">
      <w:pPr>
        <w:spacing w:after="160" w:line="360" w:lineRule="auto"/>
        <w:jc w:val="both"/>
        <w:rPr>
          <w:sz w:val="22"/>
          <w:szCs w:val="22"/>
        </w:rPr>
      </w:pPr>
      <w:r w:rsidRPr="00720685">
        <w:rPr>
          <w:rFonts w:ascii="Arial" w:eastAsia="Arial" w:hAnsi="Arial" w:cs="Arial"/>
          <w:sz w:val="22"/>
          <w:szCs w:val="22"/>
        </w:rPr>
        <w:t>At the global level, the most significant policy instrument relating to SDG 3 is the World Health Organization's Health in All Policies (</w:t>
      </w:r>
      <w:proofErr w:type="spellStart"/>
      <w:r w:rsidRPr="00720685">
        <w:rPr>
          <w:rFonts w:ascii="Arial" w:eastAsia="Arial" w:hAnsi="Arial" w:cs="Arial"/>
          <w:sz w:val="22"/>
          <w:szCs w:val="22"/>
        </w:rPr>
        <w:t>HiAP</w:t>
      </w:r>
      <w:proofErr w:type="spellEnd"/>
      <w:r w:rsidRPr="00720685">
        <w:rPr>
          <w:rFonts w:ascii="Arial" w:eastAsia="Arial" w:hAnsi="Arial" w:cs="Arial"/>
          <w:sz w:val="22"/>
          <w:szCs w:val="22"/>
        </w:rPr>
        <w:t xml:space="preserve">) framework, formalised through the Helsinki Statement of 2014. </w:t>
      </w:r>
      <w:proofErr w:type="spellStart"/>
      <w:r w:rsidRPr="00720685">
        <w:rPr>
          <w:rFonts w:ascii="Arial" w:eastAsia="Arial" w:hAnsi="Arial" w:cs="Arial"/>
          <w:sz w:val="22"/>
          <w:szCs w:val="22"/>
        </w:rPr>
        <w:t>HiAP</w:t>
      </w:r>
      <w:proofErr w:type="spellEnd"/>
      <w:r w:rsidRPr="00720685">
        <w:rPr>
          <w:rFonts w:ascii="Arial" w:eastAsia="Arial" w:hAnsi="Arial" w:cs="Arial"/>
          <w:sz w:val="22"/>
          <w:szCs w:val="22"/>
        </w:rPr>
        <w:t xml:space="preserve"> requires governments to consider the health consequences of policy decisions across all </w:t>
      </w:r>
      <w:proofErr w:type="gramStart"/>
      <w:r w:rsidRPr="00720685">
        <w:rPr>
          <w:rFonts w:ascii="Arial" w:eastAsia="Arial" w:hAnsi="Arial" w:cs="Arial"/>
          <w:sz w:val="22"/>
          <w:szCs w:val="22"/>
        </w:rPr>
        <w:t>sectors  transport</w:t>
      </w:r>
      <w:proofErr w:type="gramEnd"/>
      <w:r w:rsidRPr="00720685">
        <w:rPr>
          <w:rFonts w:ascii="Arial" w:eastAsia="Arial" w:hAnsi="Arial" w:cs="Arial"/>
          <w:sz w:val="22"/>
          <w:szCs w:val="22"/>
        </w:rPr>
        <w:t xml:space="preserve">, housing, agriculture, education and </w:t>
      </w:r>
      <w:r w:rsidR="00E10910" w:rsidRPr="00720685">
        <w:rPr>
          <w:rFonts w:ascii="Arial" w:eastAsia="Arial" w:hAnsi="Arial" w:cs="Arial"/>
          <w:sz w:val="22"/>
          <w:szCs w:val="22"/>
        </w:rPr>
        <w:t>finance not</w:t>
      </w:r>
      <w:r w:rsidRPr="00720685">
        <w:rPr>
          <w:rFonts w:ascii="Arial" w:eastAsia="Arial" w:hAnsi="Arial" w:cs="Arial"/>
          <w:sz w:val="22"/>
          <w:szCs w:val="22"/>
        </w:rPr>
        <w:t xml:space="preserve"> merely within health ministries (WHO, 2014). The theoretical foundation for this approach derives from Bronfenbrenner's (1979) Ecological Systems Theory, which models individuals as embedded within layered social systems whose conditions shape health outcomes far more profoundly than individual behaviour alone. As Kickbusch (2013) articulated in her analysis of </w:t>
      </w:r>
      <w:proofErr w:type="spellStart"/>
      <w:r w:rsidRPr="00720685">
        <w:rPr>
          <w:rFonts w:ascii="Arial" w:eastAsia="Arial" w:hAnsi="Arial" w:cs="Arial"/>
          <w:sz w:val="22"/>
          <w:szCs w:val="22"/>
        </w:rPr>
        <w:t>HiAP's</w:t>
      </w:r>
      <w:proofErr w:type="spellEnd"/>
      <w:r w:rsidRPr="00720685">
        <w:rPr>
          <w:rFonts w:ascii="Arial" w:eastAsia="Arial" w:hAnsi="Arial" w:cs="Arial"/>
          <w:sz w:val="22"/>
          <w:szCs w:val="22"/>
        </w:rPr>
        <w:t xml:space="preserve"> evolution, health must become a political priority embedded across all domains of governance rather than confined to a single ministry with limited cross-sectoral power.</w:t>
      </w:r>
    </w:p>
    <w:p w14:paraId="00000018" w14:textId="77777777" w:rsidR="003437F3" w:rsidRPr="00E10910" w:rsidRDefault="00000000">
      <w:pPr>
        <w:spacing w:after="160" w:line="360" w:lineRule="auto"/>
        <w:jc w:val="both"/>
        <w:rPr>
          <w:rFonts w:ascii="Arial" w:hAnsi="Arial" w:cs="Arial"/>
          <w:sz w:val="22"/>
          <w:szCs w:val="22"/>
        </w:rPr>
      </w:pPr>
      <w:r w:rsidRPr="00720685">
        <w:rPr>
          <w:rFonts w:ascii="Arial" w:eastAsia="Arial" w:hAnsi="Arial" w:cs="Arial"/>
          <w:sz w:val="22"/>
          <w:szCs w:val="22"/>
        </w:rPr>
        <w:t xml:space="preserve">Critically, however, </w:t>
      </w:r>
      <w:proofErr w:type="spellStart"/>
      <w:r w:rsidRPr="00720685">
        <w:rPr>
          <w:rFonts w:ascii="Arial" w:eastAsia="Arial" w:hAnsi="Arial" w:cs="Arial"/>
          <w:sz w:val="22"/>
          <w:szCs w:val="22"/>
        </w:rPr>
        <w:t>HiAP</w:t>
      </w:r>
      <w:proofErr w:type="spellEnd"/>
      <w:r w:rsidRPr="00720685">
        <w:rPr>
          <w:rFonts w:ascii="Arial" w:eastAsia="Arial" w:hAnsi="Arial" w:cs="Arial"/>
          <w:sz w:val="22"/>
          <w:szCs w:val="22"/>
        </w:rPr>
        <w:t xml:space="preserve"> faces structural limitations in implementation. It creates a framework for accountability without conferring enforcement mechanism</w:t>
      </w:r>
      <w:r>
        <w:rPr>
          <w:rFonts w:ascii="Arial" w:eastAsia="Arial" w:hAnsi="Arial" w:cs="Arial"/>
          <w:sz w:val="22"/>
          <w:szCs w:val="22"/>
        </w:rPr>
        <w:t xml:space="preserve">s, </w:t>
      </w:r>
      <w:r w:rsidRPr="00E10910">
        <w:rPr>
          <w:rFonts w:ascii="Arial" w:eastAsia="Arial" w:hAnsi="Arial" w:cs="Arial"/>
          <w:sz w:val="22"/>
          <w:szCs w:val="22"/>
        </w:rPr>
        <w:t xml:space="preserve">and health </w:t>
      </w:r>
      <w:r w:rsidRPr="00E10910">
        <w:rPr>
          <w:rFonts w:ascii="Arial" w:eastAsia="Arial" w:hAnsi="Arial" w:cs="Arial"/>
          <w:sz w:val="22"/>
          <w:szCs w:val="22"/>
        </w:rPr>
        <w:lastRenderedPageBreak/>
        <w:t>considerations frequently lose priority when competing with economic or political imperatives in other departments (Kickbusch, 2013). The aspiration is conceptually sound; the governance architecture for delivery is not always equal to it, particularly in contexts where departmental budgets are in competition rather than alignment.</w:t>
      </w:r>
    </w:p>
    <w:p w14:paraId="00000019" w14:textId="4AB90131"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Globally, the WHO's Universal Health Coverage </w:t>
      </w:r>
      <w:r w:rsidR="00E10910" w:rsidRPr="00E10910">
        <w:rPr>
          <w:rFonts w:ascii="Arial" w:eastAsia="Arial" w:hAnsi="Arial" w:cs="Arial"/>
          <w:sz w:val="22"/>
          <w:szCs w:val="22"/>
        </w:rPr>
        <w:t>initiative directly</w:t>
      </w:r>
      <w:r w:rsidRPr="00E10910">
        <w:rPr>
          <w:rFonts w:ascii="Arial" w:eastAsia="Arial" w:hAnsi="Arial" w:cs="Arial"/>
          <w:sz w:val="22"/>
          <w:szCs w:val="22"/>
        </w:rPr>
        <w:t xml:space="preserve"> aligned with SDG target </w:t>
      </w:r>
      <w:proofErr w:type="gramStart"/>
      <w:r w:rsidRPr="00E10910">
        <w:rPr>
          <w:rFonts w:ascii="Arial" w:eastAsia="Arial" w:hAnsi="Arial" w:cs="Arial"/>
          <w:sz w:val="22"/>
          <w:szCs w:val="22"/>
        </w:rPr>
        <w:t>3.8  represents</w:t>
      </w:r>
      <w:proofErr w:type="gramEnd"/>
      <w:r w:rsidRPr="00E10910">
        <w:rPr>
          <w:rFonts w:ascii="Arial" w:eastAsia="Arial" w:hAnsi="Arial" w:cs="Arial"/>
          <w:sz w:val="22"/>
          <w:szCs w:val="22"/>
        </w:rPr>
        <w:t xml:space="preserve"> another major policy framework, committing nations to ensuring all people access quality health services without financial hardship (WHO, 2021). Progress has been uneven: the WHO and World Bank (2023) estimated that at least half the world's population still lacks access to essential health services, with the burden falling disproportionately on low- and middle-income countries. Even in high-income settings such as the United Kingdom, UHC's aspiration is complicated by how coverage is defined and whether financial access reliably translates into equitable access in practice.</w:t>
      </w:r>
    </w:p>
    <w:p w14:paraId="0000001A" w14:textId="77777777" w:rsidR="003437F3" w:rsidRPr="00E10910" w:rsidRDefault="00000000">
      <w:pPr>
        <w:spacing w:before="200" w:after="120" w:line="360" w:lineRule="auto"/>
        <w:rPr>
          <w:rFonts w:ascii="Arial" w:hAnsi="Arial" w:cs="Arial"/>
          <w:sz w:val="22"/>
          <w:szCs w:val="22"/>
        </w:rPr>
      </w:pPr>
      <w:r w:rsidRPr="00E10910">
        <w:rPr>
          <w:rFonts w:ascii="Arial" w:eastAsia="Arial" w:hAnsi="Arial" w:cs="Arial"/>
          <w:b/>
          <w:bCs/>
          <w:sz w:val="22"/>
          <w:szCs w:val="22"/>
          <w:u w:val="single"/>
        </w:rPr>
        <w:t>Critical Evaluation of National and Local Examples</w:t>
      </w:r>
    </w:p>
    <w:p w14:paraId="0000001B"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Within the United Kingdom, SDG 3 finds its most prominent policy expression in the NHS Long Term Plan (NHS England, 2019), which committed £4.5 billion to expanding primary, community and mental health services, explicitly embedding prevention and health inequality reduction within its strategic framework. The plan represents a meaningful shift from reactive, acute-led care toward a model acknowledging the importance of community-based </w:t>
      </w:r>
      <w:proofErr w:type="gramStart"/>
      <w:r w:rsidRPr="00E10910">
        <w:rPr>
          <w:rFonts w:ascii="Arial" w:eastAsia="Arial" w:hAnsi="Arial" w:cs="Arial"/>
          <w:sz w:val="22"/>
          <w:szCs w:val="22"/>
        </w:rPr>
        <w:t>wellbeing  a</w:t>
      </w:r>
      <w:proofErr w:type="gramEnd"/>
      <w:r w:rsidRPr="00E10910">
        <w:rPr>
          <w:rFonts w:ascii="Arial" w:eastAsia="Arial" w:hAnsi="Arial" w:cs="Arial"/>
          <w:sz w:val="22"/>
          <w:szCs w:val="22"/>
        </w:rPr>
        <w:t xml:space="preserve"> move aligned with both SDG 3 and with the biopsychosocial model's emphasis on social context as a determinant of health.</w:t>
      </w:r>
    </w:p>
    <w:p w14:paraId="0000001C"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The NHS Diabetes Prevention Programme (DPP) provides one of the most substantive UK illustrations of SDG 3.4 in practice. As the world's largest structured national diabetes prevention initiative, jointly commissioned by NHS England and Diabetes UK, the DPP targets adults with non-diabetic hyperglycaemia through intensive behavioural intervention (NHS England, 2024). Valabhji and colleagues (2020) demonstrated average weight reductions of 3.8 kilograms among programme completers, and emerging evidence suggests meaningful reductions in type 2 diabetes conversion rates among those completing the full programme. Over one million people have been referred to the programme since its 2016 launch.</w:t>
      </w:r>
    </w:p>
    <w:p w14:paraId="0000001D"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 DPP's effectiveness can be rigorously evaluated through Rosenstock's (1974) Health Belief Model (HBM), which proposes that health-related behaviour is shaped by perceived susceptibility, perceived severity, perceived benefits, perceived barriers, cues to action and self-efficacy. The programme performs well on several dimensions: GP screening makes personal risk concrete, NHS messaging about complications </w:t>
      </w:r>
      <w:r w:rsidRPr="00E10910">
        <w:rPr>
          <w:rFonts w:ascii="Arial" w:eastAsia="Arial" w:hAnsi="Arial" w:cs="Arial"/>
          <w:sz w:val="22"/>
          <w:szCs w:val="22"/>
        </w:rPr>
        <w:lastRenderedPageBreak/>
        <w:t xml:space="preserve">communicates severity, and group-based delivery builds self-efficacy through peer support. However, the programme's partial reliance on digital delivery constitutes a significant barrier that the HBM makes analytically visible. </w:t>
      </w:r>
      <w:proofErr w:type="spellStart"/>
      <w:r w:rsidRPr="00E10910">
        <w:rPr>
          <w:rFonts w:ascii="Arial" w:eastAsia="Arial" w:hAnsi="Arial" w:cs="Arial"/>
          <w:sz w:val="22"/>
          <w:szCs w:val="22"/>
        </w:rPr>
        <w:t>Khunti</w:t>
      </w:r>
      <w:proofErr w:type="spellEnd"/>
      <w:r w:rsidRPr="00E10910">
        <w:rPr>
          <w:rFonts w:ascii="Arial" w:eastAsia="Arial" w:hAnsi="Arial" w:cs="Arial"/>
          <w:sz w:val="22"/>
          <w:szCs w:val="22"/>
        </w:rPr>
        <w:t xml:space="preserve"> and colleagues (2021) documented how older adults and those without reliable internet access were systematically excluded from digital components, replicating existing digital inequalities within a prevention initiative designed to serve high-risk populations. This is not merely an operational flaw but a theoretical </w:t>
      </w:r>
      <w:proofErr w:type="gramStart"/>
      <w:r w:rsidRPr="00E10910">
        <w:rPr>
          <w:rFonts w:ascii="Arial" w:eastAsia="Arial" w:hAnsi="Arial" w:cs="Arial"/>
          <w:sz w:val="22"/>
          <w:szCs w:val="22"/>
        </w:rPr>
        <w:t>one  a</w:t>
      </w:r>
      <w:proofErr w:type="gramEnd"/>
      <w:r w:rsidRPr="00E10910">
        <w:rPr>
          <w:rFonts w:ascii="Arial" w:eastAsia="Arial" w:hAnsi="Arial" w:cs="Arial"/>
          <w:sz w:val="22"/>
          <w:szCs w:val="22"/>
        </w:rPr>
        <w:t xml:space="preserve"> programme that ignores structural barriers in its design will necessarily fail those whose barriers are greatest.</w:t>
      </w:r>
    </w:p>
    <w:p w14:paraId="0000001E" w14:textId="7097BD0F"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 Health and Care Act 2022 </w:t>
      </w:r>
      <w:r w:rsidR="00E10910" w:rsidRPr="00E10910">
        <w:rPr>
          <w:rFonts w:ascii="Arial" w:eastAsia="Arial" w:hAnsi="Arial" w:cs="Arial"/>
          <w:sz w:val="22"/>
          <w:szCs w:val="22"/>
        </w:rPr>
        <w:t>represent</w:t>
      </w:r>
      <w:r w:rsidRPr="00E10910">
        <w:rPr>
          <w:rFonts w:ascii="Arial" w:eastAsia="Arial" w:hAnsi="Arial" w:cs="Arial"/>
          <w:sz w:val="22"/>
          <w:szCs w:val="22"/>
        </w:rPr>
        <w:t xml:space="preserve"> the most significant structural reform of the period, establishing Integrated Care Systems (ICSs) as statutory bodies legally required to plan services jointly across NHS trusts, local authorities and voluntary sector partners (DHSC, 2022). This legislative embedding of ecological </w:t>
      </w:r>
      <w:proofErr w:type="gramStart"/>
      <w:r w:rsidRPr="00E10910">
        <w:rPr>
          <w:rFonts w:ascii="Arial" w:eastAsia="Arial" w:hAnsi="Arial" w:cs="Arial"/>
          <w:sz w:val="22"/>
          <w:szCs w:val="22"/>
        </w:rPr>
        <w:t>thinking  the</w:t>
      </w:r>
      <w:proofErr w:type="gramEnd"/>
      <w:r w:rsidRPr="00E10910">
        <w:rPr>
          <w:rFonts w:ascii="Arial" w:eastAsia="Arial" w:hAnsi="Arial" w:cs="Arial"/>
          <w:sz w:val="22"/>
          <w:szCs w:val="22"/>
        </w:rPr>
        <w:t xml:space="preserve"> recognition that health is a shared responsibility across housing, employment, education and </w:t>
      </w:r>
      <w:proofErr w:type="gramStart"/>
      <w:r w:rsidRPr="00E10910">
        <w:rPr>
          <w:rFonts w:ascii="Arial" w:eastAsia="Arial" w:hAnsi="Arial" w:cs="Arial"/>
          <w:sz w:val="22"/>
          <w:szCs w:val="22"/>
        </w:rPr>
        <w:t>care  is</w:t>
      </w:r>
      <w:proofErr w:type="gramEnd"/>
      <w:r w:rsidRPr="00E10910">
        <w:rPr>
          <w:rFonts w:ascii="Arial" w:eastAsia="Arial" w:hAnsi="Arial" w:cs="Arial"/>
          <w:sz w:val="22"/>
          <w:szCs w:val="22"/>
        </w:rPr>
        <w:t xml:space="preserve"> conceptually aligned with both SDG 3 and the </w:t>
      </w:r>
      <w:proofErr w:type="spellStart"/>
      <w:r w:rsidRPr="00E10910">
        <w:rPr>
          <w:rFonts w:ascii="Arial" w:eastAsia="Arial" w:hAnsi="Arial" w:cs="Arial"/>
          <w:sz w:val="22"/>
          <w:szCs w:val="22"/>
        </w:rPr>
        <w:t>HiAP</w:t>
      </w:r>
      <w:proofErr w:type="spellEnd"/>
      <w:r w:rsidRPr="00E10910">
        <w:rPr>
          <w:rFonts w:ascii="Arial" w:eastAsia="Arial" w:hAnsi="Arial" w:cs="Arial"/>
          <w:sz w:val="22"/>
          <w:szCs w:val="22"/>
        </w:rPr>
        <w:t xml:space="preserve"> framework. In practice, early ICS implementation has encountered persistent funding pressures and coordination challenges that constrain the capacity of systems to fulfil their statutory mandate fully in the near term (Darzi, 2024).</w:t>
      </w:r>
    </w:p>
    <w:p w14:paraId="0000001F" w14:textId="77777777" w:rsidR="003437F3" w:rsidRPr="00E10910" w:rsidRDefault="00000000">
      <w:pPr>
        <w:spacing w:before="200" w:after="120" w:line="360" w:lineRule="auto"/>
        <w:rPr>
          <w:rFonts w:ascii="Arial" w:hAnsi="Arial" w:cs="Arial"/>
          <w:sz w:val="22"/>
          <w:szCs w:val="22"/>
        </w:rPr>
      </w:pPr>
      <w:r w:rsidRPr="00E10910">
        <w:rPr>
          <w:rFonts w:ascii="Arial" w:eastAsia="Arial" w:hAnsi="Arial" w:cs="Arial"/>
          <w:b/>
          <w:bCs/>
          <w:sz w:val="22"/>
          <w:szCs w:val="22"/>
          <w:u w:val="single"/>
        </w:rPr>
        <w:t>Recommendations</w:t>
      </w:r>
    </w:p>
    <w:p w14:paraId="00000020"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b/>
          <w:bCs/>
          <w:sz w:val="22"/>
          <w:szCs w:val="22"/>
        </w:rPr>
        <w:t>Three recommendations emerge from this analysis.</w:t>
      </w:r>
      <w:r w:rsidRPr="00E10910">
        <w:rPr>
          <w:rFonts w:ascii="Arial" w:eastAsia="Arial" w:hAnsi="Arial" w:cs="Arial"/>
          <w:sz w:val="22"/>
          <w:szCs w:val="22"/>
        </w:rPr>
        <w:t xml:space="preserve"> First, digital health initiatives including components of the DPP should be required to provide offline alternatives as a condition of NHS commissioning, ensuring digital expansion does not compound existing access inequalities. Second, all Integrated Care Systems should embed measurable health inequality metrics within annual performance reporting, creating accountability for gap-reduction commitments made within the </w:t>
      </w:r>
      <w:proofErr w:type="gramStart"/>
      <w:r w:rsidRPr="00E10910">
        <w:rPr>
          <w:rFonts w:ascii="Arial" w:eastAsia="Arial" w:hAnsi="Arial" w:cs="Arial"/>
          <w:sz w:val="22"/>
          <w:szCs w:val="22"/>
        </w:rPr>
        <w:t>Long Term</w:t>
      </w:r>
      <w:proofErr w:type="gramEnd"/>
      <w:r w:rsidRPr="00E10910">
        <w:rPr>
          <w:rFonts w:ascii="Arial" w:eastAsia="Arial" w:hAnsi="Arial" w:cs="Arial"/>
          <w:sz w:val="22"/>
          <w:szCs w:val="22"/>
        </w:rPr>
        <w:t xml:space="preserve"> Plan. Third, the UK government should formally resource the </w:t>
      </w:r>
      <w:proofErr w:type="spellStart"/>
      <w:r w:rsidRPr="00E10910">
        <w:rPr>
          <w:rFonts w:ascii="Arial" w:eastAsia="Arial" w:hAnsi="Arial" w:cs="Arial"/>
          <w:sz w:val="22"/>
          <w:szCs w:val="22"/>
        </w:rPr>
        <w:t>HiAP</w:t>
      </w:r>
      <w:proofErr w:type="spellEnd"/>
      <w:r w:rsidRPr="00E10910">
        <w:rPr>
          <w:rFonts w:ascii="Arial" w:eastAsia="Arial" w:hAnsi="Arial" w:cs="Arial"/>
          <w:sz w:val="22"/>
          <w:szCs w:val="22"/>
        </w:rPr>
        <w:t xml:space="preserve"> framework across all major departments, with statutory health impact assessments required for all major spending reviews. These recommendations align with SDG 3.8 (universal coverage) and SDG 3.4 (NCD prevention</w:t>
      </w:r>
      <w:proofErr w:type="gramStart"/>
      <w:r w:rsidRPr="00E10910">
        <w:rPr>
          <w:rFonts w:ascii="Arial" w:eastAsia="Arial" w:hAnsi="Arial" w:cs="Arial"/>
          <w:sz w:val="22"/>
          <w:szCs w:val="22"/>
        </w:rPr>
        <w:t>), and</w:t>
      </w:r>
      <w:proofErr w:type="gramEnd"/>
      <w:r w:rsidRPr="00E10910">
        <w:rPr>
          <w:rFonts w:ascii="Arial" w:eastAsia="Arial" w:hAnsi="Arial" w:cs="Arial"/>
          <w:sz w:val="22"/>
          <w:szCs w:val="22"/>
        </w:rPr>
        <w:t xml:space="preserve"> draw on Bandura's (1986) Social Cognitive Theory observation that behaviour change is constrained by environmental </w:t>
      </w:r>
      <w:proofErr w:type="gramStart"/>
      <w:r w:rsidRPr="00E10910">
        <w:rPr>
          <w:rFonts w:ascii="Arial" w:eastAsia="Arial" w:hAnsi="Arial" w:cs="Arial"/>
          <w:sz w:val="22"/>
          <w:szCs w:val="22"/>
        </w:rPr>
        <w:t>context  structural</w:t>
      </w:r>
      <w:proofErr w:type="gramEnd"/>
      <w:r w:rsidRPr="00E10910">
        <w:rPr>
          <w:rFonts w:ascii="Arial" w:eastAsia="Arial" w:hAnsi="Arial" w:cs="Arial"/>
          <w:sz w:val="22"/>
          <w:szCs w:val="22"/>
        </w:rPr>
        <w:t xml:space="preserve"> changes to that environment are therefore prerequisites for sustainable health improvement at population level.</w:t>
      </w:r>
    </w:p>
    <w:p w14:paraId="00000021" w14:textId="77777777" w:rsidR="003437F3" w:rsidRPr="00E10910" w:rsidRDefault="00000000">
      <w:pPr>
        <w:rPr>
          <w:rFonts w:ascii="Arial" w:hAnsi="Arial" w:cs="Arial"/>
          <w:sz w:val="22"/>
          <w:szCs w:val="22"/>
        </w:rPr>
      </w:pPr>
      <w:r w:rsidRPr="00E10910">
        <w:rPr>
          <w:rFonts w:ascii="Arial" w:hAnsi="Arial" w:cs="Arial"/>
          <w:sz w:val="22"/>
          <w:szCs w:val="22"/>
        </w:rPr>
        <w:br w:type="page"/>
      </w:r>
    </w:p>
    <w:p w14:paraId="00000022" w14:textId="352929CF" w:rsidR="003437F3" w:rsidRPr="00E10910" w:rsidRDefault="00000000">
      <w:pPr>
        <w:pStyle w:val="Heading1"/>
        <w:spacing w:before="280" w:after="160" w:line="360" w:lineRule="auto"/>
        <w:rPr>
          <w:rFonts w:ascii="Arial" w:hAnsi="Arial" w:cs="Arial"/>
          <w:color w:val="000000"/>
          <w:sz w:val="22"/>
          <w:szCs w:val="22"/>
        </w:rPr>
      </w:pPr>
      <w:r w:rsidRPr="00E10910">
        <w:rPr>
          <w:rFonts w:ascii="Arial" w:eastAsia="Arial" w:hAnsi="Arial" w:cs="Arial"/>
          <w:b/>
          <w:bCs/>
          <w:color w:val="000000"/>
          <w:sz w:val="22"/>
          <w:szCs w:val="22"/>
        </w:rPr>
        <w:lastRenderedPageBreak/>
        <w:t>Section 2: SDG 10 Reduced Inequalities</w:t>
      </w:r>
    </w:p>
    <w:p w14:paraId="00000023" w14:textId="77777777" w:rsidR="003437F3" w:rsidRPr="00E10910" w:rsidRDefault="00000000">
      <w:pPr>
        <w:spacing w:before="200" w:after="120" w:line="360" w:lineRule="auto"/>
        <w:rPr>
          <w:rFonts w:ascii="Arial" w:hAnsi="Arial" w:cs="Arial"/>
          <w:sz w:val="22"/>
          <w:szCs w:val="22"/>
        </w:rPr>
      </w:pPr>
      <w:r w:rsidRPr="00E10910">
        <w:rPr>
          <w:rFonts w:ascii="Arial" w:eastAsia="Arial" w:hAnsi="Arial" w:cs="Arial"/>
          <w:b/>
          <w:bCs/>
          <w:sz w:val="22"/>
          <w:szCs w:val="22"/>
          <w:u w:val="single"/>
        </w:rPr>
        <w:t>Overview of SDG 10</w:t>
      </w:r>
    </w:p>
    <w:p w14:paraId="00000024"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Sustainable Development Goal 10 commits signatory nations to reducing inequality within and among countries, encompassing income inequality, social exclusion, discrimination and unequal access to services and opportunities (UN, 2015). Its targets include reducing income inequality (10.1), promoting social, economic and political inclusion regardless of age, sex, disability, race, ethnicity or economic status (10.2), ensuring equal opportunity through legislation (10.3) and adopting fiscal, wage and social protection policies that progressively achieve greater equality (10.4). The goal is not merely concerned with economic </w:t>
      </w:r>
      <w:proofErr w:type="gramStart"/>
      <w:r w:rsidRPr="00E10910">
        <w:rPr>
          <w:rFonts w:ascii="Arial" w:eastAsia="Arial" w:hAnsi="Arial" w:cs="Arial"/>
          <w:sz w:val="22"/>
          <w:szCs w:val="22"/>
        </w:rPr>
        <w:t>redistribution  it</w:t>
      </w:r>
      <w:proofErr w:type="gramEnd"/>
      <w:r w:rsidRPr="00E10910">
        <w:rPr>
          <w:rFonts w:ascii="Arial" w:eastAsia="Arial" w:hAnsi="Arial" w:cs="Arial"/>
          <w:sz w:val="22"/>
          <w:szCs w:val="22"/>
        </w:rPr>
        <w:t xml:space="preserve"> recognises that inequality is a multidimensional phenomenon whose effects pervade health, education, housing, employment and social participation.</w:t>
      </w:r>
    </w:p>
    <w:p w14:paraId="00000025"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 relationship between SDG 10 and SDG 3 is constitutive rather than merely complementary. Marmot and colleagues' foundational argument, sustained across both the 2010 and 2020 reviews, is that health inequality is not a random distribution of </w:t>
      </w:r>
      <w:proofErr w:type="gramStart"/>
      <w:r w:rsidRPr="00E10910">
        <w:rPr>
          <w:rFonts w:ascii="Arial" w:eastAsia="Arial" w:hAnsi="Arial" w:cs="Arial"/>
          <w:sz w:val="22"/>
          <w:szCs w:val="22"/>
        </w:rPr>
        <w:t>misfortune</w:t>
      </w:r>
      <w:proofErr w:type="gramEnd"/>
      <w:r w:rsidRPr="00E10910">
        <w:rPr>
          <w:rFonts w:ascii="Arial" w:eastAsia="Arial" w:hAnsi="Arial" w:cs="Arial"/>
          <w:sz w:val="22"/>
          <w:szCs w:val="22"/>
        </w:rPr>
        <w:t xml:space="preserve"> but a systematic gradient produced by unequal social conditions (Marmot et al., 2010; Marmot et al., 2020). People with lower incomes, lower educational attainment and less secure housing live shorter lives in worse </w:t>
      </w:r>
      <w:proofErr w:type="gramStart"/>
      <w:r w:rsidRPr="00E10910">
        <w:rPr>
          <w:rFonts w:ascii="Arial" w:eastAsia="Arial" w:hAnsi="Arial" w:cs="Arial"/>
          <w:sz w:val="22"/>
          <w:szCs w:val="22"/>
        </w:rPr>
        <w:t>health  not</w:t>
      </w:r>
      <w:proofErr w:type="gramEnd"/>
      <w:r w:rsidRPr="00E10910">
        <w:rPr>
          <w:rFonts w:ascii="Arial" w:eastAsia="Arial" w:hAnsi="Arial" w:cs="Arial"/>
          <w:sz w:val="22"/>
          <w:szCs w:val="22"/>
        </w:rPr>
        <w:t xml:space="preserve"> because of individual choices, but because the structural conditions that shape those choices are themselves unequal. Reducing health inequality therefore demands reducing the social inequalities that generate it, which is precisely the terrain of SDG 10.</w:t>
      </w:r>
    </w:p>
    <w:p w14:paraId="00000026" w14:textId="77777777" w:rsidR="003437F3" w:rsidRPr="00E10910" w:rsidRDefault="00000000">
      <w:pPr>
        <w:spacing w:before="200" w:after="120" w:line="360" w:lineRule="auto"/>
        <w:rPr>
          <w:rFonts w:ascii="Arial" w:hAnsi="Arial" w:cs="Arial"/>
          <w:sz w:val="22"/>
          <w:szCs w:val="22"/>
        </w:rPr>
      </w:pPr>
      <w:r w:rsidRPr="00E10910">
        <w:rPr>
          <w:rFonts w:ascii="Arial" w:eastAsia="Arial" w:hAnsi="Arial" w:cs="Arial"/>
          <w:b/>
          <w:bCs/>
          <w:sz w:val="22"/>
          <w:szCs w:val="22"/>
          <w:u w:val="single"/>
        </w:rPr>
        <w:t>Critical Evaluation of Global Policies and Initiatives</w:t>
      </w:r>
    </w:p>
    <w:p w14:paraId="00000027"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At the global level, the most influential framework for understanding health inequality is the WHO Commission on Social Determinants of Health (CSDH), whose 2008 report argued that the conditions in which people are born, grow, live, work and age are responsible for the majority of health inequalities between and within countries (CSDH, 2008). The Commission called for action on three overarching principles: improving daily living conditions; addressing the inequitable distribution of power, money and resources; and measuring and evaluating the problem to expand the knowledge base. This framework remains the dominant global architecture for approaching SDG 10 from a health perspective.</w:t>
      </w:r>
    </w:p>
    <w:p w14:paraId="00000028" w14:textId="6D83B0C9"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Theoretically, this approach aligns with Dahlgren and Whitehead's (1991) Rainbow Model of health determinants, which depicts health as shaped by concentric layers of </w:t>
      </w:r>
      <w:proofErr w:type="gramStart"/>
      <w:r w:rsidRPr="00E10910">
        <w:rPr>
          <w:rFonts w:ascii="Arial" w:eastAsia="Arial" w:hAnsi="Arial" w:cs="Arial"/>
          <w:sz w:val="22"/>
          <w:szCs w:val="22"/>
        </w:rPr>
        <w:t>influence  from</w:t>
      </w:r>
      <w:proofErr w:type="gramEnd"/>
      <w:r w:rsidRPr="00E10910">
        <w:rPr>
          <w:rFonts w:ascii="Arial" w:eastAsia="Arial" w:hAnsi="Arial" w:cs="Arial"/>
          <w:sz w:val="22"/>
          <w:szCs w:val="22"/>
        </w:rPr>
        <w:t xml:space="preserve"> individual lifestyle factors through community networks to overarching </w:t>
      </w:r>
      <w:r w:rsidRPr="00E10910">
        <w:rPr>
          <w:rFonts w:ascii="Arial" w:eastAsia="Arial" w:hAnsi="Arial" w:cs="Arial"/>
          <w:sz w:val="22"/>
          <w:szCs w:val="22"/>
        </w:rPr>
        <w:lastRenderedPageBreak/>
        <w:t xml:space="preserve">socioeconomic, cultural and environmental conditions. The model makes analytically visible what purely clinical approaches obscure: the determinants of population health lie overwhelmingly outside the health system, in the social structures that SDG 10 directly targets. Applied critically, the model reveals the limitation of health-sector interventions when structural conditions remain </w:t>
      </w:r>
      <w:r w:rsidR="00DD1AAD" w:rsidRPr="00E10910">
        <w:rPr>
          <w:rFonts w:ascii="Arial" w:eastAsia="Arial" w:hAnsi="Arial" w:cs="Arial"/>
          <w:sz w:val="22"/>
          <w:szCs w:val="22"/>
        </w:rPr>
        <w:t>unchanged what</w:t>
      </w:r>
      <w:r w:rsidRPr="00E10910">
        <w:rPr>
          <w:rFonts w:ascii="Arial" w:eastAsia="Arial" w:hAnsi="Arial" w:cs="Arial"/>
          <w:sz w:val="22"/>
          <w:szCs w:val="22"/>
        </w:rPr>
        <w:t xml:space="preserve"> Thompson and Thompson (2019) describe as the downstream fixation of health services that treats the consequences of inequality while leaving its causes intact.</w:t>
      </w:r>
    </w:p>
    <w:p w14:paraId="00000029" w14:textId="0F1AFCD6"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Globally, SDG 10's implementation has been disappointing by most measures. Oxfam (2023) reported that global inequality worsened during and after the COVID-19 pandemic, with concentrated wealth increases at the top of the income distribution while the incomes of the vast majority declined. The pandemic itself functioned as what Bambra and colleagues (2020) termed a </w:t>
      </w:r>
      <w:r w:rsidR="00163D7D" w:rsidRPr="00E10910">
        <w:rPr>
          <w:rFonts w:ascii="Arial" w:eastAsia="Arial" w:hAnsi="Arial" w:cs="Arial"/>
          <w:sz w:val="22"/>
          <w:szCs w:val="22"/>
        </w:rPr>
        <w:t>syndemic a</w:t>
      </w:r>
      <w:r w:rsidRPr="00E10910">
        <w:rPr>
          <w:rFonts w:ascii="Arial" w:eastAsia="Arial" w:hAnsi="Arial" w:cs="Arial"/>
          <w:sz w:val="22"/>
          <w:szCs w:val="22"/>
        </w:rPr>
        <w:t xml:space="preserve"> synergistic epidemic in which the biological effects of COVID-19 interacted with pre-existing social inequalities to produce profoundly unequal outcomes. Mortality rates were significantly higher in deprived communities and among minority ethnic populations, reflecting the unequal distribution of frontline work, housing density, digital access and health literacy that SDG 10 is precisely designed to address.</w:t>
      </w:r>
    </w:p>
    <w:p w14:paraId="0000002A" w14:textId="77777777" w:rsidR="003437F3" w:rsidRPr="00E10910" w:rsidRDefault="00000000">
      <w:pPr>
        <w:spacing w:before="200" w:after="120" w:line="360" w:lineRule="auto"/>
        <w:rPr>
          <w:rFonts w:ascii="Arial" w:hAnsi="Arial" w:cs="Arial"/>
          <w:sz w:val="22"/>
          <w:szCs w:val="22"/>
        </w:rPr>
      </w:pPr>
      <w:r w:rsidRPr="00E10910">
        <w:rPr>
          <w:rFonts w:ascii="Arial" w:eastAsia="Arial" w:hAnsi="Arial" w:cs="Arial"/>
          <w:b/>
          <w:bCs/>
          <w:sz w:val="22"/>
          <w:szCs w:val="22"/>
          <w:u w:val="single"/>
        </w:rPr>
        <w:t>Critical Evaluation of National and Local Examples</w:t>
      </w:r>
    </w:p>
    <w:p w14:paraId="0000002B" w14:textId="6D9BAE73"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 United Kingdom provides one of the most extensively documented examples of health inequality in the developed world. The Marmot Review (2010) established comprehensively that life expectancy and healthy life expectancy follow a social </w:t>
      </w:r>
      <w:proofErr w:type="gramStart"/>
      <w:r w:rsidRPr="00E10910">
        <w:rPr>
          <w:rFonts w:ascii="Arial" w:eastAsia="Arial" w:hAnsi="Arial" w:cs="Arial"/>
          <w:sz w:val="22"/>
          <w:szCs w:val="22"/>
        </w:rPr>
        <w:t>gradient  those</w:t>
      </w:r>
      <w:proofErr w:type="gramEnd"/>
      <w:r w:rsidRPr="00E10910">
        <w:rPr>
          <w:rFonts w:ascii="Arial" w:eastAsia="Arial" w:hAnsi="Arial" w:cs="Arial"/>
          <w:sz w:val="22"/>
          <w:szCs w:val="22"/>
        </w:rPr>
        <w:t xml:space="preserve"> in the most deprived areas live shorter lives and spend more of those lives in poor health than those in more affluent areas (Marmot et al., 2010). Ten years later, Marmot and colleagues (2020) returned with a damning assessment: for the first time in over a century, life expectancy in England had stalled, and for women in the most deprived areas, it had </w:t>
      </w:r>
      <w:proofErr w:type="gramStart"/>
      <w:r w:rsidRPr="00E10910">
        <w:rPr>
          <w:rFonts w:ascii="Arial" w:eastAsia="Arial" w:hAnsi="Arial" w:cs="Arial"/>
          <w:sz w:val="22"/>
          <w:szCs w:val="22"/>
        </w:rPr>
        <w:t>actually declined</w:t>
      </w:r>
      <w:proofErr w:type="gramEnd"/>
      <w:r w:rsidRPr="00E10910">
        <w:rPr>
          <w:rFonts w:ascii="Arial" w:eastAsia="Arial" w:hAnsi="Arial" w:cs="Arial"/>
          <w:sz w:val="22"/>
          <w:szCs w:val="22"/>
        </w:rPr>
        <w:t xml:space="preserve">. The healthy life expectancy gap between the most and least deprived areas had reached nineteen </w:t>
      </w:r>
      <w:r w:rsidR="00163D7D" w:rsidRPr="00E10910">
        <w:rPr>
          <w:rFonts w:ascii="Arial" w:eastAsia="Arial" w:hAnsi="Arial" w:cs="Arial"/>
          <w:sz w:val="22"/>
          <w:szCs w:val="22"/>
        </w:rPr>
        <w:t>years meaning</w:t>
      </w:r>
      <w:r w:rsidRPr="00E10910">
        <w:rPr>
          <w:rFonts w:ascii="Arial" w:eastAsia="Arial" w:hAnsi="Arial" w:cs="Arial"/>
          <w:sz w:val="22"/>
          <w:szCs w:val="22"/>
        </w:rPr>
        <w:t xml:space="preserve"> that people in the poorest communities spend nearly two additional decades in poor health compared to their most affluent counterparts. Marmot et al. (2020) attributed this directly to a decade of public sector austerity that systematically reduced the resources available to the communities and services most needed by those at the bottom of the social gradient.</w:t>
      </w:r>
    </w:p>
    <w:p w14:paraId="0000002C"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 intersection of ethnicity and deprivation compounds these inequalities substantially further. The Institute of Race Relations (2024) documented that Pakistani and Bangladeshi households are significantly more likely to live in the most deprived </w:t>
      </w:r>
      <w:r w:rsidRPr="00E10910">
        <w:rPr>
          <w:rFonts w:ascii="Arial" w:eastAsia="Arial" w:hAnsi="Arial" w:cs="Arial"/>
          <w:sz w:val="22"/>
          <w:szCs w:val="22"/>
        </w:rPr>
        <w:lastRenderedPageBreak/>
        <w:t>neighbourhoods than white British households, and that Black African and Caribbean communities face disproportionate barriers across housing, employment and healthcare access. Darzi's (2024) independent investigation reported mortality disparities between the most and least deprived areas that could not be attributed to individual behaviour and that demand structural explanation and structural response.</w:t>
      </w:r>
    </w:p>
    <w:p w14:paraId="0000002D" w14:textId="7499D3F8"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At national policy level, the government's commitment to levelling </w:t>
      </w:r>
      <w:r w:rsidR="00163D7D" w:rsidRPr="00E10910">
        <w:rPr>
          <w:rFonts w:ascii="Arial" w:eastAsia="Arial" w:hAnsi="Arial" w:cs="Arial"/>
          <w:sz w:val="22"/>
          <w:szCs w:val="22"/>
        </w:rPr>
        <w:t>up articulated</w:t>
      </w:r>
      <w:r w:rsidRPr="00E10910">
        <w:rPr>
          <w:rFonts w:ascii="Arial" w:eastAsia="Arial" w:hAnsi="Arial" w:cs="Arial"/>
          <w:sz w:val="22"/>
          <w:szCs w:val="22"/>
        </w:rPr>
        <w:t xml:space="preserve"> in the Levelling Up White Paper (DLUHC, 2022</w:t>
      </w:r>
      <w:proofErr w:type="gramStart"/>
      <w:r w:rsidRPr="00E10910">
        <w:rPr>
          <w:rFonts w:ascii="Arial" w:eastAsia="Arial" w:hAnsi="Arial" w:cs="Arial"/>
          <w:sz w:val="22"/>
          <w:szCs w:val="22"/>
        </w:rPr>
        <w:t>)  represented</w:t>
      </w:r>
      <w:proofErr w:type="gramEnd"/>
      <w:r w:rsidRPr="00E10910">
        <w:rPr>
          <w:rFonts w:ascii="Arial" w:eastAsia="Arial" w:hAnsi="Arial" w:cs="Arial"/>
          <w:sz w:val="22"/>
          <w:szCs w:val="22"/>
        </w:rPr>
        <w:t xml:space="preserve"> an explicit acknowledgement of the relationship between geographic inequality and health outcomes, setting a target of halving the gap in healthy life expectancy between the best and worst-performing areas by 2035. Critically evaluated, however, this commitment has attracted significant academic scepticism. Bambra and colleagues (2021) argued that levelling up rhetoric frequently decoupled the language of inequality from its structural </w:t>
      </w:r>
      <w:r w:rsidR="00163D7D" w:rsidRPr="00E10910">
        <w:rPr>
          <w:rFonts w:ascii="Arial" w:eastAsia="Arial" w:hAnsi="Arial" w:cs="Arial"/>
          <w:sz w:val="22"/>
          <w:szCs w:val="22"/>
        </w:rPr>
        <w:t>causes focusing</w:t>
      </w:r>
      <w:r w:rsidRPr="00E10910">
        <w:rPr>
          <w:rFonts w:ascii="Arial" w:eastAsia="Arial" w:hAnsi="Arial" w:cs="Arial"/>
          <w:sz w:val="22"/>
          <w:szCs w:val="22"/>
        </w:rPr>
        <w:t xml:space="preserve"> on place-based regeneration while avoiding the redistributive fiscal policies that Marmot et al. (2020) identified as necessary. Without addressing wage inequality, social security adequacy and housing affordability, place-based investment risks producing gentrification rather than genuine health improvement for people currently living in deprived areas.</w:t>
      </w:r>
    </w:p>
    <w:p w14:paraId="0000002E"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Making Every Contact Count (MECC), a national NHS England initiative, represents a local-level approach to reducing health inequalities through health promotion embedded within every clinical encounter (NHS England, 2022). Over 850,000 staff across England have been trained to deliver brief health advice during routine </w:t>
      </w:r>
      <w:proofErr w:type="gramStart"/>
      <w:r w:rsidRPr="00E10910">
        <w:rPr>
          <w:rFonts w:ascii="Arial" w:eastAsia="Arial" w:hAnsi="Arial" w:cs="Arial"/>
          <w:sz w:val="22"/>
          <w:szCs w:val="22"/>
        </w:rPr>
        <w:t>interactions  a</w:t>
      </w:r>
      <w:proofErr w:type="gramEnd"/>
      <w:r w:rsidRPr="00E10910">
        <w:rPr>
          <w:rFonts w:ascii="Arial" w:eastAsia="Arial" w:hAnsi="Arial" w:cs="Arial"/>
          <w:sz w:val="22"/>
          <w:szCs w:val="22"/>
        </w:rPr>
        <w:t xml:space="preserve"> model grounded in Bandura's (1986) Social Cognitive Theory emphasis on environmental cues and social modelling in shaping health behaviour. The initiative has demonstrated meaningful reach at scale. However, its effectiveness is constrained by the inequalities it seeks to </w:t>
      </w:r>
      <w:proofErr w:type="gramStart"/>
      <w:r w:rsidRPr="00E10910">
        <w:rPr>
          <w:rFonts w:ascii="Arial" w:eastAsia="Arial" w:hAnsi="Arial" w:cs="Arial"/>
          <w:sz w:val="22"/>
          <w:szCs w:val="22"/>
        </w:rPr>
        <w:t>address:</w:t>
      </w:r>
      <w:proofErr w:type="gramEnd"/>
      <w:r w:rsidRPr="00E10910">
        <w:rPr>
          <w:rFonts w:ascii="Arial" w:eastAsia="Arial" w:hAnsi="Arial" w:cs="Arial"/>
          <w:sz w:val="22"/>
          <w:szCs w:val="22"/>
        </w:rPr>
        <w:t xml:space="preserve"> time pressures in primary care are greatest in the most deprived areas, where patient complexity is highest and workforce retention is lowest, meaning that MECC implementation is weakest precisely where need is greatest (Skills for Care, 2023).</w:t>
      </w:r>
    </w:p>
    <w:p w14:paraId="0000002F" w14:textId="7875BA94"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Social </w:t>
      </w:r>
      <w:r w:rsidR="00EB5395" w:rsidRPr="00E10910">
        <w:rPr>
          <w:rFonts w:ascii="Arial" w:eastAsia="Arial" w:hAnsi="Arial" w:cs="Arial"/>
          <w:sz w:val="22"/>
          <w:szCs w:val="22"/>
        </w:rPr>
        <w:t>prescribing linking</w:t>
      </w:r>
      <w:r w:rsidRPr="00E10910">
        <w:rPr>
          <w:rFonts w:ascii="Arial" w:eastAsia="Arial" w:hAnsi="Arial" w:cs="Arial"/>
          <w:sz w:val="22"/>
          <w:szCs w:val="22"/>
        </w:rPr>
        <w:t xml:space="preserve"> patients to community assets, activities and support rather than solely clinical </w:t>
      </w:r>
      <w:proofErr w:type="gramStart"/>
      <w:r w:rsidRPr="00E10910">
        <w:rPr>
          <w:rFonts w:ascii="Arial" w:eastAsia="Arial" w:hAnsi="Arial" w:cs="Arial"/>
          <w:sz w:val="22"/>
          <w:szCs w:val="22"/>
        </w:rPr>
        <w:t>interventions  has</w:t>
      </w:r>
      <w:proofErr w:type="gramEnd"/>
      <w:r w:rsidRPr="00E10910">
        <w:rPr>
          <w:rFonts w:ascii="Arial" w:eastAsia="Arial" w:hAnsi="Arial" w:cs="Arial"/>
          <w:sz w:val="22"/>
          <w:szCs w:val="22"/>
        </w:rPr>
        <w:t xml:space="preserve"> been promoted as a means of addressing the social determinants that clinical medicine cannot reach (NHS England, 2023). Grounded in Dahlgren and Whitehead's (1991) ecological framework, it seeks to strengthen the community and social network layers that buffer individuals from the health consequences of deprivation. Evidence suggests meaningful benefits for mental health and loneliness. However, Marmot et al. (2020) cautioned that social prescribing </w:t>
      </w:r>
      <w:r w:rsidRPr="00E10910">
        <w:rPr>
          <w:rFonts w:ascii="Arial" w:eastAsia="Arial" w:hAnsi="Arial" w:cs="Arial"/>
          <w:sz w:val="22"/>
          <w:szCs w:val="22"/>
        </w:rPr>
        <w:lastRenderedPageBreak/>
        <w:t>cannot substitute for structural investment: linking isolated individuals to community activities does not address the poverty, insecure housing or unemployment that produced their isolation.</w:t>
      </w:r>
    </w:p>
    <w:p w14:paraId="00000030" w14:textId="03AF5C25" w:rsidR="003437F3" w:rsidRPr="00E10910" w:rsidRDefault="00000000">
      <w:pPr>
        <w:spacing w:before="200" w:after="120" w:line="360" w:lineRule="auto"/>
        <w:rPr>
          <w:rFonts w:ascii="Arial" w:hAnsi="Arial" w:cs="Arial"/>
          <w:sz w:val="22"/>
          <w:szCs w:val="22"/>
        </w:rPr>
      </w:pPr>
      <w:r w:rsidRPr="00E10910">
        <w:rPr>
          <w:rFonts w:ascii="Arial" w:eastAsia="Arial" w:hAnsi="Arial" w:cs="Arial"/>
          <w:b/>
          <w:bCs/>
          <w:sz w:val="22"/>
          <w:szCs w:val="22"/>
          <w:u w:val="single"/>
        </w:rPr>
        <w:t>R</w:t>
      </w:r>
      <w:r w:rsidR="009B5294">
        <w:rPr>
          <w:rFonts w:ascii="Arial" w:eastAsia="Arial" w:hAnsi="Arial" w:cs="Arial"/>
          <w:b/>
          <w:bCs/>
          <w:sz w:val="22"/>
          <w:szCs w:val="22"/>
          <w:u w:val="single"/>
        </w:rPr>
        <w:t>ECOMMENDATIONS</w:t>
      </w:r>
    </w:p>
    <w:p w14:paraId="00000031" w14:textId="2A3E3BD4" w:rsidR="003437F3" w:rsidRPr="00E10910" w:rsidRDefault="00000000">
      <w:pPr>
        <w:spacing w:after="160" w:line="360" w:lineRule="auto"/>
        <w:jc w:val="both"/>
        <w:rPr>
          <w:rFonts w:ascii="Arial" w:hAnsi="Arial" w:cs="Arial"/>
          <w:sz w:val="22"/>
          <w:szCs w:val="22"/>
        </w:rPr>
      </w:pPr>
      <w:r w:rsidRPr="00E10910">
        <w:rPr>
          <w:rFonts w:ascii="Arial" w:eastAsia="Arial" w:hAnsi="Arial" w:cs="Arial"/>
          <w:b/>
          <w:bCs/>
          <w:sz w:val="22"/>
          <w:szCs w:val="22"/>
        </w:rPr>
        <w:t>Four recommendations emerge from this analysis.</w:t>
      </w:r>
      <w:r w:rsidRPr="00E10910">
        <w:rPr>
          <w:rFonts w:ascii="Arial" w:eastAsia="Arial" w:hAnsi="Arial" w:cs="Arial"/>
          <w:sz w:val="22"/>
          <w:szCs w:val="22"/>
        </w:rPr>
        <w:t xml:space="preserve"> First, the 2035 healthy life expectancy gap target must be supported by statutory interim milestones and an </w:t>
      </w:r>
      <w:proofErr w:type="gramStart"/>
      <w:r w:rsidRPr="00E10910">
        <w:rPr>
          <w:rFonts w:ascii="Arial" w:eastAsia="Arial" w:hAnsi="Arial" w:cs="Arial"/>
          <w:sz w:val="22"/>
          <w:szCs w:val="22"/>
        </w:rPr>
        <w:t xml:space="preserve">independent reporting </w:t>
      </w:r>
      <w:r w:rsidR="00EB5395" w:rsidRPr="00E10910">
        <w:rPr>
          <w:rFonts w:ascii="Arial" w:eastAsia="Arial" w:hAnsi="Arial" w:cs="Arial"/>
          <w:sz w:val="22"/>
          <w:szCs w:val="22"/>
        </w:rPr>
        <w:t>mechanism aspirational</w:t>
      </w:r>
      <w:r w:rsidRPr="00E10910">
        <w:rPr>
          <w:rFonts w:ascii="Arial" w:eastAsia="Arial" w:hAnsi="Arial" w:cs="Arial"/>
          <w:sz w:val="22"/>
          <w:szCs w:val="22"/>
        </w:rPr>
        <w:t xml:space="preserve"> targets</w:t>
      </w:r>
      <w:proofErr w:type="gramEnd"/>
      <w:r w:rsidRPr="00E10910">
        <w:rPr>
          <w:rFonts w:ascii="Arial" w:eastAsia="Arial" w:hAnsi="Arial" w:cs="Arial"/>
          <w:sz w:val="22"/>
          <w:szCs w:val="22"/>
        </w:rPr>
        <w:t xml:space="preserve"> without accountability structures have consistently failed to drive delivery in UK health inequality policy. Second, all Integrated Care Systems should be required to conduct and publish annual ethnic health equity audits, creating transparency around the disproportionate burden of inequality on minority ethnic communities and enabling targeted resource allocation. Third, MECC and social prescribing commissioning ratios should be weighted toward the most deprived </w:t>
      </w:r>
      <w:r w:rsidR="00EB5395" w:rsidRPr="00E10910">
        <w:rPr>
          <w:rFonts w:ascii="Arial" w:eastAsia="Arial" w:hAnsi="Arial" w:cs="Arial"/>
          <w:sz w:val="22"/>
          <w:szCs w:val="22"/>
        </w:rPr>
        <w:t>areas inverting</w:t>
      </w:r>
      <w:r w:rsidRPr="00E10910">
        <w:rPr>
          <w:rFonts w:ascii="Arial" w:eastAsia="Arial" w:hAnsi="Arial" w:cs="Arial"/>
          <w:sz w:val="22"/>
          <w:szCs w:val="22"/>
        </w:rPr>
        <w:t xml:space="preserve"> the current pattern whereby preventive resource is proportionally weakest precisely where need is greatest. Fourth, the UK should adopt Marmot et al.'s (2020) recommendation for a comprehensive child poverty strategy, </w:t>
      </w:r>
      <w:r w:rsidR="00EB5395" w:rsidRPr="00E10910">
        <w:rPr>
          <w:rFonts w:ascii="Arial" w:eastAsia="Arial" w:hAnsi="Arial" w:cs="Arial"/>
          <w:sz w:val="22"/>
          <w:szCs w:val="22"/>
        </w:rPr>
        <w:t>recognising consistent</w:t>
      </w:r>
      <w:r w:rsidRPr="00E10910">
        <w:rPr>
          <w:rFonts w:ascii="Arial" w:eastAsia="Arial" w:hAnsi="Arial" w:cs="Arial"/>
          <w:sz w:val="22"/>
          <w:szCs w:val="22"/>
        </w:rPr>
        <w:t xml:space="preserve"> with Elder's (1998) Life Course </w:t>
      </w:r>
      <w:proofErr w:type="gramStart"/>
      <w:r w:rsidRPr="00E10910">
        <w:rPr>
          <w:rFonts w:ascii="Arial" w:eastAsia="Arial" w:hAnsi="Arial" w:cs="Arial"/>
          <w:sz w:val="22"/>
          <w:szCs w:val="22"/>
        </w:rPr>
        <w:t>Perspective  that</w:t>
      </w:r>
      <w:proofErr w:type="gramEnd"/>
      <w:r w:rsidRPr="00E10910">
        <w:rPr>
          <w:rFonts w:ascii="Arial" w:eastAsia="Arial" w:hAnsi="Arial" w:cs="Arial"/>
          <w:sz w:val="22"/>
          <w:szCs w:val="22"/>
        </w:rPr>
        <w:t xml:space="preserve"> health inequality is accumulated across the life span and that its effective reduction requires intervention long before clinical contact.</w:t>
      </w:r>
    </w:p>
    <w:p w14:paraId="00000032" w14:textId="77777777" w:rsidR="003437F3" w:rsidRPr="00E10910" w:rsidRDefault="00000000">
      <w:pPr>
        <w:rPr>
          <w:rFonts w:ascii="Arial" w:hAnsi="Arial" w:cs="Arial"/>
          <w:sz w:val="22"/>
          <w:szCs w:val="22"/>
        </w:rPr>
      </w:pPr>
      <w:r w:rsidRPr="00E10910">
        <w:rPr>
          <w:rFonts w:ascii="Arial" w:hAnsi="Arial" w:cs="Arial"/>
          <w:sz w:val="22"/>
          <w:szCs w:val="22"/>
        </w:rPr>
        <w:br w:type="page"/>
      </w:r>
    </w:p>
    <w:p w14:paraId="00000033" w14:textId="6AE06BE5" w:rsidR="003437F3" w:rsidRPr="00E10910" w:rsidRDefault="00000000">
      <w:pPr>
        <w:pStyle w:val="Heading1"/>
        <w:spacing w:before="280" w:after="160" w:line="360" w:lineRule="auto"/>
        <w:rPr>
          <w:rFonts w:ascii="Arial" w:hAnsi="Arial" w:cs="Arial"/>
          <w:color w:val="000000"/>
          <w:sz w:val="22"/>
          <w:szCs w:val="22"/>
        </w:rPr>
      </w:pPr>
      <w:r w:rsidRPr="00E10910">
        <w:rPr>
          <w:rFonts w:ascii="Arial" w:eastAsia="Arial" w:hAnsi="Arial" w:cs="Arial"/>
          <w:b/>
          <w:bCs/>
          <w:color w:val="000000"/>
          <w:sz w:val="22"/>
          <w:szCs w:val="22"/>
        </w:rPr>
        <w:lastRenderedPageBreak/>
        <w:t>C</w:t>
      </w:r>
      <w:r w:rsidR="00C75280">
        <w:rPr>
          <w:rFonts w:ascii="Arial" w:eastAsia="Arial" w:hAnsi="Arial" w:cs="Arial"/>
          <w:b/>
          <w:bCs/>
          <w:color w:val="000000"/>
          <w:sz w:val="22"/>
          <w:szCs w:val="22"/>
        </w:rPr>
        <w:t>ONCLUSION</w:t>
      </w:r>
    </w:p>
    <w:p w14:paraId="00000034"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This report has argued that SDG 3 and SDG 10 are not merely parallel goals but mutually constitutive ones: the aspiration to good health for all people cannot be achieved in a society where structural inequality continues to determine the distribution of risk, resource and recovery. The UK's policy </w:t>
      </w:r>
      <w:proofErr w:type="gramStart"/>
      <w:r w:rsidRPr="00E10910">
        <w:rPr>
          <w:rFonts w:ascii="Arial" w:eastAsia="Arial" w:hAnsi="Arial" w:cs="Arial"/>
          <w:sz w:val="22"/>
          <w:szCs w:val="22"/>
        </w:rPr>
        <w:t>architecture  encompassing</w:t>
      </w:r>
      <w:proofErr w:type="gramEnd"/>
      <w:r w:rsidRPr="00E10910">
        <w:rPr>
          <w:rFonts w:ascii="Arial" w:eastAsia="Arial" w:hAnsi="Arial" w:cs="Arial"/>
          <w:sz w:val="22"/>
          <w:szCs w:val="22"/>
        </w:rPr>
        <w:t xml:space="preserve"> the NHS Long Term Plan, the Health and Care Act 2022, the Diabetes Prevention Programme, and commitments to levelling up and social </w:t>
      </w:r>
      <w:proofErr w:type="gramStart"/>
      <w:r w:rsidRPr="00E10910">
        <w:rPr>
          <w:rFonts w:ascii="Arial" w:eastAsia="Arial" w:hAnsi="Arial" w:cs="Arial"/>
          <w:sz w:val="22"/>
          <w:szCs w:val="22"/>
        </w:rPr>
        <w:t>prescribing  represents</w:t>
      </w:r>
      <w:proofErr w:type="gramEnd"/>
      <w:r w:rsidRPr="00E10910">
        <w:rPr>
          <w:rFonts w:ascii="Arial" w:eastAsia="Arial" w:hAnsi="Arial" w:cs="Arial"/>
          <w:sz w:val="22"/>
          <w:szCs w:val="22"/>
        </w:rPr>
        <w:t xml:space="preserve"> genuine progress in recognising this interdependence. The theoretical frameworks examined, from the biopsychosocial model and the Health Belief Model to the Ecological Systems Theory and the Rainbow Model, converge on the same insight: health is produced by conditions that lie largely outside clinical settings, and improving population health requires sustained action on those conditions.</w:t>
      </w:r>
    </w:p>
    <w:p w14:paraId="00000035" w14:textId="77777777"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Yet the evidence reviewed throughout this report demands an honest reckoning with the gap between policy ambition and lived reality. The Marmot (2020) </w:t>
      </w:r>
      <w:proofErr w:type="gramStart"/>
      <w:r w:rsidRPr="00E10910">
        <w:rPr>
          <w:rFonts w:ascii="Arial" w:eastAsia="Arial" w:hAnsi="Arial" w:cs="Arial"/>
          <w:sz w:val="22"/>
          <w:szCs w:val="22"/>
        </w:rPr>
        <w:t>findings  stalling</w:t>
      </w:r>
      <w:proofErr w:type="gramEnd"/>
      <w:r w:rsidRPr="00E10910">
        <w:rPr>
          <w:rFonts w:ascii="Arial" w:eastAsia="Arial" w:hAnsi="Arial" w:cs="Arial"/>
          <w:sz w:val="22"/>
          <w:szCs w:val="22"/>
        </w:rPr>
        <w:t xml:space="preserve"> life expectancy, widening healthy life expectancy gaps, declining health outcomes for women in the most deprived </w:t>
      </w:r>
      <w:proofErr w:type="gramStart"/>
      <w:r w:rsidRPr="00E10910">
        <w:rPr>
          <w:rFonts w:ascii="Arial" w:eastAsia="Arial" w:hAnsi="Arial" w:cs="Arial"/>
          <w:sz w:val="22"/>
          <w:szCs w:val="22"/>
        </w:rPr>
        <w:t>areas  are</w:t>
      </w:r>
      <w:proofErr w:type="gramEnd"/>
      <w:r w:rsidRPr="00E10910">
        <w:rPr>
          <w:rFonts w:ascii="Arial" w:eastAsia="Arial" w:hAnsi="Arial" w:cs="Arial"/>
          <w:sz w:val="22"/>
          <w:szCs w:val="22"/>
        </w:rPr>
        <w:t xml:space="preserve"> not the findings of a system successfully integrating health, wellbeing and sustainable development. They reflect a system whose structural conditions are working against its stated goals. The COVID-19 pandemic made the consequences of that gap impossible to ignore, producing mortality patterns that mapped almost precisely onto the existing topology of social inequality (Bambra et al., 2020).</w:t>
      </w:r>
    </w:p>
    <w:p w14:paraId="00000036" w14:textId="180FEF80" w:rsidR="003437F3" w:rsidRPr="00E10910" w:rsidRDefault="00000000">
      <w:pPr>
        <w:spacing w:after="160" w:line="360" w:lineRule="auto"/>
        <w:jc w:val="both"/>
        <w:rPr>
          <w:rFonts w:ascii="Arial" w:hAnsi="Arial" w:cs="Arial"/>
          <w:sz w:val="22"/>
          <w:szCs w:val="22"/>
        </w:rPr>
      </w:pPr>
      <w:r w:rsidRPr="00E10910">
        <w:rPr>
          <w:rFonts w:ascii="Arial" w:eastAsia="Arial" w:hAnsi="Arial" w:cs="Arial"/>
          <w:sz w:val="22"/>
          <w:szCs w:val="22"/>
        </w:rPr>
        <w:t xml:space="preserve">The SDGs provide both the framework and the accountability mechanism for doing better. SDG 3's emphasis on universal health coverage and SDG 10's commitment to structural inequality reduction point in the same direction: toward a health system embedded in a fairer society, where the social determinants of health are addressed upstream. Achieving this in the UK context will require not only technical policy refinement but genuine political commitment to redistribution, to community voice, and to long-term investment in the </w:t>
      </w:r>
      <w:r w:rsidR="007832AF" w:rsidRPr="00E10910">
        <w:rPr>
          <w:rFonts w:ascii="Arial" w:eastAsia="Arial" w:hAnsi="Arial" w:cs="Arial"/>
          <w:sz w:val="22"/>
          <w:szCs w:val="22"/>
        </w:rPr>
        <w:t>conditions housing</w:t>
      </w:r>
      <w:r w:rsidRPr="00E10910">
        <w:rPr>
          <w:rFonts w:ascii="Arial" w:eastAsia="Arial" w:hAnsi="Arial" w:cs="Arial"/>
          <w:sz w:val="22"/>
          <w:szCs w:val="22"/>
        </w:rPr>
        <w:t xml:space="preserve">, income security, education and digital </w:t>
      </w:r>
      <w:proofErr w:type="gramStart"/>
      <w:r w:rsidRPr="00E10910">
        <w:rPr>
          <w:rFonts w:ascii="Arial" w:eastAsia="Arial" w:hAnsi="Arial" w:cs="Arial"/>
          <w:sz w:val="22"/>
          <w:szCs w:val="22"/>
        </w:rPr>
        <w:t>access  that</w:t>
      </w:r>
      <w:proofErr w:type="gramEnd"/>
      <w:r w:rsidRPr="00E10910">
        <w:rPr>
          <w:rFonts w:ascii="Arial" w:eastAsia="Arial" w:hAnsi="Arial" w:cs="Arial"/>
          <w:sz w:val="22"/>
          <w:szCs w:val="22"/>
        </w:rPr>
        <w:t xml:space="preserve"> make good health possible for everyone, not only for those already advantaged enough to benefit from it.</w:t>
      </w:r>
    </w:p>
    <w:p w14:paraId="00000037" w14:textId="77777777" w:rsidR="003437F3" w:rsidRPr="00E10910" w:rsidRDefault="00000000">
      <w:pPr>
        <w:rPr>
          <w:rFonts w:ascii="Arial" w:hAnsi="Arial" w:cs="Arial"/>
          <w:sz w:val="22"/>
          <w:szCs w:val="22"/>
        </w:rPr>
      </w:pPr>
      <w:r w:rsidRPr="00E10910">
        <w:rPr>
          <w:rFonts w:ascii="Arial" w:hAnsi="Arial" w:cs="Arial"/>
          <w:sz w:val="22"/>
          <w:szCs w:val="22"/>
        </w:rPr>
        <w:br w:type="page"/>
      </w:r>
    </w:p>
    <w:p w14:paraId="00000038" w14:textId="614131E8" w:rsidR="003437F3" w:rsidRPr="00E10910" w:rsidRDefault="00000000">
      <w:pPr>
        <w:pStyle w:val="Heading1"/>
        <w:spacing w:before="280" w:after="160" w:line="360" w:lineRule="auto"/>
        <w:rPr>
          <w:rFonts w:ascii="Arial" w:hAnsi="Arial" w:cs="Arial"/>
          <w:color w:val="000000"/>
          <w:sz w:val="22"/>
          <w:szCs w:val="22"/>
        </w:rPr>
      </w:pPr>
      <w:r w:rsidRPr="00E10910">
        <w:rPr>
          <w:rFonts w:ascii="Arial" w:eastAsia="Arial" w:hAnsi="Arial" w:cs="Arial"/>
          <w:b/>
          <w:bCs/>
          <w:color w:val="000000"/>
          <w:sz w:val="22"/>
          <w:szCs w:val="22"/>
        </w:rPr>
        <w:lastRenderedPageBreak/>
        <w:t>R</w:t>
      </w:r>
      <w:r w:rsidR="00A92F7B">
        <w:rPr>
          <w:rFonts w:ascii="Arial" w:eastAsia="Arial" w:hAnsi="Arial" w:cs="Arial"/>
          <w:b/>
          <w:bCs/>
          <w:color w:val="000000"/>
          <w:sz w:val="22"/>
          <w:szCs w:val="22"/>
        </w:rPr>
        <w:t>EFERENCE LIST</w:t>
      </w:r>
    </w:p>
    <w:p w14:paraId="00000039"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Bambra, C., Riordan, R., Ford, J. and Matthews, F. (2020) 'The COVID-19 pandemic and health inequalities', Journal of Epidemiology and Community Health, 74(11), pp. 964–968.</w:t>
      </w:r>
    </w:p>
    <w:p w14:paraId="0000003A"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Bambra, C., Lynch, J. and Smith, K.E. (2021) The Unequal Pandemic: COVID-19 and Health Inequalities. Bristol: Policy Press.</w:t>
      </w:r>
    </w:p>
    <w:p w14:paraId="0000003B"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Bandura, A. (1986) Social Foundations of Thought and Action: A Social Cognitive Theory. Englewood Cliffs, NJ: Prentice-Hall.</w:t>
      </w:r>
    </w:p>
    <w:p w14:paraId="0000003C"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Bronfenbrenner, U. (1979) The Ecology of Human Development: Experiments by Nature and Design. Cambridge, MA: Harvard University Press.</w:t>
      </w:r>
    </w:p>
    <w:p w14:paraId="0000003D"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Commission on Social Determinants of Health (CSDH) (2008) Closing the Gap in a Generation: Health Equity Through Action on the Social Determinants of Health. Geneva: World Health Organization.</w:t>
      </w:r>
    </w:p>
    <w:p w14:paraId="0000003E"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Dahlgren, G. and Whitehead, M. (1991) Policies and Strategies to Promote Social Equity in Health. Stockholm: Institute for Futures Studies.</w:t>
      </w:r>
    </w:p>
    <w:p w14:paraId="0000003F"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Darzi, A. (2024) Independent Investigation of the NHS in England. London: Department of Health and Social Care.</w:t>
      </w:r>
    </w:p>
    <w:p w14:paraId="00000040"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Department for Levelling Up, Housing and Communities (DLUHC) (2022) Levelling Up the United Kingdom. London: HMSO. Available at: https://www.gov.uk/government/publications/levelling-up-the-united-kingdom [Accessed: July 2026].</w:t>
      </w:r>
    </w:p>
    <w:p w14:paraId="00000041"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Department of Health and Social Care (DHSC) (2022) Health and Care Act 2022. London: HMSO. Available at: https://www.legislation.gov.uk/ukpga/2022/31/contents [Accessed: July 2026].</w:t>
      </w:r>
    </w:p>
    <w:p w14:paraId="00000042"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Elder, G.H. (1998) 'The life course as developmental theory', Child Development, 69(1), pp. 1–12.</w:t>
      </w:r>
    </w:p>
    <w:p w14:paraId="00000043"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Engel, G.L. (1977) 'The need for a new medical model: a challenge for biomedicine', Science, 196(4286), pp. 129–136.</w:t>
      </w:r>
    </w:p>
    <w:p w14:paraId="00000044"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Institute of Race Relations (IRR) (2024) Health and Racial Inequality in the UK. London: IRR. Available at: https://irr.org.uk [Accessed: July 2026].</w:t>
      </w:r>
    </w:p>
    <w:p w14:paraId="00000045" w14:textId="77777777" w:rsidR="003437F3" w:rsidRPr="00E10910" w:rsidRDefault="00000000">
      <w:pPr>
        <w:spacing w:after="120" w:line="360" w:lineRule="auto"/>
        <w:ind w:left="720" w:hanging="720"/>
        <w:jc w:val="both"/>
        <w:rPr>
          <w:rFonts w:ascii="Arial" w:hAnsi="Arial" w:cs="Arial"/>
          <w:sz w:val="22"/>
          <w:szCs w:val="22"/>
        </w:rPr>
      </w:pPr>
      <w:proofErr w:type="spellStart"/>
      <w:r w:rsidRPr="00E10910">
        <w:rPr>
          <w:rFonts w:ascii="Arial" w:eastAsia="Arial" w:hAnsi="Arial" w:cs="Arial"/>
          <w:sz w:val="22"/>
          <w:szCs w:val="22"/>
        </w:rPr>
        <w:t>Khunti</w:t>
      </w:r>
      <w:proofErr w:type="spellEnd"/>
      <w:r w:rsidRPr="00E10910">
        <w:rPr>
          <w:rFonts w:ascii="Arial" w:eastAsia="Arial" w:hAnsi="Arial" w:cs="Arial"/>
          <w:sz w:val="22"/>
          <w:szCs w:val="22"/>
        </w:rPr>
        <w:t>, K., Mistry, H., Bruce, I. and Bhatt, H. (2021) 'Digital health inequalities in the age of COVID-19', BMJ, 372, n677.</w:t>
      </w:r>
    </w:p>
    <w:p w14:paraId="00000046"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lastRenderedPageBreak/>
        <w:t>Kickbusch, I. (2013) 'Health in all policies', BMJ, 347, f4283.</w:t>
      </w:r>
    </w:p>
    <w:p w14:paraId="00000047"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Marmot, M., Allen, J., Goldblatt, P., Boyce, T., McNeish, D., Grady, M. and Geddes, I. (2010) Fair Society, Healthy Lives: The Marmot Review. London: Institute of Health Equity.</w:t>
      </w:r>
    </w:p>
    <w:p w14:paraId="00000048"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Marmot, M., Allen, J., Boyce, T., Goldblatt, P. and Morrison, J. (2020) Health Equity in England: The Marmot Review 10 Years On. London: Institute of Health Equity.</w:t>
      </w:r>
    </w:p>
    <w:p w14:paraId="00000049"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NHS England (2019) The NHS Long Term Plan. Leeds: NHS England. Available at: https://www.longtermplan.nhs.uk [Accessed: July 2026].</w:t>
      </w:r>
    </w:p>
    <w:p w14:paraId="0000004A"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NHS England (2022) Making Every Contact Count: Implementation Guide. Leeds: NHS England.</w:t>
      </w:r>
    </w:p>
    <w:p w14:paraId="0000004B"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NHS England (2023) Social Prescribing and Community-Based Support: Summary Guide. Leeds: NHS England.</w:t>
      </w:r>
    </w:p>
    <w:p w14:paraId="0000004C"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NHS England (2024) NHS Diabetes Prevention Programme: Annual Report 2023/24. Leeds: NHS England.</w:t>
      </w:r>
    </w:p>
    <w:p w14:paraId="0000004D"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Office for National Statistics (ONS) (2022) Digital Skills and Internet Use, UK: 2022. Newport: ONS. Available at: https://www.ons.gov.uk [Accessed: July 2026].</w:t>
      </w:r>
    </w:p>
    <w:p w14:paraId="0000004E"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Office for National Statistics (ONS) (2023) Measures of National Wellbeing Dashboard. Newport: ONS. Available at: https://www.ons.gov.uk [Accessed: July 2026].</w:t>
      </w:r>
    </w:p>
    <w:p w14:paraId="0000004F"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Oxfam (2023) Survival of the Richest: How We Must Tax the Super-Rich Now to Fight Inequality. Oxford: Oxfam International. Available at: https://www.oxfam.org [Accessed: July 2026].</w:t>
      </w:r>
    </w:p>
    <w:p w14:paraId="00000050"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Rosenstock, I.M. (1974) 'Historical origins of the health belief model', Health Education Monographs, 2(4), pp. 328–335.</w:t>
      </w:r>
    </w:p>
    <w:p w14:paraId="00000051"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Skills for Care (2023) The State of the Adult Social Care Sector and Workforce in England. Leeds: Skills for Care. Available at: https://www.skillsforcare.org.uk [Accessed: July 2026].</w:t>
      </w:r>
    </w:p>
    <w:p w14:paraId="00000052"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Thompson, N. and Thompson, S. (2019) 'The social contexts of ageing: a theoretical framework for practice', British Journal of Social Work, 49(3), pp. 612–629.</w:t>
      </w:r>
    </w:p>
    <w:p w14:paraId="00000053"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United Nations (UN) (2015) Transforming Our World: The 2030 Agenda for Sustainable Development. New York: United Nations.</w:t>
      </w:r>
    </w:p>
    <w:p w14:paraId="00000054"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 xml:space="preserve">Valabhji, J., Barron, E., Bradley, D., </w:t>
      </w:r>
      <w:proofErr w:type="spellStart"/>
      <w:r w:rsidRPr="00E10910">
        <w:rPr>
          <w:rFonts w:ascii="Arial" w:eastAsia="Arial" w:hAnsi="Arial" w:cs="Arial"/>
          <w:sz w:val="22"/>
          <w:szCs w:val="22"/>
        </w:rPr>
        <w:t>Bakhai</w:t>
      </w:r>
      <w:proofErr w:type="spellEnd"/>
      <w:r w:rsidRPr="00E10910">
        <w:rPr>
          <w:rFonts w:ascii="Arial" w:eastAsia="Arial" w:hAnsi="Arial" w:cs="Arial"/>
          <w:sz w:val="22"/>
          <w:szCs w:val="22"/>
        </w:rPr>
        <w:t xml:space="preserve">, C., Fagg, J., O'Neill, S., Young, B., Sharp, S., Wareham, N. and </w:t>
      </w:r>
      <w:proofErr w:type="spellStart"/>
      <w:r w:rsidRPr="00E10910">
        <w:rPr>
          <w:rFonts w:ascii="Arial" w:eastAsia="Arial" w:hAnsi="Arial" w:cs="Arial"/>
          <w:sz w:val="22"/>
          <w:szCs w:val="22"/>
        </w:rPr>
        <w:t>Khunti</w:t>
      </w:r>
      <w:proofErr w:type="spellEnd"/>
      <w:r w:rsidRPr="00E10910">
        <w:rPr>
          <w:rFonts w:ascii="Arial" w:eastAsia="Arial" w:hAnsi="Arial" w:cs="Arial"/>
          <w:sz w:val="22"/>
          <w:szCs w:val="22"/>
        </w:rPr>
        <w:t xml:space="preserve">, K. (2020) 'Early outcomes from the English </w:t>
      </w:r>
      <w:r w:rsidRPr="00E10910">
        <w:rPr>
          <w:rFonts w:ascii="Arial" w:eastAsia="Arial" w:hAnsi="Arial" w:cs="Arial"/>
          <w:sz w:val="22"/>
          <w:szCs w:val="22"/>
        </w:rPr>
        <w:lastRenderedPageBreak/>
        <w:t>National Health Service Diabetes Prevention Programme', Diabetes Care, 43(1), pp. 152–160.</w:t>
      </w:r>
    </w:p>
    <w:p w14:paraId="00000055"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World Health Organization (WHO) (1948) Constitution of the World Health Organization. Geneva: WHO.</w:t>
      </w:r>
    </w:p>
    <w:p w14:paraId="00000056"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World Health Organization (WHO) (2014) Helsinki Statement on Health in All Policies. Geneva: WHO.</w:t>
      </w:r>
    </w:p>
    <w:p w14:paraId="00000057"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World Health Organization (WHO) (2021) Universal Health Coverage. Geneva: WHO. Available at: https://www.who.int/health-topics/universal-health-coverage [Accessed: July 2026].</w:t>
      </w:r>
    </w:p>
    <w:p w14:paraId="00000058" w14:textId="77777777" w:rsidR="003437F3" w:rsidRPr="00E10910" w:rsidRDefault="00000000">
      <w:pPr>
        <w:spacing w:after="120" w:line="360" w:lineRule="auto"/>
        <w:ind w:left="720" w:hanging="720"/>
        <w:jc w:val="both"/>
        <w:rPr>
          <w:rFonts w:ascii="Arial" w:hAnsi="Arial" w:cs="Arial"/>
          <w:sz w:val="22"/>
          <w:szCs w:val="22"/>
        </w:rPr>
      </w:pPr>
      <w:r w:rsidRPr="00E10910">
        <w:rPr>
          <w:rFonts w:ascii="Arial" w:eastAsia="Arial" w:hAnsi="Arial" w:cs="Arial"/>
          <w:sz w:val="22"/>
          <w:szCs w:val="22"/>
        </w:rPr>
        <w:t>World Health Organization and World Bank (2023) Tracking Universal Health Coverage: 2023 Global Monitoring Report. Geneva: WHO.</w:t>
      </w:r>
    </w:p>
    <w:sectPr w:rsidR="003437F3" w:rsidRPr="00E10910">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C6DD7A9-9A4C-0D43-B2AD-C74990CA7CF9}"/>
    <w:embedItalic r:id="rId2" w:fontKey="{363D0C55-2FBD-D74E-8904-D9C2DC769608}"/>
  </w:font>
  <w:font w:name="Georgia">
    <w:panose1 w:val="02040502050405020303"/>
    <w:charset w:val="00"/>
    <w:family w:val="roman"/>
    <w:pitch w:val="variable"/>
    <w:sig w:usb0="00000287" w:usb1="00000000" w:usb2="00000000" w:usb3="00000000" w:csb0="0000009F" w:csb1="00000000"/>
    <w:embedItalic r:id="rId3" w:fontKey="{FB1852DC-4581-8B44-927C-B58175B5CF6E}"/>
  </w:font>
  <w:font w:name="Arial">
    <w:panose1 w:val="020B0604020202020204"/>
    <w:charset w:val="00"/>
    <w:family w:val="swiss"/>
    <w:pitch w:val="variable"/>
    <w:sig w:usb0="E0002AFF" w:usb1="C0007843" w:usb2="00000009" w:usb3="00000000" w:csb0="000001FF" w:csb1="00000000"/>
    <w:embedRegular r:id="rId4" w:fontKey="{2095D2D5-2782-A542-B375-03F8C7EE01C2}"/>
    <w:embedBold r:id="rId5" w:fontKey="{241007D0-A7CA-E543-8D06-CEE423CB6D96}"/>
  </w:font>
  <w:font w:name="Calibri">
    <w:panose1 w:val="020F0502020204030204"/>
    <w:charset w:val="00"/>
    <w:family w:val="swiss"/>
    <w:pitch w:val="variable"/>
    <w:sig w:usb0="E0002AFF" w:usb1="C000247B" w:usb2="00000009" w:usb3="00000000" w:csb0="000001FF" w:csb1="00000000"/>
    <w:embedRegular r:id="rId6" w:fontKey="{EE786682-9BDC-DC49-905F-9F682371C0B7}"/>
  </w:font>
  <w:font w:name="Cambria">
    <w:panose1 w:val="02040503050406030204"/>
    <w:charset w:val="00"/>
    <w:family w:val="roman"/>
    <w:pitch w:val="variable"/>
    <w:sig w:usb0="E00002FF" w:usb1="400004FF" w:usb2="00000000" w:usb3="00000000" w:csb0="0000019F" w:csb1="00000000"/>
    <w:embedRegular r:id="rId7" w:fontKey="{7290FA0D-2518-434C-95B9-E4EAE1000396}"/>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F3"/>
    <w:rsid w:val="00163D7D"/>
    <w:rsid w:val="003161D9"/>
    <w:rsid w:val="003437F3"/>
    <w:rsid w:val="004715EE"/>
    <w:rsid w:val="0071253D"/>
    <w:rsid w:val="00720685"/>
    <w:rsid w:val="00753675"/>
    <w:rsid w:val="00753813"/>
    <w:rsid w:val="007832AF"/>
    <w:rsid w:val="009B5294"/>
    <w:rsid w:val="00A92F7B"/>
    <w:rsid w:val="00C75280"/>
    <w:rsid w:val="00D220BB"/>
    <w:rsid w:val="00D60785"/>
    <w:rsid w:val="00DD1AAD"/>
    <w:rsid w:val="00E10910"/>
    <w:rsid w:val="00EB5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0B9377"/>
  <w15:docId w15:val="{93277F63-7455-4D44-A0AC-39052886C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13</Pages>
  <Words>3930</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Racheal Becker (2310797)</cp:lastModifiedBy>
  <cp:revision>14</cp:revision>
  <dcterms:created xsi:type="dcterms:W3CDTF">2026-07-06T09:36:00Z</dcterms:created>
  <dcterms:modified xsi:type="dcterms:W3CDTF">2026-07-06T14:26:00Z</dcterms:modified>
</cp:coreProperties>
</file>