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B2E94" w14:textId="77777777" w:rsidR="00FF6D10" w:rsidRDefault="00FF6D10" w:rsidP="00FF6D10">
      <w:pPr>
        <w:jc w:val="center"/>
        <w:rPr>
          <w:sz w:val="48"/>
          <w:szCs w:val="48"/>
        </w:rPr>
      </w:pPr>
      <w:r w:rsidRPr="00375140">
        <w:rPr>
          <w:sz w:val="48"/>
          <w:szCs w:val="48"/>
        </w:rPr>
        <w:t>Certificate of Higher Education in Business Skills for the Workplace</w:t>
      </w:r>
    </w:p>
    <w:p w14:paraId="1266A974" w14:textId="77777777" w:rsidR="00FF6D10" w:rsidRPr="00375140" w:rsidRDefault="00FF6D10" w:rsidP="00FF6D10">
      <w:pPr>
        <w:rPr>
          <w:sz w:val="48"/>
          <w:szCs w:val="48"/>
        </w:rPr>
      </w:pPr>
    </w:p>
    <w:p w14:paraId="077F77C6" w14:textId="77777777" w:rsidR="00FF6D10" w:rsidRPr="00375140" w:rsidRDefault="00FF6D10" w:rsidP="00FF6D10">
      <w:pPr>
        <w:rPr>
          <w:sz w:val="48"/>
          <w:szCs w:val="48"/>
        </w:rPr>
      </w:pPr>
    </w:p>
    <w:p w14:paraId="402295FC" w14:textId="77777777" w:rsidR="00FF6D10" w:rsidRPr="00375140" w:rsidRDefault="00FF6D10" w:rsidP="00FF6D10">
      <w:pPr>
        <w:rPr>
          <w:sz w:val="48"/>
          <w:szCs w:val="48"/>
        </w:rPr>
      </w:pPr>
    </w:p>
    <w:p w14:paraId="09E0C116" w14:textId="77777777" w:rsidR="00FF6D10" w:rsidRPr="00375140" w:rsidRDefault="00FF6D10" w:rsidP="00FF6D10">
      <w:pPr>
        <w:rPr>
          <w:sz w:val="48"/>
          <w:szCs w:val="48"/>
        </w:rPr>
      </w:pPr>
    </w:p>
    <w:p w14:paraId="0E5C28FC" w14:textId="77777777" w:rsidR="00FF6D10" w:rsidRDefault="00FF6D10" w:rsidP="00FF6D10">
      <w:pPr>
        <w:rPr>
          <w:sz w:val="48"/>
          <w:szCs w:val="48"/>
        </w:rPr>
      </w:pPr>
    </w:p>
    <w:p w14:paraId="009D03AC" w14:textId="77777777" w:rsidR="00FF6D10" w:rsidRDefault="00FF6D10" w:rsidP="00FF6D10">
      <w:pPr>
        <w:jc w:val="center"/>
        <w:rPr>
          <w:sz w:val="48"/>
          <w:szCs w:val="48"/>
        </w:rPr>
      </w:pPr>
      <w:r w:rsidRPr="00375140">
        <w:rPr>
          <w:sz w:val="48"/>
          <w:szCs w:val="48"/>
        </w:rPr>
        <w:t>Academic Skills</w:t>
      </w:r>
    </w:p>
    <w:p w14:paraId="22A292D6" w14:textId="77777777" w:rsidR="00FF6D10" w:rsidRPr="00375140" w:rsidRDefault="00FF6D10" w:rsidP="00FF6D10">
      <w:pPr>
        <w:jc w:val="center"/>
        <w:rPr>
          <w:sz w:val="48"/>
          <w:szCs w:val="48"/>
        </w:rPr>
      </w:pPr>
      <w:r w:rsidRPr="00375140">
        <w:rPr>
          <w:sz w:val="48"/>
          <w:szCs w:val="48"/>
        </w:rPr>
        <w:t>Reflective report</w:t>
      </w:r>
    </w:p>
    <w:p w14:paraId="51E7DBCE" w14:textId="77777777" w:rsidR="00FF6D10" w:rsidRPr="00375140" w:rsidRDefault="00FF6D10" w:rsidP="00FF6D10">
      <w:pPr>
        <w:rPr>
          <w:sz w:val="48"/>
          <w:szCs w:val="48"/>
        </w:rPr>
      </w:pPr>
    </w:p>
    <w:p w14:paraId="46E85ECA" w14:textId="77777777" w:rsidR="00FF6D10" w:rsidRPr="00375140" w:rsidRDefault="00FF6D10" w:rsidP="00FF6D10">
      <w:pPr>
        <w:rPr>
          <w:sz w:val="48"/>
          <w:szCs w:val="48"/>
        </w:rPr>
      </w:pPr>
    </w:p>
    <w:p w14:paraId="5B895195" w14:textId="77777777" w:rsidR="00FF6D10" w:rsidRPr="00375140" w:rsidRDefault="00FF6D10" w:rsidP="00FF6D10">
      <w:pPr>
        <w:rPr>
          <w:sz w:val="48"/>
          <w:szCs w:val="48"/>
        </w:rPr>
      </w:pPr>
    </w:p>
    <w:p w14:paraId="3E0BB80A" w14:textId="77777777" w:rsidR="00FF6D10" w:rsidRPr="00375140" w:rsidRDefault="00FF6D10" w:rsidP="00FF6D10">
      <w:pPr>
        <w:rPr>
          <w:sz w:val="48"/>
          <w:szCs w:val="48"/>
        </w:rPr>
      </w:pPr>
    </w:p>
    <w:p w14:paraId="62A03B96" w14:textId="77777777" w:rsidR="00FF6D10" w:rsidRPr="00375140" w:rsidRDefault="00FF6D10" w:rsidP="00FF6D10">
      <w:pPr>
        <w:rPr>
          <w:sz w:val="48"/>
          <w:szCs w:val="48"/>
        </w:rPr>
      </w:pPr>
    </w:p>
    <w:p w14:paraId="381ACF2C" w14:textId="77777777" w:rsidR="00FF6D10" w:rsidRDefault="00FF6D10" w:rsidP="00FF6D10">
      <w:pPr>
        <w:rPr>
          <w:sz w:val="48"/>
          <w:szCs w:val="48"/>
        </w:rPr>
      </w:pPr>
    </w:p>
    <w:p w14:paraId="778A911D" w14:textId="77777777" w:rsidR="00FF6D10" w:rsidRPr="00FF6D10" w:rsidRDefault="00FF6D10" w:rsidP="00FF6D10">
      <w:pPr>
        <w:jc w:val="center"/>
        <w:rPr>
          <w:szCs w:val="24"/>
        </w:rPr>
      </w:pPr>
    </w:p>
    <w:p w14:paraId="2E148AA1" w14:textId="763C255A" w:rsidR="008D14AA" w:rsidRPr="004C529E" w:rsidRDefault="00FF6D10" w:rsidP="00FF6D10">
      <w:pPr>
        <w:jc w:val="center"/>
        <w:rPr>
          <w:szCs w:val="24"/>
          <w:lang w:val="nl-NL"/>
        </w:rPr>
      </w:pPr>
      <w:r w:rsidRPr="004C529E">
        <w:rPr>
          <w:szCs w:val="24"/>
          <w:lang w:val="nl-NL"/>
        </w:rPr>
        <w:t>Student ID:</w:t>
      </w:r>
      <w:r w:rsidR="004C529E" w:rsidRPr="004C529E">
        <w:rPr>
          <w:szCs w:val="24"/>
          <w:lang w:val="nl-NL"/>
        </w:rPr>
        <w:t>2424876</w:t>
      </w:r>
    </w:p>
    <w:p w14:paraId="34FC79BC" w14:textId="77777777" w:rsidR="004C529E" w:rsidRPr="004C529E" w:rsidRDefault="004C529E" w:rsidP="004C529E">
      <w:pPr>
        <w:pStyle w:val="Heading1"/>
        <w:rPr>
          <w:lang w:val="nl-NL"/>
        </w:rPr>
      </w:pPr>
    </w:p>
    <w:p w14:paraId="52B8AA10" w14:textId="77777777" w:rsidR="004C529E" w:rsidRPr="004C529E" w:rsidRDefault="004C529E" w:rsidP="004C529E">
      <w:pPr>
        <w:rPr>
          <w:lang w:val="nl-NL"/>
        </w:rPr>
      </w:pPr>
    </w:p>
    <w:p w14:paraId="540D185F" w14:textId="77777777" w:rsidR="004C529E" w:rsidRDefault="004C529E" w:rsidP="004C529E">
      <w:pPr>
        <w:pStyle w:val="Heading1"/>
        <w:rPr>
          <w:lang w:val="nl-NL"/>
        </w:rPr>
      </w:pPr>
    </w:p>
    <w:p w14:paraId="0EAA7BAE" w14:textId="77777777" w:rsidR="004C529E" w:rsidRDefault="004C529E" w:rsidP="004C529E">
      <w:pPr>
        <w:rPr>
          <w:lang w:val="nl-NL"/>
        </w:rPr>
      </w:pPr>
    </w:p>
    <w:sdt>
      <w:sdtPr>
        <w:id w:val="515740577"/>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rPr>
      </w:sdtEndPr>
      <w:sdtContent>
        <w:p w14:paraId="1AEEADC6" w14:textId="6E1DFC25" w:rsidR="004C529E" w:rsidRDefault="004C529E">
          <w:pPr>
            <w:pStyle w:val="TOCHeading"/>
          </w:pPr>
          <w:r>
            <w:t>Contents</w:t>
          </w:r>
        </w:p>
        <w:p w14:paraId="66F05788" w14:textId="4071A495" w:rsidR="004C529E" w:rsidRDefault="004C529E">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6401687" w:history="1">
            <w:r w:rsidRPr="00E97481">
              <w:rPr>
                <w:rStyle w:val="Hyperlink"/>
                <w:noProof/>
              </w:rPr>
              <w:t>Introduction</w:t>
            </w:r>
            <w:r>
              <w:rPr>
                <w:noProof/>
                <w:webHidden/>
              </w:rPr>
              <w:tab/>
            </w:r>
            <w:r>
              <w:rPr>
                <w:noProof/>
                <w:webHidden/>
              </w:rPr>
              <w:fldChar w:fldCharType="begin"/>
            </w:r>
            <w:r>
              <w:rPr>
                <w:noProof/>
                <w:webHidden/>
              </w:rPr>
              <w:instrText xml:space="preserve"> PAGEREF _Toc196401687 \h </w:instrText>
            </w:r>
            <w:r>
              <w:rPr>
                <w:noProof/>
                <w:webHidden/>
              </w:rPr>
            </w:r>
            <w:r>
              <w:rPr>
                <w:noProof/>
                <w:webHidden/>
              </w:rPr>
              <w:fldChar w:fldCharType="separate"/>
            </w:r>
            <w:r>
              <w:rPr>
                <w:noProof/>
                <w:webHidden/>
              </w:rPr>
              <w:t>3</w:t>
            </w:r>
            <w:r>
              <w:rPr>
                <w:noProof/>
                <w:webHidden/>
              </w:rPr>
              <w:fldChar w:fldCharType="end"/>
            </w:r>
          </w:hyperlink>
        </w:p>
        <w:p w14:paraId="2D5AD892" w14:textId="0D0D149F" w:rsidR="004C529E" w:rsidRDefault="004C529E">
          <w:pPr>
            <w:pStyle w:val="TOC1"/>
            <w:tabs>
              <w:tab w:val="right" w:leader="dot" w:pos="9016"/>
            </w:tabs>
            <w:rPr>
              <w:rFonts w:asciiTheme="minorHAnsi" w:eastAsiaTheme="minorEastAsia" w:hAnsiTheme="minorHAnsi"/>
              <w:noProof/>
              <w:color w:val="auto"/>
              <w:szCs w:val="24"/>
              <w:lang w:eastAsia="en-GB"/>
            </w:rPr>
          </w:pPr>
          <w:hyperlink w:anchor="_Toc196401688" w:history="1">
            <w:r w:rsidRPr="00E97481">
              <w:rPr>
                <w:rStyle w:val="Hyperlink"/>
                <w:noProof/>
              </w:rPr>
              <w:t>Description of Experiences</w:t>
            </w:r>
            <w:r>
              <w:rPr>
                <w:noProof/>
                <w:webHidden/>
              </w:rPr>
              <w:tab/>
            </w:r>
            <w:r>
              <w:rPr>
                <w:noProof/>
                <w:webHidden/>
              </w:rPr>
              <w:fldChar w:fldCharType="begin"/>
            </w:r>
            <w:r>
              <w:rPr>
                <w:noProof/>
                <w:webHidden/>
              </w:rPr>
              <w:instrText xml:space="preserve"> PAGEREF _Toc196401688 \h </w:instrText>
            </w:r>
            <w:r>
              <w:rPr>
                <w:noProof/>
                <w:webHidden/>
              </w:rPr>
            </w:r>
            <w:r>
              <w:rPr>
                <w:noProof/>
                <w:webHidden/>
              </w:rPr>
              <w:fldChar w:fldCharType="separate"/>
            </w:r>
            <w:r>
              <w:rPr>
                <w:noProof/>
                <w:webHidden/>
              </w:rPr>
              <w:t>3</w:t>
            </w:r>
            <w:r>
              <w:rPr>
                <w:noProof/>
                <w:webHidden/>
              </w:rPr>
              <w:fldChar w:fldCharType="end"/>
            </w:r>
          </w:hyperlink>
        </w:p>
        <w:p w14:paraId="11331C8D" w14:textId="35E32FCB" w:rsidR="004C529E" w:rsidRDefault="004C529E">
          <w:pPr>
            <w:pStyle w:val="TOC1"/>
            <w:tabs>
              <w:tab w:val="right" w:leader="dot" w:pos="9016"/>
            </w:tabs>
            <w:rPr>
              <w:rFonts w:asciiTheme="minorHAnsi" w:eastAsiaTheme="minorEastAsia" w:hAnsiTheme="minorHAnsi"/>
              <w:noProof/>
              <w:color w:val="auto"/>
              <w:szCs w:val="24"/>
              <w:lang w:eastAsia="en-GB"/>
            </w:rPr>
          </w:pPr>
          <w:hyperlink w:anchor="_Toc196401689" w:history="1">
            <w:r w:rsidRPr="00E97481">
              <w:rPr>
                <w:rStyle w:val="Hyperlink"/>
                <w:noProof/>
              </w:rPr>
              <w:t>Analysis and Personal Reflection</w:t>
            </w:r>
            <w:r>
              <w:rPr>
                <w:noProof/>
                <w:webHidden/>
              </w:rPr>
              <w:tab/>
            </w:r>
            <w:r>
              <w:rPr>
                <w:noProof/>
                <w:webHidden/>
              </w:rPr>
              <w:fldChar w:fldCharType="begin"/>
            </w:r>
            <w:r>
              <w:rPr>
                <w:noProof/>
                <w:webHidden/>
              </w:rPr>
              <w:instrText xml:space="preserve"> PAGEREF _Toc196401689 \h </w:instrText>
            </w:r>
            <w:r>
              <w:rPr>
                <w:noProof/>
                <w:webHidden/>
              </w:rPr>
            </w:r>
            <w:r>
              <w:rPr>
                <w:noProof/>
                <w:webHidden/>
              </w:rPr>
              <w:fldChar w:fldCharType="separate"/>
            </w:r>
            <w:r>
              <w:rPr>
                <w:noProof/>
                <w:webHidden/>
              </w:rPr>
              <w:t>3</w:t>
            </w:r>
            <w:r>
              <w:rPr>
                <w:noProof/>
                <w:webHidden/>
              </w:rPr>
              <w:fldChar w:fldCharType="end"/>
            </w:r>
          </w:hyperlink>
        </w:p>
        <w:p w14:paraId="70DB19F2" w14:textId="4EF96EC2" w:rsidR="004C529E" w:rsidRDefault="004C529E">
          <w:pPr>
            <w:pStyle w:val="TOC1"/>
            <w:tabs>
              <w:tab w:val="right" w:leader="dot" w:pos="9016"/>
            </w:tabs>
            <w:rPr>
              <w:rFonts w:asciiTheme="minorHAnsi" w:eastAsiaTheme="minorEastAsia" w:hAnsiTheme="minorHAnsi"/>
              <w:noProof/>
              <w:color w:val="auto"/>
              <w:szCs w:val="24"/>
              <w:lang w:eastAsia="en-GB"/>
            </w:rPr>
          </w:pPr>
          <w:hyperlink w:anchor="_Toc196401690" w:history="1">
            <w:r w:rsidRPr="00E97481">
              <w:rPr>
                <w:rStyle w:val="Hyperlink"/>
                <w:noProof/>
                <w:lang w:val="nl-NL"/>
              </w:rPr>
              <w:t>Conclusion</w:t>
            </w:r>
            <w:r>
              <w:rPr>
                <w:noProof/>
                <w:webHidden/>
              </w:rPr>
              <w:tab/>
            </w:r>
            <w:r>
              <w:rPr>
                <w:noProof/>
                <w:webHidden/>
              </w:rPr>
              <w:fldChar w:fldCharType="begin"/>
            </w:r>
            <w:r>
              <w:rPr>
                <w:noProof/>
                <w:webHidden/>
              </w:rPr>
              <w:instrText xml:space="preserve"> PAGEREF _Toc196401690 \h </w:instrText>
            </w:r>
            <w:r>
              <w:rPr>
                <w:noProof/>
                <w:webHidden/>
              </w:rPr>
            </w:r>
            <w:r>
              <w:rPr>
                <w:noProof/>
                <w:webHidden/>
              </w:rPr>
              <w:fldChar w:fldCharType="separate"/>
            </w:r>
            <w:r>
              <w:rPr>
                <w:noProof/>
                <w:webHidden/>
              </w:rPr>
              <w:t>5</w:t>
            </w:r>
            <w:r>
              <w:rPr>
                <w:noProof/>
                <w:webHidden/>
              </w:rPr>
              <w:fldChar w:fldCharType="end"/>
            </w:r>
          </w:hyperlink>
        </w:p>
        <w:p w14:paraId="207F591E" w14:textId="2B9AC423" w:rsidR="004C529E" w:rsidRDefault="004C529E">
          <w:pPr>
            <w:pStyle w:val="TOC1"/>
            <w:tabs>
              <w:tab w:val="right" w:leader="dot" w:pos="9016"/>
            </w:tabs>
            <w:rPr>
              <w:rFonts w:asciiTheme="minorHAnsi" w:eastAsiaTheme="minorEastAsia" w:hAnsiTheme="minorHAnsi"/>
              <w:noProof/>
              <w:color w:val="auto"/>
              <w:szCs w:val="24"/>
              <w:lang w:eastAsia="en-GB"/>
            </w:rPr>
          </w:pPr>
          <w:hyperlink w:anchor="_Toc196401691" w:history="1">
            <w:r w:rsidRPr="00E97481">
              <w:rPr>
                <w:rStyle w:val="Hyperlink"/>
                <w:noProof/>
              </w:rPr>
              <w:t>References</w:t>
            </w:r>
            <w:r>
              <w:rPr>
                <w:noProof/>
                <w:webHidden/>
              </w:rPr>
              <w:tab/>
            </w:r>
            <w:r>
              <w:rPr>
                <w:noProof/>
                <w:webHidden/>
              </w:rPr>
              <w:fldChar w:fldCharType="begin"/>
            </w:r>
            <w:r>
              <w:rPr>
                <w:noProof/>
                <w:webHidden/>
              </w:rPr>
              <w:instrText xml:space="preserve"> PAGEREF _Toc196401691 \h </w:instrText>
            </w:r>
            <w:r>
              <w:rPr>
                <w:noProof/>
                <w:webHidden/>
              </w:rPr>
            </w:r>
            <w:r>
              <w:rPr>
                <w:noProof/>
                <w:webHidden/>
              </w:rPr>
              <w:fldChar w:fldCharType="separate"/>
            </w:r>
            <w:r>
              <w:rPr>
                <w:noProof/>
                <w:webHidden/>
              </w:rPr>
              <w:t>6</w:t>
            </w:r>
            <w:r>
              <w:rPr>
                <w:noProof/>
                <w:webHidden/>
              </w:rPr>
              <w:fldChar w:fldCharType="end"/>
            </w:r>
          </w:hyperlink>
        </w:p>
        <w:p w14:paraId="518D49F0" w14:textId="508AA5A5" w:rsidR="004C529E" w:rsidRDefault="004C529E">
          <w:r>
            <w:rPr>
              <w:b/>
              <w:bCs/>
              <w:noProof/>
            </w:rPr>
            <w:fldChar w:fldCharType="end"/>
          </w:r>
        </w:p>
      </w:sdtContent>
    </w:sdt>
    <w:p w14:paraId="5F44F2DE" w14:textId="77777777" w:rsidR="004C529E" w:rsidRDefault="004C529E" w:rsidP="004C529E">
      <w:pPr>
        <w:pStyle w:val="Heading1"/>
        <w:rPr>
          <w:lang w:val="nl-NL"/>
        </w:rPr>
      </w:pPr>
    </w:p>
    <w:p w14:paraId="28E75642" w14:textId="77777777" w:rsidR="004C529E" w:rsidRDefault="004C529E" w:rsidP="004C529E">
      <w:pPr>
        <w:rPr>
          <w:lang w:val="nl-NL"/>
        </w:rPr>
      </w:pPr>
    </w:p>
    <w:p w14:paraId="62F3E5BC" w14:textId="77777777" w:rsidR="004C529E" w:rsidRDefault="004C529E" w:rsidP="004C529E">
      <w:pPr>
        <w:pStyle w:val="Heading1"/>
        <w:rPr>
          <w:lang w:val="nl-NL"/>
        </w:rPr>
      </w:pPr>
    </w:p>
    <w:p w14:paraId="318610AD" w14:textId="77777777" w:rsidR="004C529E" w:rsidRDefault="004C529E" w:rsidP="004C529E">
      <w:pPr>
        <w:rPr>
          <w:lang w:val="nl-NL"/>
        </w:rPr>
      </w:pPr>
    </w:p>
    <w:p w14:paraId="0135E358" w14:textId="77777777" w:rsidR="004C529E" w:rsidRDefault="004C529E" w:rsidP="004C529E">
      <w:pPr>
        <w:pStyle w:val="Heading1"/>
        <w:rPr>
          <w:lang w:val="nl-NL"/>
        </w:rPr>
      </w:pPr>
    </w:p>
    <w:p w14:paraId="63E41BAC" w14:textId="77777777" w:rsidR="004C529E" w:rsidRDefault="004C529E" w:rsidP="004C529E">
      <w:pPr>
        <w:rPr>
          <w:lang w:val="nl-NL"/>
        </w:rPr>
      </w:pPr>
    </w:p>
    <w:p w14:paraId="316C07F5" w14:textId="77777777" w:rsidR="004C529E" w:rsidRDefault="004C529E" w:rsidP="004C529E">
      <w:pPr>
        <w:pStyle w:val="Heading1"/>
        <w:rPr>
          <w:lang w:val="nl-NL"/>
        </w:rPr>
      </w:pPr>
    </w:p>
    <w:p w14:paraId="1FF27A7D" w14:textId="77777777" w:rsidR="004C529E" w:rsidRDefault="004C529E" w:rsidP="004C529E">
      <w:pPr>
        <w:rPr>
          <w:lang w:val="nl-NL"/>
        </w:rPr>
      </w:pPr>
    </w:p>
    <w:p w14:paraId="4013CE1E" w14:textId="77777777" w:rsidR="004C529E" w:rsidRDefault="004C529E" w:rsidP="004C529E">
      <w:pPr>
        <w:pStyle w:val="Heading1"/>
        <w:rPr>
          <w:lang w:val="nl-NL"/>
        </w:rPr>
      </w:pPr>
    </w:p>
    <w:p w14:paraId="260BC49B" w14:textId="77777777" w:rsidR="004C529E" w:rsidRDefault="004C529E" w:rsidP="004C529E">
      <w:pPr>
        <w:rPr>
          <w:lang w:val="nl-NL"/>
        </w:rPr>
      </w:pPr>
    </w:p>
    <w:p w14:paraId="1CC06F5C" w14:textId="77777777" w:rsidR="004C529E" w:rsidRDefault="004C529E" w:rsidP="004C529E">
      <w:pPr>
        <w:pStyle w:val="Heading1"/>
        <w:rPr>
          <w:lang w:val="nl-NL"/>
        </w:rPr>
      </w:pPr>
    </w:p>
    <w:p w14:paraId="5976EE42" w14:textId="77777777" w:rsidR="004C529E" w:rsidRDefault="004C529E" w:rsidP="004C529E">
      <w:pPr>
        <w:rPr>
          <w:lang w:val="nl-NL"/>
        </w:rPr>
      </w:pPr>
    </w:p>
    <w:p w14:paraId="72CCD0FD" w14:textId="77777777" w:rsidR="004C529E" w:rsidRDefault="004C529E" w:rsidP="004C529E">
      <w:pPr>
        <w:pStyle w:val="Heading1"/>
        <w:rPr>
          <w:lang w:val="nl-NL"/>
        </w:rPr>
      </w:pPr>
    </w:p>
    <w:p w14:paraId="120D8EE8" w14:textId="77777777" w:rsidR="004C529E" w:rsidRDefault="004C529E" w:rsidP="004C529E">
      <w:pPr>
        <w:rPr>
          <w:lang w:val="nl-NL"/>
        </w:rPr>
      </w:pPr>
    </w:p>
    <w:p w14:paraId="2B3892DC" w14:textId="77777777" w:rsidR="004C529E" w:rsidRDefault="004C529E" w:rsidP="004C529E">
      <w:pPr>
        <w:pStyle w:val="Heading1"/>
        <w:rPr>
          <w:lang w:val="nl-NL"/>
        </w:rPr>
      </w:pPr>
    </w:p>
    <w:p w14:paraId="683D82B1" w14:textId="77777777" w:rsidR="004C529E" w:rsidRDefault="004C529E" w:rsidP="004C529E">
      <w:pPr>
        <w:rPr>
          <w:lang w:val="nl-NL"/>
        </w:rPr>
      </w:pPr>
    </w:p>
    <w:p w14:paraId="136EA004" w14:textId="77777777" w:rsidR="004C529E" w:rsidRDefault="004C529E" w:rsidP="004C529E">
      <w:pPr>
        <w:pStyle w:val="Heading1"/>
        <w:rPr>
          <w:lang w:val="nl-NL"/>
        </w:rPr>
      </w:pPr>
    </w:p>
    <w:p w14:paraId="37260E2D" w14:textId="77777777" w:rsidR="004C529E" w:rsidRDefault="004C529E" w:rsidP="004C529E">
      <w:pPr>
        <w:rPr>
          <w:lang w:val="nl-NL"/>
        </w:rPr>
      </w:pPr>
    </w:p>
    <w:p w14:paraId="2F586BDD" w14:textId="77777777" w:rsidR="004C529E" w:rsidRDefault="004C529E" w:rsidP="004C529E">
      <w:pPr>
        <w:pStyle w:val="Heading1"/>
        <w:rPr>
          <w:lang w:val="nl-NL"/>
        </w:rPr>
      </w:pPr>
    </w:p>
    <w:p w14:paraId="137EB524" w14:textId="77777777" w:rsidR="004C529E" w:rsidRPr="004C529E" w:rsidRDefault="004C529E" w:rsidP="004C529E">
      <w:pPr>
        <w:rPr>
          <w:lang w:val="nl-NL"/>
        </w:rPr>
      </w:pPr>
    </w:p>
    <w:p w14:paraId="09C7E949" w14:textId="77777777" w:rsidR="004C529E" w:rsidRPr="004C529E" w:rsidRDefault="004C529E" w:rsidP="004C529E">
      <w:pPr>
        <w:rPr>
          <w:lang w:val="nl-NL"/>
        </w:rPr>
      </w:pPr>
    </w:p>
    <w:p w14:paraId="2E9FEE42" w14:textId="77777777" w:rsidR="004C529E" w:rsidRPr="004C529E" w:rsidRDefault="004C529E" w:rsidP="004C529E">
      <w:pPr>
        <w:pStyle w:val="Deea1"/>
      </w:pPr>
      <w:bookmarkStart w:id="0" w:name="_Toc196401687"/>
      <w:r w:rsidRPr="004C529E">
        <w:lastRenderedPageBreak/>
        <w:t>Introduction</w:t>
      </w:r>
      <w:bookmarkEnd w:id="0"/>
    </w:p>
    <w:p w14:paraId="48841492" w14:textId="77777777" w:rsidR="004C529E" w:rsidRPr="004C529E" w:rsidRDefault="004C529E" w:rsidP="004C529E">
      <w:pPr>
        <w:spacing w:line="360" w:lineRule="auto"/>
        <w:jc w:val="both"/>
      </w:pPr>
      <w:r w:rsidRPr="004C529E">
        <w:t>In this reflective report, I investigate my journey of learning in the Academic Skills module with specific application to the note taking and paraphrasing techniques that I have learnt during the course. As described by Ai et al. (2022), reflecting on educational experiences conceptualizes and integrates learning as effectively. Throughout this module, I have utilised several adjunct academic skills that have played a large part in the way in which I study. These skills not only enable me to pursue my academic goals but will additionally prove conducive to my professional life later. The main objective of this report is to evaluate my strengths, weaknesses and the global bearing of this module in my life as a person and as a student.</w:t>
      </w:r>
    </w:p>
    <w:p w14:paraId="0E160088" w14:textId="77777777" w:rsidR="004C529E" w:rsidRPr="004C529E" w:rsidRDefault="004C529E" w:rsidP="004C529E">
      <w:pPr>
        <w:pStyle w:val="Deea1"/>
      </w:pPr>
      <w:bookmarkStart w:id="1" w:name="_Toc196401688"/>
      <w:r w:rsidRPr="004C529E">
        <w:t>Description of Experiences</w:t>
      </w:r>
      <w:bookmarkEnd w:id="1"/>
    </w:p>
    <w:p w14:paraId="7D1F0C90" w14:textId="77777777" w:rsidR="004C529E" w:rsidRPr="004C529E" w:rsidRDefault="004C529E" w:rsidP="004C529E">
      <w:pPr>
        <w:spacing w:line="360" w:lineRule="auto"/>
        <w:jc w:val="both"/>
      </w:pPr>
      <w:r w:rsidRPr="004C529E">
        <w:t xml:space="preserve">People in the Academic Skills module had many learning opportunities given through classroom activities and discussions, and formal assessments. Ashwin et al. (2020) consider note taking as foundational to effective learning in higher education and in week 2, we dedicated a lot of time to discuss and share different note taking strategies with each other. Next week 4 was a very comprehensive coverage of techniques of paraphrasing where I was challenged to write in my academic voice using proper reference to sources. A quiz for the Academic Skills of week 5 tested our time management, evaluation of the source of information, academic writing conventions, and referencing skills. The module was assessed through this </w:t>
      </w:r>
      <w:proofErr w:type="gramStart"/>
      <w:r w:rsidRPr="004C529E">
        <w:t>45 minute</w:t>
      </w:r>
      <w:proofErr w:type="gramEnd"/>
      <w:r w:rsidRPr="004C529E">
        <w:t xml:space="preserve"> quick recall and application of module content. In week 7, the Application of Academic Skills exercise was very much a testing of those practical skills of note taking, paraphrasing and academic writing, done in 75 minutes. Collectively, these experiences offered a specific order in which to build these key skill sets that, per Watermark Insights (2023), are academic relevant and prepare students for the academe and workplace.</w:t>
      </w:r>
    </w:p>
    <w:p w14:paraId="2B31E221" w14:textId="77777777" w:rsidR="004C529E" w:rsidRPr="004C529E" w:rsidRDefault="004C529E" w:rsidP="004C529E">
      <w:pPr>
        <w:pStyle w:val="Deea1"/>
      </w:pPr>
      <w:bookmarkStart w:id="2" w:name="_Toc196401689"/>
      <w:r w:rsidRPr="004C529E">
        <w:t>Analysis and Personal Reflection</w:t>
      </w:r>
      <w:bookmarkEnd w:id="2"/>
    </w:p>
    <w:p w14:paraId="33BCE288" w14:textId="77777777" w:rsidR="004C529E" w:rsidRPr="004C529E" w:rsidRDefault="004C529E" w:rsidP="004C529E">
      <w:pPr>
        <w:spacing w:line="360" w:lineRule="auto"/>
        <w:jc w:val="both"/>
      </w:pPr>
      <w:r w:rsidRPr="004C529E">
        <w:t xml:space="preserve">Given this, I decided to experiment with the best note taking practices that I’ve had the opportunity to experience so far. In the beginning, I found it difficult to find important information in lectures and readings, marking too much extraneous information in notes. While initially unstructured note taking was a challenge for me, when applied, methods discussed in class did help to significantly increase the amount which I can synthesize. For me, structured </w:t>
      </w:r>
      <w:proofErr w:type="gramStart"/>
      <w:r w:rsidRPr="004C529E">
        <w:t>note-taking</w:t>
      </w:r>
      <w:proofErr w:type="gramEnd"/>
      <w:r w:rsidRPr="004C529E">
        <w:t xml:space="preserve"> excels as Wilson and Conyers (2020) succinctly point out, as </w:t>
      </w:r>
      <w:r w:rsidRPr="004C529E">
        <w:lastRenderedPageBreak/>
        <w:t>essential for developing self-directed metacognition that is necessary for effective learning. I successfully made progress on Task 2 by demonstrating ability to improve my note taking skills (picking out the key points from the provided text within the given time) there.</w:t>
      </w:r>
    </w:p>
    <w:p w14:paraId="704B4D60" w14:textId="77777777" w:rsidR="004C529E" w:rsidRPr="004C529E" w:rsidRDefault="004C529E" w:rsidP="004C529E">
      <w:pPr>
        <w:spacing w:line="360" w:lineRule="auto"/>
        <w:jc w:val="both"/>
      </w:pPr>
      <w:r w:rsidRPr="004C529E">
        <w:t xml:space="preserve">The module presented a considerable challenge to paraphrasing. At first, it was hard to hold to the original meaning but using my own words and sentences. Discussion of what constituted paraphrasing in the classroom was especially illuminating because it allowed the common pitfalls to be identified, like activities like patchwriting and inappropriate citation. Metacognition in higher education (as (2024) says) helps in developing critical thinking skills which are necessary in the successful use of paraphrasing. Additionally, through practice and the helpful feedback from our instructor, I came upon a systematic way to go about paraphrasing. In Task 2, I showed improvement by passing </w:t>
      </w:r>
      <w:proofErr w:type="gramStart"/>
      <w:r w:rsidRPr="004C529E">
        <w:t>a number of</w:t>
      </w:r>
      <w:proofErr w:type="gramEnd"/>
      <w:r w:rsidRPr="004C529E">
        <w:t xml:space="preserve"> complex sentences with good paraphrasing and academic integrity.</w:t>
      </w:r>
    </w:p>
    <w:p w14:paraId="13E45124" w14:textId="77777777" w:rsidR="004C529E" w:rsidRPr="004C529E" w:rsidRDefault="004C529E" w:rsidP="004C529E">
      <w:pPr>
        <w:spacing w:line="360" w:lineRule="auto"/>
        <w:jc w:val="both"/>
      </w:pPr>
      <w:r w:rsidRPr="004C529E">
        <w:t>In week 5’s Academic Skills quiz, I realised that I was very strong at referencing, but weak at determining source credibility for accuracy and credibility. From this, I became more critical when it comes to source selection for my assignments. As Saiz and Rivas (2022) point out, metacognitive strategies are vital to critical thinking in higher education, and the quiz did make me more aware of the processes in which I carried out when assessing academic sources.</w:t>
      </w:r>
    </w:p>
    <w:p w14:paraId="39098FE5" w14:textId="77777777" w:rsidR="004C529E" w:rsidRPr="004C529E" w:rsidRDefault="004C529E" w:rsidP="004C529E">
      <w:pPr>
        <w:spacing w:line="360" w:lineRule="auto"/>
        <w:jc w:val="both"/>
      </w:pPr>
      <w:r w:rsidRPr="004C529E">
        <w:t xml:space="preserve">Use of experiential learning throughout the module enabled me to have a clearer understanding of academic conventions. Experiential learning, as explained by the University of Iowa (2022), is one that facilitates the gap between theory and practice through students' application of acquired knowledge in practical contexts. This approach was embodied in the Application of Academic Skills exercise in week 7 which involved combining numerous skills at the same time. I was successful in most of the </w:t>
      </w:r>
      <w:proofErr w:type="spellStart"/>
      <w:r w:rsidRPr="004C529E">
        <w:t>paraphrasings</w:t>
      </w:r>
      <w:proofErr w:type="spellEnd"/>
      <w:r w:rsidRPr="004C529E">
        <w:t xml:space="preserve"> done on the individual </w:t>
      </w:r>
      <w:proofErr w:type="gramStart"/>
      <w:r w:rsidRPr="004C529E">
        <w:t>sentences</w:t>
      </w:r>
      <w:proofErr w:type="gramEnd"/>
      <w:r w:rsidRPr="004C529E">
        <w:t xml:space="preserve"> but I realized that putting them together and making one cohesive paragraph that makes sense is still a problem for me. Such experiential learning experiences, as Johns Hopkins Carey Business School (2022) argue, help a student to understand his or her strengths and areas of weakness in practice.</w:t>
      </w:r>
    </w:p>
    <w:p w14:paraId="3EE21869" w14:textId="77777777" w:rsidR="004C529E" w:rsidRPr="004C529E" w:rsidRDefault="004C529E" w:rsidP="004C529E">
      <w:pPr>
        <w:spacing w:line="360" w:lineRule="auto"/>
        <w:jc w:val="both"/>
      </w:pPr>
      <w:r w:rsidRPr="004C529E">
        <w:t xml:space="preserve">Overall, I can tell from my development so far, that I am developing a more confident academic writing attitude. Reflection on practice can be significant when it focuses on specific issues that need to be improved upon (Veine et al., 2025). Prior to this module, I regarded academic integrity as a set of rules not to break because they would prevent me </w:t>
      </w:r>
      <w:r w:rsidRPr="004C529E">
        <w:lastRenderedPageBreak/>
        <w:t>plagiarizing, whereas now academic integrity is for me a scholarly ethos of intellectual honesty and rigorous engagement with other's ideas. According to Montgomery College (2023), experiential learning, in which proposed activities encourage deeper understanding following a reflection upon the experiences, remains true to my experience with this module.</w:t>
      </w:r>
    </w:p>
    <w:p w14:paraId="02CF5448" w14:textId="77777777" w:rsidR="004C529E" w:rsidRPr="004C529E" w:rsidRDefault="004C529E" w:rsidP="004C529E">
      <w:pPr>
        <w:pStyle w:val="Deea1"/>
        <w:rPr>
          <w:lang w:val="nl-NL"/>
        </w:rPr>
      </w:pPr>
      <w:bookmarkStart w:id="3" w:name="_Toc196401690"/>
      <w:r w:rsidRPr="004C529E">
        <w:rPr>
          <w:lang w:val="nl-NL"/>
        </w:rPr>
        <w:t>Conclusion</w:t>
      </w:r>
      <w:bookmarkEnd w:id="3"/>
    </w:p>
    <w:p w14:paraId="115DABA8" w14:textId="66E1035A" w:rsidR="004C529E" w:rsidRDefault="004C529E" w:rsidP="004C529E">
      <w:pPr>
        <w:spacing w:line="360" w:lineRule="auto"/>
        <w:jc w:val="both"/>
      </w:pPr>
      <w:r w:rsidRPr="004C529E">
        <w:t xml:space="preserve">Through this Academic Skills module, the fundamental skills of </w:t>
      </w:r>
      <w:proofErr w:type="gramStart"/>
      <w:r w:rsidRPr="004C529E">
        <w:t>note-taking</w:t>
      </w:r>
      <w:proofErr w:type="gramEnd"/>
      <w:r w:rsidRPr="004C529E">
        <w:t>, paraphrasing and critical source evaluation have been developed in such a way that my approach to academic studies has been fundamentally changed. According to Tasks 1, 2 and various classroom activities, I have been able to improve my academic writing and to identify areas that need a bit more work to improve. As for the experiential learning methods used throughout the module, as perceived by Watermark Insights (2023) as most conducive for driving student’s growth, allowed me to assimilate theoretical knowledge in practical situations. For my progression, I will perfect my paraphrasing and work on composing more complete academic paragraph. As Ai et al. (2022) describe it, reflective practice has been encouraged throughout this module, an activity which they note is essential for educational development, and I have found that through reflective practice, it has helped me develop some metacognitive strategies that I will use throughout my academic journey as well as my future professional life.</w:t>
      </w:r>
    </w:p>
    <w:p w14:paraId="04E50990" w14:textId="77777777" w:rsidR="004C529E" w:rsidRDefault="004C529E" w:rsidP="004C529E">
      <w:pPr>
        <w:pStyle w:val="Heading1"/>
      </w:pPr>
    </w:p>
    <w:p w14:paraId="31D327E1" w14:textId="77777777" w:rsidR="004C529E" w:rsidRDefault="004C529E" w:rsidP="004C529E"/>
    <w:p w14:paraId="7C095AE6" w14:textId="77777777" w:rsidR="004C529E" w:rsidRDefault="004C529E" w:rsidP="004C529E">
      <w:pPr>
        <w:pStyle w:val="Heading1"/>
      </w:pPr>
    </w:p>
    <w:p w14:paraId="747A9039" w14:textId="77777777" w:rsidR="004C529E" w:rsidRDefault="004C529E" w:rsidP="004C529E"/>
    <w:p w14:paraId="033B234B" w14:textId="77777777" w:rsidR="004C529E" w:rsidRDefault="004C529E" w:rsidP="004C529E">
      <w:pPr>
        <w:pStyle w:val="Heading1"/>
      </w:pPr>
    </w:p>
    <w:p w14:paraId="4DB7ED4A" w14:textId="77777777" w:rsidR="004C529E" w:rsidRDefault="004C529E" w:rsidP="004C529E"/>
    <w:p w14:paraId="230ACDD0" w14:textId="77777777" w:rsidR="004C529E" w:rsidRDefault="004C529E" w:rsidP="004C529E">
      <w:pPr>
        <w:pStyle w:val="Heading1"/>
      </w:pPr>
    </w:p>
    <w:p w14:paraId="6E78F775" w14:textId="77777777" w:rsidR="004C529E" w:rsidRDefault="004C529E" w:rsidP="004C529E"/>
    <w:p w14:paraId="4CF5FFDA" w14:textId="77777777" w:rsidR="004C529E" w:rsidRDefault="004C529E" w:rsidP="004C529E">
      <w:pPr>
        <w:pStyle w:val="Heading1"/>
      </w:pPr>
    </w:p>
    <w:p w14:paraId="0895493F" w14:textId="77777777" w:rsidR="004C529E" w:rsidRDefault="004C529E" w:rsidP="004C529E"/>
    <w:p w14:paraId="26348AFC" w14:textId="77777777" w:rsidR="004C529E" w:rsidRDefault="004C529E" w:rsidP="004C529E">
      <w:pPr>
        <w:pStyle w:val="Heading1"/>
      </w:pPr>
    </w:p>
    <w:p w14:paraId="3D7C3B52" w14:textId="77777777" w:rsidR="004C529E" w:rsidRDefault="004C529E" w:rsidP="004C529E"/>
    <w:p w14:paraId="30AEE661" w14:textId="77777777" w:rsidR="004C529E" w:rsidRDefault="004C529E" w:rsidP="004C529E">
      <w:pPr>
        <w:pStyle w:val="Heading1"/>
      </w:pPr>
    </w:p>
    <w:p w14:paraId="74D020B9" w14:textId="77777777" w:rsidR="004C529E" w:rsidRPr="004C529E" w:rsidRDefault="004C529E" w:rsidP="004C529E"/>
    <w:p w14:paraId="769F27E1" w14:textId="722118B3" w:rsidR="004C529E" w:rsidRDefault="004C529E" w:rsidP="004C529E">
      <w:pPr>
        <w:pStyle w:val="Deea1"/>
      </w:pPr>
      <w:bookmarkStart w:id="4" w:name="_Toc196401691"/>
      <w:r>
        <w:t>References</w:t>
      </w:r>
      <w:bookmarkEnd w:id="4"/>
    </w:p>
    <w:p w14:paraId="1763A9D8" w14:textId="77777777" w:rsidR="004C529E" w:rsidRPr="004C529E" w:rsidRDefault="004C529E" w:rsidP="004C529E">
      <w:pPr>
        <w:spacing w:line="360" w:lineRule="auto"/>
        <w:jc w:val="both"/>
      </w:pPr>
      <w:r w:rsidRPr="004C529E">
        <w:rPr>
          <w:lang w:val="fr-FR"/>
        </w:rPr>
        <w:t xml:space="preserve">Ai, X., </w:t>
      </w:r>
      <w:proofErr w:type="spellStart"/>
      <w:r w:rsidRPr="004C529E">
        <w:rPr>
          <w:lang w:val="fr-FR"/>
        </w:rPr>
        <w:t>McAlpine</w:t>
      </w:r>
      <w:proofErr w:type="spellEnd"/>
      <w:r w:rsidRPr="004C529E">
        <w:rPr>
          <w:lang w:val="fr-FR"/>
        </w:rPr>
        <w:t xml:space="preserve">, L., De </w:t>
      </w:r>
      <w:proofErr w:type="spellStart"/>
      <w:r w:rsidRPr="004C529E">
        <w:rPr>
          <w:lang w:val="fr-FR"/>
        </w:rPr>
        <w:t>Geest</w:t>
      </w:r>
      <w:proofErr w:type="spellEnd"/>
      <w:r w:rsidRPr="004C529E">
        <w:rPr>
          <w:lang w:val="fr-FR"/>
        </w:rPr>
        <w:t xml:space="preserve">, E., Davies, S. &amp; Marshall, S. (2022). </w:t>
      </w:r>
      <w:r w:rsidRPr="004C529E">
        <w:t xml:space="preserve">'Conceptualizing the complexity of reflective practice in education'. </w:t>
      </w:r>
      <w:r w:rsidRPr="004C529E">
        <w:rPr>
          <w:i/>
          <w:iCs/>
        </w:rPr>
        <w:t>Frontiers in Psychology</w:t>
      </w:r>
      <w:r w:rsidRPr="004C529E">
        <w:t>, 13, 1008234.​</w:t>
      </w:r>
    </w:p>
    <w:p w14:paraId="657789F9" w14:textId="77777777" w:rsidR="004C529E" w:rsidRPr="004C529E" w:rsidRDefault="004C529E" w:rsidP="004C529E">
      <w:pPr>
        <w:spacing w:line="360" w:lineRule="auto"/>
        <w:jc w:val="both"/>
      </w:pPr>
      <w:r w:rsidRPr="004C529E">
        <w:t xml:space="preserve">Ashwin, P., Boud, D., Coate, K., Hallett, F., Keane, E., Krause, K.L., Leibowitz, B., MacLaren, I., McArthur, J. &amp; McCune, V. (2020). </w:t>
      </w:r>
      <w:r w:rsidRPr="004C529E">
        <w:rPr>
          <w:i/>
          <w:iCs/>
        </w:rPr>
        <w:t>Reflective Teaching in Higher Education</w:t>
      </w:r>
      <w:r w:rsidRPr="004C529E">
        <w:t>. Bloomsbury Publishing.​</w:t>
      </w:r>
    </w:p>
    <w:p w14:paraId="35F512BD" w14:textId="77777777" w:rsidR="004C529E" w:rsidRPr="004C529E" w:rsidRDefault="004C529E" w:rsidP="004C529E">
      <w:pPr>
        <w:spacing w:line="360" w:lineRule="auto"/>
        <w:jc w:val="both"/>
      </w:pPr>
      <w:r w:rsidRPr="004C529E">
        <w:t xml:space="preserve">Johns Hopkins Carey Business School. (2022). 'Experiential Learning'. </w:t>
      </w:r>
      <w:r w:rsidRPr="004C529E">
        <w:rPr>
          <w:i/>
          <w:iCs/>
        </w:rPr>
        <w:t>Johns Hopkins University</w:t>
      </w:r>
      <w:r w:rsidRPr="004C529E">
        <w:t xml:space="preserve">. Available at: </w:t>
      </w:r>
      <w:hyperlink r:id="rId8" w:tgtFrame="_new" w:history="1">
        <w:r w:rsidRPr="004C529E">
          <w:rPr>
            <w:rStyle w:val="Hyperlink"/>
          </w:rPr>
          <w:t>https://carey.jhu.edu/student-experience/experiential-learning</w:t>
        </w:r>
      </w:hyperlink>
      <w:r w:rsidRPr="004C529E">
        <w:t xml:space="preserve"> [Accessed 24 Apr. 2025].​</w:t>
      </w:r>
    </w:p>
    <w:p w14:paraId="15DCAB1D" w14:textId="77777777" w:rsidR="004C529E" w:rsidRPr="004C529E" w:rsidRDefault="004C529E" w:rsidP="004C529E">
      <w:pPr>
        <w:spacing w:line="360" w:lineRule="auto"/>
        <w:jc w:val="both"/>
      </w:pPr>
      <w:r w:rsidRPr="004C529E">
        <w:t xml:space="preserve">Montgomery College. (2023). 'Experiential Learning – The Hub'. </w:t>
      </w:r>
      <w:r w:rsidRPr="004C529E">
        <w:rPr>
          <w:i/>
          <w:iCs/>
        </w:rPr>
        <w:t>Montgomery College</w:t>
      </w:r>
      <w:r w:rsidRPr="004C529E">
        <w:t xml:space="preserve">. Available at: </w:t>
      </w:r>
      <w:hyperlink r:id="rId9" w:tgtFrame="_new" w:history="1">
        <w:r w:rsidRPr="004C529E">
          <w:rPr>
            <w:rStyle w:val="Hyperlink"/>
          </w:rPr>
          <w:t>https://mcblogs.montgomerycollege.edu/thehub/fundamentals-of-teaching/instructor_resources/experiential-learning/</w:t>
        </w:r>
      </w:hyperlink>
      <w:r w:rsidRPr="004C529E">
        <w:t xml:space="preserve"> [Accessed 24 Apr. 2025].​</w:t>
      </w:r>
    </w:p>
    <w:p w14:paraId="4D9D31D4" w14:textId="77777777" w:rsidR="004C529E" w:rsidRPr="004C529E" w:rsidRDefault="004C529E" w:rsidP="004C529E">
      <w:pPr>
        <w:spacing w:line="360" w:lineRule="auto"/>
        <w:jc w:val="both"/>
      </w:pPr>
      <w:r w:rsidRPr="004C529E">
        <w:t xml:space="preserve">Saiz, C. &amp; Rivas, S.F. (2022). 'Metacognitive Strategies and Development of Critical Thinking in Higher Education'. </w:t>
      </w:r>
      <w:r w:rsidRPr="004C529E">
        <w:rPr>
          <w:i/>
          <w:iCs/>
        </w:rPr>
        <w:t>Frontiers in Psychology</w:t>
      </w:r>
      <w:r w:rsidRPr="004C529E">
        <w:t>, 13, 9242397.​</w:t>
      </w:r>
    </w:p>
    <w:p w14:paraId="228D77FF" w14:textId="77777777" w:rsidR="004C529E" w:rsidRPr="004C529E" w:rsidRDefault="004C529E" w:rsidP="004C529E">
      <w:pPr>
        <w:spacing w:line="360" w:lineRule="auto"/>
        <w:jc w:val="both"/>
      </w:pPr>
      <w:r w:rsidRPr="004C529E">
        <w:t xml:space="preserve">So, K. (2024). 'Metacognition in Higher Education: Unlock the Critical Thinking for Success'. </w:t>
      </w:r>
      <w:r w:rsidRPr="004C529E">
        <w:rPr>
          <w:i/>
          <w:iCs/>
        </w:rPr>
        <w:t>LinkedIn</w:t>
      </w:r>
      <w:r w:rsidRPr="004C529E">
        <w:t xml:space="preserve">. Available at: </w:t>
      </w:r>
      <w:hyperlink r:id="rId10" w:tgtFrame="_new" w:history="1">
        <w:r w:rsidRPr="004C529E">
          <w:rPr>
            <w:rStyle w:val="Hyperlink"/>
          </w:rPr>
          <w:t>https://www.linkedin.com/pulse/metacognition-higher-education-unlock-critical-thinking-karly-so-8wogc</w:t>
        </w:r>
      </w:hyperlink>
      <w:r w:rsidRPr="004C529E">
        <w:t xml:space="preserve"> [Accessed 24 Apr. 2025].​</w:t>
      </w:r>
    </w:p>
    <w:p w14:paraId="28412D48" w14:textId="77777777" w:rsidR="004C529E" w:rsidRPr="004C529E" w:rsidRDefault="004C529E" w:rsidP="004C529E">
      <w:pPr>
        <w:spacing w:line="360" w:lineRule="auto"/>
        <w:jc w:val="both"/>
      </w:pPr>
      <w:r w:rsidRPr="004C529E">
        <w:t xml:space="preserve">University of Iowa. (2022). 'Experiential Learning - Student Engagement Opportunities'. </w:t>
      </w:r>
      <w:r w:rsidRPr="004C529E">
        <w:rPr>
          <w:i/>
          <w:iCs/>
        </w:rPr>
        <w:t>University of Iowa</w:t>
      </w:r>
      <w:r w:rsidRPr="004C529E">
        <w:t xml:space="preserve">. Available at: </w:t>
      </w:r>
      <w:hyperlink r:id="rId11" w:tgtFrame="_new" w:history="1">
        <w:r w:rsidRPr="004C529E">
          <w:rPr>
            <w:rStyle w:val="Hyperlink"/>
          </w:rPr>
          <w:t>https://engage.uiowa.edu/faculty-and-staff/experiential-learning</w:t>
        </w:r>
      </w:hyperlink>
      <w:r w:rsidRPr="004C529E">
        <w:t xml:space="preserve"> [Accessed 24 Apr. 2025].​</w:t>
      </w:r>
    </w:p>
    <w:p w14:paraId="6772ED1C" w14:textId="77777777" w:rsidR="004C529E" w:rsidRPr="004C529E" w:rsidRDefault="004C529E" w:rsidP="004C529E">
      <w:pPr>
        <w:spacing w:line="360" w:lineRule="auto"/>
        <w:jc w:val="both"/>
      </w:pPr>
      <w:r w:rsidRPr="004C529E">
        <w:t xml:space="preserve">Veine, S., Andersen, A.L., Andersen, N.G., Espenes, G.A., Søyland, T. &amp; Wallin, P. (2025). 'Reflecting on reflective practice: issues, possibilities and guidance'. </w:t>
      </w:r>
      <w:r w:rsidRPr="004C529E">
        <w:rPr>
          <w:i/>
          <w:iCs/>
        </w:rPr>
        <w:t>Studies in Higher Education</w:t>
      </w:r>
      <w:r w:rsidRPr="004C529E">
        <w:t>, 50(1), pp. 1–15</w:t>
      </w:r>
    </w:p>
    <w:p w14:paraId="3EFF2FBA" w14:textId="77777777" w:rsidR="004C529E" w:rsidRPr="004C529E" w:rsidRDefault="004C529E" w:rsidP="004C529E">
      <w:pPr>
        <w:spacing w:line="360" w:lineRule="auto"/>
        <w:jc w:val="both"/>
      </w:pPr>
      <w:r w:rsidRPr="004C529E">
        <w:t xml:space="preserve">Watermark Insights. (2023). 'Experiential learning: What it is and why it benefits students'. </w:t>
      </w:r>
      <w:r w:rsidRPr="004C529E">
        <w:rPr>
          <w:i/>
          <w:iCs/>
        </w:rPr>
        <w:t>Watermark Insights</w:t>
      </w:r>
      <w:r w:rsidRPr="004C529E">
        <w:t xml:space="preserve">. Available at: </w:t>
      </w:r>
      <w:hyperlink r:id="rId12" w:tgtFrame="_new" w:history="1">
        <w:r w:rsidRPr="004C529E">
          <w:rPr>
            <w:rStyle w:val="Hyperlink"/>
          </w:rPr>
          <w:t>https://www.watermarkinsights.com/resources/blog/experiential-learning-benefits-students/</w:t>
        </w:r>
      </w:hyperlink>
      <w:r w:rsidRPr="004C529E">
        <w:t xml:space="preserve"> [Accessed 24 Apr. 2025].​</w:t>
      </w:r>
    </w:p>
    <w:p w14:paraId="5ED6C344" w14:textId="77777777" w:rsidR="004C529E" w:rsidRPr="004C529E" w:rsidRDefault="004C529E" w:rsidP="004C529E">
      <w:pPr>
        <w:spacing w:line="360" w:lineRule="auto"/>
        <w:jc w:val="both"/>
      </w:pPr>
      <w:r w:rsidRPr="004C529E">
        <w:t xml:space="preserve">Wilson, K. &amp; Conyers, M. (2020). 'Assessing Student Focus Areas for Self-Directed Metacognition and Planning'. </w:t>
      </w:r>
      <w:r w:rsidRPr="004C529E">
        <w:rPr>
          <w:i/>
          <w:iCs/>
        </w:rPr>
        <w:t>Journal of Effective Teaching in Higher Education</w:t>
      </w:r>
      <w:r w:rsidRPr="004C529E">
        <w:t>, 3(1), pp. 1–15.​</w:t>
      </w:r>
      <w:hyperlink r:id="rId13" w:tgtFrame="_blank" w:history="1">
        <w:r w:rsidRPr="004C529E">
          <w:rPr>
            <w:rStyle w:val="Hyperlink"/>
          </w:rPr>
          <w:t>janeway.uncpress.org</w:t>
        </w:r>
      </w:hyperlink>
    </w:p>
    <w:p w14:paraId="5262A153" w14:textId="77777777" w:rsidR="004C529E" w:rsidRPr="004C529E" w:rsidRDefault="004C529E" w:rsidP="004C529E"/>
    <w:sectPr w:rsidR="004C529E" w:rsidRPr="004C529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896DF" w14:textId="77777777" w:rsidR="004C529E" w:rsidRDefault="004C529E" w:rsidP="004C529E">
      <w:pPr>
        <w:spacing w:after="0" w:line="240" w:lineRule="auto"/>
      </w:pPr>
      <w:r>
        <w:separator/>
      </w:r>
    </w:p>
  </w:endnote>
  <w:endnote w:type="continuationSeparator" w:id="0">
    <w:p w14:paraId="429579DC" w14:textId="77777777" w:rsidR="004C529E" w:rsidRDefault="004C529E" w:rsidP="004C5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835554"/>
      <w:docPartObj>
        <w:docPartGallery w:val="Page Numbers (Bottom of Page)"/>
        <w:docPartUnique/>
      </w:docPartObj>
    </w:sdtPr>
    <w:sdtEndPr>
      <w:rPr>
        <w:noProof/>
      </w:rPr>
    </w:sdtEndPr>
    <w:sdtContent>
      <w:p w14:paraId="0FF2BA03" w14:textId="2A2A78CA" w:rsidR="004C529E" w:rsidRDefault="004C52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8E3FC9" w14:textId="77777777" w:rsidR="004C529E" w:rsidRDefault="004C5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29DDD" w14:textId="77777777" w:rsidR="004C529E" w:rsidRDefault="004C529E" w:rsidP="004C529E">
      <w:pPr>
        <w:spacing w:after="0" w:line="240" w:lineRule="auto"/>
      </w:pPr>
      <w:r>
        <w:separator/>
      </w:r>
    </w:p>
  </w:footnote>
  <w:footnote w:type="continuationSeparator" w:id="0">
    <w:p w14:paraId="75218473" w14:textId="77777777" w:rsidR="004C529E" w:rsidRDefault="004C529E" w:rsidP="004C52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2665FA"/>
    <w:multiLevelType w:val="hybridMultilevel"/>
    <w:tmpl w:val="D1FE7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38605F"/>
    <w:multiLevelType w:val="hybridMultilevel"/>
    <w:tmpl w:val="B12EA6F2"/>
    <w:lvl w:ilvl="0" w:tplc="FFB6882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8264529">
    <w:abstractNumId w:val="0"/>
  </w:num>
  <w:num w:numId="2" w16cid:durableId="1560241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D10"/>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64955"/>
    <w:rsid w:val="00273A19"/>
    <w:rsid w:val="00287E23"/>
    <w:rsid w:val="00290864"/>
    <w:rsid w:val="00292049"/>
    <w:rsid w:val="002953C5"/>
    <w:rsid w:val="002B5B65"/>
    <w:rsid w:val="002C10D1"/>
    <w:rsid w:val="002D2A72"/>
    <w:rsid w:val="00301500"/>
    <w:rsid w:val="003309AC"/>
    <w:rsid w:val="00381764"/>
    <w:rsid w:val="00385A3A"/>
    <w:rsid w:val="003E4C21"/>
    <w:rsid w:val="003E74F3"/>
    <w:rsid w:val="003E7C27"/>
    <w:rsid w:val="004016C4"/>
    <w:rsid w:val="00424958"/>
    <w:rsid w:val="004265A7"/>
    <w:rsid w:val="004362D0"/>
    <w:rsid w:val="00444465"/>
    <w:rsid w:val="00447CD3"/>
    <w:rsid w:val="0045527C"/>
    <w:rsid w:val="00480A1B"/>
    <w:rsid w:val="00480D4F"/>
    <w:rsid w:val="004C529E"/>
    <w:rsid w:val="004E7AE4"/>
    <w:rsid w:val="00503721"/>
    <w:rsid w:val="00532B06"/>
    <w:rsid w:val="005411FC"/>
    <w:rsid w:val="0055793E"/>
    <w:rsid w:val="00561446"/>
    <w:rsid w:val="00573A85"/>
    <w:rsid w:val="0058074D"/>
    <w:rsid w:val="00592FAC"/>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 w:val="00FF6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41836"/>
  <w15:chartTrackingRefBased/>
  <w15:docId w15:val="{E33DEF89-E172-4FEB-A835-8FD158B14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FF6D10"/>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4C529E"/>
    <w:pPr>
      <w:keepNext w:val="0"/>
      <w:keepLines w:val="0"/>
      <w:spacing w:before="120" w:after="120" w:line="360" w:lineRule="auto"/>
      <w:jc w:val="both"/>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FF6D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F6D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F6D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F6D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F6D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C529E"/>
    <w:rPr>
      <w:rFonts w:eastAsiaTheme="majorEastAsia" w:cstheme="minorHAnsi"/>
      <w:color w:val="auto"/>
      <w:sz w:val="28"/>
      <w:szCs w:val="28"/>
      <w:u w:val="none"/>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FF6D10"/>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FF6D10"/>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FF6D10"/>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FF6D10"/>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FF6D10"/>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FF6D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D10"/>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FF6D10"/>
    <w:pPr>
      <w:spacing w:before="160"/>
      <w:jc w:val="center"/>
    </w:pPr>
    <w:rPr>
      <w:i/>
      <w:iCs/>
      <w:color w:val="404040" w:themeColor="text1" w:themeTint="BF"/>
    </w:rPr>
  </w:style>
  <w:style w:type="character" w:customStyle="1" w:styleId="QuoteChar">
    <w:name w:val="Quote Char"/>
    <w:basedOn w:val="DefaultParagraphFont"/>
    <w:link w:val="Quote"/>
    <w:uiPriority w:val="29"/>
    <w:rsid w:val="00FF6D10"/>
    <w:rPr>
      <w:b w:val="0"/>
      <w:i/>
      <w:iCs/>
      <w:color w:val="404040" w:themeColor="text1" w:themeTint="BF"/>
      <w:szCs w:val="22"/>
      <w:u w:val="none"/>
    </w:rPr>
  </w:style>
  <w:style w:type="paragraph" w:styleId="ListParagraph">
    <w:name w:val="List Paragraph"/>
    <w:basedOn w:val="Normal"/>
    <w:uiPriority w:val="34"/>
    <w:qFormat/>
    <w:rsid w:val="00FF6D10"/>
    <w:pPr>
      <w:ind w:left="720"/>
      <w:contextualSpacing/>
    </w:pPr>
  </w:style>
  <w:style w:type="character" w:styleId="IntenseEmphasis">
    <w:name w:val="Intense Emphasis"/>
    <w:basedOn w:val="DefaultParagraphFont"/>
    <w:uiPriority w:val="21"/>
    <w:qFormat/>
    <w:rsid w:val="00FF6D10"/>
    <w:rPr>
      <w:i/>
      <w:iCs/>
      <w:color w:val="2F5496" w:themeColor="accent1" w:themeShade="BF"/>
    </w:rPr>
  </w:style>
  <w:style w:type="paragraph" w:styleId="IntenseQuote">
    <w:name w:val="Intense Quote"/>
    <w:basedOn w:val="Normal"/>
    <w:next w:val="Normal"/>
    <w:link w:val="IntenseQuoteChar"/>
    <w:uiPriority w:val="30"/>
    <w:qFormat/>
    <w:rsid w:val="00FF6D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6D10"/>
    <w:rPr>
      <w:b w:val="0"/>
      <w:i/>
      <w:iCs/>
      <w:color w:val="2F5496" w:themeColor="accent1" w:themeShade="BF"/>
      <w:szCs w:val="22"/>
      <w:u w:val="none"/>
    </w:rPr>
  </w:style>
  <w:style w:type="character" w:styleId="IntenseReference">
    <w:name w:val="Intense Reference"/>
    <w:basedOn w:val="DefaultParagraphFont"/>
    <w:uiPriority w:val="32"/>
    <w:qFormat/>
    <w:rsid w:val="00FF6D10"/>
    <w:rPr>
      <w:b w:val="0"/>
      <w:bCs/>
      <w:smallCaps/>
      <w:color w:val="2F5496" w:themeColor="accent1" w:themeShade="BF"/>
      <w:spacing w:val="5"/>
    </w:rPr>
  </w:style>
  <w:style w:type="character" w:styleId="Hyperlink">
    <w:name w:val="Hyperlink"/>
    <w:basedOn w:val="DefaultParagraphFont"/>
    <w:uiPriority w:val="99"/>
    <w:unhideWhenUsed/>
    <w:rsid w:val="004C529E"/>
    <w:rPr>
      <w:color w:val="0563C1" w:themeColor="hyperlink"/>
      <w:u w:val="single"/>
    </w:rPr>
  </w:style>
  <w:style w:type="character" w:styleId="UnresolvedMention">
    <w:name w:val="Unresolved Mention"/>
    <w:basedOn w:val="DefaultParagraphFont"/>
    <w:uiPriority w:val="99"/>
    <w:semiHidden/>
    <w:unhideWhenUsed/>
    <w:rsid w:val="004C529E"/>
    <w:rPr>
      <w:color w:val="605E5C"/>
      <w:shd w:val="clear" w:color="auto" w:fill="E1DFDD"/>
    </w:rPr>
  </w:style>
  <w:style w:type="paragraph" w:styleId="Header">
    <w:name w:val="header"/>
    <w:basedOn w:val="Normal"/>
    <w:link w:val="HeaderChar"/>
    <w:uiPriority w:val="99"/>
    <w:unhideWhenUsed/>
    <w:rsid w:val="004C5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29E"/>
    <w:rPr>
      <w:b w:val="0"/>
      <w:color w:val="000000" w:themeColor="text1"/>
      <w:szCs w:val="22"/>
      <w:u w:val="none"/>
    </w:rPr>
  </w:style>
  <w:style w:type="paragraph" w:styleId="Footer">
    <w:name w:val="footer"/>
    <w:basedOn w:val="Normal"/>
    <w:link w:val="FooterChar"/>
    <w:uiPriority w:val="99"/>
    <w:unhideWhenUsed/>
    <w:rsid w:val="004C5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29E"/>
    <w:rPr>
      <w:b w:val="0"/>
      <w:color w:val="000000" w:themeColor="text1"/>
      <w:szCs w:val="22"/>
      <w:u w:val="none"/>
    </w:rPr>
  </w:style>
  <w:style w:type="paragraph" w:styleId="TOCHeading">
    <w:name w:val="TOC Heading"/>
    <w:basedOn w:val="Heading1"/>
    <w:next w:val="Normal"/>
    <w:uiPriority w:val="39"/>
    <w:unhideWhenUsed/>
    <w:qFormat/>
    <w:rsid w:val="004C529E"/>
    <w:pPr>
      <w:keepNext/>
      <w:keepLines/>
      <w:spacing w:before="240" w:after="0" w:line="259" w:lineRule="auto"/>
      <w:jc w:val="left"/>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4C529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6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y.jhu.edu/student-experience/experiential-learning" TargetMode="External"/><Relationship Id="rId13" Type="http://schemas.openxmlformats.org/officeDocument/2006/relationships/hyperlink" Target="https://janeway.uncpress.org/jethe/article/id/1481/download/pdf/?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termarkinsights.com/resources/blog/experiential-learning-benefits-studen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age.uiowa.edu/faculty-and-staff/experiential-learnin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inkedin.com/pulse/metacognition-higher-education-unlock-critical-thinking-karly-so-8wogc" TargetMode="External"/><Relationship Id="rId4" Type="http://schemas.openxmlformats.org/officeDocument/2006/relationships/settings" Target="settings.xml"/><Relationship Id="rId9" Type="http://schemas.openxmlformats.org/officeDocument/2006/relationships/hyperlink" Target="https://mcblogs.montgomerycollege.edu/thehub/fundamentals-of-teaching/instructor_resources/experiential-learn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A72E6-7950-4850-8C7D-1EFDBBAF6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1453</Words>
  <Characters>8632</Characters>
  <Application>Microsoft Office Word</Application>
  <DocSecurity>0</DocSecurity>
  <Lines>196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1</cp:revision>
  <dcterms:created xsi:type="dcterms:W3CDTF">2025-04-24T14:20:00Z</dcterms:created>
  <dcterms:modified xsi:type="dcterms:W3CDTF">2025-04-24T14:41:00Z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2c237657-c6ce-4353-a022-044a49bf6471</vt:lpwstr>
  </property>
</Properties>
</file>