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A23FED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66273">
              <w:rPr>
                <w:rFonts w:ascii="Times New Roman" w:hAnsi="Times New Roman" w:cs="Times New Roman"/>
                <w:b/>
                <w:color w:val="auto"/>
                <w:sz w:val="48"/>
              </w:rPr>
              <w:t xml:space="preserve">Rhian Roberts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44804FDC" w14:textId="012E94F2" w:rsidR="00366273" w:rsidRDefault="00366273" w:rsidP="005D3F07">
            <w:pPr>
              <w:overflowPunct/>
              <w:autoSpaceDE/>
              <w:autoSpaceDN/>
              <w:adjustRightInd/>
              <w:ind w:right="-957"/>
              <w:textAlignment w:val="auto"/>
              <w:rPr>
                <w:rFonts w:ascii="Times New Roman" w:hAnsi="Times New Roman" w:cs="Times New Roman"/>
                <w:b/>
                <w:color w:val="auto"/>
                <w:sz w:val="48"/>
              </w:rPr>
            </w:pPr>
            <w:hyperlink r:id="rId11" w:history="1">
              <w:r w:rsidRPr="00420F77">
                <w:rPr>
                  <w:rStyle w:val="Hyperlink"/>
                  <w:rFonts w:ascii="Times New Roman" w:hAnsi="Times New Roman" w:cs="Times New Roman"/>
                  <w:b/>
                  <w:sz w:val="48"/>
                </w:rPr>
                <w:t>Rhianroberts2@ynysmon.llyw.cymru</w:t>
              </w:r>
            </w:hyperlink>
            <w:r>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EFF38E3" w14:textId="51E05B8D" w:rsidR="00366273" w:rsidRPr="005D3F07" w:rsidRDefault="0036627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2421852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5B3A2D">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BA51A43" w14:textId="77777777" w:rsidR="00C61E8D" w:rsidRDefault="00C61E8D" w:rsidP="00C61E8D">
            <w:pPr>
              <w:jc w:val="both"/>
              <w:rPr>
                <w:sz w:val="24"/>
                <w:szCs w:val="24"/>
              </w:rPr>
            </w:pPr>
            <w:r w:rsidRPr="00C61E8D">
              <w:rPr>
                <w:sz w:val="24"/>
                <w:szCs w:val="24"/>
              </w:rPr>
              <w:t>Safeguarding adults at risk is a fundamental responsibility for social workers in Wales, and the legal basis for this work is set out in the Social Services and Well</w:t>
            </w:r>
            <w:r w:rsidRPr="00C61E8D">
              <w:rPr>
                <w:sz w:val="24"/>
                <w:szCs w:val="24"/>
              </w:rPr>
              <w:noBreakHyphen/>
              <w:t>being (Wales) Act 2014 (SSWBA). The Act identifies an adult at risk as someone aged 18 or over who has care and support needs, is experiencing or may experience abuse or neglect, and is unable to protect themselves. When a professional has reasonable grounds to believe that an adult or child may be at risk, the local authority is legally required to undertake enquiries and take steps to reduce or prevent harm.</w:t>
            </w:r>
          </w:p>
          <w:p w14:paraId="776B06FF" w14:textId="77777777" w:rsidR="00B20B05" w:rsidRPr="00C61E8D" w:rsidRDefault="00B20B05" w:rsidP="00C61E8D">
            <w:pPr>
              <w:jc w:val="both"/>
              <w:rPr>
                <w:sz w:val="24"/>
                <w:szCs w:val="24"/>
              </w:rPr>
            </w:pPr>
          </w:p>
          <w:p w14:paraId="57ED289F" w14:textId="76B28AC7" w:rsidR="00C61E8D" w:rsidRPr="00BE48F0" w:rsidRDefault="00C61E8D" w:rsidP="00C61E8D">
            <w:pPr>
              <w:jc w:val="both"/>
              <w:rPr>
                <w:sz w:val="24"/>
                <w:szCs w:val="24"/>
              </w:rPr>
            </w:pPr>
            <w:r w:rsidRPr="00C61E8D">
              <w:rPr>
                <w:sz w:val="24"/>
                <w:szCs w:val="24"/>
              </w:rPr>
              <w:t xml:space="preserve">To ensure that safeguarding practice is consistent across Wales, the Wales Safeguarding Procedures provide a national set of processes for practitioners. These procedures outline how concerns should be reported, how enquiries should be carried out, and how agencies should work together to protect individuals. They translate the principles of the </w:t>
            </w:r>
            <w:r w:rsidR="00AF008C" w:rsidRPr="00AF008C">
              <w:rPr>
                <w:sz w:val="24"/>
                <w:szCs w:val="24"/>
              </w:rPr>
              <w:t>SSWBA (Wales) 2014</w:t>
            </w:r>
            <w:r w:rsidRPr="00C61E8D">
              <w:rPr>
                <w:sz w:val="24"/>
                <w:szCs w:val="24"/>
              </w:rPr>
              <w:t xml:space="preserve"> into day</w:t>
            </w:r>
            <w:r w:rsidRPr="00C61E8D">
              <w:rPr>
                <w:sz w:val="24"/>
                <w:szCs w:val="24"/>
              </w:rPr>
              <w:noBreakHyphen/>
              <w:t>to</w:t>
            </w:r>
            <w:r w:rsidRPr="00C61E8D">
              <w:rPr>
                <w:sz w:val="24"/>
                <w:szCs w:val="24"/>
              </w:rPr>
              <w:noBreakHyphen/>
              <w:t>day practice and are supported by the Welsh Government’s statutory guidance, Working Together to Safeguard People, which emphasises prevention, partnership working and person</w:t>
            </w:r>
            <w:r w:rsidRPr="00C61E8D">
              <w:rPr>
                <w:sz w:val="24"/>
                <w:szCs w:val="24"/>
              </w:rPr>
              <w:noBreakHyphen/>
              <w:t>centred responses.</w:t>
            </w:r>
          </w:p>
          <w:p w14:paraId="764819C1" w14:textId="77777777" w:rsidR="00BE48F0" w:rsidRPr="00C61E8D" w:rsidRDefault="00BE48F0" w:rsidP="00C61E8D">
            <w:pPr>
              <w:jc w:val="both"/>
              <w:rPr>
                <w:sz w:val="24"/>
                <w:szCs w:val="24"/>
              </w:rPr>
            </w:pPr>
          </w:p>
          <w:p w14:paraId="403C4303" w14:textId="77777777" w:rsidR="00C61E8D" w:rsidRDefault="00C61E8D" w:rsidP="00C61E8D">
            <w:pPr>
              <w:jc w:val="both"/>
              <w:rPr>
                <w:sz w:val="24"/>
                <w:szCs w:val="24"/>
              </w:rPr>
            </w:pPr>
            <w:r w:rsidRPr="00C61E8D">
              <w:rPr>
                <w:sz w:val="24"/>
                <w:szCs w:val="24"/>
              </w:rPr>
              <w:t>Adult safeguarding is also shaped by wider national legislation. The Mental Capacity Act 2005 (MCA) is particularly significant, as it provides the legal framework for supporting people who may struggle to make certain decisions. The MCA requires practitioners to presume capacity unless proven otherwise, to support individuals to make their own choices, and to act in a person’s best interests when capacity is lacking. These principles help social workers balance empowerment with protection and ensure that interventions are lawful and respectful.</w:t>
            </w:r>
          </w:p>
          <w:p w14:paraId="7335891E" w14:textId="77777777" w:rsidR="00BE48F0" w:rsidRPr="00C61E8D" w:rsidRDefault="00BE48F0" w:rsidP="00C61E8D">
            <w:pPr>
              <w:jc w:val="both"/>
              <w:rPr>
                <w:sz w:val="24"/>
                <w:szCs w:val="24"/>
              </w:rPr>
            </w:pPr>
          </w:p>
          <w:p w14:paraId="62E3AF77" w14:textId="77777777" w:rsidR="00C61E8D" w:rsidRPr="00C61E8D" w:rsidRDefault="00C61E8D" w:rsidP="00C61E8D">
            <w:pPr>
              <w:jc w:val="both"/>
              <w:rPr>
                <w:sz w:val="24"/>
                <w:szCs w:val="24"/>
              </w:rPr>
            </w:pPr>
            <w:r w:rsidRPr="00C61E8D">
              <w:rPr>
                <w:sz w:val="24"/>
                <w:szCs w:val="24"/>
              </w:rPr>
              <w:t>The Human Rights Act 1998 further underpins safeguarding practice by embedding key rights from the European Convention on Human Rights into UK law. Rights relating to life, liberty, protection from degrading treatment, and respect for private and family life are especially relevant when working with adults who may be vulnerable. These rights guide ethical decision</w:t>
            </w:r>
            <w:r w:rsidRPr="00C61E8D">
              <w:rPr>
                <w:sz w:val="24"/>
                <w:szCs w:val="24"/>
              </w:rPr>
              <w:noBreakHyphen/>
              <w:t>making and ensure that safeguarding interventions uphold dignity and autonomy.</w:t>
            </w:r>
          </w:p>
          <w:p w14:paraId="53CF5F37" w14:textId="77777777" w:rsidR="00C61E8D" w:rsidRDefault="00C61E8D" w:rsidP="00C61E8D">
            <w:pPr>
              <w:jc w:val="both"/>
              <w:rPr>
                <w:sz w:val="24"/>
                <w:szCs w:val="24"/>
              </w:rPr>
            </w:pPr>
            <w:r w:rsidRPr="00C61E8D">
              <w:rPr>
                <w:sz w:val="24"/>
                <w:szCs w:val="24"/>
              </w:rPr>
              <w:t xml:space="preserve">Local authorities in Wales develop their own safeguarding arrangements within this national framework. These typically include referral systems, specialist safeguarding teams, and </w:t>
            </w:r>
            <w:r w:rsidRPr="00C61E8D">
              <w:rPr>
                <w:sz w:val="24"/>
                <w:szCs w:val="24"/>
              </w:rPr>
              <w:lastRenderedPageBreak/>
              <w:t>multi</w:t>
            </w:r>
            <w:r w:rsidRPr="00C61E8D">
              <w:rPr>
                <w:sz w:val="24"/>
                <w:szCs w:val="24"/>
              </w:rPr>
              <w:noBreakHyphen/>
              <w:t>agency panels that coordinate responses to risk (National Independent Safeguarding Board Wales, 2022). Social workers play a central role in these processes by identifying concerns, assessing risk, planning interventions, and advocating for the adult’s wishes and preferred outcomes.</w:t>
            </w:r>
          </w:p>
          <w:p w14:paraId="2A19F575" w14:textId="77777777" w:rsidR="00CA3667" w:rsidRPr="00C61E8D" w:rsidRDefault="00CA3667" w:rsidP="00C61E8D">
            <w:pPr>
              <w:jc w:val="both"/>
              <w:rPr>
                <w:sz w:val="24"/>
                <w:szCs w:val="24"/>
              </w:rPr>
            </w:pPr>
          </w:p>
          <w:p w14:paraId="5584ABE7" w14:textId="77777777" w:rsidR="00C61E8D" w:rsidRDefault="00C61E8D" w:rsidP="00C61E8D">
            <w:pPr>
              <w:jc w:val="both"/>
              <w:rPr>
                <w:sz w:val="24"/>
                <w:szCs w:val="24"/>
              </w:rPr>
            </w:pPr>
            <w:r w:rsidRPr="00C61E8D">
              <w:rPr>
                <w:sz w:val="24"/>
                <w:szCs w:val="24"/>
              </w:rPr>
              <w:t>Adults may be considered at risk for a range of reasons, including cognitive or physical impairments, mental health difficulties, substance misuse, social isolation or dependency on others for care (Welsh Government, 2014). These factors can increase vulnerability to abuse, neglect or exploitation. Warning signs may include unexplained injuries, changes in behaviour, poor personal care, financial irregularities, or emotional indicators such as fear, anxiety or withdrawal (Care Inspectorate Wales, 2023).</w:t>
            </w:r>
          </w:p>
          <w:p w14:paraId="782358F8" w14:textId="77777777" w:rsidR="00CA3667" w:rsidRPr="00C61E8D" w:rsidRDefault="00CA3667" w:rsidP="00C61E8D">
            <w:pPr>
              <w:jc w:val="both"/>
              <w:rPr>
                <w:sz w:val="24"/>
                <w:szCs w:val="24"/>
              </w:rPr>
            </w:pPr>
          </w:p>
          <w:p w14:paraId="206514B9" w14:textId="3382E113" w:rsidR="00FC0334" w:rsidRDefault="00C61E8D" w:rsidP="00FF7EBB">
            <w:pPr>
              <w:jc w:val="both"/>
              <w:rPr>
                <w:sz w:val="24"/>
                <w:szCs w:val="24"/>
              </w:rPr>
            </w:pPr>
            <w:r w:rsidRPr="00C61E8D">
              <w:rPr>
                <w:sz w:val="24"/>
                <w:szCs w:val="24"/>
              </w:rPr>
              <w:t xml:space="preserve">A core expectation of safeguarding practice in Wales is that adults and their </w:t>
            </w:r>
            <w:r w:rsidR="00CA3667" w:rsidRPr="00C61E8D">
              <w:rPr>
                <w:sz w:val="24"/>
                <w:szCs w:val="24"/>
              </w:rPr>
              <w:t>careers</w:t>
            </w:r>
            <w:r w:rsidRPr="00C61E8D">
              <w:rPr>
                <w:sz w:val="24"/>
                <w:szCs w:val="24"/>
              </w:rPr>
              <w:t xml:space="preserve"> are actively involved in shaping the outcomes they want from safeguarding interventions. This approach supports dignity, autonomy and trust, and helps ensure that safeguarding is meaningful rather than procedural. Recognising and responding to the needs of carers can also reduce risk and strengthen resilience within families and support networks.</w:t>
            </w:r>
          </w:p>
          <w:p w14:paraId="60D8C669" w14:textId="77777777" w:rsidR="00FC0334" w:rsidRDefault="00FC0334" w:rsidP="00FF7EBB">
            <w:pPr>
              <w:jc w:val="both"/>
              <w:rPr>
                <w:sz w:val="24"/>
                <w:szCs w:val="24"/>
              </w:rPr>
            </w:pPr>
          </w:p>
          <w:p w14:paraId="31923704" w14:textId="17E6FD47" w:rsidR="00CA3667" w:rsidRDefault="00CA3667" w:rsidP="00FF7EBB">
            <w:pPr>
              <w:jc w:val="both"/>
              <w:rPr>
                <w:sz w:val="24"/>
                <w:szCs w:val="24"/>
              </w:rPr>
            </w:pPr>
            <w:r>
              <w:rPr>
                <w:sz w:val="24"/>
                <w:szCs w:val="24"/>
              </w:rPr>
              <w:t>Word count - 51</w:t>
            </w:r>
            <w:r w:rsidR="00A156B9">
              <w:rPr>
                <w:sz w:val="24"/>
                <w:szCs w:val="24"/>
              </w:rPr>
              <w:t>5</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78D2F84" w14:textId="77777777" w:rsidR="00FC0334" w:rsidRDefault="00FC0334" w:rsidP="00FC0334">
            <w:pPr>
              <w:jc w:val="both"/>
              <w:rPr>
                <w:sz w:val="24"/>
                <w:szCs w:val="24"/>
              </w:rPr>
            </w:pPr>
          </w:p>
          <w:p w14:paraId="4847C39E" w14:textId="77777777" w:rsidR="00FC0334" w:rsidRPr="00393845" w:rsidRDefault="00FC0334" w:rsidP="00FC0334">
            <w:pPr>
              <w:jc w:val="both"/>
              <w:rPr>
                <w:sz w:val="24"/>
                <w:szCs w:val="24"/>
              </w:rPr>
            </w:pPr>
          </w:p>
          <w:p w14:paraId="282FF799" w14:textId="77777777" w:rsidR="00471D33" w:rsidRPr="00393845" w:rsidRDefault="00471D33" w:rsidP="00471D33">
            <w:pPr>
              <w:jc w:val="both"/>
              <w:rPr>
                <w:sz w:val="24"/>
                <w:szCs w:val="24"/>
              </w:rPr>
            </w:pPr>
            <w:r w:rsidRPr="00471D33">
              <w:rPr>
                <w:sz w:val="24"/>
                <w:szCs w:val="24"/>
              </w:rPr>
              <w:t>Safeguarding responsibilities apply across both adults’ and children’s services, but the way these duties are interpreted and carried out differs considerably. In Wales, the Social Services and Well</w:t>
            </w:r>
            <w:r w:rsidRPr="00471D33">
              <w:rPr>
                <w:sz w:val="24"/>
                <w:szCs w:val="24"/>
              </w:rPr>
              <w:noBreakHyphen/>
              <w:t>being (Wales) Act 2014 provides the overarching legal framework for safeguarding, and the Working Together to Safeguard People guidance sets out how agencies should respond to concerns. Although both adults and children are protected under the same legislation, the expectations placed on professionals and the assumptions about vulnerability vary between the two groups.</w:t>
            </w:r>
          </w:p>
          <w:p w14:paraId="79F7B817" w14:textId="77777777" w:rsidR="00010222" w:rsidRPr="00471D33" w:rsidRDefault="00010222" w:rsidP="00471D33">
            <w:pPr>
              <w:jc w:val="both"/>
              <w:rPr>
                <w:sz w:val="24"/>
                <w:szCs w:val="24"/>
              </w:rPr>
            </w:pPr>
          </w:p>
          <w:p w14:paraId="533A7981" w14:textId="77777777" w:rsidR="00471D33" w:rsidRPr="00393845" w:rsidRDefault="00471D33" w:rsidP="00471D33">
            <w:pPr>
              <w:jc w:val="both"/>
              <w:rPr>
                <w:sz w:val="24"/>
                <w:szCs w:val="24"/>
              </w:rPr>
            </w:pPr>
            <w:r w:rsidRPr="00471D33">
              <w:rPr>
                <w:sz w:val="24"/>
                <w:szCs w:val="24"/>
              </w:rPr>
              <w:t>One of the most significant differences relates to decision</w:t>
            </w:r>
            <w:r w:rsidRPr="00471D33">
              <w:rPr>
                <w:sz w:val="24"/>
                <w:szCs w:val="24"/>
              </w:rPr>
              <w:noBreakHyphen/>
              <w:t>making rights and autonomy. Adults are generally presumed to have the capacity to make their own choices under the Mental Capacity Act 2005, even when those choices may involve some level of risk. This means that safeguarding adults often involves supporting them to make informed decisions and respecting their wishes unless they lack capacity or others are at risk. Children, however, are viewed as inherently dependent on adults to keep them safe. Their ability to make decisions is limited by age and development, and adults with parental responsibility are expected to act on their behalf. While young people aged 16 and 17 fall under the Mental Capacity Act, younger children can only make certain decisions if they are assessed as Gillick competent.</w:t>
            </w:r>
          </w:p>
          <w:p w14:paraId="4DCCB3CD" w14:textId="77777777" w:rsidR="00010222" w:rsidRPr="00471D33" w:rsidRDefault="00010222" w:rsidP="00471D33">
            <w:pPr>
              <w:jc w:val="both"/>
              <w:rPr>
                <w:sz w:val="24"/>
                <w:szCs w:val="24"/>
              </w:rPr>
            </w:pPr>
          </w:p>
          <w:p w14:paraId="05542A4D" w14:textId="77777777" w:rsidR="00471D33" w:rsidRPr="00393845" w:rsidRDefault="00471D33" w:rsidP="00471D33">
            <w:pPr>
              <w:jc w:val="both"/>
              <w:rPr>
                <w:sz w:val="24"/>
                <w:szCs w:val="24"/>
              </w:rPr>
            </w:pPr>
            <w:r w:rsidRPr="00471D33">
              <w:rPr>
                <w:sz w:val="24"/>
                <w:szCs w:val="24"/>
              </w:rPr>
              <w:t>Another distinction lies in consent and engagement. Adults can choose whether or not to participate in safeguarding processes, provided they have capacity. Children do not have the same level of choice, as professionals have a statutory duty to intervene when there is a risk of significant harm. This creates a more authoritative and protective approach in children’s safeguarding, whereas adult safeguarding tends to be more collaborative and centred on the individual’s preferences.</w:t>
            </w:r>
          </w:p>
          <w:p w14:paraId="35ABF5E6" w14:textId="77777777" w:rsidR="00010222" w:rsidRPr="00471D33" w:rsidRDefault="00010222" w:rsidP="00471D33">
            <w:pPr>
              <w:jc w:val="both"/>
              <w:rPr>
                <w:sz w:val="24"/>
                <w:szCs w:val="24"/>
              </w:rPr>
            </w:pPr>
          </w:p>
          <w:p w14:paraId="08E776AF" w14:textId="77777777" w:rsidR="00471D33" w:rsidRPr="00393845" w:rsidRDefault="00471D33" w:rsidP="00471D33">
            <w:pPr>
              <w:jc w:val="both"/>
              <w:rPr>
                <w:sz w:val="24"/>
                <w:szCs w:val="24"/>
              </w:rPr>
            </w:pPr>
            <w:r w:rsidRPr="00471D33">
              <w:rPr>
                <w:sz w:val="24"/>
                <w:szCs w:val="24"/>
              </w:rPr>
              <w:t>There are also procedural differences. Children’s safeguarding is governed by strict statutory timescales, structured processes and mandatory multi</w:t>
            </w:r>
            <w:r w:rsidRPr="00471D33">
              <w:rPr>
                <w:sz w:val="24"/>
                <w:szCs w:val="24"/>
              </w:rPr>
              <w:noBreakHyphen/>
              <w:t>agency meetings. Adult safeguarding, while still guided by national procedures, allows for more flexibility to reflect the adult’s wishes and the principle of proportionality.</w:t>
            </w:r>
          </w:p>
          <w:p w14:paraId="614E3FDB" w14:textId="77777777" w:rsidR="00010222" w:rsidRPr="00471D33" w:rsidRDefault="00010222" w:rsidP="00471D33">
            <w:pPr>
              <w:jc w:val="both"/>
              <w:rPr>
                <w:sz w:val="24"/>
                <w:szCs w:val="24"/>
              </w:rPr>
            </w:pPr>
          </w:p>
          <w:p w14:paraId="32C0DF95" w14:textId="77777777" w:rsidR="00471D33" w:rsidRPr="00393845" w:rsidRDefault="00471D33" w:rsidP="00471D33">
            <w:pPr>
              <w:jc w:val="both"/>
              <w:rPr>
                <w:sz w:val="24"/>
                <w:szCs w:val="24"/>
              </w:rPr>
            </w:pPr>
            <w:r w:rsidRPr="00471D33">
              <w:rPr>
                <w:sz w:val="24"/>
                <w:szCs w:val="24"/>
              </w:rPr>
              <w:t>Responsibility for raising concerns also differs. Safeguarding children is widely understood as a shared responsibility across society, and the public are encouraged to report concerns. In adult safeguarding, the legal duty to act sits primarily with the local authority, although all professionals are expected to share information and raise concerns appropriately.</w:t>
            </w:r>
          </w:p>
          <w:p w14:paraId="72B09B0E" w14:textId="77777777" w:rsidR="00010222" w:rsidRPr="00471D33" w:rsidRDefault="00010222" w:rsidP="00471D33">
            <w:pPr>
              <w:jc w:val="both"/>
              <w:rPr>
                <w:sz w:val="24"/>
                <w:szCs w:val="24"/>
              </w:rPr>
            </w:pPr>
          </w:p>
          <w:p w14:paraId="2C4E1FF6" w14:textId="77777777" w:rsidR="00471D33" w:rsidRPr="00471D33" w:rsidRDefault="00471D33" w:rsidP="00471D33">
            <w:pPr>
              <w:jc w:val="both"/>
              <w:rPr>
                <w:sz w:val="24"/>
                <w:szCs w:val="24"/>
              </w:rPr>
            </w:pPr>
            <w:r w:rsidRPr="00471D33">
              <w:rPr>
                <w:sz w:val="24"/>
                <w:szCs w:val="24"/>
              </w:rPr>
              <w:t>Reflecting on these differences highlights the need for social workers to adapt their approach depending on whether they are working with adults or children. Understanding these distinctions is especially important when supporting young people approaching adulthood, where safeguarding practice must balance protection with growing autonomy.</w:t>
            </w:r>
          </w:p>
          <w:p w14:paraId="04285720" w14:textId="77777777" w:rsidR="00FC0334" w:rsidRPr="00393845" w:rsidRDefault="00FC0334" w:rsidP="00FC0334">
            <w:pPr>
              <w:jc w:val="both"/>
              <w:rPr>
                <w:sz w:val="24"/>
                <w:szCs w:val="24"/>
              </w:rPr>
            </w:pPr>
          </w:p>
          <w:p w14:paraId="1AA3081F" w14:textId="77777777" w:rsidR="00FC0334" w:rsidRDefault="00FC0334" w:rsidP="00FC0334">
            <w:pPr>
              <w:jc w:val="both"/>
              <w:rPr>
                <w:sz w:val="24"/>
                <w:szCs w:val="24"/>
              </w:rPr>
            </w:pPr>
          </w:p>
          <w:p w14:paraId="7B7B4827" w14:textId="3441BB08" w:rsidR="00FC0334" w:rsidRDefault="00224C6D" w:rsidP="00FC0334">
            <w:pPr>
              <w:jc w:val="both"/>
              <w:rPr>
                <w:sz w:val="24"/>
                <w:szCs w:val="24"/>
              </w:rPr>
            </w:pPr>
            <w:r>
              <w:rPr>
                <w:sz w:val="24"/>
                <w:szCs w:val="24"/>
              </w:rPr>
              <w:t xml:space="preserve">Word </w:t>
            </w:r>
            <w:proofErr w:type="gramStart"/>
            <w:r>
              <w:rPr>
                <w:sz w:val="24"/>
                <w:szCs w:val="24"/>
              </w:rPr>
              <w:t>count :</w:t>
            </w:r>
            <w:proofErr w:type="gramEnd"/>
            <w:r>
              <w:rPr>
                <w:sz w:val="24"/>
                <w:szCs w:val="24"/>
              </w:rPr>
              <w:t xml:space="preserve"> 419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C786D" w14:textId="77777777" w:rsidR="006A58E3" w:rsidRDefault="006A58E3">
      <w:r>
        <w:separator/>
      </w:r>
    </w:p>
  </w:endnote>
  <w:endnote w:type="continuationSeparator" w:id="0">
    <w:p w14:paraId="6550AA37" w14:textId="77777777" w:rsidR="006A58E3" w:rsidRDefault="006A58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F30BE" w14:textId="77777777" w:rsidR="006A58E3" w:rsidRDefault="006A58E3">
      <w:r>
        <w:separator/>
      </w:r>
    </w:p>
  </w:footnote>
  <w:footnote w:type="continuationSeparator" w:id="0">
    <w:p w14:paraId="03C87B9B" w14:textId="77777777" w:rsidR="006A58E3" w:rsidRDefault="006A58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222"/>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583"/>
    <w:rsid w:val="00084DA6"/>
    <w:rsid w:val="00085699"/>
    <w:rsid w:val="00090160"/>
    <w:rsid w:val="00091F52"/>
    <w:rsid w:val="00092970"/>
    <w:rsid w:val="00093720"/>
    <w:rsid w:val="000938E6"/>
    <w:rsid w:val="00093B3C"/>
    <w:rsid w:val="0009488C"/>
    <w:rsid w:val="00095C1B"/>
    <w:rsid w:val="00096DEA"/>
    <w:rsid w:val="000A1D23"/>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6AB"/>
    <w:rsid w:val="001E2EB6"/>
    <w:rsid w:val="001F4552"/>
    <w:rsid w:val="002019EB"/>
    <w:rsid w:val="00204B58"/>
    <w:rsid w:val="00205051"/>
    <w:rsid w:val="00211F65"/>
    <w:rsid w:val="00214047"/>
    <w:rsid w:val="00216563"/>
    <w:rsid w:val="0021792F"/>
    <w:rsid w:val="00220D06"/>
    <w:rsid w:val="00224651"/>
    <w:rsid w:val="002246A0"/>
    <w:rsid w:val="00224C6D"/>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273"/>
    <w:rsid w:val="0037066E"/>
    <w:rsid w:val="00372DB4"/>
    <w:rsid w:val="00373A36"/>
    <w:rsid w:val="0037419E"/>
    <w:rsid w:val="00375AF5"/>
    <w:rsid w:val="003761BD"/>
    <w:rsid w:val="00377448"/>
    <w:rsid w:val="00377884"/>
    <w:rsid w:val="003826BD"/>
    <w:rsid w:val="00385414"/>
    <w:rsid w:val="00390074"/>
    <w:rsid w:val="00392F73"/>
    <w:rsid w:val="00393600"/>
    <w:rsid w:val="00393845"/>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1D33"/>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27C"/>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2A0"/>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8E3"/>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B0F"/>
    <w:rsid w:val="0078112D"/>
    <w:rsid w:val="007872F2"/>
    <w:rsid w:val="007873F9"/>
    <w:rsid w:val="007908E0"/>
    <w:rsid w:val="00793EB3"/>
    <w:rsid w:val="00794205"/>
    <w:rsid w:val="0079422A"/>
    <w:rsid w:val="007A1F6A"/>
    <w:rsid w:val="007A628F"/>
    <w:rsid w:val="007B0DE3"/>
    <w:rsid w:val="007B1BFD"/>
    <w:rsid w:val="007B2BB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2F54"/>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74F"/>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FBD"/>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841"/>
    <w:rsid w:val="00A00081"/>
    <w:rsid w:val="00A06422"/>
    <w:rsid w:val="00A10D56"/>
    <w:rsid w:val="00A12AAE"/>
    <w:rsid w:val="00A12F22"/>
    <w:rsid w:val="00A156B9"/>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008C"/>
    <w:rsid w:val="00AF61C2"/>
    <w:rsid w:val="00AF6CC6"/>
    <w:rsid w:val="00B0296A"/>
    <w:rsid w:val="00B07E79"/>
    <w:rsid w:val="00B12295"/>
    <w:rsid w:val="00B137BE"/>
    <w:rsid w:val="00B15998"/>
    <w:rsid w:val="00B17FA0"/>
    <w:rsid w:val="00B20B05"/>
    <w:rsid w:val="00B2292C"/>
    <w:rsid w:val="00B22C3C"/>
    <w:rsid w:val="00B24344"/>
    <w:rsid w:val="00B26769"/>
    <w:rsid w:val="00B274A0"/>
    <w:rsid w:val="00B2754B"/>
    <w:rsid w:val="00B31C91"/>
    <w:rsid w:val="00B3747F"/>
    <w:rsid w:val="00B42E76"/>
    <w:rsid w:val="00B43194"/>
    <w:rsid w:val="00B432F5"/>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8F0"/>
    <w:rsid w:val="00BF0D6C"/>
    <w:rsid w:val="00C01D14"/>
    <w:rsid w:val="00C01D97"/>
    <w:rsid w:val="00C025B4"/>
    <w:rsid w:val="00C029EC"/>
    <w:rsid w:val="00C15E3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E8D"/>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3667"/>
    <w:rsid w:val="00CA5726"/>
    <w:rsid w:val="00CA7E6A"/>
    <w:rsid w:val="00CB258E"/>
    <w:rsid w:val="00CB3C8F"/>
    <w:rsid w:val="00CC02F1"/>
    <w:rsid w:val="00CC1122"/>
    <w:rsid w:val="00CC11A6"/>
    <w:rsid w:val="00CC135E"/>
    <w:rsid w:val="00CC7226"/>
    <w:rsid w:val="00CD0735"/>
    <w:rsid w:val="00CD2DF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64A"/>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662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hianroberts2@ynysmon.llyw.cymru"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1142</Words>
  <Characters>6656</Characters>
  <Application>Microsoft Office Word</Application>
  <DocSecurity>0</DocSecurity>
  <Lines>144</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Roberts</cp:lastModifiedBy>
  <cp:revision>3</cp:revision>
  <cp:lastPrinted>2020-02-11T19:20:00Z</cp:lastPrinted>
  <dcterms:created xsi:type="dcterms:W3CDTF">2026-02-19T20:25:00Z</dcterms:created>
  <dcterms:modified xsi:type="dcterms:W3CDTF">2026-02-19T20:25:00Z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