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docProps/core.xml" ContentType="application/vnd.openxmlformats-package.core-properties+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94"/>
        <w:spacing w:before="0" w:after="0"/>
        <w:ind w:left="-180" w:right="-334"/>
        <w:rPr/>
      </w:pPr>
      <w:r>
        <w:rPr>
          <w:noProof/>
        </w:rPr>
        <w:drawing>
          <wp:inline distT="0" distR="0" distL="0" distB="0">
            <wp:extent cx="1907540" cy="635635"/>
            <wp:effectExtent l="0" t="0" r="0" b="0"/>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srcRect l="0" t="0" r="0" b="0"/>
                    <a:stretch/>
                  </pic:blipFill>
                  <pic:spPr>
                    <a:xfrm rot="0">
                      <a:off x="0" y="0"/>
                      <a:ext cx="1907540" cy="635635"/>
                    </a:xfrm>
                    <a:prstGeom prst="rect"/>
                  </pic:spPr>
                </pic:pic>
              </a:graphicData>
            </a:graphic>
          </wp:inline>
        </w:drawing>
      </w:r>
    </w:p>
    <w:p>
      <w:pPr>
        <w:pStyle w:val="style94"/>
        <w:spacing w:before="0" w:after="0"/>
        <w:ind w:left="-180" w:right="-334"/>
        <w:rPr/>
      </w:pPr>
    </w:p>
    <w:p>
      <w:pPr>
        <w:pStyle w:val="style94"/>
        <w:spacing w:before="0" w:after="0"/>
        <w:ind w:left="-180" w:right="-334"/>
        <w:rPr/>
      </w:pPr>
    </w:p>
    <w:p>
      <w:pPr>
        <w:pStyle w:val="style94"/>
        <w:spacing w:before="0" w:after="0"/>
        <w:ind w:left="-180" w:right="-334"/>
        <w:jc w:val="center"/>
        <w:rPr/>
      </w:pPr>
      <w:r>
        <w:rPr>
          <w:rFonts w:ascii="Arial" w:hAnsi="Arial"/>
          <w:b/>
          <w:sz w:val="28"/>
          <w:szCs w:val="28"/>
        </w:rPr>
        <w:t>Postgraduate</w:t>
      </w:r>
      <w:r>
        <w:rPr>
          <w:rFonts w:ascii="Arial" w:hAnsi="Arial"/>
          <w:b/>
          <w:sz w:val="28"/>
          <w:szCs w:val="28"/>
        </w:rPr>
        <w:t>/Distance</w:t>
      </w:r>
      <w:r>
        <w:rPr>
          <w:rFonts w:ascii="Arial" w:hAnsi="Arial"/>
          <w:b/>
          <w:sz w:val="28"/>
          <w:szCs w:val="28"/>
        </w:rPr>
        <w:t xml:space="preserve"> </w:t>
      </w:r>
      <w:r>
        <w:rPr>
          <w:rFonts w:ascii="Arial" w:hAnsi="Arial"/>
          <w:b/>
          <w:sz w:val="28"/>
          <w:szCs w:val="28"/>
        </w:rPr>
        <w:t>Learning</w:t>
      </w:r>
      <w:r>
        <w:rPr>
          <w:rFonts w:ascii="Arial" w:hAnsi="Arial"/>
          <w:b/>
          <w:sz w:val="28"/>
          <w:szCs w:val="28"/>
        </w:rPr>
        <w:t xml:space="preserve"> </w:t>
      </w:r>
    </w:p>
    <w:p>
      <w:pPr>
        <w:pStyle w:val="style94"/>
        <w:spacing w:before="0" w:after="0"/>
        <w:ind w:left="-180" w:right="-334"/>
        <w:jc w:val="center"/>
        <w:rPr/>
      </w:pPr>
      <w:r>
        <w:rPr>
          <w:rFonts w:ascii="Arial" w:hAnsi="Arial"/>
          <w:b/>
          <w:sz w:val="28"/>
          <w:szCs w:val="28"/>
        </w:rPr>
        <w:t>A</w:t>
      </w:r>
      <w:r>
        <w:rPr>
          <w:rFonts w:ascii="Arial" w:hAnsi="Arial"/>
          <w:b/>
          <w:sz w:val="28"/>
          <w:szCs w:val="28"/>
        </w:rPr>
        <w:t>ssignment</w:t>
      </w:r>
      <w:r>
        <w:rPr>
          <w:rFonts w:ascii="Arial" w:hAnsi="Arial"/>
          <w:b/>
          <w:sz w:val="28"/>
          <w:szCs w:val="28"/>
        </w:rPr>
        <w:t xml:space="preserve"> </w:t>
      </w:r>
      <w:r>
        <w:rPr>
          <w:rFonts w:ascii="Arial" w:hAnsi="Arial"/>
          <w:b/>
          <w:sz w:val="28"/>
          <w:szCs w:val="28"/>
        </w:rPr>
        <w:t>coversheet</w:t>
      </w:r>
      <w:r>
        <w:rPr>
          <w:rFonts w:ascii="Arial" w:hAnsi="Arial"/>
          <w:b/>
          <w:sz w:val="28"/>
          <w:szCs w:val="28"/>
        </w:rPr>
        <w:t xml:space="preserve"> </w:t>
      </w:r>
      <w:r>
        <w:rPr>
          <w:rFonts w:ascii="Arial" w:hAnsi="Arial"/>
          <w:b/>
          <w:sz w:val="28"/>
          <w:szCs w:val="28"/>
        </w:rPr>
        <w:t>&amp;</w:t>
      </w:r>
      <w:r>
        <w:rPr>
          <w:rFonts w:ascii="Arial" w:hAnsi="Arial"/>
          <w:b/>
          <w:sz w:val="28"/>
          <w:szCs w:val="28"/>
        </w:rPr>
        <w:t xml:space="preserve"> </w:t>
      </w:r>
      <w:r>
        <w:rPr>
          <w:rFonts w:ascii="Arial" w:hAnsi="Arial"/>
          <w:b/>
          <w:sz w:val="28"/>
          <w:szCs w:val="28"/>
        </w:rPr>
        <w:t>feedback</w:t>
      </w:r>
      <w:r>
        <w:rPr>
          <w:rFonts w:ascii="Arial" w:hAnsi="Arial"/>
          <w:b/>
          <w:sz w:val="28"/>
          <w:szCs w:val="28"/>
        </w:rPr>
        <w:t xml:space="preserve"> </w:t>
      </w:r>
      <w:r>
        <w:rPr>
          <w:rFonts w:ascii="Arial" w:hAnsi="Arial"/>
          <w:b/>
          <w:sz w:val="28"/>
          <w:szCs w:val="28"/>
        </w:rPr>
        <w:t>form</w:t>
      </w:r>
    </w:p>
    <w:p>
      <w:pPr>
        <w:pStyle w:val="style0"/>
        <w:rPr/>
      </w:pPr>
    </w:p>
    <w:p>
      <w:pPr>
        <w:pStyle w:val="style4102"/>
        <w:jc w:val="center"/>
        <w:rPr/>
      </w:pPr>
      <w:r>
        <w:t>THIS</w:t>
      </w:r>
      <w:r>
        <w:t xml:space="preserve"> </w:t>
      </w:r>
      <w:r>
        <w:t>SHEET</w:t>
      </w:r>
      <w:r>
        <w:t xml:space="preserve"> </w:t>
      </w:r>
      <w:r>
        <w:t>MUST</w:t>
      </w:r>
      <w:r>
        <w:t xml:space="preserve"> </w:t>
      </w:r>
      <w:r>
        <w:t>BE</w:t>
      </w:r>
      <w:r>
        <w:t xml:space="preserve"> </w:t>
      </w:r>
      <w:r>
        <w:t>THE</w:t>
      </w:r>
      <w:r>
        <w:t xml:space="preserve"> </w:t>
      </w:r>
      <w:r>
        <w:t>FIRST</w:t>
      </w:r>
      <w:r>
        <w:t xml:space="preserve"> </w:t>
      </w:r>
      <w:r>
        <w:t>PAGE</w:t>
      </w:r>
      <w:r>
        <w:t xml:space="preserve"> </w:t>
      </w:r>
      <w:r>
        <w:t>OF</w:t>
      </w:r>
      <w:r>
        <w:t xml:space="preserve"> </w:t>
      </w:r>
      <w:r>
        <w:t>THE</w:t>
      </w:r>
      <w:r>
        <w:t xml:space="preserve"> </w:t>
      </w:r>
      <w:r>
        <w:t>ASSIGNMENT</w:t>
      </w:r>
      <w:r>
        <w:t xml:space="preserve"> </w:t>
      </w:r>
      <w:r>
        <w:t>YOU</w:t>
      </w:r>
      <w:r>
        <w:t xml:space="preserve"> </w:t>
      </w:r>
      <w:r>
        <w:t>ARE</w:t>
      </w:r>
      <w:r>
        <w:t xml:space="preserve"> </w:t>
      </w:r>
      <w:r>
        <w:t>SUBMITTING</w:t>
      </w:r>
      <w:r>
        <w:t xml:space="preserve">  </w:t>
      </w:r>
      <w:r>
        <w:t>(DO</w:t>
      </w:r>
      <w:r>
        <w:t xml:space="preserve"> </w:t>
      </w:r>
      <w:r>
        <w:t>NOT</w:t>
      </w:r>
      <w:r>
        <w:t xml:space="preserve"> </w:t>
      </w:r>
      <w:r>
        <w:t>SEND</w:t>
      </w:r>
      <w:r>
        <w:t xml:space="preserve"> </w:t>
      </w:r>
      <w:r>
        <w:t>AS</w:t>
      </w:r>
      <w:r>
        <w:t xml:space="preserve"> </w:t>
      </w:r>
      <w:r>
        <w:t>A</w:t>
      </w:r>
      <w:r>
        <w:t xml:space="preserve"> </w:t>
      </w:r>
      <w:r>
        <w:t>SEPARATE</w:t>
      </w:r>
      <w:r>
        <w:t xml:space="preserve"> </w:t>
      </w:r>
      <w:r>
        <w:t>FILE)</w:t>
      </w:r>
    </w:p>
    <w:p>
      <w:pPr>
        <w:pStyle w:val="style4102"/>
        <w:jc w:val="center"/>
        <w:rPr/>
      </w:pPr>
    </w:p>
    <w:tbl>
      <w:tblPr>
        <w:jc w:val="left"/>
      </w:tblPr>
      <w:tblGrid>
        <w:gridCol w:w="4788"/>
        <w:gridCol w:w="423"/>
        <w:gridCol w:w="1557"/>
        <w:gridCol w:w="285"/>
        <w:gridCol w:w="1802"/>
        <w:gridCol w:w="1"/>
      </w:tblGrid>
      <w:tr>
        <w:trPr>
          <w:cantSplit w:val="false"/>
          <w:trHeight w:val="614"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94"/>
              <w:spacing w:before="0" w:after="0"/>
              <w:ind w:right="34"/>
              <w:rPr/>
            </w:pPr>
            <w:r>
              <w:rPr>
                <w:rFonts w:ascii="Arial" w:hAnsi="Arial"/>
                <w:b/>
                <w:sz w:val="22"/>
                <w:szCs w:val="22"/>
              </w:rPr>
              <w:t>For</w:t>
            </w:r>
            <w:r>
              <w:rPr>
                <w:rFonts w:ascii="Arial" w:hAnsi="Arial"/>
                <w:b/>
                <w:sz w:val="22"/>
                <w:szCs w:val="22"/>
              </w:rPr>
              <w:t xml:space="preserve"> </w:t>
            </w:r>
            <w:r>
              <w:rPr>
                <w:rFonts w:ascii="Arial" w:hAnsi="Arial"/>
                <w:b/>
                <w:sz w:val="22"/>
                <w:szCs w:val="22"/>
              </w:rPr>
              <w:t>completion</w:t>
            </w:r>
            <w:r>
              <w:rPr>
                <w:rFonts w:ascii="Arial" w:hAnsi="Arial"/>
                <w:b/>
                <w:sz w:val="22"/>
                <w:szCs w:val="22"/>
              </w:rPr>
              <w:t xml:space="preserve"> </w:t>
            </w:r>
            <w:r>
              <w:rPr>
                <w:rFonts w:ascii="Arial" w:hAnsi="Arial"/>
                <w:b/>
                <w:sz w:val="22"/>
                <w:szCs w:val="22"/>
              </w:rPr>
              <w:t>by</w:t>
            </w:r>
            <w:r>
              <w:rPr>
                <w:rFonts w:ascii="Arial" w:hAnsi="Arial"/>
                <w:b/>
                <w:sz w:val="22"/>
                <w:szCs w:val="22"/>
              </w:rPr>
              <w:t xml:space="preserve"> </w:t>
            </w:r>
            <w:r>
              <w:rPr>
                <w:rFonts w:ascii="Arial" w:hAnsi="Arial"/>
                <w:b/>
                <w:sz w:val="22"/>
                <w:szCs w:val="22"/>
              </w:rPr>
              <w:t>the</w:t>
            </w:r>
            <w:r>
              <w:rPr>
                <w:rFonts w:ascii="Arial" w:hAnsi="Arial"/>
                <w:b/>
                <w:sz w:val="22"/>
                <w:szCs w:val="22"/>
              </w:rPr>
              <w:t xml:space="preserve"> </w:t>
            </w:r>
            <w:r>
              <w:rPr>
                <w:rFonts w:ascii="Arial" w:hAnsi="Arial"/>
                <w:b/>
                <w:sz w:val="22"/>
                <w:szCs w:val="22"/>
              </w:rPr>
              <w:t>student</w:t>
            </w:r>
            <w:r>
              <w:rPr>
                <w:rFonts w:ascii="Arial" w:hAnsi="Arial"/>
                <w:sz w:val="22"/>
                <w:szCs w:val="22"/>
              </w:rPr>
              <w:t>:</w:t>
            </w:r>
          </w:p>
        </w:tc>
      </w:tr>
      <w:tr>
        <w:tblPrEx/>
        <w:trPr>
          <w:cantSplit w:val="false"/>
          <w:trHeight w:val="71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WGL" w:cs="Helvetica Neue WGL" w:eastAsia="Helvetica Neue WGL" w:hAnsi="Helvetica Neue WGL"/>
                <w:b/>
                <w:bCs/>
                <w:sz w:val="28"/>
                <w:szCs w:val="28"/>
              </w:rPr>
            </w:pPr>
            <w:r>
              <w:rPr>
                <w:rFonts w:ascii="Arial" w:hAnsi="Arial"/>
                <w:sz w:val="22"/>
                <w:szCs w:val="22"/>
              </w:rPr>
              <w:t>Student</w:t>
            </w:r>
            <w:r>
              <w:rPr>
                <w:rFonts w:ascii="Arial" w:hAnsi="Arial"/>
                <w:sz w:val="22"/>
                <w:szCs w:val="22"/>
              </w:rPr>
              <w:t xml:space="preserve"> </w:t>
            </w:r>
            <w:r>
              <w:rPr>
                <w:rFonts w:ascii="Arial" w:hAnsi="Arial"/>
                <w:sz w:val="22"/>
                <w:szCs w:val="22"/>
              </w:rPr>
              <w:t>Na</w:t>
            </w:r>
            <w:r>
              <w:rPr>
                <w:rFonts w:ascii="Arial" w:hAnsi="Arial"/>
                <w:sz w:val="22"/>
                <w:szCs w:val="22"/>
              </w:rPr>
              <w:t>me:</w:t>
            </w:r>
            <w:r>
              <w:rPr>
                <w:rFonts w:ascii="Helvetica Neue WGL" w:cs="Helvetica Neue WGL" w:eastAsia="Helvetica Neue WGL" w:hAnsi="Helvetica Neue WGL"/>
                <w:b/>
                <w:bCs/>
                <w:sz w:val="28"/>
                <w:szCs w:val="28"/>
              </w:rPr>
              <w:t>Catherine Hornby</w:t>
            </w:r>
          </w:p>
          <w:p>
            <w:pPr>
              <w:pStyle w:val="style94"/>
              <w:spacing w:before="0" w:after="0"/>
              <w:ind w:right="34"/>
              <w:rPr/>
            </w:pPr>
          </w:p>
          <w:p>
            <w:pPr>
              <w:pStyle w:val="style94"/>
              <w:spacing w:before="0" w:after="0"/>
              <w:ind w:right="34"/>
              <w:rPr>
                <w:rFonts w:ascii="Helvetica Neue WGL" w:cs="Helvetica Neue WGL" w:eastAsia="Helvetica Neue WGL" w:hAnsi="Helvetica Neue WGL"/>
                <w:b/>
                <w:bCs/>
                <w:sz w:val="28"/>
                <w:szCs w:val="28"/>
              </w:rPr>
            </w:pPr>
            <w:r>
              <w:rPr>
                <w:rFonts w:ascii="Arial" w:hAnsi="Arial"/>
                <w:sz w:val="22"/>
                <w:szCs w:val="22"/>
              </w:rPr>
              <w:t>Student</w:t>
            </w:r>
            <w:r>
              <w:rPr>
                <w:rFonts w:ascii="Arial" w:hAnsi="Arial"/>
                <w:sz w:val="22"/>
                <w:szCs w:val="22"/>
              </w:rPr>
              <w:t xml:space="preserve">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Email:</w:t>
            </w:r>
            <w:r>
              <w:rPr>
                <w:rFonts w:ascii="Helvetica Neue WGL" w:cs="Helvetica Neue WGL" w:eastAsia="Helvetica Neue WGL" w:hAnsi="Helvetica Neue WGL"/>
                <w:b/>
                <w:bCs/>
                <w:sz w:val="28"/>
                <w:szCs w:val="28"/>
              </w:rPr>
              <w:t>2</w:t>
            </w:r>
            <w:r>
              <w:rPr>
                <w:rFonts w:ascii="Helvetica Neue WGL" w:cs="Helvetica Neue WGL" w:eastAsia="Helvetica Neue WGL" w:hAnsi="Helvetica Neue WGL"/>
                <w:b/>
                <w:bCs/>
                <w:sz w:val="28"/>
                <w:szCs w:val="28"/>
              </w:rPr>
              <w:t>7001103</w:t>
            </w:r>
            <w:r>
              <w:rPr>
                <w:rFonts w:ascii="Helvetica Neue WGL" w:cs="Helvetica Neue WGL" w:eastAsia="Helvetica Neue WGL" w:hAnsi="Helvetica Neue WGL"/>
                <w:b/>
                <w:bCs/>
                <w:sz w:val="28"/>
                <w:szCs w:val="28"/>
              </w:rPr>
              <w:t>@student.</w:t>
            </w:r>
            <w:r>
              <w:rPr>
                <w:rFonts w:ascii="Helvetica Neue WGL" w:cs="Helvetica Neue WGL" w:eastAsia="Helvetica Neue WGL" w:hAnsi="Helvetica Neue WGL"/>
                <w:b/>
                <w:bCs/>
                <w:sz w:val="28"/>
                <w:szCs w:val="28"/>
              </w:rPr>
              <w:t>uwtsd.ac.uk</w:t>
            </w:r>
          </w:p>
        </w:tc>
      </w:tr>
      <w:tr>
        <w:tblPrEx/>
        <w:trPr>
          <w:gridAfter w:val="1"/>
          <w:cantSplit w:val="false"/>
          <w:trHeight w:val="849" w:hRule="atLeast"/>
          <w:tblHeader w:val="false"/>
          <w:jc w:val="left"/>
        </w:trPr>
        <w:tc>
          <w:tcPr>
            <w:tcW w:w="4788" w:type="dxa"/>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WGL" w:cs="Helvetica Neue WGL" w:eastAsia="Helvetica Neue WGL" w:hAnsi="Helvetica Neue WGL"/>
                <w:b/>
                <w:bCs/>
                <w:sz w:val="28"/>
                <w:szCs w:val="28"/>
              </w:rPr>
            </w:pPr>
            <w:r>
              <w:rPr>
                <w:rFonts w:ascii="Arial" w:hAnsi="Arial"/>
                <w:sz w:val="22"/>
                <w:szCs w:val="22"/>
              </w:rPr>
              <w:t>Module</w:t>
            </w:r>
            <w:r>
              <w:rPr>
                <w:rFonts w:ascii="Arial" w:hAnsi="Arial"/>
                <w:sz w:val="22"/>
                <w:szCs w:val="22"/>
              </w:rPr>
              <w:t xml:space="preserve"> </w:t>
            </w:r>
            <w:r>
              <w:rPr>
                <w:rFonts w:ascii="Arial" w:hAnsi="Arial"/>
                <w:sz w:val="22"/>
                <w:szCs w:val="22"/>
              </w:rPr>
              <w:t>code:</w:t>
            </w:r>
            <w:r>
              <w:rPr>
                <w:rFonts w:ascii="Helvetica Neue WGL" w:cs="Helvetica Neue WGL" w:eastAsia="Helvetica Neue WGL" w:hAnsi="Helvetica Neue WGL"/>
                <w:b/>
                <w:bCs/>
                <w:sz w:val="28"/>
                <w:szCs w:val="28"/>
              </w:rPr>
              <w:t>HPCA7028</w:t>
            </w:r>
          </w:p>
          <w:p>
            <w:pPr>
              <w:pStyle w:val="style94"/>
              <w:spacing w:before="0" w:after="0"/>
              <w:ind w:right="34"/>
              <w:rPr/>
            </w:pPr>
          </w:p>
          <w:p>
            <w:pPr>
              <w:pStyle w:val="style94"/>
              <w:spacing w:before="0" w:after="0"/>
              <w:ind w:right="34"/>
              <w:rPr/>
            </w:pPr>
            <w:r>
              <w:rPr>
                <w:rFonts w:ascii="Arial" w:hAnsi="Arial"/>
                <w:sz w:val="22"/>
                <w:szCs w:val="22"/>
              </w:rPr>
              <w:t>Module</w:t>
            </w:r>
            <w:r>
              <w:rPr>
                <w:rFonts w:ascii="Arial" w:hAnsi="Arial"/>
                <w:sz w:val="22"/>
                <w:szCs w:val="22"/>
              </w:rPr>
              <w:t xml:space="preserve"> </w:t>
            </w:r>
            <w:r>
              <w:rPr>
                <w:rFonts w:ascii="Arial" w:hAnsi="Arial"/>
                <w:sz w:val="22"/>
                <w:szCs w:val="22"/>
              </w:rPr>
              <w:t>title:</w:t>
            </w:r>
          </w:p>
          <w:p>
            <w:pPr>
              <w:pStyle w:val="style94"/>
              <w:spacing w:before="0" w:after="0"/>
              <w:ind w:right="34"/>
              <w:rPr>
                <w:rFonts w:ascii="Helvetica Neue WGL" w:cs="Helvetica Neue WGL" w:eastAsia="Helvetica Neue WGL" w:hAnsi="Helvetica Neue WGL"/>
                <w:b/>
                <w:bCs/>
                <w:sz w:val="28"/>
                <w:szCs w:val="28"/>
              </w:rPr>
            </w:pPr>
            <w:r>
              <w:rPr>
                <w:rFonts w:ascii="Helvetica Neue WGL" w:cs="Helvetica Neue WGL" w:eastAsia="Helvetica Neue WGL" w:hAnsi="Helvetica Neue WGL"/>
                <w:b/>
                <w:bCs/>
                <w:sz w:val="28"/>
                <w:szCs w:val="28"/>
              </w:rPr>
              <w:t>Sacred Skies</w:t>
            </w:r>
          </w:p>
          <w:p>
            <w:pPr>
              <w:pStyle w:val="style94"/>
              <w:spacing w:before="0" w:after="0"/>
              <w:ind w:right="34"/>
              <w:rPr/>
            </w:pPr>
          </w:p>
        </w:tc>
        <w:tc>
          <w:tcPr>
            <w:tcW w:w="2265" w:type="dxa"/>
            <w:gridSpan w:val="3"/>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Arial" w:hAnsi="Arial"/>
                <w:sz w:val="22"/>
                <w:szCs w:val="22"/>
              </w:rPr>
            </w:pPr>
            <w:r>
              <w:rPr>
                <w:rFonts w:ascii="Arial" w:hAnsi="Arial"/>
                <w:sz w:val="22"/>
                <w:szCs w:val="22"/>
              </w:rPr>
              <w:t>Student</w:t>
            </w:r>
            <w:r>
              <w:rPr>
                <w:rFonts w:ascii="Arial" w:hAnsi="Arial"/>
                <w:sz w:val="22"/>
                <w:szCs w:val="22"/>
              </w:rPr>
              <w:t xml:space="preserve"> </w:t>
            </w:r>
            <w:r>
              <w:rPr>
                <w:rFonts w:ascii="Arial" w:hAnsi="Arial"/>
                <w:sz w:val="22"/>
                <w:szCs w:val="22"/>
              </w:rPr>
              <w:t>ID</w:t>
            </w:r>
            <w:r>
              <w:rPr>
                <w:rFonts w:ascii="Arial" w:hAnsi="Arial"/>
                <w:sz w:val="22"/>
                <w:szCs w:val="22"/>
              </w:rPr>
              <w:t xml:space="preserve"> </w:t>
            </w:r>
            <w:r>
              <w:rPr>
                <w:rFonts w:ascii="Arial" w:hAnsi="Arial"/>
                <w:sz w:val="22"/>
                <w:szCs w:val="22"/>
              </w:rPr>
              <w:t>numbe</w:t>
            </w:r>
            <w:r>
              <w:rPr>
                <w:rFonts w:ascii="Arial" w:hAnsi="Arial"/>
                <w:sz w:val="22"/>
                <w:szCs w:val="22"/>
              </w:rPr>
              <w:t>r:</w:t>
            </w:r>
          </w:p>
          <w:p>
            <w:pPr>
              <w:pStyle w:val="style4094"/>
              <w:numPr>
                <w:ilvl w:val="0"/>
                <w:numId w:val="0"/>
              </w:numPr>
              <w:spacing w:before="0" w:after="0"/>
              <w:ind w:right="34"/>
              <w:rPr>
                <w:rFonts w:ascii="Helvetica Neue WGL" w:cs="Helvetica Neue WGL" w:eastAsia="Helvetica Neue WGL" w:hAnsi="Helvetica Neue WGL"/>
                <w:b/>
                <w:bCs/>
                <w:sz w:val="28"/>
                <w:szCs w:val="28"/>
              </w:rPr>
            </w:pPr>
            <w:r>
              <w:rPr>
                <w:rFonts w:ascii="Arial" w:cs="Helvetica Neue WGL" w:eastAsia="Helvetica Neue WGL" w:hAnsi="Arial"/>
                <w:b/>
                <w:bCs/>
                <w:sz w:val="28"/>
                <w:szCs w:val="28"/>
              </w:rPr>
              <w:t>27001103</w:t>
            </w:r>
          </w:p>
        </w:tc>
        <w:tc>
          <w:tcPr>
            <w:tcW w:w="1802" w:type="dxa"/>
            <w:tcBorders>
              <w:top w:val="single" w:sz="4" w:space="0" w:color="auto"/>
              <w:left w:val="single" w:sz="4" w:space="0" w:color="auto"/>
              <w:bottom w:val="single" w:sz="4" w:space="0" w:color="auto"/>
              <w:right w:val="single" w:sz="4" w:space="0" w:color="auto"/>
            </w:tcBorders>
          </w:tcPr>
          <w:p>
            <w:pPr>
              <w:pStyle w:val="style94"/>
              <w:spacing w:before="0" w:after="0"/>
              <w:ind w:right="34"/>
              <w:rPr/>
            </w:pPr>
            <w:r>
              <w:rPr>
                <w:rFonts w:ascii="Arial" w:hAnsi="Arial"/>
                <w:sz w:val="22"/>
                <w:szCs w:val="22"/>
              </w:rPr>
              <w:t>Educational</w:t>
            </w:r>
            <w:r>
              <w:rPr>
                <w:rFonts w:ascii="Arial" w:hAnsi="Arial"/>
                <w:sz w:val="22"/>
                <w:szCs w:val="22"/>
              </w:rPr>
              <w:t xml:space="preserve"> </w:t>
            </w:r>
            <w:r>
              <w:rPr>
                <w:rFonts w:ascii="Arial" w:hAnsi="Arial"/>
                <w:sz w:val="22"/>
                <w:szCs w:val="22"/>
              </w:rPr>
              <w:t>support</w:t>
            </w:r>
            <w:r>
              <w:rPr>
                <w:rFonts w:ascii="Arial" w:hAnsi="Arial"/>
                <w:sz w:val="22"/>
                <w:szCs w:val="22"/>
              </w:rPr>
              <w:t xml:space="preserve"> </w:t>
            </w:r>
            <w:r>
              <w:rPr>
                <w:rFonts w:ascii="Arial" w:hAnsi="Arial"/>
                <w:sz w:val="22"/>
                <w:szCs w:val="22"/>
              </w:rPr>
              <w:t>needs:</w:t>
            </w:r>
          </w:p>
          <w:p>
            <w:pPr>
              <w:pStyle w:val="style94"/>
              <w:spacing w:before="0" w:after="0"/>
              <w:ind w:right="34"/>
              <w:rPr/>
            </w:pPr>
            <w:r>
              <w:rPr>
                <w:rFonts w:ascii="Arial" w:hAnsi="Arial"/>
                <w:sz w:val="22"/>
                <w:szCs w:val="22"/>
              </w:rPr>
              <w:t>Yes/</w:t>
            </w:r>
          </w:p>
        </w:tc>
      </w:tr>
      <w:tr>
        <w:tblPrEx/>
        <w:trPr>
          <w:cantSplit w:val="false"/>
          <w:trHeight w:val="1139"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94"/>
              <w:spacing w:before="0" w:after="0"/>
              <w:ind w:right="34"/>
              <w:rPr>
                <w:rFonts w:ascii="Helvetica Neue WGL" w:cs="Helvetica Neue WGL" w:eastAsia="Helvetica Neue WGL" w:hAnsi="Helvetica Neue WGL"/>
                <w:b/>
                <w:bCs/>
                <w:sz w:val="28"/>
                <w:szCs w:val="28"/>
              </w:rPr>
            </w:pPr>
            <w:r>
              <w:rPr>
                <w:rFonts w:ascii="Arial" w:hAnsi="Arial"/>
                <w:sz w:val="22"/>
                <w:szCs w:val="22"/>
              </w:rPr>
              <w:t>Assignment</w:t>
            </w:r>
            <w:r>
              <w:rPr>
                <w:rFonts w:ascii="Arial" w:hAnsi="Arial"/>
                <w:sz w:val="22"/>
                <w:szCs w:val="22"/>
              </w:rPr>
              <w:t xml:space="preserve"> </w:t>
            </w:r>
            <w:r>
              <w:rPr>
                <w:rFonts w:ascii="Arial" w:hAnsi="Arial"/>
                <w:sz w:val="22"/>
                <w:szCs w:val="22"/>
              </w:rPr>
              <w:t>title:</w:t>
            </w:r>
            <w:r>
              <w:rPr>
                <w:rFonts w:ascii="Arial" w:hAnsi="Arial"/>
                <w:sz w:val="22"/>
                <w:szCs w:val="22"/>
              </w:rPr>
              <w:t xml:space="preserve"> </w:t>
            </w:r>
            <w:r>
              <w:rPr>
                <w:rFonts w:ascii="Helvetica Neue WGL" w:cs="Helvetica Neue WGL" w:eastAsia="Helvetica Neue WGL" w:hAnsi="Helvetica Neue WGL"/>
                <w:b/>
                <w:bCs/>
                <w:sz w:val="28"/>
                <w:szCs w:val="28"/>
              </w:rPr>
              <w:t>Depictions of Heaven in Three Renaissance Sky Paintings</w:t>
            </w:r>
          </w:p>
          <w:p>
            <w:pPr>
              <w:pStyle w:val="style94"/>
              <w:spacing w:before="0" w:after="0"/>
              <w:ind w:right="34"/>
              <w:rPr/>
            </w:pPr>
          </w:p>
          <w:p>
            <w:pPr>
              <w:pStyle w:val="style94"/>
              <w:spacing w:before="0" w:after="0"/>
              <w:ind w:right="34"/>
              <w:rPr>
                <w:rFonts w:ascii="Helvetica Neue WGL" w:cs="Helvetica Neue WGL" w:eastAsia="Helvetica Neue WGL" w:hAnsi="Helvetica Neue WGL"/>
                <w:b/>
                <w:bCs/>
                <w:sz w:val="28"/>
                <w:szCs w:val="28"/>
              </w:rPr>
            </w:pPr>
            <w:r>
              <w:rPr>
                <w:rFonts w:ascii="Arial" w:hAnsi="Arial"/>
                <w:sz w:val="22"/>
                <w:szCs w:val="22"/>
              </w:rPr>
              <w:t>Assignment</w:t>
            </w:r>
            <w:r>
              <w:rPr>
                <w:rFonts w:ascii="Arial" w:hAnsi="Arial"/>
                <w:sz w:val="22"/>
                <w:szCs w:val="22"/>
              </w:rPr>
              <w:t xml:space="preserve"> </w:t>
            </w:r>
            <w:r>
              <w:rPr>
                <w:rFonts w:ascii="Arial" w:hAnsi="Arial"/>
                <w:sz w:val="22"/>
                <w:szCs w:val="22"/>
              </w:rPr>
              <w:t>due</w:t>
            </w:r>
            <w:r>
              <w:rPr>
                <w:rFonts w:ascii="Arial" w:hAnsi="Arial"/>
                <w:sz w:val="22"/>
                <w:szCs w:val="22"/>
              </w:rPr>
              <w:t xml:space="preserve"> </w:t>
            </w:r>
            <w:r>
              <w:rPr>
                <w:rFonts w:ascii="Arial" w:hAnsi="Arial"/>
                <w:sz w:val="22"/>
                <w:szCs w:val="22"/>
              </w:rPr>
              <w:t>date:</w:t>
            </w:r>
            <w:r>
              <w:rPr>
                <w:rFonts w:ascii="Helvetica Neue WGL" w:cs="Helvetica Neue WGL" w:eastAsia="Helvetica Neue WGL" w:hAnsi="Helvetica Neue WGL"/>
                <w:b/>
                <w:bCs/>
                <w:sz w:val="28"/>
                <w:szCs w:val="28"/>
              </w:rPr>
              <w:t>11/8/2023</w:t>
            </w:r>
          </w:p>
        </w:tc>
      </w:tr>
      <w:tr>
        <w:tblPrEx/>
        <w:trPr>
          <w:cantSplit w:val="false"/>
          <w:trHeight w:val="97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0"/>
              <w:rPr/>
            </w:pPr>
            <w:r>
              <w:rPr>
                <w:rFonts w:ascii="Arial" w:hAnsi="Arial"/>
                <w:sz w:val="22"/>
                <w:szCs w:val="22"/>
              </w:rPr>
              <w:t>This</w:t>
            </w:r>
            <w:r>
              <w:rPr>
                <w:rFonts w:ascii="Arial" w:hAnsi="Arial"/>
                <w:sz w:val="22"/>
                <w:szCs w:val="22"/>
              </w:rPr>
              <w:t xml:space="preserve"> </w:t>
            </w:r>
            <w:r>
              <w:rPr>
                <w:rFonts w:ascii="Arial" w:hAnsi="Arial"/>
                <w:sz w:val="22"/>
                <w:szCs w:val="22"/>
              </w:rPr>
              <w:t>assignment</w:t>
            </w:r>
            <w:r>
              <w:rPr>
                <w:rFonts w:ascii="Arial" w:hAnsi="Arial"/>
                <w:sz w:val="22"/>
                <w:szCs w:val="22"/>
              </w:rPr>
              <w:t xml:space="preserve"> </w:t>
            </w:r>
            <w:r>
              <w:rPr>
                <w:rFonts w:ascii="Arial" w:hAnsi="Arial"/>
                <w:sz w:val="22"/>
                <w:szCs w:val="22"/>
              </w:rPr>
              <w:t>is</w:t>
            </w:r>
            <w:r>
              <w:rPr>
                <w:rFonts w:ascii="Arial" w:hAnsi="Arial"/>
                <w:sz w:val="22"/>
                <w:szCs w:val="22"/>
              </w:rPr>
              <w:t xml:space="preserve"> </w:t>
            </w:r>
            <w:r>
              <w:rPr>
                <w:rFonts w:ascii="Arial" w:hAnsi="Arial"/>
                <w:sz w:val="22"/>
                <w:szCs w:val="22"/>
              </w:rPr>
              <w:t>for</w:t>
            </w:r>
            <w:r>
              <w:rPr>
                <w:rFonts w:ascii="Arial" w:hAnsi="Arial"/>
                <w:sz w:val="22"/>
                <w:szCs w:val="22"/>
              </w:rPr>
              <w:t xml:space="preserve"> </w:t>
            </w:r>
            <w:r>
              <w:rPr>
                <w:rFonts w:ascii="Arial" w:hAnsi="Arial"/>
                <w:sz w:val="22"/>
                <w:szCs w:val="22"/>
              </w:rPr>
              <w:t>the</w:t>
            </w:r>
            <w:r>
              <w:rPr>
                <w:rFonts w:ascii="Arial" w:hAnsi="Arial"/>
                <w:sz w:val="22"/>
                <w:szCs w:val="22"/>
              </w:rPr>
              <w:t xml:space="preserve">       </w:t>
            </w:r>
            <w:r>
              <w:rPr>
                <w:rFonts w:ascii="Helvetica Neue WGL" w:cs="Helvetica Neue WGL" w:eastAsia="Helvetica Neue WGL" w:hAnsi="Helvetica Neue WGL"/>
                <w:b/>
                <w:bCs/>
                <w:sz w:val="28"/>
                <w:szCs w:val="28"/>
              </w:rPr>
              <w:t>X</w:t>
            </w:r>
            <w:r>
              <w:rPr>
                <w:rFonts w:ascii="Arial" w:hAnsi="Arial"/>
                <w:sz w:val="22"/>
                <w:szCs w:val="22"/>
              </w:rPr>
              <w:t>1</w:t>
            </w:r>
            <w:r>
              <w:rPr>
                <w:rFonts w:ascii="Arial" w:hAnsi="Arial"/>
                <w:sz w:val="22"/>
                <w:szCs w:val="22"/>
                <w:vertAlign w:val="superscript"/>
              </w:rPr>
              <w:t>st</w:t>
            </w:r>
            <w:r>
              <w:rPr>
                <w:rFonts w:ascii="Arial" w:hAnsi="Arial"/>
                <w:sz w:val="22"/>
                <w:szCs w:val="22"/>
                <w:vertAlign w:val="superscript"/>
              </w:rPr>
              <w:t xml:space="preserve"> </w:t>
            </w:r>
            <w:r>
              <w:rPr>
                <w:rFonts w:ascii="Arial" w:hAnsi="Arial"/>
                <w:sz w:val="22"/>
                <w:szCs w:val="22"/>
              </w:rPr>
              <w:t xml:space="preserve">    </w:t>
            </w:r>
            <w:r>
              <w:rPr>
                <w:rFonts w:ascii="Arial" w:hAnsi="Arial"/>
                <w:sz w:val="22"/>
                <w:szCs w:val="22"/>
              </w:rPr>
              <w:t>2</w:t>
            </w:r>
            <w:r>
              <w:rPr>
                <w:rFonts w:ascii="Arial" w:hAnsi="Arial"/>
                <w:sz w:val="22"/>
                <w:szCs w:val="22"/>
                <w:vertAlign w:val="superscript"/>
              </w:rPr>
              <w:t>nd</w:t>
            </w:r>
            <w:r>
              <w:rPr>
                <w:rFonts w:ascii="Arial" w:hAnsi="Arial"/>
                <w:sz w:val="22"/>
                <w:szCs w:val="22"/>
              </w:rPr>
              <w:t xml:space="preserve">  </w:t>
            </w:r>
            <w:r>
              <w:rPr>
                <w:rFonts w:ascii="Arial" w:hAnsi="Arial"/>
                <w:sz w:val="22"/>
                <w:szCs w:val="22"/>
              </w:rPr>
              <w:t xml:space="preserve">     </w:t>
            </w:r>
            <w:r>
              <w:rPr>
                <w:rFonts w:ascii="Arial" w:hAnsi="Arial"/>
                <w:sz w:val="22"/>
                <w:szCs w:val="22"/>
              </w:rPr>
              <w:t>3</w:t>
            </w:r>
            <w:r>
              <w:rPr>
                <w:rFonts w:ascii="Arial" w:hAnsi="Arial"/>
                <w:sz w:val="22"/>
                <w:szCs w:val="22"/>
                <w:vertAlign w:val="superscript"/>
              </w:rPr>
              <w:t>rd</w:t>
            </w:r>
            <w:r>
              <w:rPr>
                <w:rFonts w:ascii="Arial" w:hAnsi="Arial"/>
                <w:sz w:val="22"/>
                <w:szCs w:val="22"/>
              </w:rPr>
              <w:t xml:space="preserve">  </w:t>
            </w:r>
            <w:r>
              <w:rPr>
                <w:rFonts w:ascii="Arial" w:hAnsi="Arial"/>
                <w:sz w:val="22"/>
                <w:szCs w:val="22"/>
              </w:rPr>
              <w:t xml:space="preserve">      </w:t>
            </w:r>
            <w:r>
              <w:rPr>
                <w:rFonts w:ascii="Arial" w:hAnsi="Arial"/>
                <w:sz w:val="22"/>
                <w:szCs w:val="22"/>
              </w:rPr>
              <w:t>4</w:t>
            </w:r>
            <w:r>
              <w:rPr>
                <w:rFonts w:ascii="Arial" w:hAnsi="Arial"/>
                <w:sz w:val="22"/>
                <w:szCs w:val="22"/>
                <w:vertAlign w:val="superscript"/>
              </w:rPr>
              <w:t>th</w:t>
            </w:r>
            <w:r>
              <w:rPr>
                <w:rFonts w:ascii="Arial" w:hAnsi="Arial"/>
                <w:sz w:val="22"/>
                <w:szCs w:val="22"/>
              </w:rPr>
              <w:t xml:space="preserve"> </w:t>
            </w:r>
            <w:r>
              <w:rPr>
                <w:rFonts w:ascii="Arial" w:hAnsi="Arial"/>
                <w:sz w:val="22"/>
                <w:szCs w:val="22"/>
              </w:rPr>
              <w:t xml:space="preserve">      </w:t>
            </w:r>
            <w:r>
              <w:rPr>
                <w:rFonts w:ascii="Arial" w:hAnsi="Arial"/>
                <w:sz w:val="22"/>
                <w:szCs w:val="22"/>
              </w:rPr>
              <w:t>5</w:t>
            </w:r>
            <w:r>
              <w:rPr>
                <w:rFonts w:ascii="Arial" w:hAnsi="Arial"/>
                <w:sz w:val="22"/>
                <w:szCs w:val="22"/>
                <w:vertAlign w:val="superscript"/>
              </w:rPr>
              <w:t>th</w:t>
            </w:r>
            <w:r>
              <w:rPr>
                <w:rFonts w:ascii="Arial" w:hAnsi="Arial"/>
                <w:sz w:val="22"/>
                <w:szCs w:val="22"/>
              </w:rPr>
              <w:t xml:space="preserve"> </w:t>
            </w:r>
            <w:r>
              <w:rPr>
                <w:rFonts w:ascii="Arial" w:hAnsi="Arial"/>
                <w:sz w:val="22"/>
                <w:szCs w:val="22"/>
              </w:rPr>
              <w:t xml:space="preserve">      </w:t>
            </w:r>
            <w:r>
              <w:rPr>
                <w:rFonts w:ascii="Arial" w:hAnsi="Arial"/>
                <w:sz w:val="22"/>
                <w:szCs w:val="22"/>
              </w:rPr>
              <w:t>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w:t>
            </w:r>
            <w:r>
              <w:rPr>
                <w:rFonts w:ascii="Arial" w:hAnsi="Arial"/>
                <w:sz w:val="22"/>
                <w:szCs w:val="22"/>
              </w:rPr>
              <w:t xml:space="preserve"> </w:t>
            </w:r>
            <w:r>
              <w:rPr>
                <w:rFonts w:ascii="Arial" w:hAnsi="Arial"/>
                <w:sz w:val="22"/>
                <w:szCs w:val="22"/>
              </w:rPr>
              <w:t>of</w:t>
            </w:r>
            <w:r>
              <w:rPr>
                <w:rFonts w:ascii="Arial" w:hAnsi="Arial"/>
                <w:sz w:val="22"/>
                <w:szCs w:val="22"/>
              </w:rPr>
              <w:t xml:space="preserve"> </w:t>
            </w:r>
            <w:r>
              <w:rPr>
                <w:rFonts w:ascii="Arial" w:hAnsi="Arial"/>
                <w:sz w:val="22"/>
                <w:szCs w:val="22"/>
              </w:rPr>
              <w:t>the</w:t>
            </w:r>
            <w:r>
              <w:rPr>
                <w:rFonts w:ascii="Arial" w:hAnsi="Arial"/>
                <w:sz w:val="22"/>
                <w:szCs w:val="22"/>
              </w:rPr>
              <w:t xml:space="preserve"> </w:t>
            </w:r>
            <w:r>
              <w:rPr>
                <w:rFonts w:ascii="Arial" w:hAnsi="Arial"/>
                <w:sz w:val="22"/>
                <w:szCs w:val="22"/>
              </w:rPr>
              <w:t>degre</w:t>
            </w:r>
            <w:r>
              <w:rPr>
                <w:rFonts w:ascii="Arial" w:hAnsi="Arial"/>
                <w:sz w:val="22"/>
                <w:szCs w:val="22"/>
              </w:rPr>
              <w:t>e</w:t>
            </w:r>
          </w:p>
        </w:tc>
      </w:tr>
      <w:tr>
        <w:tblPrEx/>
        <w:trPr>
          <w:cantSplit w:val="false"/>
          <w:trHeight w:val="97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shd w:val="nil" w:color="auto" w:fill="d9d9d9"/>
          </w:tcPr>
          <w:p>
            <w:pPr>
              <w:pStyle w:val="style94"/>
              <w:spacing w:before="0" w:after="0"/>
              <w:ind w:right="34"/>
              <w:rPr>
                <w:rFonts w:ascii="Helvetica Neue WGL" w:cs="Helvetica Neue WGL" w:eastAsia="Helvetica Neue WGL" w:hAnsi="Helvetica Neue WGL"/>
                <w:b/>
                <w:bCs/>
                <w:sz w:val="28"/>
                <w:szCs w:val="28"/>
              </w:rPr>
            </w:pPr>
            <w:r>
              <w:rPr>
                <w:rFonts w:ascii="Arial" w:hAnsi="Arial"/>
                <w:sz w:val="22"/>
                <w:szCs w:val="22"/>
              </w:rPr>
              <w:t>I</w:t>
            </w:r>
            <w:r>
              <w:rPr>
                <w:rFonts w:ascii="Arial" w:hAnsi="Arial"/>
                <w:sz w:val="22"/>
                <w:szCs w:val="22"/>
              </w:rPr>
              <w:t xml:space="preserve"> </w:t>
            </w:r>
            <w:r>
              <w:rPr>
                <w:rFonts w:ascii="Arial" w:hAnsi="Arial"/>
                <w:sz w:val="22"/>
                <w:szCs w:val="22"/>
              </w:rPr>
              <w:t>confirm</w:t>
            </w:r>
            <w:r>
              <w:rPr>
                <w:rFonts w:ascii="Arial" w:hAnsi="Arial"/>
                <w:sz w:val="22"/>
                <w:szCs w:val="22"/>
              </w:rPr>
              <w:t xml:space="preserve"> </w:t>
            </w:r>
            <w:r>
              <w:rPr>
                <w:rFonts w:ascii="Arial" w:hAnsi="Arial"/>
                <w:sz w:val="22"/>
                <w:szCs w:val="22"/>
              </w:rPr>
              <w:t>that</w:t>
            </w:r>
            <w:r>
              <w:rPr>
                <w:rFonts w:ascii="Arial" w:hAnsi="Arial"/>
                <w:sz w:val="22"/>
                <w:szCs w:val="22"/>
              </w:rPr>
              <w:t xml:space="preserve"> </w:t>
            </w:r>
            <w:r>
              <w:rPr>
                <w:rFonts w:ascii="Arial" w:hAnsi="Arial"/>
                <w:sz w:val="22"/>
                <w:szCs w:val="22"/>
              </w:rPr>
              <w:t>this</w:t>
            </w:r>
            <w:r>
              <w:rPr>
                <w:rFonts w:ascii="Arial" w:hAnsi="Arial"/>
                <w:sz w:val="22"/>
                <w:szCs w:val="22"/>
              </w:rPr>
              <w:t xml:space="preserve"> </w:t>
            </w:r>
            <w:r>
              <w:rPr>
                <w:rFonts w:ascii="Arial" w:hAnsi="Arial"/>
                <w:sz w:val="22"/>
                <w:szCs w:val="22"/>
              </w:rPr>
              <w:t>is</w:t>
            </w:r>
            <w:r>
              <w:rPr>
                <w:rFonts w:ascii="Arial" w:hAnsi="Arial"/>
                <w:sz w:val="22"/>
                <w:szCs w:val="22"/>
              </w:rPr>
              <w:t xml:space="preserve"> </w:t>
            </w:r>
            <w:r>
              <w:rPr>
                <w:rFonts w:ascii="Arial" w:hAnsi="Arial"/>
                <w:sz w:val="22"/>
                <w:szCs w:val="22"/>
              </w:rPr>
              <w:t>my</w:t>
            </w:r>
            <w:r>
              <w:rPr>
                <w:rFonts w:ascii="Arial" w:hAnsi="Arial"/>
                <w:sz w:val="22"/>
                <w:szCs w:val="22"/>
              </w:rPr>
              <w:t xml:space="preserve"> </w:t>
            </w:r>
            <w:r>
              <w:rPr>
                <w:rFonts w:ascii="Arial" w:hAnsi="Arial"/>
                <w:sz w:val="22"/>
                <w:szCs w:val="22"/>
              </w:rPr>
              <w:t>original</w:t>
            </w:r>
            <w:r>
              <w:rPr>
                <w:rFonts w:ascii="Arial" w:hAnsi="Arial"/>
                <w:sz w:val="22"/>
                <w:szCs w:val="22"/>
              </w:rPr>
              <w:t xml:space="preserve"> </w:t>
            </w:r>
            <w:r>
              <w:rPr>
                <w:rFonts w:ascii="Arial" w:hAnsi="Arial"/>
                <w:sz w:val="22"/>
                <w:szCs w:val="22"/>
              </w:rPr>
              <w:t>work</w:t>
            </w:r>
            <w:r>
              <w:rPr>
                <w:rFonts w:ascii="Arial" w:hAnsi="Arial"/>
                <w:sz w:val="22"/>
                <w:szCs w:val="22"/>
              </w:rPr>
              <w:t xml:space="preserve"> </w:t>
            </w:r>
            <w:r>
              <w:rPr>
                <w:rFonts w:ascii="Arial" w:hAnsi="Arial"/>
                <w:sz w:val="22"/>
                <w:szCs w:val="22"/>
              </w:rPr>
              <w:t>and</w:t>
            </w:r>
            <w:r>
              <w:rPr>
                <w:rFonts w:ascii="Arial" w:hAnsi="Arial"/>
                <w:sz w:val="22"/>
                <w:szCs w:val="22"/>
              </w:rPr>
              <w:t xml:space="preserve"> </w:t>
            </w:r>
            <w:r>
              <w:rPr>
                <w:rFonts w:ascii="Arial" w:hAnsi="Arial"/>
                <w:sz w:val="22"/>
                <w:szCs w:val="22"/>
              </w:rPr>
              <w:t>that</w:t>
            </w:r>
            <w:r>
              <w:rPr>
                <w:rFonts w:ascii="Arial" w:hAnsi="Arial"/>
                <w:sz w:val="22"/>
                <w:szCs w:val="22"/>
              </w:rPr>
              <w:t xml:space="preserve"> </w:t>
            </w:r>
            <w:r>
              <w:rPr>
                <w:rFonts w:ascii="Arial" w:hAnsi="Arial"/>
                <w:sz w:val="22"/>
                <w:szCs w:val="22"/>
              </w:rPr>
              <w:t>I</w:t>
            </w:r>
            <w:r>
              <w:rPr>
                <w:rFonts w:ascii="Arial" w:hAnsi="Arial"/>
                <w:sz w:val="22"/>
                <w:szCs w:val="22"/>
              </w:rPr>
              <w:t xml:space="preserve"> </w:t>
            </w:r>
            <w:r>
              <w:rPr>
                <w:rFonts w:ascii="Arial" w:hAnsi="Arial"/>
                <w:sz w:val="22"/>
                <w:szCs w:val="22"/>
              </w:rPr>
              <w:t>have</w:t>
            </w:r>
            <w:r>
              <w:rPr>
                <w:rFonts w:ascii="Arial" w:hAnsi="Arial"/>
                <w:sz w:val="22"/>
                <w:szCs w:val="22"/>
              </w:rPr>
              <w:t xml:space="preserve"> </w:t>
            </w:r>
            <w:r>
              <w:rPr>
                <w:rFonts w:ascii="Arial" w:hAnsi="Arial"/>
                <w:sz w:val="22"/>
                <w:szCs w:val="22"/>
              </w:rPr>
              <w:t>adhered</w:t>
            </w:r>
            <w:r>
              <w:rPr>
                <w:rFonts w:ascii="Arial" w:hAnsi="Arial"/>
                <w:sz w:val="22"/>
                <w:szCs w:val="22"/>
              </w:rPr>
              <w:t xml:space="preserve"> </w:t>
            </w:r>
            <w:r>
              <w:rPr>
                <w:rFonts w:ascii="Arial" w:hAnsi="Arial"/>
                <w:sz w:val="22"/>
                <w:szCs w:val="22"/>
              </w:rPr>
              <w:t>to</w:t>
            </w:r>
            <w:r>
              <w:rPr>
                <w:rFonts w:ascii="Arial" w:hAnsi="Arial"/>
                <w:sz w:val="22"/>
                <w:szCs w:val="22"/>
              </w:rPr>
              <w:t xml:space="preserve"> </w:t>
            </w:r>
            <w:r>
              <w:rPr>
                <w:rFonts w:ascii="Arial" w:hAnsi="Arial"/>
                <w:sz w:val="22"/>
                <w:szCs w:val="22"/>
              </w:rPr>
              <w:t>the</w:t>
            </w:r>
            <w:r>
              <w:rPr>
                <w:rFonts w:ascii="Arial" w:hAnsi="Arial"/>
                <w:sz w:val="22"/>
                <w:szCs w:val="22"/>
              </w:rPr>
              <w:t xml:space="preserve"> </w:t>
            </w:r>
            <w:r>
              <w:rPr>
                <w:rFonts w:ascii="Arial" w:hAnsi="Arial"/>
                <w:sz w:val="22"/>
                <w:szCs w:val="22"/>
              </w:rPr>
              <w:t>University</w:t>
            </w:r>
            <w:r>
              <w:rPr>
                <w:rFonts w:ascii="Arial" w:hAnsi="Arial"/>
                <w:sz w:val="22"/>
                <w:szCs w:val="22"/>
              </w:rPr>
              <w:t xml:space="preserve"> </w:t>
            </w:r>
            <w:r>
              <w:rPr>
                <w:rFonts w:ascii="Arial" w:hAnsi="Arial"/>
                <w:sz w:val="22"/>
                <w:szCs w:val="22"/>
              </w:rPr>
              <w:t>policy</w:t>
            </w:r>
            <w:r>
              <w:rPr>
                <w:rFonts w:ascii="Arial" w:hAnsi="Arial"/>
                <w:sz w:val="22"/>
                <w:szCs w:val="22"/>
              </w:rPr>
              <w:t xml:space="preserve"> </w:t>
            </w:r>
            <w:r>
              <w:rPr>
                <w:rFonts w:ascii="Arial" w:hAnsi="Arial"/>
                <w:sz w:val="22"/>
                <w:szCs w:val="22"/>
              </w:rPr>
              <w:t>on</w:t>
            </w:r>
            <w:r>
              <w:rPr>
                <w:rFonts w:ascii="Arial" w:hAnsi="Arial"/>
                <w:sz w:val="22"/>
                <w:szCs w:val="22"/>
              </w:rPr>
              <w:t xml:space="preserve"> </w:t>
            </w:r>
            <w:r>
              <w:rPr>
                <w:rFonts w:ascii="Arial" w:hAnsi="Arial"/>
                <w:sz w:val="22"/>
                <w:szCs w:val="22"/>
              </w:rPr>
              <w:t>plagiarism.</w:t>
            </w:r>
            <w:r>
              <w:rPr>
                <w:rFonts w:ascii="Helvetica Neue WGL" w:cs="Helvetica Neue WGL" w:eastAsia="Helvetica Neue WGL" w:hAnsi="Helvetica Neue WGL"/>
                <w:b/>
                <w:bCs/>
                <w:sz w:val="28"/>
                <w:szCs w:val="28"/>
              </w:rPr>
              <w:t>C. Hornby</w:t>
            </w:r>
          </w:p>
          <w:p>
            <w:pPr>
              <w:pStyle w:val="style94"/>
              <w:spacing w:before="0" w:after="0"/>
              <w:ind w:right="34"/>
              <w:rPr/>
            </w:pPr>
            <w:r>
              <w:rPr>
                <w:rFonts w:ascii="Arial" w:hAnsi="Arial"/>
                <w:sz w:val="22"/>
                <w:szCs w:val="22"/>
              </w:rPr>
              <w:t>Signed</w:t>
            </w:r>
            <w:r>
              <w:rPr>
                <w:rFonts w:ascii="Arial" w:hAnsi="Arial"/>
                <w:sz w:val="22"/>
                <w:szCs w:val="22"/>
              </w:rPr>
              <w:t xml:space="preserve"> </w:t>
            </w:r>
            <w:r>
              <w:rPr>
                <w:rFonts w:ascii="Arial" w:hAnsi="Arial"/>
                <w:sz w:val="22"/>
                <w:szCs w:val="22"/>
              </w:rPr>
              <w:t>……………………………………………………</w:t>
            </w:r>
            <w:r>
              <w:rPr>
                <w:rFonts w:ascii="Arial" w:hAnsi="Arial"/>
                <w:sz w:val="22"/>
                <w:szCs w:val="22"/>
              </w:rPr>
              <w:t>………</w:t>
            </w:r>
          </w:p>
          <w:p>
            <w:pPr>
              <w:pStyle w:val="style94"/>
              <w:spacing w:before="0" w:after="0"/>
              <w:ind w:right="34"/>
              <w:rPr/>
            </w:pPr>
            <w:r>
              <w:rPr>
                <w:rFonts w:ascii="Calibri" w:hAnsi="Calibri"/>
                <w:b/>
                <w:sz w:val="24"/>
                <w:szCs w:val="24"/>
              </w:rPr>
              <w:t>Email</w:t>
            </w:r>
            <w:r>
              <w:rPr>
                <w:rFonts w:ascii="Calibri" w:hAnsi="Calibri"/>
                <w:b/>
                <w:sz w:val="24"/>
                <w:szCs w:val="24"/>
              </w:rPr>
              <w:t xml:space="preserve"> </w:t>
            </w:r>
            <w:r>
              <w:rPr>
                <w:rFonts w:ascii="Calibri" w:hAnsi="Calibri"/>
                <w:b/>
                <w:sz w:val="24"/>
                <w:szCs w:val="24"/>
              </w:rPr>
              <w:t>submission:</w:t>
            </w:r>
            <w:r>
              <w:rPr>
                <w:rFonts w:ascii="Calibri" w:hAnsi="Calibri"/>
                <w:b/>
                <w:sz w:val="24"/>
                <w:szCs w:val="24"/>
              </w:rPr>
              <w:t>if</w:t>
            </w:r>
            <w:r>
              <w:rPr>
                <w:rFonts w:ascii="Calibri" w:hAnsi="Calibri"/>
                <w:b/>
                <w:sz w:val="24"/>
                <w:szCs w:val="24"/>
              </w:rPr>
              <w:t xml:space="preserve"> </w:t>
            </w:r>
            <w:r>
              <w:rPr>
                <w:rFonts w:ascii="Calibri" w:hAnsi="Calibri"/>
                <w:b/>
                <w:sz w:val="24"/>
                <w:szCs w:val="24"/>
              </w:rPr>
              <w:t>you</w:t>
            </w:r>
            <w:r>
              <w:rPr>
                <w:rFonts w:ascii="Calibri" w:hAnsi="Calibri"/>
                <w:b/>
                <w:sz w:val="24"/>
                <w:szCs w:val="24"/>
              </w:rPr>
              <w:t xml:space="preserve"> </w:t>
            </w:r>
            <w:r>
              <w:rPr>
                <w:rFonts w:ascii="Calibri" w:hAnsi="Calibri"/>
                <w:b/>
                <w:sz w:val="24"/>
                <w:szCs w:val="24"/>
              </w:rPr>
              <w:t>are</w:t>
            </w:r>
            <w:r>
              <w:rPr>
                <w:rFonts w:ascii="Calibri" w:hAnsi="Calibri"/>
                <w:b/>
                <w:sz w:val="24"/>
                <w:szCs w:val="24"/>
              </w:rPr>
              <w:t xml:space="preserve"> </w:t>
            </w:r>
            <w:r>
              <w:rPr>
                <w:rFonts w:ascii="Calibri" w:hAnsi="Calibri"/>
                <w:b/>
                <w:sz w:val="24"/>
                <w:szCs w:val="24"/>
              </w:rPr>
              <w:t>submitting</w:t>
            </w:r>
            <w:r>
              <w:rPr>
                <w:rFonts w:ascii="Calibri" w:hAnsi="Calibri"/>
                <w:b/>
                <w:sz w:val="24"/>
                <w:szCs w:val="24"/>
              </w:rPr>
              <w:t xml:space="preserve"> </w:t>
            </w:r>
            <w:r>
              <w:rPr>
                <w:rFonts w:ascii="Calibri" w:hAnsi="Calibri"/>
                <w:b/>
                <w:sz w:val="24"/>
                <w:szCs w:val="24"/>
              </w:rPr>
              <w:t>this</w:t>
            </w:r>
            <w:r>
              <w:rPr>
                <w:rFonts w:ascii="Calibri" w:hAnsi="Calibri"/>
                <w:b/>
                <w:sz w:val="24"/>
                <w:szCs w:val="24"/>
              </w:rPr>
              <w:t xml:space="preserve"> </w:t>
            </w:r>
            <w:r>
              <w:rPr>
                <w:rFonts w:ascii="Calibri" w:hAnsi="Calibri"/>
                <w:b/>
                <w:sz w:val="24"/>
                <w:szCs w:val="24"/>
              </w:rPr>
              <w:t>form</w:t>
            </w:r>
            <w:r>
              <w:rPr>
                <w:rFonts w:ascii="Calibri" w:hAnsi="Calibri"/>
                <w:b/>
                <w:sz w:val="24"/>
                <w:szCs w:val="24"/>
              </w:rPr>
              <w:t xml:space="preserve"> </w:t>
            </w:r>
            <w:r>
              <w:rPr>
                <w:rFonts w:ascii="Calibri" w:hAnsi="Calibri"/>
                <w:b/>
                <w:sz w:val="24"/>
                <w:szCs w:val="24"/>
              </w:rPr>
              <w:t>via</w:t>
            </w:r>
            <w:r>
              <w:rPr>
                <w:rFonts w:ascii="Calibri" w:hAnsi="Calibri"/>
                <w:b/>
                <w:sz w:val="24"/>
                <w:szCs w:val="24"/>
              </w:rPr>
              <w:t xml:space="preserve"> </w:t>
            </w:r>
            <w:r>
              <w:rPr>
                <w:rFonts w:ascii="Calibri" w:hAnsi="Calibri"/>
                <w:b/>
                <w:sz w:val="24"/>
                <w:szCs w:val="24"/>
              </w:rPr>
              <w:t>email,</w:t>
            </w:r>
            <w:r>
              <w:rPr>
                <w:rFonts w:ascii="Calibri" w:hAnsi="Calibri"/>
                <w:b/>
                <w:sz w:val="24"/>
                <w:szCs w:val="24"/>
              </w:rPr>
              <w:t xml:space="preserve"> </w:t>
            </w:r>
            <w:r>
              <w:rPr>
                <w:rFonts w:ascii="Calibri" w:hAnsi="Calibri"/>
                <w:b/>
                <w:sz w:val="24"/>
                <w:szCs w:val="24"/>
              </w:rPr>
              <w:t>please</w:t>
            </w:r>
            <w:r>
              <w:rPr>
                <w:rFonts w:ascii="Calibri" w:hAnsi="Calibri"/>
                <w:b/>
                <w:sz w:val="24"/>
                <w:szCs w:val="24"/>
              </w:rPr>
              <w:t xml:space="preserve"> </w:t>
            </w:r>
            <w:r>
              <w:rPr>
                <w:rFonts w:ascii="Calibri" w:hAnsi="Calibri"/>
                <w:b/>
                <w:sz w:val="24"/>
                <w:szCs w:val="24"/>
              </w:rPr>
              <w:t>tick</w:t>
            </w:r>
            <w:r>
              <w:rPr>
                <w:rFonts w:ascii="Calibri" w:hAnsi="Calibri"/>
                <w:b/>
                <w:sz w:val="24"/>
                <w:szCs w:val="24"/>
              </w:rPr>
              <w:t xml:space="preserve"> </w:t>
            </w:r>
            <w:r>
              <w:rPr>
                <w:rFonts w:ascii="Calibri" w:hAnsi="Calibri"/>
                <w:b/>
                <w:sz w:val="24"/>
                <w:szCs w:val="24"/>
              </w:rPr>
              <w:t>this</w:t>
            </w:r>
            <w:r>
              <w:rPr>
                <w:rFonts w:ascii="Calibri" w:hAnsi="Calibri"/>
                <w:b/>
                <w:sz w:val="24"/>
                <w:szCs w:val="24"/>
              </w:rPr>
              <w:t xml:space="preserve"> </w:t>
            </w:r>
            <w:r>
              <w:rPr>
                <w:rFonts w:ascii="Calibri" w:hAnsi="Calibri"/>
                <w:b/>
                <w:sz w:val="24"/>
                <w:szCs w:val="24"/>
              </w:rPr>
              <w:t>box</w:t>
            </w:r>
            <w:r>
              <w:rPr>
                <w:rFonts w:ascii="Calibri" w:hAnsi="Calibri"/>
                <w:b/>
                <w:sz w:val="24"/>
                <w:szCs w:val="24"/>
              </w:rPr>
              <w:t xml:space="preserve"> </w:t>
            </w:r>
            <w:r>
              <w:rPr>
                <w:rFonts w:ascii="Calibri" w:hAnsi="Calibri"/>
                <w:b/>
                <w:sz w:val="44"/>
                <w:szCs w:val="44"/>
              </w:rPr>
              <w:t>□</w:t>
            </w:r>
            <w:r>
              <w:rPr>
                <w:rFonts w:ascii="Calibri" w:hAnsi="Calibri"/>
                <w:b/>
                <w:sz w:val="44"/>
                <w:szCs w:val="44"/>
              </w:rPr>
              <w:t>X</w:t>
            </w:r>
          </w:p>
          <w:p>
            <w:pPr>
              <w:pStyle w:val="style94"/>
              <w:spacing w:before="0" w:after="0"/>
              <w:ind w:right="34"/>
              <w:rPr/>
            </w:pPr>
            <w:r>
              <w:rPr>
                <w:rFonts w:ascii="Calibri" w:hAnsi="Calibri"/>
                <w:b/>
                <w:sz w:val="24"/>
                <w:szCs w:val="24"/>
              </w:rPr>
              <w:t>(as</w:t>
            </w:r>
            <w:r>
              <w:rPr>
                <w:rFonts w:ascii="Calibri" w:hAnsi="Calibri"/>
                <w:b/>
                <w:sz w:val="24"/>
                <w:szCs w:val="24"/>
              </w:rPr>
              <w:t xml:space="preserve"> </w:t>
            </w:r>
            <w:r>
              <w:rPr>
                <w:rFonts w:ascii="Calibri" w:hAnsi="Calibri"/>
                <w:b/>
                <w:sz w:val="24"/>
                <w:szCs w:val="24"/>
              </w:rPr>
              <w:t>a</w:t>
            </w:r>
            <w:r>
              <w:rPr>
                <w:rFonts w:ascii="Calibri" w:hAnsi="Calibri"/>
                <w:b/>
                <w:sz w:val="24"/>
                <w:szCs w:val="24"/>
              </w:rPr>
              <w:t xml:space="preserve"> </w:t>
            </w:r>
            <w:r>
              <w:rPr>
                <w:rFonts w:ascii="Calibri" w:hAnsi="Calibri"/>
                <w:b/>
                <w:sz w:val="24"/>
                <w:szCs w:val="24"/>
              </w:rPr>
              <w:t>substitute</w:t>
            </w:r>
            <w:r>
              <w:rPr>
                <w:rFonts w:ascii="Calibri" w:hAnsi="Calibri"/>
                <w:b/>
                <w:sz w:val="24"/>
                <w:szCs w:val="24"/>
              </w:rPr>
              <w:t xml:space="preserve"> </w:t>
            </w:r>
            <w:r>
              <w:rPr>
                <w:rFonts w:ascii="Calibri" w:hAnsi="Calibri"/>
                <w:b/>
                <w:sz w:val="24"/>
                <w:szCs w:val="24"/>
              </w:rPr>
              <w:t>for</w:t>
            </w:r>
            <w:r>
              <w:rPr>
                <w:rFonts w:ascii="Calibri" w:hAnsi="Calibri"/>
                <w:b/>
                <w:sz w:val="24"/>
                <w:szCs w:val="24"/>
              </w:rPr>
              <w:t xml:space="preserve"> </w:t>
            </w:r>
            <w:r>
              <w:rPr>
                <w:rFonts w:ascii="Calibri" w:hAnsi="Calibri"/>
                <w:b/>
                <w:sz w:val="24"/>
                <w:szCs w:val="24"/>
              </w:rPr>
              <w:t>your</w:t>
            </w:r>
            <w:r>
              <w:rPr>
                <w:rFonts w:ascii="Calibri" w:hAnsi="Calibri"/>
                <w:b/>
                <w:sz w:val="24"/>
                <w:szCs w:val="24"/>
              </w:rPr>
              <w:t xml:space="preserve"> </w:t>
            </w:r>
            <w:r>
              <w:rPr>
                <w:rFonts w:ascii="Calibri" w:hAnsi="Calibri"/>
                <w:b/>
                <w:sz w:val="24"/>
                <w:szCs w:val="24"/>
              </w:rPr>
              <w:t>signature)</w:t>
            </w:r>
            <w:r>
              <w:rPr>
                <w:rFonts w:ascii="Calibri" w:hAnsi="Calibri"/>
                <w:b/>
                <w:sz w:val="24"/>
                <w:szCs w:val="24"/>
              </w:rPr>
              <w:t xml:space="preserve"> </w:t>
            </w:r>
            <w:r>
              <w:rPr>
                <w:rFonts w:ascii="Calibri" w:hAnsi="Calibri"/>
                <w:b/>
                <w:sz w:val="24"/>
                <w:szCs w:val="24"/>
              </w:rPr>
              <w:t>to</w:t>
            </w:r>
            <w:r>
              <w:rPr>
                <w:rFonts w:ascii="Calibri" w:hAnsi="Calibri"/>
                <w:b/>
                <w:sz w:val="24"/>
                <w:szCs w:val="24"/>
              </w:rPr>
              <w:t xml:space="preserve"> </w:t>
            </w:r>
            <w:r>
              <w:rPr>
                <w:rFonts w:ascii="Calibri" w:hAnsi="Calibri"/>
                <w:b/>
                <w:sz w:val="24"/>
                <w:szCs w:val="24"/>
              </w:rPr>
              <w:t>confirm</w:t>
            </w:r>
            <w:r>
              <w:rPr>
                <w:rFonts w:ascii="Calibri" w:hAnsi="Calibri"/>
                <w:b/>
                <w:sz w:val="24"/>
                <w:szCs w:val="24"/>
              </w:rPr>
              <w:t xml:space="preserve"> </w:t>
            </w:r>
            <w:r>
              <w:rPr>
                <w:rFonts w:ascii="Calibri" w:hAnsi="Calibri"/>
                <w:b/>
                <w:sz w:val="24"/>
                <w:szCs w:val="24"/>
              </w:rPr>
              <w:t>that</w:t>
            </w:r>
            <w:r>
              <w:rPr>
                <w:rFonts w:ascii="Calibri" w:hAnsi="Calibri"/>
                <w:b/>
                <w:sz w:val="24"/>
                <w:szCs w:val="24"/>
              </w:rPr>
              <w:t xml:space="preserve"> </w:t>
            </w:r>
            <w:r>
              <w:rPr>
                <w:rFonts w:ascii="Calibri" w:hAnsi="Calibri"/>
                <w:b/>
                <w:sz w:val="24"/>
                <w:szCs w:val="24"/>
              </w:rPr>
              <w:t>you</w:t>
            </w:r>
            <w:r>
              <w:rPr>
                <w:rFonts w:ascii="Calibri" w:hAnsi="Calibri"/>
                <w:b/>
                <w:sz w:val="24"/>
                <w:szCs w:val="24"/>
              </w:rPr>
              <w:t xml:space="preserve"> </w:t>
            </w:r>
            <w:r>
              <w:rPr>
                <w:rFonts w:ascii="Calibri" w:hAnsi="Calibri"/>
                <w:b/>
                <w:sz w:val="24"/>
                <w:szCs w:val="24"/>
              </w:rPr>
              <w:t>agree</w:t>
            </w:r>
            <w:r>
              <w:rPr>
                <w:rFonts w:ascii="Calibri" w:hAnsi="Calibri"/>
                <w:b/>
                <w:sz w:val="24"/>
                <w:szCs w:val="24"/>
              </w:rPr>
              <w:t xml:space="preserve"> </w:t>
            </w:r>
            <w:r>
              <w:rPr>
                <w:rFonts w:ascii="Calibri" w:hAnsi="Calibri"/>
                <w:b/>
                <w:sz w:val="24"/>
                <w:szCs w:val="24"/>
              </w:rPr>
              <w:t>to</w:t>
            </w:r>
            <w:r>
              <w:rPr>
                <w:rFonts w:ascii="Calibri" w:hAnsi="Calibri"/>
                <w:b/>
                <w:sz w:val="24"/>
                <w:szCs w:val="24"/>
              </w:rPr>
              <w:t xml:space="preserve"> </w:t>
            </w:r>
            <w:r>
              <w:rPr>
                <w:rFonts w:ascii="Calibri" w:hAnsi="Calibri"/>
                <w:b/>
                <w:sz w:val="24"/>
                <w:szCs w:val="24"/>
              </w:rPr>
              <w:t>the</w:t>
            </w:r>
            <w:r>
              <w:rPr>
                <w:rFonts w:ascii="Calibri" w:hAnsi="Calibri"/>
                <w:b/>
                <w:sz w:val="24"/>
                <w:szCs w:val="24"/>
              </w:rPr>
              <w:t xml:space="preserve"> </w:t>
            </w:r>
            <w:r>
              <w:rPr>
                <w:rFonts w:ascii="Calibri" w:hAnsi="Calibri"/>
                <w:b/>
                <w:sz w:val="24"/>
                <w:szCs w:val="24"/>
              </w:rPr>
              <w:t>above</w:t>
            </w:r>
            <w:r>
              <w:rPr>
                <w:rFonts w:ascii="Calibri" w:hAnsi="Calibri"/>
                <w:b/>
                <w:sz w:val="24"/>
                <w:szCs w:val="24"/>
              </w:rPr>
              <w:t xml:space="preserve"> </w:t>
            </w:r>
            <w:r>
              <w:rPr>
                <w:rFonts w:ascii="Calibri" w:hAnsi="Calibri"/>
                <w:b/>
                <w:sz w:val="24"/>
                <w:szCs w:val="24"/>
              </w:rPr>
              <w:t>declaration.</w:t>
            </w:r>
          </w:p>
        </w:tc>
      </w:tr>
      <w:tr>
        <w:tblPrEx/>
        <w:trPr>
          <w:cantSplit w:val="false"/>
          <w:trHeight w:val="3972"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b/>
              </w:rPr>
              <w:t>Assignment</w:t>
            </w:r>
            <w:r>
              <w:rPr>
                <w:rFonts w:ascii="Arial" w:hAnsi="Arial"/>
                <w:b/>
              </w:rPr>
              <w:t xml:space="preserve"> </w:t>
            </w:r>
            <w:r>
              <w:rPr>
                <w:rFonts w:ascii="Arial" w:hAnsi="Arial"/>
                <w:b/>
              </w:rPr>
              <w:t>Mark</w:t>
            </w:r>
          </w:p>
          <w:tbl>
            <w:tblPr>
              <w:jc w:val="left"/>
            </w:tblPr>
            <w:tblGrid>
              <w:gridCol w:w="6970"/>
              <w:gridCol w:w="1660"/>
            </w:tblGrid>
            <w:tr>
              <w:trPr>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w:t>
                  </w:r>
                  <w:r>
                    <w:rPr>
                      <w:rFonts w:ascii="Arial" w:hAnsi="Arial"/>
                      <w:sz w:val="20"/>
                      <w:szCs w:val="20"/>
                    </w:rPr>
                    <w:t>Marker’s</w:t>
                  </w:r>
                  <w:r>
                    <w:rPr>
                      <w:rFonts w:ascii="Arial" w:hAnsi="Arial"/>
                      <w:sz w:val="20"/>
                      <w:szCs w:val="20"/>
                    </w:rPr>
                    <w:t xml:space="preserve"> </w:t>
                  </w:r>
                  <w:r>
                    <w:rPr>
                      <w:rFonts w:ascii="Arial" w:hAnsi="Arial"/>
                      <w:sz w:val="20"/>
                      <w:szCs w:val="20"/>
                    </w:rPr>
                    <w:t>Provisional</w:t>
                  </w:r>
                  <w:r>
                    <w:rPr>
                      <w:rFonts w:ascii="Arial" w:hAnsi="Arial"/>
                      <w:sz w:val="20"/>
                      <w:szCs w:val="20"/>
                    </w:rPr>
                    <w:t xml:space="preserve"> </w:t>
                  </w:r>
                  <w:r>
                    <w:rPr>
                      <w:rFonts w:ascii="Arial" w:hAnsi="Arial"/>
                      <w:sz w:val="20"/>
                      <w:szCs w:val="20"/>
                    </w:rPr>
                    <w:t>mark</w:t>
                  </w:r>
                </w:p>
              </w:tc>
              <w:tc>
                <w:tcPr>
                  <w:tcW w:w="1660" w:type="dxa"/>
                  <w:tcBorders>
                    <w:top w:val="single" w:sz="4" w:space="0" w:color="auto"/>
                    <w:left w:val="single" w:sz="4" w:space="0" w:color="auto"/>
                    <w:bottom w:val="single" w:sz="4" w:space="0" w:color="auto"/>
                    <w:right w:val="single" w:sz="4" w:space="0" w:color="auto"/>
                  </w:tcBorders>
                </w:tcPr>
                <w:p>
                  <w:pPr>
                    <w:pStyle w:val="style0"/>
                    <w:rPr/>
                  </w:pPr>
                </w:p>
              </w:tc>
            </w:tr>
            <w:tr>
              <w:tblPrEx/>
              <w:trPr>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w:t>
                  </w:r>
                  <w:r>
                    <w:rPr>
                      <w:rFonts w:ascii="Arial" w:hAnsi="Arial"/>
                      <w:sz w:val="20"/>
                      <w:szCs w:val="20"/>
                    </w:rPr>
                    <w:t>Marker</w:t>
                  </w:r>
                  <w:r>
                    <w:rPr>
                      <w:rFonts w:ascii="Arial" w:hAnsi="Arial"/>
                      <w:sz w:val="20"/>
                      <w:szCs w:val="20"/>
                    </w:rPr>
                    <w:t>’s/Moderator’s</w:t>
                  </w:r>
                  <w:r>
                    <w:rPr>
                      <w:rFonts w:ascii="Arial" w:hAnsi="Arial"/>
                      <w:sz w:val="20"/>
                      <w:szCs w:val="20"/>
                    </w:rPr>
                    <w:t xml:space="preserve"> </w:t>
                  </w:r>
                  <w:r>
                    <w:rPr>
                      <w:rFonts w:ascii="Arial" w:hAnsi="Arial"/>
                      <w:sz w:val="20"/>
                      <w:szCs w:val="20"/>
                    </w:rPr>
                    <w:t>provisional</w:t>
                  </w:r>
                  <w:r>
                    <w:rPr>
                      <w:rFonts w:ascii="Arial" w:hAnsi="Arial"/>
                      <w:sz w:val="20"/>
                      <w:szCs w:val="20"/>
                    </w:rPr>
                    <w:t xml:space="preserve"> </w:t>
                  </w:r>
                  <w:r>
                    <w:rPr>
                      <w:rFonts w:ascii="Arial" w:hAnsi="Arial"/>
                      <w:sz w:val="20"/>
                      <w:szCs w:val="20"/>
                    </w:rPr>
                    <w:t>mark</w:t>
                  </w:r>
                </w:p>
              </w:tc>
              <w:tc>
                <w:tcPr>
                  <w:tcW w:w="1660" w:type="dxa"/>
                  <w:tcBorders>
                    <w:top w:val="single" w:sz="4" w:space="0" w:color="auto"/>
                    <w:left w:val="single" w:sz="4" w:space="0" w:color="auto"/>
                    <w:bottom w:val="single" w:sz="4" w:space="0" w:color="auto"/>
                    <w:right w:val="single" w:sz="4" w:space="0" w:color="auto"/>
                  </w:tcBorders>
                </w:tcPr>
                <w:p>
                  <w:pPr>
                    <w:pStyle w:val="style0"/>
                    <w:rPr/>
                  </w:pPr>
                </w:p>
              </w:tc>
            </w:tr>
            <w:tr>
              <w:tblPrEx/>
              <w:trPr>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sz w:val="20"/>
                      <w:szCs w:val="20"/>
                    </w:rPr>
                    <w:t>External</w:t>
                  </w:r>
                  <w:r>
                    <w:rPr>
                      <w:rFonts w:ascii="Arial" w:hAnsi="Arial"/>
                      <w:sz w:val="20"/>
                      <w:szCs w:val="20"/>
                    </w:rPr>
                    <w:t xml:space="preserve"> </w:t>
                  </w:r>
                  <w:r>
                    <w:rPr>
                      <w:rFonts w:ascii="Arial" w:hAnsi="Arial"/>
                      <w:sz w:val="20"/>
                      <w:szCs w:val="20"/>
                    </w:rPr>
                    <w:t>Examiner’s</w:t>
                  </w:r>
                  <w:r>
                    <w:rPr>
                      <w:rFonts w:ascii="Arial" w:hAnsi="Arial"/>
                      <w:sz w:val="20"/>
                      <w:szCs w:val="20"/>
                    </w:rPr>
                    <w:t xml:space="preserve"> </w:t>
                  </w:r>
                  <w:r>
                    <w:rPr>
                      <w:rFonts w:ascii="Arial" w:hAnsi="Arial"/>
                      <w:sz w:val="20"/>
                      <w:szCs w:val="20"/>
                    </w:rPr>
                    <w:t>mark</w:t>
                  </w:r>
                  <w:r>
                    <w:rPr>
                      <w:rFonts w:ascii="Arial" w:hAnsi="Arial"/>
                      <w:sz w:val="20"/>
                      <w:szCs w:val="20"/>
                    </w:rPr>
                    <w:t xml:space="preserve"> </w:t>
                  </w:r>
                  <w:r>
                    <w:rPr>
                      <w:rFonts w:ascii="Arial" w:hAnsi="Arial"/>
                      <w:sz w:val="20"/>
                      <w:szCs w:val="20"/>
                    </w:rPr>
                    <w:t>(if</w:t>
                  </w:r>
                  <w:r>
                    <w:rPr>
                      <w:rFonts w:ascii="Arial" w:hAnsi="Arial"/>
                      <w:sz w:val="20"/>
                      <w:szCs w:val="20"/>
                    </w:rPr>
                    <w:t xml:space="preserve"> </w:t>
                  </w:r>
                  <w:r>
                    <w:rPr>
                      <w:rFonts w:ascii="Arial" w:hAnsi="Arial"/>
                      <w:sz w:val="20"/>
                      <w:szCs w:val="20"/>
                    </w:rPr>
                    <w:t>relevant)</w:t>
                  </w:r>
                </w:p>
              </w:tc>
              <w:tc>
                <w:tcPr>
                  <w:tcW w:w="1660" w:type="dxa"/>
                  <w:tcBorders>
                    <w:top w:val="single" w:sz="4" w:space="0" w:color="auto"/>
                    <w:left w:val="single" w:sz="4" w:space="0" w:color="auto"/>
                    <w:bottom w:val="single" w:sz="4" w:space="0" w:color="auto"/>
                    <w:right w:val="single" w:sz="4" w:space="0" w:color="auto"/>
                  </w:tcBorders>
                </w:tcPr>
                <w:p>
                  <w:pPr>
                    <w:pStyle w:val="style0"/>
                    <w:rPr/>
                  </w:pPr>
                </w:p>
              </w:tc>
            </w:tr>
            <w:tr>
              <w:tblPrEx/>
              <w:trPr>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b/>
                      <w:sz w:val="20"/>
                      <w:szCs w:val="20"/>
                    </w:rPr>
                    <w:t>Final</w:t>
                  </w:r>
                  <w:r>
                    <w:rPr>
                      <w:rFonts w:ascii="Arial" w:hAnsi="Arial"/>
                      <w:b/>
                      <w:sz w:val="20"/>
                      <w:szCs w:val="20"/>
                    </w:rPr>
                    <w:t xml:space="preserve"> </w:t>
                  </w:r>
                  <w:r>
                    <w:rPr>
                      <w:rFonts w:ascii="Arial" w:hAnsi="Arial"/>
                      <w:b/>
                      <w:sz w:val="20"/>
                      <w:szCs w:val="20"/>
                    </w:rPr>
                    <w:t>Mark</w:t>
                  </w:r>
                </w:p>
                <w:p>
                  <w:pPr>
                    <w:pStyle w:val="style0"/>
                    <w:rPr/>
                  </w:pPr>
                </w:p>
              </w:tc>
              <w:tc>
                <w:tcPr>
                  <w:tcW w:w="1660" w:type="dxa"/>
                  <w:tcBorders>
                    <w:top w:val="single" w:sz="4" w:space="0" w:color="auto"/>
                    <w:left w:val="single" w:sz="4" w:space="0" w:color="auto"/>
                    <w:bottom w:val="single" w:sz="4" w:space="0" w:color="auto"/>
                    <w:right w:val="single" w:sz="4" w:space="0" w:color="auto"/>
                  </w:tcBorders>
                </w:tcPr>
                <w:p>
                  <w:pPr>
                    <w:pStyle w:val="style0"/>
                    <w:rPr/>
                  </w:pPr>
                </w:p>
              </w:tc>
            </w:tr>
          </w:tbl>
          <w:p>
            <w:pPr>
              <w:pStyle w:val="style94"/>
              <w:spacing w:before="0" w:after="0"/>
              <w:ind w:left="142" w:right="34"/>
              <w:rPr/>
            </w:pPr>
          </w:p>
          <w:p>
            <w:pPr>
              <w:pStyle w:val="style94"/>
              <w:spacing w:before="0" w:after="0"/>
              <w:ind w:left="142" w:right="34"/>
              <w:rPr/>
            </w:pPr>
            <w:r>
              <w:rPr>
                <w:rFonts w:ascii="Arial" w:hAnsi="Arial"/>
                <w:b/>
                <w:sz w:val="22"/>
                <w:szCs w:val="22"/>
              </w:rPr>
              <w:t>NB.</w:t>
            </w:r>
            <w:r>
              <w:rPr>
                <w:rFonts w:ascii="Arial" w:hAnsi="Arial"/>
                <w:sz w:val="22"/>
                <w:szCs w:val="22"/>
              </w:rPr>
              <w:t xml:space="preserve">  </w:t>
            </w:r>
            <w:r>
              <w:rPr>
                <w:rFonts w:ascii="Arial" w:hAnsi="Arial"/>
                <w:sz w:val="22"/>
                <w:szCs w:val="22"/>
              </w:rPr>
              <w:t>All</w:t>
            </w:r>
            <w:r>
              <w:rPr>
                <w:rFonts w:ascii="Arial" w:hAnsi="Arial"/>
                <w:sz w:val="22"/>
                <w:szCs w:val="22"/>
              </w:rPr>
              <w:t xml:space="preserve"> </w:t>
            </w:r>
            <w:r>
              <w:rPr>
                <w:rFonts w:ascii="Arial" w:hAnsi="Arial"/>
                <w:sz w:val="22"/>
                <w:szCs w:val="22"/>
              </w:rPr>
              <w:t>ma</w:t>
            </w:r>
            <w:r>
              <w:rPr>
                <w:rFonts w:ascii="Arial" w:hAnsi="Arial"/>
                <w:sz w:val="22"/>
                <w:szCs w:val="22"/>
              </w:rPr>
              <w:t>rks</w:t>
            </w:r>
            <w:r>
              <w:rPr>
                <w:rFonts w:ascii="Arial" w:hAnsi="Arial"/>
                <w:sz w:val="22"/>
                <w:szCs w:val="22"/>
              </w:rPr>
              <w:t xml:space="preserve"> </w:t>
            </w:r>
            <w:r>
              <w:rPr>
                <w:rFonts w:ascii="Arial" w:hAnsi="Arial"/>
                <w:sz w:val="22"/>
                <w:szCs w:val="22"/>
              </w:rPr>
              <w:t>are</w:t>
            </w:r>
            <w:r>
              <w:rPr>
                <w:rFonts w:ascii="Arial" w:hAnsi="Arial"/>
                <w:sz w:val="22"/>
                <w:szCs w:val="22"/>
              </w:rPr>
              <w:t xml:space="preserve"> </w:t>
            </w:r>
            <w:r>
              <w:rPr>
                <w:rFonts w:ascii="Arial" w:hAnsi="Arial"/>
                <w:sz w:val="22"/>
                <w:szCs w:val="22"/>
              </w:rPr>
              <w:t>provisional</w:t>
            </w:r>
            <w:r>
              <w:rPr>
                <w:rFonts w:ascii="Arial" w:hAnsi="Arial"/>
                <w:sz w:val="22"/>
                <w:szCs w:val="22"/>
              </w:rPr>
              <w:t xml:space="preserve"> </w:t>
            </w:r>
            <w:r>
              <w:rPr>
                <w:rFonts w:ascii="Arial" w:hAnsi="Arial"/>
                <w:sz w:val="22"/>
                <w:szCs w:val="22"/>
              </w:rPr>
              <w:t>until</w:t>
            </w:r>
            <w:r>
              <w:rPr>
                <w:rFonts w:ascii="Arial" w:hAnsi="Arial"/>
                <w:sz w:val="22"/>
                <w:szCs w:val="22"/>
              </w:rPr>
              <w:t xml:space="preserve"> </w:t>
            </w:r>
            <w:r>
              <w:rPr>
                <w:rFonts w:ascii="Arial" w:hAnsi="Arial"/>
                <w:sz w:val="22"/>
                <w:szCs w:val="22"/>
              </w:rPr>
              <w:t>confirmed</w:t>
            </w:r>
            <w:r>
              <w:rPr>
                <w:rFonts w:ascii="Arial" w:hAnsi="Arial"/>
                <w:sz w:val="22"/>
                <w:szCs w:val="22"/>
              </w:rPr>
              <w:t xml:space="preserve"> </w:t>
            </w:r>
            <w:r>
              <w:rPr>
                <w:rFonts w:ascii="Arial" w:hAnsi="Arial"/>
                <w:sz w:val="22"/>
                <w:szCs w:val="22"/>
              </w:rPr>
              <w:t>by</w:t>
            </w:r>
            <w:r>
              <w:rPr>
                <w:rFonts w:ascii="Arial" w:hAnsi="Arial"/>
                <w:sz w:val="22"/>
                <w:szCs w:val="22"/>
              </w:rPr>
              <w:t xml:space="preserve"> </w:t>
            </w:r>
            <w:r>
              <w:rPr>
                <w:rFonts w:ascii="Arial" w:hAnsi="Arial"/>
                <w:sz w:val="22"/>
                <w:szCs w:val="22"/>
              </w:rPr>
              <w:t>the</w:t>
            </w:r>
            <w:r>
              <w:rPr>
                <w:rFonts w:ascii="Arial" w:hAnsi="Arial"/>
                <w:sz w:val="22"/>
                <w:szCs w:val="22"/>
              </w:rPr>
              <w:t xml:space="preserve"> </w:t>
            </w:r>
            <w:r>
              <w:rPr>
                <w:rFonts w:ascii="Arial" w:hAnsi="Arial"/>
                <w:sz w:val="22"/>
                <w:szCs w:val="22"/>
              </w:rPr>
              <w:t>F</w:t>
            </w:r>
            <w:r>
              <w:rPr>
                <w:rFonts w:ascii="Arial" w:hAnsi="Arial"/>
                <w:sz w:val="22"/>
                <w:szCs w:val="22"/>
              </w:rPr>
              <w:t>inal</w:t>
            </w:r>
            <w:r>
              <w:rPr>
                <w:rFonts w:ascii="Arial" w:hAnsi="Arial"/>
                <w:sz w:val="22"/>
                <w:szCs w:val="22"/>
              </w:rPr>
              <w:t xml:space="preserve"> </w:t>
            </w:r>
            <w:r>
              <w:rPr>
                <w:rFonts w:ascii="Arial" w:hAnsi="Arial"/>
                <w:sz w:val="22"/>
                <w:szCs w:val="22"/>
              </w:rPr>
              <w:t>E</w:t>
            </w:r>
            <w:r>
              <w:rPr>
                <w:rFonts w:ascii="Arial" w:hAnsi="Arial"/>
                <w:sz w:val="22"/>
                <w:szCs w:val="22"/>
              </w:rPr>
              <w:t>xamination</w:t>
            </w:r>
            <w:r>
              <w:rPr>
                <w:rFonts w:ascii="Arial" w:hAnsi="Arial"/>
                <w:sz w:val="22"/>
                <w:szCs w:val="22"/>
              </w:rPr>
              <w:t xml:space="preserve"> </w:t>
            </w:r>
            <w:r>
              <w:rPr>
                <w:rFonts w:ascii="Arial" w:hAnsi="Arial"/>
                <w:sz w:val="22"/>
                <w:szCs w:val="22"/>
              </w:rPr>
              <w:t>Board.</w:t>
            </w:r>
          </w:p>
          <w:p>
            <w:pPr>
              <w:pStyle w:val="style94"/>
              <w:spacing w:before="0" w:after="0"/>
              <w:rPr/>
            </w:pPr>
          </w:p>
          <w:p>
            <w:pPr>
              <w:pStyle w:val="style94"/>
              <w:spacing w:before="0" w:after="0"/>
              <w:rPr/>
            </w:pPr>
          </w:p>
          <w:p>
            <w:pPr>
              <w:pStyle w:val="style94"/>
              <w:spacing w:before="0" w:after="0"/>
              <w:rPr/>
            </w:pPr>
            <w:r>
              <w:rPr>
                <w:rFonts w:ascii="Arial"/>
                <w:b/>
                <w:sz w:val="22"/>
              </w:rPr>
              <w:t xml:space="preserve">            </w:t>
            </w:r>
            <w:r>
              <w:rPr>
                <w:rFonts w:ascii="Arial"/>
                <w:b/>
                <w:sz w:val="22"/>
              </w:rPr>
              <w:t>ALL</w:t>
            </w:r>
            <w:r>
              <w:rPr>
                <w:rFonts w:ascii="Arial"/>
                <w:b/>
                <w:sz w:val="22"/>
              </w:rPr>
              <w:t xml:space="preserve"> </w:t>
            </w:r>
            <w:r>
              <w:rPr>
                <w:rFonts w:ascii="Arial"/>
                <w:b/>
                <w:sz w:val="22"/>
              </w:rPr>
              <w:t>COMMENTS</w:t>
            </w:r>
            <w:r>
              <w:rPr>
                <w:rFonts w:ascii="Arial"/>
                <w:b/>
                <w:sz w:val="22"/>
              </w:rPr>
              <w:t xml:space="preserve"> </w:t>
            </w:r>
            <w:r>
              <w:rPr>
                <w:rFonts w:ascii="Arial"/>
                <w:b/>
                <w:sz w:val="22"/>
              </w:rPr>
              <w:t>ARE</w:t>
            </w:r>
            <w:r>
              <w:rPr>
                <w:rFonts w:ascii="Arial"/>
                <w:b/>
                <w:sz w:val="22"/>
              </w:rPr>
              <w:t xml:space="preserve">  </w:t>
            </w:r>
            <w:r>
              <w:rPr>
                <w:rFonts w:ascii="Arial"/>
                <w:b/>
                <w:sz w:val="22"/>
              </w:rPr>
              <w:t>ON</w:t>
            </w:r>
            <w:r>
              <w:rPr>
                <w:rFonts w:ascii="Arial"/>
                <w:b/>
                <w:sz w:val="22"/>
              </w:rPr>
              <w:t xml:space="preserve"> </w:t>
            </w:r>
            <w:r>
              <w:rPr>
                <w:rFonts w:ascii="Arial"/>
                <w:b/>
                <w:sz w:val="22"/>
              </w:rPr>
              <w:t>THE</w:t>
            </w:r>
            <w:r>
              <w:rPr>
                <w:rFonts w:ascii="Arial"/>
                <w:b/>
                <w:sz w:val="22"/>
              </w:rPr>
              <w:t xml:space="preserve"> </w:t>
            </w:r>
            <w:r>
              <w:rPr>
                <w:rFonts w:ascii="Arial"/>
                <w:b/>
                <w:sz w:val="22"/>
              </w:rPr>
              <w:t>PDF</w:t>
            </w:r>
            <w:r>
              <w:rPr>
                <w:rFonts w:ascii="Arial"/>
                <w:b/>
                <w:sz w:val="22"/>
              </w:rPr>
              <w:t xml:space="preserve"> </w:t>
            </w:r>
            <w:r>
              <w:rPr>
                <w:rFonts w:ascii="Arial"/>
                <w:b/>
                <w:sz w:val="22"/>
              </w:rPr>
              <w:t>OF</w:t>
            </w:r>
            <w:r>
              <w:rPr>
                <w:rFonts w:ascii="Arial"/>
                <w:b/>
                <w:sz w:val="22"/>
              </w:rPr>
              <w:t xml:space="preserve"> </w:t>
            </w:r>
            <w:r>
              <w:rPr>
                <w:rFonts w:ascii="Arial"/>
                <w:b/>
                <w:sz w:val="22"/>
              </w:rPr>
              <w:t>YOUR</w:t>
            </w:r>
            <w:r>
              <w:rPr>
                <w:rFonts w:ascii="Arial"/>
                <w:b/>
                <w:sz w:val="22"/>
              </w:rPr>
              <w:t xml:space="preserve"> </w:t>
            </w:r>
            <w:r>
              <w:rPr>
                <w:rFonts w:ascii="Arial"/>
                <w:b/>
                <w:sz w:val="22"/>
              </w:rPr>
              <w:t>PAPER</w:t>
            </w:r>
            <w:r>
              <w:rPr>
                <w:rFonts w:ascii="Arial"/>
                <w:b/>
                <w:sz w:val="22"/>
              </w:rPr>
              <w:t xml:space="preserve"> </w:t>
            </w:r>
            <w:r>
              <w:rPr>
                <w:rFonts w:ascii="Arial"/>
                <w:b/>
                <w:sz w:val="22"/>
              </w:rPr>
              <w:t>IN</w:t>
            </w:r>
            <w:r>
              <w:rPr>
                <w:rFonts w:ascii="Arial"/>
                <w:b/>
                <w:sz w:val="22"/>
              </w:rPr>
              <w:t xml:space="preserve"> </w:t>
            </w:r>
            <w:r>
              <w:rPr>
                <w:rFonts w:ascii="Arial"/>
                <w:b/>
                <w:sz w:val="22"/>
              </w:rPr>
              <w:t>TURNITIN</w:t>
            </w:r>
            <w:r>
              <w:rPr>
                <w:rFonts w:ascii="Arial"/>
                <w:b/>
                <w:sz w:val="22"/>
              </w:rPr>
              <w:t xml:space="preserve"> </w:t>
            </w:r>
          </w:p>
          <w:p>
            <w:pPr>
              <w:pStyle w:val="style94"/>
              <w:spacing w:before="0" w:after="0"/>
              <w:rPr/>
            </w:pPr>
          </w:p>
          <w:p>
            <w:pPr>
              <w:pStyle w:val="style94"/>
              <w:spacing w:before="0" w:after="0"/>
              <w:rPr/>
            </w:pPr>
          </w:p>
          <w:p>
            <w:pPr>
              <w:pStyle w:val="style94"/>
              <w:spacing w:before="0" w:after="0"/>
              <w:rPr/>
            </w:pPr>
            <w:r>
              <w:rPr>
                <w:rFonts w:ascii="Arial" w:hAnsi="Arial"/>
                <w:b/>
                <w:sz w:val="22"/>
                <w:szCs w:val="22"/>
              </w:rPr>
              <w:t>For</w:t>
            </w:r>
            <w:r>
              <w:rPr>
                <w:rFonts w:ascii="Arial" w:hAnsi="Arial"/>
                <w:b/>
                <w:sz w:val="22"/>
                <w:szCs w:val="22"/>
              </w:rPr>
              <w:t xml:space="preserve"> </w:t>
            </w:r>
            <w:r>
              <w:rPr>
                <w:rFonts w:ascii="Arial" w:hAnsi="Arial"/>
                <w:b/>
                <w:sz w:val="22"/>
                <w:szCs w:val="22"/>
              </w:rPr>
              <w:t>completion</w:t>
            </w:r>
            <w:r>
              <w:rPr>
                <w:rFonts w:ascii="Arial" w:hAnsi="Arial"/>
                <w:b/>
                <w:sz w:val="22"/>
                <w:szCs w:val="22"/>
              </w:rPr>
              <w:t xml:space="preserve"> </w:t>
            </w:r>
            <w:r>
              <w:rPr>
                <w:rFonts w:ascii="Arial" w:hAnsi="Arial"/>
                <w:b/>
                <w:sz w:val="22"/>
                <w:szCs w:val="22"/>
              </w:rPr>
              <w:t>by</w:t>
            </w:r>
            <w:r>
              <w:rPr>
                <w:rFonts w:ascii="Arial" w:hAnsi="Arial"/>
                <w:b/>
                <w:sz w:val="22"/>
                <w:szCs w:val="22"/>
              </w:rPr>
              <w:t xml:space="preserve"> </w:t>
            </w:r>
            <w:r>
              <w:rPr>
                <w:rFonts w:ascii="Arial" w:hAnsi="Arial"/>
                <w:b/>
                <w:sz w:val="22"/>
                <w:szCs w:val="22"/>
              </w:rPr>
              <w:t>M</w:t>
            </w:r>
            <w:r>
              <w:rPr>
                <w:rFonts w:ascii="Arial" w:hAnsi="Arial"/>
                <w:b/>
                <w:sz w:val="22"/>
                <w:szCs w:val="22"/>
              </w:rPr>
              <w:t>arker</w:t>
            </w:r>
            <w:r>
              <w:rPr>
                <w:rFonts w:ascii="Arial" w:hAnsi="Arial"/>
                <w:b/>
                <w:sz w:val="22"/>
                <w:szCs w:val="22"/>
              </w:rPr>
              <w:t xml:space="preserve"> </w:t>
            </w:r>
            <w:r>
              <w:rPr>
                <w:rFonts w:ascii="Arial" w:hAnsi="Arial"/>
                <w:b/>
                <w:sz w:val="22"/>
                <w:szCs w:val="22"/>
              </w:rPr>
              <w:t>1</w:t>
            </w:r>
            <w:r>
              <w:rPr>
                <w:rFonts w:ascii="Arial" w:hAnsi="Arial"/>
                <w:b/>
                <w:sz w:val="22"/>
                <w:szCs w:val="22"/>
              </w:rPr>
              <w:t xml:space="preserve"> </w:t>
            </w:r>
            <w:r>
              <w:rPr>
                <w:rFonts w:ascii="Arial" w:hAnsi="Arial"/>
                <w:b/>
                <w:sz w:val="22"/>
                <w:szCs w:val="22"/>
              </w:rPr>
              <w:t>:</w:t>
            </w:r>
          </w:p>
          <w:p>
            <w:pPr>
              <w:pStyle w:val="style94"/>
              <w:rPr/>
            </w:pPr>
            <w:r>
              <w:rPr>
                <w:rFonts w:ascii="Arial" w:hAnsi="Arial"/>
                <w:sz w:val="22"/>
                <w:szCs w:val="22"/>
              </w:rPr>
              <w:t>Comments</w:t>
            </w:r>
            <w:r>
              <w:rPr>
                <w:rFonts w:ascii="Arial" w:hAnsi="Arial"/>
                <w:sz w:val="22"/>
                <w:szCs w:val="22"/>
              </w:rPr>
              <w:t>:</w:t>
            </w:r>
          </w:p>
          <w:p>
            <w:pPr>
              <w:pStyle w:val="style94"/>
              <w:rPr/>
            </w:pPr>
          </w:p>
        </w:tc>
      </w:tr>
      <w:tr>
        <w:tblPrEx/>
        <w:trPr>
          <w:cantSplit w:val="false"/>
          <w:trHeight w:val="492" w:hRule="atLeast"/>
          <w:tblHeader w:val="false"/>
          <w:jc w:val="left"/>
        </w:trPr>
        <w:tc>
          <w:tcPr>
            <w:tcW w:w="6768" w:type="dxa"/>
            <w:gridSpan w:val="3"/>
            <w:tcBorders>
              <w:top w:val="single" w:sz="4" w:space="0" w:color="auto"/>
              <w:left w:val="single" w:sz="4" w:space="0" w:color="auto"/>
              <w:bottom w:val="single" w:sz="4" w:space="0" w:color="auto"/>
              <w:right w:val="single" w:sz="4" w:space="0" w:color="auto"/>
            </w:tcBorders>
          </w:tcPr>
          <w:p>
            <w:pPr>
              <w:pStyle w:val="style94"/>
              <w:ind w:left="142" w:right="34"/>
              <w:rPr/>
            </w:pPr>
            <w:r>
              <w:rPr>
                <w:rFonts w:ascii="Arial" w:hAnsi="Arial"/>
                <w:sz w:val="22"/>
                <w:szCs w:val="22"/>
              </w:rPr>
              <w:t>M</w:t>
            </w:r>
            <w:r>
              <w:rPr>
                <w:rFonts w:ascii="Arial" w:hAnsi="Arial"/>
                <w:sz w:val="22"/>
                <w:szCs w:val="22"/>
              </w:rPr>
              <w:t>arker</w:t>
            </w:r>
            <w:r>
              <w:rPr>
                <w:rFonts w:ascii="Arial" w:hAnsi="Arial"/>
                <w:sz w:val="22"/>
                <w:szCs w:val="22"/>
              </w:rPr>
              <w:t>’s</w:t>
            </w:r>
            <w:r>
              <w:rPr>
                <w:rFonts w:ascii="Arial" w:hAnsi="Arial"/>
                <w:sz w:val="22"/>
                <w:szCs w:val="22"/>
              </w:rPr>
              <w:t xml:space="preserve"> </w:t>
            </w:r>
            <w:r>
              <w:rPr>
                <w:rFonts w:ascii="Arial" w:hAnsi="Arial"/>
                <w:sz w:val="22"/>
                <w:szCs w:val="22"/>
              </w:rPr>
              <w:t>signatur</w:t>
            </w:r>
            <w:r>
              <w:rPr>
                <w:rFonts w:ascii="Arial" w:hAnsi="Arial"/>
                <w:sz w:val="22"/>
                <w:szCs w:val="22"/>
              </w:rPr>
              <w:t>e:</w:t>
            </w:r>
          </w:p>
        </w:tc>
        <w:tc>
          <w:tcPr>
            <w:tcW w:w="2088" w:type="dxa"/>
            <w:gridSpan w:val="3"/>
            <w:tcBorders>
              <w:top w:val="single" w:sz="4" w:space="0" w:color="auto"/>
              <w:left w:val="single" w:sz="4" w:space="0" w:color="auto"/>
              <w:bottom w:val="single" w:sz="4" w:space="0" w:color="auto"/>
              <w:right w:val="single" w:sz="4" w:space="0" w:color="auto"/>
            </w:tcBorders>
          </w:tcPr>
          <w:p>
            <w:pPr>
              <w:pStyle w:val="style94"/>
              <w:spacing w:after="0"/>
              <w:ind w:left="142" w:right="34"/>
              <w:rPr/>
            </w:pPr>
            <w:r>
              <w:rPr>
                <w:rFonts w:ascii="Arial" w:hAnsi="Arial"/>
                <w:sz w:val="22"/>
                <w:szCs w:val="22"/>
              </w:rPr>
              <w:t>D</w:t>
            </w:r>
            <w:r>
              <w:rPr>
                <w:rFonts w:ascii="Arial" w:hAnsi="Arial"/>
                <w:sz w:val="22"/>
                <w:szCs w:val="22"/>
              </w:rPr>
              <w:t>ate</w:t>
            </w:r>
            <w:r>
              <w:rPr>
                <w:rFonts w:ascii="Arial" w:hAnsi="Arial"/>
                <w:sz w:val="22"/>
                <w:szCs w:val="22"/>
              </w:rPr>
              <w:t>:</w:t>
            </w:r>
          </w:p>
        </w:tc>
      </w:tr>
      <w:tr>
        <w:tblPrEx/>
        <w:trPr>
          <w:cantSplit w:val="false"/>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94"/>
              <w:spacing w:before="0" w:after="0"/>
              <w:ind w:right="-334"/>
              <w:rPr/>
            </w:pPr>
          </w:p>
          <w:p>
            <w:pPr>
              <w:pStyle w:val="style94"/>
              <w:spacing w:before="0" w:after="0"/>
              <w:ind w:right="-334"/>
              <w:rPr/>
            </w:pPr>
            <w:r>
              <w:rPr>
                <w:rFonts w:ascii="Arial" w:hAnsi="Arial"/>
                <w:b/>
                <w:sz w:val="22"/>
                <w:szCs w:val="22"/>
              </w:rPr>
              <w:t>For</w:t>
            </w:r>
            <w:r>
              <w:rPr>
                <w:rFonts w:ascii="Arial" w:hAnsi="Arial"/>
                <w:b/>
                <w:sz w:val="22"/>
                <w:szCs w:val="22"/>
              </w:rPr>
              <w:t xml:space="preserve"> </w:t>
            </w:r>
            <w:r>
              <w:rPr>
                <w:rFonts w:ascii="Arial" w:hAnsi="Arial"/>
                <w:b/>
                <w:sz w:val="22"/>
                <w:szCs w:val="22"/>
              </w:rPr>
              <w:t>completion</w:t>
            </w:r>
            <w:r>
              <w:rPr>
                <w:rFonts w:ascii="Arial" w:hAnsi="Arial"/>
                <w:b/>
                <w:sz w:val="22"/>
                <w:szCs w:val="22"/>
              </w:rPr>
              <w:t xml:space="preserve"> </w:t>
            </w:r>
            <w:r>
              <w:rPr>
                <w:rFonts w:ascii="Arial" w:hAnsi="Arial"/>
                <w:b/>
                <w:sz w:val="22"/>
                <w:szCs w:val="22"/>
              </w:rPr>
              <w:t>by</w:t>
            </w:r>
            <w:r>
              <w:rPr>
                <w:rFonts w:ascii="Arial" w:hAnsi="Arial"/>
                <w:b/>
                <w:sz w:val="22"/>
                <w:szCs w:val="22"/>
              </w:rPr>
              <w:t xml:space="preserve"> </w:t>
            </w:r>
            <w:r>
              <w:rPr>
                <w:rFonts w:ascii="Arial" w:hAnsi="Arial"/>
                <w:b/>
                <w:sz w:val="22"/>
                <w:szCs w:val="22"/>
              </w:rPr>
              <w:t>M</w:t>
            </w:r>
            <w:r>
              <w:rPr>
                <w:rFonts w:ascii="Arial" w:hAnsi="Arial"/>
                <w:b/>
                <w:sz w:val="22"/>
                <w:szCs w:val="22"/>
              </w:rPr>
              <w:t>arker</w:t>
            </w:r>
            <w:r>
              <w:rPr>
                <w:rFonts w:ascii="Arial" w:hAnsi="Arial"/>
                <w:b/>
                <w:sz w:val="22"/>
                <w:szCs w:val="22"/>
              </w:rPr>
              <w:t xml:space="preserve"> </w:t>
            </w:r>
            <w:r>
              <w:rPr>
                <w:rFonts w:ascii="Arial" w:hAnsi="Arial"/>
                <w:b/>
                <w:sz w:val="22"/>
                <w:szCs w:val="22"/>
              </w:rPr>
              <w:t>2</w:t>
            </w:r>
            <w:r>
              <w:rPr>
                <w:rFonts w:ascii="Arial" w:hAnsi="Arial"/>
                <w:b/>
                <w:sz w:val="22"/>
                <w:szCs w:val="22"/>
              </w:rPr>
              <w:t>/M</w:t>
            </w:r>
            <w:r>
              <w:rPr>
                <w:rFonts w:ascii="Arial" w:hAnsi="Arial"/>
                <w:b/>
                <w:sz w:val="22"/>
                <w:szCs w:val="22"/>
              </w:rPr>
              <w:t>oderator</w:t>
            </w:r>
            <w:r>
              <w:rPr>
                <w:rFonts w:ascii="Arial" w:hAnsi="Arial"/>
                <w:b/>
                <w:sz w:val="22"/>
                <w:szCs w:val="22"/>
              </w:rPr>
              <w:t>:</w:t>
            </w:r>
          </w:p>
          <w:p>
            <w:pPr>
              <w:pStyle w:val="style94"/>
              <w:spacing w:before="0" w:after="0"/>
              <w:ind w:right="-334"/>
              <w:rPr/>
            </w:pPr>
          </w:p>
          <w:p>
            <w:pPr>
              <w:pStyle w:val="style94"/>
              <w:spacing w:before="0" w:after="0"/>
              <w:ind w:right="-334"/>
              <w:rPr/>
            </w:pPr>
            <w:r>
              <w:rPr>
                <w:rFonts w:ascii="Arial" w:hAnsi="Arial"/>
                <w:sz w:val="22"/>
                <w:szCs w:val="22"/>
              </w:rPr>
              <w:t>Comments:</w:t>
            </w:r>
          </w:p>
          <w:p>
            <w:pPr>
              <w:pStyle w:val="style94"/>
              <w:spacing w:before="0" w:after="0"/>
              <w:ind w:right="-334"/>
              <w:rPr/>
            </w:pPr>
          </w:p>
          <w:p>
            <w:pPr>
              <w:pStyle w:val="style94"/>
              <w:spacing w:before="0" w:after="0"/>
              <w:ind w:right="-334"/>
              <w:rPr/>
            </w:pPr>
          </w:p>
        </w:tc>
      </w:tr>
      <w:tr>
        <w:tblPrEx/>
        <w:trPr>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pStyle w:val="style94"/>
              <w:spacing w:before="0" w:after="0"/>
              <w:ind w:right="-334"/>
              <w:rPr/>
            </w:pPr>
            <w:r>
              <w:rPr>
                <w:rFonts w:ascii="Arial" w:hAnsi="Arial"/>
                <w:sz w:val="22"/>
                <w:szCs w:val="22"/>
              </w:rPr>
              <w:t>Marker’s</w:t>
            </w:r>
            <w:r>
              <w:rPr>
                <w:rFonts w:ascii="Arial" w:hAnsi="Arial"/>
                <w:sz w:val="22"/>
                <w:szCs w:val="22"/>
              </w:rPr>
              <w:t xml:space="preserve"> </w:t>
            </w:r>
            <w:r>
              <w:rPr>
                <w:rFonts w:ascii="Arial" w:hAnsi="Arial"/>
                <w:sz w:val="22"/>
                <w:szCs w:val="22"/>
              </w:rPr>
              <w:t>Signature</w:t>
            </w:r>
            <w:r>
              <w:rPr>
                <w:rFonts w:ascii="Arial" w:hAnsi="Arial"/>
                <w:sz w:val="22"/>
                <w:szCs w:val="22"/>
              </w:rPr>
              <w:t>:</w:t>
            </w:r>
          </w:p>
        </w:tc>
        <w:tc>
          <w:tcPr>
            <w:tcW w:w="3645" w:type="dxa"/>
            <w:gridSpan w:val="4"/>
            <w:tcBorders>
              <w:top w:val="single" w:sz="4" w:space="0" w:color="auto"/>
              <w:left w:val="single" w:sz="4" w:space="0" w:color="auto"/>
              <w:bottom w:val="single" w:sz="4" w:space="0" w:color="auto"/>
              <w:right w:val="single" w:sz="4" w:space="0" w:color="auto"/>
            </w:tcBorders>
          </w:tcPr>
          <w:p>
            <w:pPr>
              <w:pStyle w:val="style94"/>
              <w:spacing w:before="0" w:after="0"/>
              <w:ind w:right="-334"/>
              <w:rPr/>
            </w:pPr>
            <w:r>
              <w:rPr>
                <w:rFonts w:ascii="Arial" w:hAnsi="Arial"/>
                <w:sz w:val="22"/>
                <w:szCs w:val="22"/>
              </w:rPr>
              <w:t>Date:</w:t>
            </w:r>
          </w:p>
        </w:tc>
      </w:tr>
      <w:tr>
        <w:tblPrEx/>
        <w:trPr>
          <w:cantSplit w:val="false"/>
          <w:trHeight w:val="720"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0"/>
              <w:rPr/>
            </w:pPr>
            <w:r>
              <w:rPr>
                <w:rFonts w:ascii="Arial" w:hAnsi="Arial"/>
                <w:b/>
                <w:sz w:val="22"/>
                <w:szCs w:val="22"/>
              </w:rPr>
              <w:t>External</w:t>
            </w:r>
            <w:r>
              <w:rPr>
                <w:rFonts w:ascii="Arial" w:hAnsi="Arial"/>
                <w:b/>
                <w:sz w:val="22"/>
                <w:szCs w:val="22"/>
              </w:rPr>
              <w:t xml:space="preserve"> </w:t>
            </w:r>
            <w:r>
              <w:rPr>
                <w:rFonts w:ascii="Arial" w:hAnsi="Arial"/>
                <w:b/>
                <w:sz w:val="22"/>
                <w:szCs w:val="22"/>
              </w:rPr>
              <w:t>Examiner’s</w:t>
            </w:r>
            <w:r>
              <w:rPr>
                <w:rFonts w:ascii="Arial" w:hAnsi="Arial"/>
                <w:b/>
                <w:sz w:val="22"/>
                <w:szCs w:val="22"/>
              </w:rPr>
              <w:t xml:space="preserve"> </w:t>
            </w:r>
            <w:r>
              <w:rPr>
                <w:rFonts w:ascii="Arial" w:hAnsi="Arial"/>
                <w:b/>
                <w:sz w:val="22"/>
                <w:szCs w:val="22"/>
              </w:rPr>
              <w:t>comments</w:t>
            </w:r>
            <w:r>
              <w:rPr>
                <w:rFonts w:ascii="Arial" w:hAnsi="Arial"/>
                <w:b/>
                <w:sz w:val="22"/>
                <w:szCs w:val="22"/>
              </w:rPr>
              <w:t xml:space="preserve"> </w:t>
            </w:r>
            <w:r>
              <w:rPr>
                <w:rFonts w:ascii="Arial" w:hAnsi="Arial"/>
                <w:b/>
                <w:sz w:val="22"/>
                <w:szCs w:val="22"/>
              </w:rPr>
              <w:t>(if</w:t>
            </w:r>
            <w:r>
              <w:rPr>
                <w:rFonts w:ascii="Arial" w:hAnsi="Arial"/>
                <w:b/>
                <w:sz w:val="22"/>
                <w:szCs w:val="22"/>
              </w:rPr>
              <w:t xml:space="preserve"> </w:t>
            </w:r>
            <w:r>
              <w:rPr>
                <w:rFonts w:ascii="Arial" w:hAnsi="Arial"/>
                <w:b/>
                <w:sz w:val="22"/>
                <w:szCs w:val="22"/>
              </w:rPr>
              <w:t>relevant)</w:t>
            </w:r>
          </w:p>
          <w:p>
            <w:pPr>
              <w:pStyle w:val="style94"/>
              <w:spacing w:before="0" w:after="0"/>
              <w:ind w:right="-334"/>
              <w:rPr/>
            </w:pPr>
          </w:p>
        </w:tc>
      </w:tr>
      <w:tr>
        <w:tblPrEx/>
        <w:trPr>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pStyle w:val="style0"/>
              <w:rPr/>
            </w:pPr>
            <w:r>
              <w:rPr>
                <w:rFonts w:ascii="Arial" w:hAnsi="Arial"/>
                <w:sz w:val="22"/>
                <w:szCs w:val="22"/>
              </w:rPr>
              <w:t>External</w:t>
            </w:r>
            <w:r>
              <w:rPr>
                <w:rFonts w:ascii="Arial" w:hAnsi="Arial"/>
                <w:sz w:val="22"/>
                <w:szCs w:val="22"/>
              </w:rPr>
              <w:t xml:space="preserve"> </w:t>
            </w:r>
            <w:r>
              <w:rPr>
                <w:rFonts w:ascii="Arial" w:hAnsi="Arial"/>
                <w:sz w:val="22"/>
                <w:szCs w:val="22"/>
              </w:rPr>
              <w:t>Examiner’s</w:t>
            </w:r>
            <w:r>
              <w:rPr>
                <w:rFonts w:ascii="Arial" w:hAnsi="Arial"/>
                <w:sz w:val="22"/>
                <w:szCs w:val="22"/>
              </w:rPr>
              <w:t xml:space="preserve"> </w:t>
            </w:r>
            <w:r>
              <w:rPr>
                <w:rFonts w:ascii="Arial" w:hAnsi="Arial"/>
                <w:sz w:val="22"/>
                <w:szCs w:val="22"/>
              </w:rPr>
              <w:t>Signature:</w:t>
            </w:r>
          </w:p>
        </w:tc>
        <w:tc>
          <w:tcPr>
            <w:tcW w:w="3645" w:type="dxa"/>
            <w:gridSpan w:val="4"/>
            <w:tcBorders>
              <w:top w:val="single" w:sz="4" w:space="0" w:color="auto"/>
              <w:left w:val="single" w:sz="4" w:space="0" w:color="auto"/>
              <w:bottom w:val="single" w:sz="4" w:space="0" w:color="auto"/>
              <w:right w:val="single" w:sz="4" w:space="0" w:color="auto"/>
            </w:tcBorders>
          </w:tcPr>
          <w:p>
            <w:pPr>
              <w:pStyle w:val="style0"/>
              <w:rPr/>
            </w:pPr>
            <w:r>
              <w:rPr>
                <w:rFonts w:ascii="Arial" w:hAnsi="Arial"/>
                <w:sz w:val="22"/>
                <w:szCs w:val="22"/>
              </w:rPr>
              <w:t>Date:</w:t>
            </w:r>
          </w:p>
        </w:tc>
      </w:tr>
    </w:tbl>
    <w:p>
      <w:pPr>
        <w:pStyle w:val="style94"/>
        <w:spacing w:before="0" w:after="0"/>
        <w:ind w:right="-334"/>
        <w:rPr/>
      </w:pPr>
    </w:p>
    <w:p>
      <w:pPr>
        <w:pStyle w:val="style4099"/>
        <w:jc w:val="center"/>
        <w:rPr>
          <w:lang w:val="en-US"/>
        </w:rPr>
      </w:pPr>
    </w:p>
    <w:p>
      <w:pPr>
        <w:pStyle w:val="style4099"/>
        <w:jc w:val="center"/>
        <w:rPr>
          <w:lang w:val="en-US"/>
        </w:rPr>
      </w:pPr>
    </w:p>
    <w:p>
      <w:pPr>
        <w:pStyle w:val="style4099"/>
        <w:jc w:val="center"/>
        <w:rPr>
          <w:lang w:val="en-US"/>
        </w:rPr>
      </w:pPr>
    </w:p>
    <w:p>
      <w:pPr>
        <w:pStyle w:val="style4099"/>
        <w:jc w:val="center"/>
        <w:rPr>
          <w:lang w:val="en-US"/>
        </w:rPr>
      </w:pPr>
    </w:p>
    <w:p>
      <w:pPr>
        <w:pStyle w:val="style4099"/>
        <w:jc w:val="center"/>
        <w:rPr>
          <w:lang w:val="en-US"/>
        </w:rPr>
      </w:pPr>
    </w:p>
    <w:p>
      <w:pPr>
        <w:pStyle w:val="style4099"/>
        <w:jc w:val="center"/>
        <w:rPr>
          <w:lang w:val="en-US"/>
        </w:rPr>
      </w:pPr>
    </w:p>
    <w:p>
      <w:pPr>
        <w:pStyle w:val="style4099"/>
        <w:jc w:val="center"/>
        <w:rPr>
          <w:lang w:val="en-US"/>
        </w:rPr>
      </w:pPr>
    </w:p>
    <w:p>
      <w:pPr>
        <w:pStyle w:val="style4099"/>
        <w:jc w:val="center"/>
        <w:rPr>
          <w:lang w:val="en-US"/>
        </w:rPr>
      </w:pPr>
    </w:p>
    <w:p>
      <w:pPr>
        <w:pStyle w:val="style4099"/>
        <w:jc w:val="center"/>
        <w:rPr>
          <w:lang w:val="en-US"/>
        </w:rPr>
      </w:pPr>
    </w:p>
    <w:p>
      <w:pPr>
        <w:pStyle w:val="style4099"/>
        <w:jc w:val="center"/>
        <w:rPr>
          <w:lang w:val="en-US"/>
        </w:rPr>
      </w:pPr>
    </w:p>
    <w:p>
      <w:pPr>
        <w:pStyle w:val="style4099"/>
        <w:jc w:val="center"/>
        <w:rPr/>
      </w:pPr>
      <w:r>
        <w:rPr>
          <w:lang w:val="en-US"/>
        </w:rPr>
        <w:t xml:space="preserve">Depictions of Heaven in Three Sky Paintings of the Italian Renaissance </w:t>
      </w:r>
    </w:p>
    <w:p>
      <w:pPr>
        <w:pStyle w:val="style4099"/>
        <w:jc w:val="center"/>
        <w:rPr/>
      </w:pPr>
    </w:p>
    <w:p>
      <w:pPr>
        <w:pStyle w:val="style4099"/>
        <w:jc w:val="center"/>
        <w:rPr/>
      </w:pPr>
    </w:p>
    <w:p>
      <w:pPr>
        <w:pStyle w:val="style4099"/>
        <w:rPr/>
      </w:pPr>
      <w:r>
        <w:rPr>
          <w:lang w:val="en-US"/>
        </w:rPr>
        <w:t xml:space="preserve">It is noted in the National Gallery book </w:t>
      </w:r>
      <w:r>
        <w:rPr>
          <w:i/>
          <w:iCs/>
          <w:lang w:val="en-US"/>
        </w:rPr>
        <w:t>Heaven</w:t>
      </w:r>
      <w:r>
        <w:rPr>
          <w:lang w:val="en-US"/>
        </w:rPr>
        <w:t xml:space="preserve"> </w:t>
      </w:r>
      <w:r>
        <w:rPr>
          <w:i/>
          <w:iCs/>
          <w:lang w:val="en-US"/>
        </w:rPr>
        <w:t>in</w:t>
      </w:r>
      <w:r>
        <w:rPr>
          <w:lang w:val="en-US"/>
        </w:rPr>
        <w:t xml:space="preserve"> </w:t>
      </w:r>
      <w:r>
        <w:rPr>
          <w:i/>
          <w:iCs/>
          <w:lang w:val="en-US"/>
        </w:rPr>
        <w:t>Art</w:t>
      </w:r>
      <w:r>
        <w:rPr>
          <w:lang w:val="en-US"/>
        </w:rPr>
        <w:t xml:space="preserve"> that for much of history and specifically during the Renaissance era that the purpose of religious art was to visually represent celestial concepts described in the Bible and additional influential texts. An example of the latter would be the writings of St. Augustine. Erika Langmuir states in her Introduction to the book that:</w:t>
      </w:r>
    </w:p>
    <w:p>
      <w:pPr>
        <w:pStyle w:val="style4099"/>
        <w:rPr/>
      </w:pPr>
    </w:p>
    <w:p>
      <w:pPr>
        <w:pStyle w:val="style4099"/>
        <w:jc w:val="center"/>
        <w:rPr/>
      </w:pPr>
      <w:r>
        <w:rPr>
          <w:lang w:val="en-US"/>
        </w:rPr>
        <w:t>For hundreds of years, the main task of such paintings was to assist Christian devotion: to make the invisible tenets of faith visible to plain sight. Above all, the artists strive to surpass the evocative power of the words spoken and sung by prophets, mystics and poets, by depicting, in precious materials and with exquisite craft, the resplendence of Heaven, the ineffable tenderness of divine love and the and the fortitude of saints.</w:t>
      </w:r>
      <w:r>
        <w:rPr>
          <w:vertAlign w:val="superscript"/>
        </w:rPr>
        <w:footnoteReference w:id="1"/>
      </w:r>
    </w:p>
    <w:p>
      <w:pPr>
        <w:pStyle w:val="style4099"/>
        <w:jc w:val="center"/>
        <w:rPr/>
      </w:pPr>
    </w:p>
    <w:p>
      <w:pPr>
        <w:pStyle w:val="style4099"/>
        <w:jc w:val="center"/>
        <w:rPr/>
      </w:pPr>
    </w:p>
    <w:p>
      <w:pPr>
        <w:pStyle w:val="style4099"/>
        <w:rPr/>
      </w:pPr>
      <w:r>
        <w:rPr>
          <w:lang w:val="en-US"/>
        </w:rPr>
        <w:t xml:space="preserve">Renaissance literally means </w:t>
      </w:r>
      <w:r>
        <w:rPr>
          <w:lang w:val="en-US"/>
        </w:rPr>
        <w:t>‘</w:t>
      </w:r>
      <w:r>
        <w:rPr>
          <w:lang w:val="en-US"/>
        </w:rPr>
        <w:t>rebirth</w:t>
      </w:r>
      <w:r>
        <w:rPr>
          <w:lang w:val="en-US"/>
        </w:rPr>
        <w:t>’</w:t>
      </w:r>
      <w:r>
        <w:rPr>
          <w:lang w:val="en-US"/>
        </w:rPr>
        <w:t>, and refers to the rediscovery of texts from the Classical world. The Ancient texts were subsequently translated and circulated. This, and the increasing literacy of the period led to a phenomenon known as the New Learning.</w:t>
      </w:r>
      <w:r>
        <w:rPr>
          <w:rFonts w:ascii="Arial Rounded MT Bold" w:cs="Arial Rounded MT Bold" w:eastAsia="Arial Rounded MT Bold" w:hAnsi="Arial Rounded MT Bold"/>
          <w:b w:val="false"/>
          <w:bCs w:val="false"/>
          <w:i w:val="false"/>
          <w:iCs w:val="false"/>
          <w:vertAlign w:val="superscript"/>
        </w:rPr>
        <w:footnoteReference w:id="2"/>
      </w:r>
      <w:r>
        <w:rPr>
          <w:lang w:val="en-US"/>
        </w:rPr>
        <w:t xml:space="preserve"> There were substantial cultural developments during this period, including the prominent example of Renaissance Art. Italy is the country focused on in this essay. It is among the European countries that had an influential and innovative art movement during this period. Evidence for this includes the fact that whole books have been published on Italian Renaissance Art, many of which are sources for this essay. Ancient texts relevant to the Italian Renaissance translated at this time included most of Plato</w:t>
      </w:r>
      <w:r>
        <w:rPr>
          <w:lang w:val="en-US"/>
        </w:rPr>
        <w:t>’</w:t>
      </w:r>
      <w:r>
        <w:rPr>
          <w:lang w:val="en-US"/>
        </w:rPr>
        <w:t>s works, the Roman Neoplatonists and the Hermetic texts.</w:t>
      </w:r>
      <w:r>
        <w:rPr>
          <w:lang w:val="en-US"/>
        </w:rPr>
        <w:t xml:space="preserve"> Italian Renaissance Art included works of both painting and sculpture. This essay will focus on the paintings. There is some debate over the exact dates of the Renaissance. However, 1500-1700 is the conservative estimate used for this essay. The three paintings examined here were all created during this time period. They are also all located in the National Gallery in London, and all feature in Langmuir</w:t>
      </w:r>
      <w:r>
        <w:rPr>
          <w:lang w:val="en-US"/>
        </w:rPr>
        <w:t>’</w:t>
      </w:r>
      <w:r>
        <w:rPr>
          <w:lang w:val="en-US"/>
        </w:rPr>
        <w:t>s book. Chronologically, the three paintings are Sandro Botticelli</w:t>
      </w:r>
      <w:r>
        <w:rPr>
          <w:lang w:val="en-US"/>
        </w:rPr>
        <w:t>’</w:t>
      </w:r>
      <w:r>
        <w:rPr>
          <w:lang w:val="en-US"/>
        </w:rPr>
        <w:t xml:space="preserve">s </w:t>
      </w:r>
      <w:r>
        <w:rPr>
          <w:i/>
          <w:iCs/>
          <w:lang w:val="en-US"/>
        </w:rPr>
        <w:t>Mystic</w:t>
      </w:r>
      <w:r>
        <w:rPr>
          <w:lang w:val="en-US"/>
        </w:rPr>
        <w:t xml:space="preserve"> </w:t>
      </w:r>
      <w:r>
        <w:rPr>
          <w:i/>
          <w:iCs/>
          <w:lang w:val="en-US"/>
        </w:rPr>
        <w:t>Nativity</w:t>
      </w:r>
      <w:r>
        <w:rPr>
          <w:lang w:val="en-US"/>
        </w:rPr>
        <w:t xml:space="preserve"> (1500), Garofalo</w:t>
      </w:r>
      <w:r>
        <w:rPr>
          <w:lang w:val="en-US"/>
        </w:rPr>
        <w:t>’</w:t>
      </w:r>
      <w:r>
        <w:rPr>
          <w:lang w:val="en-US"/>
        </w:rPr>
        <w:t xml:space="preserve">s </w:t>
      </w:r>
      <w:r>
        <w:rPr>
          <w:i/>
          <w:iCs/>
          <w:lang w:val="en-US"/>
        </w:rPr>
        <w:t>Saint</w:t>
      </w:r>
      <w:r>
        <w:rPr>
          <w:lang w:val="en-US"/>
        </w:rPr>
        <w:t xml:space="preserve"> </w:t>
      </w:r>
      <w:r>
        <w:rPr>
          <w:i/>
          <w:iCs/>
          <w:lang w:val="en-US"/>
        </w:rPr>
        <w:t>Augustine</w:t>
      </w:r>
      <w:r>
        <w:rPr>
          <w:lang w:val="en-US"/>
        </w:rPr>
        <w:t xml:space="preserve"> </w:t>
      </w:r>
      <w:r>
        <w:rPr>
          <w:i/>
          <w:iCs/>
          <w:lang w:val="en-US"/>
        </w:rPr>
        <w:t>with</w:t>
      </w:r>
      <w:r>
        <w:rPr>
          <w:lang w:val="en-US"/>
        </w:rPr>
        <w:t xml:space="preserve"> </w:t>
      </w:r>
      <w:r>
        <w:rPr>
          <w:i/>
          <w:iCs/>
          <w:lang w:val="en-US"/>
        </w:rPr>
        <w:t>the</w:t>
      </w:r>
      <w:r>
        <w:rPr>
          <w:lang w:val="en-US"/>
        </w:rPr>
        <w:t xml:space="preserve"> </w:t>
      </w:r>
      <w:r>
        <w:rPr>
          <w:i/>
          <w:iCs/>
          <w:lang w:val="en-US"/>
        </w:rPr>
        <w:t>Holy</w:t>
      </w:r>
      <w:r>
        <w:rPr>
          <w:lang w:val="en-US"/>
        </w:rPr>
        <w:t xml:space="preserve"> </w:t>
      </w:r>
      <w:r>
        <w:rPr>
          <w:i/>
          <w:iCs/>
          <w:lang w:val="en-US"/>
        </w:rPr>
        <w:t>Family</w:t>
      </w:r>
      <w:r>
        <w:rPr>
          <w:lang w:val="en-US"/>
        </w:rPr>
        <w:t xml:space="preserve"> </w:t>
      </w:r>
      <w:r>
        <w:rPr>
          <w:i/>
          <w:iCs/>
          <w:lang w:val="en-US"/>
        </w:rPr>
        <w:t>and</w:t>
      </w:r>
      <w:r>
        <w:rPr>
          <w:lang w:val="en-US"/>
        </w:rPr>
        <w:t xml:space="preserve"> </w:t>
      </w:r>
      <w:r>
        <w:rPr>
          <w:i/>
          <w:iCs/>
          <w:lang w:val="en-US"/>
        </w:rPr>
        <w:t>Saint</w:t>
      </w:r>
      <w:r>
        <w:rPr>
          <w:lang w:val="en-US"/>
        </w:rPr>
        <w:t xml:space="preserve"> </w:t>
      </w:r>
      <w:r>
        <w:rPr>
          <w:i/>
          <w:iCs/>
          <w:lang w:val="en-US"/>
        </w:rPr>
        <w:t>Catherine</w:t>
      </w:r>
      <w:r>
        <w:rPr>
          <w:lang w:val="en-US"/>
        </w:rPr>
        <w:t xml:space="preserve"> </w:t>
      </w:r>
      <w:r>
        <w:rPr>
          <w:i/>
          <w:iCs/>
          <w:lang w:val="en-US"/>
        </w:rPr>
        <w:t>of</w:t>
      </w:r>
      <w:r>
        <w:rPr>
          <w:lang w:val="en-US"/>
        </w:rPr>
        <w:t xml:space="preserve"> </w:t>
      </w:r>
      <w:r>
        <w:rPr>
          <w:i/>
          <w:iCs/>
          <w:lang w:val="en-US"/>
        </w:rPr>
        <w:t>Alexandria</w:t>
      </w:r>
      <w:r>
        <w:rPr>
          <w:lang w:val="en-US"/>
        </w:rPr>
        <w:t xml:space="preserve"> (</w:t>
      </w:r>
      <w:r>
        <w:rPr>
          <w:lang w:val="en-US"/>
        </w:rPr>
        <w:t>‘</w:t>
      </w:r>
      <w:r>
        <w:rPr>
          <w:i/>
          <w:iCs/>
          <w:lang w:val="en-US"/>
        </w:rPr>
        <w:t>The</w:t>
      </w:r>
      <w:r>
        <w:rPr>
          <w:lang w:val="en-US"/>
        </w:rPr>
        <w:t xml:space="preserve"> </w:t>
      </w:r>
      <w:r>
        <w:rPr>
          <w:i/>
          <w:iCs/>
          <w:lang w:val="en-US"/>
        </w:rPr>
        <w:t>Vision</w:t>
      </w:r>
      <w:r>
        <w:rPr>
          <w:lang w:val="en-US"/>
        </w:rPr>
        <w:t xml:space="preserve"> </w:t>
      </w:r>
      <w:r>
        <w:rPr>
          <w:i/>
          <w:iCs/>
          <w:lang w:val="en-US"/>
        </w:rPr>
        <w:t>of</w:t>
      </w:r>
      <w:r>
        <w:rPr>
          <w:lang w:val="en-US"/>
        </w:rPr>
        <w:t xml:space="preserve"> </w:t>
      </w:r>
      <w:r>
        <w:rPr>
          <w:i/>
          <w:iCs/>
          <w:lang w:val="en-US"/>
        </w:rPr>
        <w:t>Saint</w:t>
      </w:r>
      <w:r>
        <w:rPr>
          <w:lang w:val="en-US"/>
        </w:rPr>
        <w:t xml:space="preserve"> </w:t>
      </w:r>
      <w:r>
        <w:rPr>
          <w:i/>
          <w:iCs/>
          <w:lang w:val="en-US"/>
        </w:rPr>
        <w:t>Augustine</w:t>
      </w:r>
      <w:r>
        <w:rPr>
          <w:lang w:val="en-US"/>
        </w:rPr>
        <w:t>’</w:t>
      </w:r>
      <w:r>
        <w:rPr>
          <w:lang w:val="en-US"/>
        </w:rPr>
        <w:t>) (1520) and Guido Reni</w:t>
      </w:r>
      <w:r>
        <w:rPr>
          <w:lang w:val="en-US"/>
        </w:rPr>
        <w:t>’</w:t>
      </w:r>
      <w:r>
        <w:rPr>
          <w:lang w:val="en-US"/>
        </w:rPr>
        <w:t xml:space="preserve">s </w:t>
      </w:r>
      <w:r>
        <w:rPr>
          <w:i/>
          <w:iCs/>
          <w:lang w:val="en-US"/>
        </w:rPr>
        <w:t>The</w:t>
      </w:r>
      <w:r>
        <w:rPr>
          <w:lang w:val="en-US"/>
        </w:rPr>
        <w:t xml:space="preserve"> </w:t>
      </w:r>
      <w:r>
        <w:rPr>
          <w:i/>
          <w:iCs/>
          <w:lang w:val="en-US"/>
        </w:rPr>
        <w:t>Coronation</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Virgin</w:t>
      </w:r>
      <w:r>
        <w:rPr>
          <w:lang w:val="en-US"/>
        </w:rPr>
        <w:t xml:space="preserve"> (1607). These paintings all contain images of the sky that represent Heaven. Saints and angels typically inhabit them. The artists therefore recreate the sky as they may have observed it, while adding a vision of Heaven as they may have read about and imagined. This would subsequently allow their viewers to envision Heaven as the artists did, and connect it to the sky in spatial terms.</w:t>
      </w:r>
    </w:p>
    <w:p>
      <w:pPr>
        <w:pStyle w:val="style4099"/>
        <w:rPr/>
      </w:pPr>
    </w:p>
    <w:p>
      <w:pPr>
        <w:pStyle w:val="style4099"/>
        <w:rPr/>
      </w:pPr>
      <w:r>
        <w:rPr>
          <w:lang w:val="en-US"/>
        </w:rPr>
        <w:t>Rainer Hagen</w:t>
      </w:r>
      <w:r>
        <w:rPr>
          <w:lang w:val="en-US"/>
        </w:rPr>
        <w:t>’</w:t>
      </w:r>
      <w:r>
        <w:rPr>
          <w:lang w:val="en-US"/>
        </w:rPr>
        <w:t xml:space="preserve">s book, </w:t>
      </w:r>
      <w:r>
        <w:rPr>
          <w:i/>
          <w:iCs/>
          <w:lang w:val="en-US"/>
        </w:rPr>
        <w:t>15th</w:t>
      </w:r>
      <w:r>
        <w:rPr>
          <w:lang w:val="en-US"/>
        </w:rPr>
        <w:t xml:space="preserve"> </w:t>
      </w:r>
      <w:r>
        <w:rPr>
          <w:i/>
          <w:iCs/>
          <w:lang w:val="en-US"/>
        </w:rPr>
        <w:t>Century</w:t>
      </w:r>
      <w:r>
        <w:rPr>
          <w:lang w:val="en-US"/>
        </w:rPr>
        <w:t xml:space="preserve"> </w:t>
      </w:r>
      <w:r>
        <w:rPr>
          <w:i/>
          <w:iCs/>
          <w:lang w:val="en-US"/>
        </w:rPr>
        <w:t>Paintings</w:t>
      </w:r>
      <w:r>
        <w:rPr>
          <w:lang w:val="en-US"/>
        </w:rPr>
        <w:t xml:space="preserve"> (which covers Botticelli, as he lived in both the 15th and 16th centuries) states that:</w:t>
      </w:r>
    </w:p>
    <w:p>
      <w:pPr>
        <w:pStyle w:val="style4099"/>
        <w:rPr/>
      </w:pPr>
    </w:p>
    <w:p>
      <w:pPr>
        <w:pStyle w:val="style4099"/>
        <w:jc w:val="center"/>
        <w:rPr/>
      </w:pPr>
      <w:r>
        <w:rPr>
          <w:lang w:val="en-US"/>
        </w:rPr>
        <w:t>Practically all art had a religious content...only 13 percent of artworks had secular themes, the majority of them portraits.</w:t>
      </w:r>
      <w:r>
        <w:rPr>
          <w:vertAlign w:val="superscript"/>
        </w:rPr>
        <w:footnoteReference w:id="3"/>
      </w:r>
    </w:p>
    <w:p>
      <w:pPr>
        <w:pStyle w:val="style4099"/>
        <w:jc w:val="center"/>
        <w:rPr/>
      </w:pPr>
    </w:p>
    <w:p>
      <w:pPr>
        <w:pStyle w:val="style4099"/>
        <w:rPr/>
      </w:pPr>
      <w:r>
        <w:rPr>
          <w:lang w:val="en-US"/>
        </w:rPr>
        <w:t>Thus, the trends in art were emblematic of the widespread religious devotion of the period. Nevertheless, the Renaissance also marked the rise of Humanism. This meant that the capabilities of Man were given more emphasis than in previous time periods. Greenblatt and West both refer to this phenomenon, which had deep connections to Art.</w:t>
      </w:r>
      <w:r>
        <w:rPr>
          <w:rFonts w:ascii="Arial Rounded MT Bold" w:cs="Arial Rounded MT Bold" w:eastAsia="Arial Rounded MT Bold" w:hAnsi="Arial Rounded MT Bold"/>
          <w:b w:val="false"/>
          <w:bCs w:val="false"/>
          <w:i w:val="false"/>
          <w:iCs w:val="false"/>
          <w:vertAlign w:val="superscript"/>
        </w:rPr>
        <w:footnoteReference w:id="4"/>
      </w:r>
      <w:r>
        <w:rPr>
          <w:lang w:val="en-US"/>
        </w:rPr>
        <w:t xml:space="preserve"> The ultimate aim of Renaissance Humanism was to become the multi-talented Renaissance Man, the classic example being Leonardo Da Vinci, artist, scientist and inventor. In her extended title, Aston names the time period as: </w:t>
      </w:r>
      <w:r>
        <w:rPr>
          <w:lang w:val="en-US"/>
        </w:rPr>
        <w:t>“</w:t>
      </w:r>
      <w:r>
        <w:rPr>
          <w:lang w:val="en-US"/>
        </w:rPr>
        <w:t>the era of re-awakening, invention and achievement</w:t>
      </w:r>
      <w:r>
        <w:rPr>
          <w:lang w:val="en-US"/>
        </w:rPr>
        <w:t>”</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5"/>
      </w:r>
      <w:r>
        <w:rPr>
          <w:lang w:val="en-US"/>
        </w:rPr>
        <w:t xml:space="preserve"> Furthermore, as humanistic ideas spread, this led to a shift in public opinion on artists. They were increasingly viewed as intellectuals, rather than as simply craftsmen.They began to be considered as gifted, inspired and unique, whereas they had previously been thought of as tradesmen. This led to artists being given greater freedom in their commissions and having more influence over their own works. These changing attitudes towards artists are emphasised by West, who also illustrates them with relevant quotations from the artists themselves, including Michelangelo</w:t>
      </w:r>
      <w:r>
        <w:rPr>
          <w:lang w:val="en-US"/>
        </w:rPr>
        <w:t>’</w:t>
      </w:r>
      <w:r>
        <w:rPr>
          <w:lang w:val="en-US"/>
        </w:rPr>
        <w:t xml:space="preserve">s </w:t>
      </w:r>
      <w:r>
        <w:rPr>
          <w:lang w:val="en-US"/>
        </w:rPr>
        <w:t>“</w:t>
      </w:r>
      <w:r>
        <w:rPr>
          <w:lang w:val="en-US"/>
        </w:rPr>
        <w:t>one paints... with the brain</w:t>
      </w:r>
      <w:r>
        <w:rPr>
          <w:lang w:val="en-US"/>
        </w:rPr>
        <w:t xml:space="preserve">” </w:t>
      </w:r>
      <w:r>
        <w:rPr>
          <w:lang w:val="en-US"/>
        </w:rPr>
        <w:t>and Leonardo</w:t>
      </w:r>
      <w:r>
        <w:rPr>
          <w:lang w:val="en-US"/>
        </w:rPr>
        <w:t>’</w:t>
      </w:r>
      <w:r>
        <w:rPr>
          <w:lang w:val="en-US"/>
        </w:rPr>
        <w:t xml:space="preserve">s </w:t>
      </w:r>
      <w:r>
        <w:rPr>
          <w:lang w:val="en-US"/>
        </w:rPr>
        <w:t>“</w:t>
      </w:r>
      <w:r>
        <w:rPr>
          <w:lang w:val="en-US"/>
        </w:rPr>
        <w:t>every painter paints himself</w:t>
      </w:r>
      <w:r>
        <w:rPr>
          <w:lang w:val="en-US"/>
        </w:rPr>
        <w:t>”</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6"/>
      </w:r>
    </w:p>
    <w:p>
      <w:pPr>
        <w:pStyle w:val="style4099"/>
        <w:rPr/>
      </w:pPr>
    </w:p>
    <w:p>
      <w:pPr>
        <w:pStyle w:val="style4099"/>
        <w:rPr/>
      </w:pPr>
      <w:r>
        <w:rPr>
          <w:lang w:val="en-US"/>
        </w:rPr>
        <w:t>As considered, religious paintings were a major art genre of the Renaissance. As Langmuir stated in the opening quotation, there was a connection between poetry and painting, in the sense of artists capturing on canvas (or wood, or copper) what they had perused on paper. Arguably, the greatest poetical influence over Renaissance sky painting was Dante</w:t>
      </w:r>
      <w:r>
        <w:rPr>
          <w:lang w:val="en-US"/>
        </w:rPr>
        <w:t>’</w:t>
      </w:r>
      <w:r>
        <w:rPr>
          <w:lang w:val="en-US"/>
        </w:rPr>
        <w:t xml:space="preserve">s </w:t>
      </w:r>
      <w:r>
        <w:rPr>
          <w:i/>
          <w:iCs/>
          <w:lang w:val="en-US"/>
        </w:rPr>
        <w:t>Divine</w:t>
      </w:r>
      <w:r>
        <w:rPr>
          <w:lang w:val="en-US"/>
        </w:rPr>
        <w:t xml:space="preserve"> </w:t>
      </w:r>
      <w:r>
        <w:rPr>
          <w:i/>
          <w:iCs/>
          <w:lang w:val="en-US"/>
        </w:rPr>
        <w:t>Comedy</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7"/>
      </w:r>
      <w:r>
        <w:rPr>
          <w:lang w:val="en-US"/>
        </w:rPr>
        <w:t xml:space="preserve"> Published in 1320, it constitutes an epic journey through Hell, Purgatory and Heaven (Paradise). It was tremendously influential, and illustrations to it were created shortly after its publication and subsequently by many artists. A Medieval example is Giovanni Di Paolo</w:t>
      </w:r>
      <w:r>
        <w:rPr>
          <w:lang w:val="en-US"/>
        </w:rPr>
        <w:t>’</w:t>
      </w:r>
      <w:r>
        <w:rPr>
          <w:lang w:val="en-US"/>
        </w:rPr>
        <w:t>s dating from the 1440</w:t>
      </w:r>
      <w:r>
        <w:rPr>
          <w:lang w:val="en-US"/>
        </w:rPr>
        <w:t>’</w:t>
      </w:r>
      <w:r>
        <w:rPr>
          <w:lang w:val="en-US"/>
        </w:rPr>
        <w:t>s. This version is very stylised and features a Heaven with Bishops floating in it.</w:t>
      </w:r>
      <w:r>
        <w:rPr>
          <w:rFonts w:ascii="Arial Rounded MT Bold" w:cs="Arial Rounded MT Bold" w:eastAsia="Arial Rounded MT Bold" w:hAnsi="Arial Rounded MT Bold"/>
          <w:b w:val="false"/>
          <w:bCs w:val="false"/>
          <w:i w:val="false"/>
          <w:iCs w:val="false"/>
          <w:vertAlign w:val="superscript"/>
        </w:rPr>
        <w:footnoteReference w:id="8"/>
      </w:r>
      <w:r>
        <w:rPr>
          <w:lang w:val="en-US"/>
        </w:rPr>
        <w:t xml:space="preserve"> Thus, interestingly, the popular images of both Heaven and Hell are not directly from the Bible (which refers to these realms, but with limited description) but owe more to Dante. Milton</w:t>
      </w:r>
      <w:r>
        <w:rPr>
          <w:lang w:val="en-US"/>
        </w:rPr>
        <w:t>’</w:t>
      </w:r>
      <w:r>
        <w:rPr>
          <w:lang w:val="en-US"/>
        </w:rPr>
        <w:t xml:space="preserve">s </w:t>
      </w:r>
      <w:r>
        <w:rPr>
          <w:i/>
          <w:iCs/>
          <w:lang w:val="en-US"/>
        </w:rPr>
        <w:t>Paradise</w:t>
      </w:r>
      <w:r>
        <w:rPr>
          <w:lang w:val="en-US"/>
        </w:rPr>
        <w:t xml:space="preserve"> </w:t>
      </w:r>
      <w:r>
        <w:rPr>
          <w:i/>
          <w:iCs/>
          <w:lang w:val="en-US"/>
        </w:rPr>
        <w:t>Lost</w:t>
      </w:r>
      <w:r>
        <w:rPr>
          <w:lang w:val="en-US"/>
        </w:rPr>
        <w:t xml:space="preserve"> was a subsequent contribution. Richard Townsend refers to Dante</w:t>
      </w:r>
      <w:r>
        <w:rPr>
          <w:lang w:val="en-US"/>
        </w:rPr>
        <w:t>’</w:t>
      </w:r>
      <w:r>
        <w:rPr>
          <w:lang w:val="en-US"/>
        </w:rPr>
        <w:t>s influence on Renaissance Art:</w:t>
      </w:r>
    </w:p>
    <w:p>
      <w:pPr>
        <w:pStyle w:val="style4099"/>
        <w:rPr/>
      </w:pPr>
    </w:p>
    <w:p>
      <w:pPr>
        <w:pStyle w:val="style4099"/>
        <w:jc w:val="center"/>
        <w:rPr/>
      </w:pPr>
      <w:r>
        <w:rPr>
          <w:lang w:val="en-US"/>
        </w:rPr>
        <w:t>Dante</w:t>
      </w:r>
      <w:r>
        <w:rPr>
          <w:lang w:val="en-US"/>
        </w:rPr>
        <w:t>’</w:t>
      </w:r>
      <w:r>
        <w:rPr>
          <w:lang w:val="en-US"/>
        </w:rPr>
        <w:t>s Divine Comedy, with its bizarre, layered visions of Heaven and Hell, had a huge impact. By the time of the Renaissance, frescoes depicted Heaven as a place in the clouds, where your ancestors resided with God.</w:t>
      </w:r>
      <w:r>
        <w:rPr>
          <w:vertAlign w:val="superscript"/>
        </w:rPr>
        <w:footnoteReference w:id="9"/>
      </w:r>
    </w:p>
    <w:p>
      <w:pPr>
        <w:pStyle w:val="style4099"/>
        <w:jc w:val="center"/>
        <w:rPr/>
      </w:pPr>
    </w:p>
    <w:p>
      <w:pPr>
        <w:pStyle w:val="style4099"/>
        <w:rPr/>
      </w:pPr>
      <w:r>
        <w:rPr>
          <w:lang w:val="en-US"/>
        </w:rPr>
        <w:t xml:space="preserve">This might explain why Botticelli, Reni and Garofalo as well as other artists painted Heaven in the sky and included clouds in the pictures. Interestingly, Botticelli himself illustrated the </w:t>
      </w:r>
      <w:r>
        <w:rPr>
          <w:i/>
          <w:iCs/>
          <w:lang w:val="en-US"/>
        </w:rPr>
        <w:t>Divine</w:t>
      </w:r>
      <w:r>
        <w:rPr>
          <w:lang w:val="en-US"/>
        </w:rPr>
        <w:t xml:space="preserve"> </w:t>
      </w:r>
      <w:r>
        <w:rPr>
          <w:i/>
          <w:iCs/>
          <w:lang w:val="en-US"/>
        </w:rPr>
        <w:t>Comedy</w:t>
      </w:r>
      <w:r>
        <w:rPr>
          <w:lang w:val="en-US"/>
        </w:rPr>
        <w:t xml:space="preserve">, and a selection of his drawings from this (though not painted) survive. As Cronin describes: </w:t>
      </w:r>
      <w:r>
        <w:rPr>
          <w:lang w:val="en-US"/>
        </w:rPr>
        <w:t>“</w:t>
      </w:r>
      <w:r>
        <w:rPr>
          <w:lang w:val="en-US"/>
        </w:rPr>
        <w:t xml:space="preserve">Botticelli had an inquiring and deeply religious turn of mind. He was a student of Dante and made a series of drawings to illustrate the </w:t>
      </w:r>
      <w:r>
        <w:rPr>
          <w:i/>
          <w:iCs/>
          <w:lang w:val="en-US"/>
        </w:rPr>
        <w:t>Divine</w:t>
      </w:r>
      <w:r>
        <w:rPr>
          <w:lang w:val="en-US"/>
        </w:rPr>
        <w:t xml:space="preserve"> </w:t>
      </w:r>
      <w:r>
        <w:rPr>
          <w:i/>
          <w:iCs/>
          <w:lang w:val="en-US"/>
        </w:rPr>
        <w:t>Comedy</w:t>
      </w:r>
      <w:r>
        <w:rPr>
          <w:lang w:val="en-US"/>
        </w:rPr>
        <w:t>.</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10"/>
      </w:r>
      <w:r>
        <w:rPr>
          <w:lang w:val="en-US"/>
        </w:rPr>
        <w:t xml:space="preserve"> However, it seems that he did not complete the project and did not illustrate the Paradiso verses (the Heavens). Pope-Hennessy states that the Paradiso was </w:t>
      </w:r>
      <w:r>
        <w:rPr>
          <w:lang w:val="en-US"/>
        </w:rPr>
        <w:t>“</w:t>
      </w:r>
      <w:r>
        <w:rPr>
          <w:lang w:val="en-US"/>
        </w:rPr>
        <w:t>more resistant to illustration</w:t>
      </w:r>
      <w:r>
        <w:rPr>
          <w:lang w:val="en-US"/>
        </w:rPr>
        <w:t>”</w:t>
      </w:r>
      <w:r>
        <w:rPr>
          <w:lang w:val="en-US"/>
        </w:rPr>
        <w:t>, due to its mysteries, than the other two sections.</w:t>
      </w:r>
      <w:r>
        <w:rPr>
          <w:rFonts w:ascii="Arial Rounded MT Bold" w:cs="Arial Rounded MT Bold" w:eastAsia="Arial Rounded MT Bold" w:hAnsi="Arial Rounded MT Bold"/>
          <w:b w:val="false"/>
          <w:bCs w:val="false"/>
          <w:i w:val="false"/>
          <w:iCs w:val="false"/>
          <w:vertAlign w:val="superscript"/>
        </w:rPr>
        <w:footnoteReference w:id="11"/>
      </w:r>
      <w:r>
        <w:rPr>
          <w:lang w:val="en-US"/>
        </w:rPr>
        <w:t xml:space="preserve"> Evidently, Botticelli preferred to paint his own heavenly visions, such as </w:t>
      </w:r>
      <w:r>
        <w:rPr>
          <w:i/>
          <w:iCs/>
          <w:lang w:val="en-US"/>
        </w:rPr>
        <w:t>Mystical</w:t>
      </w:r>
      <w:r>
        <w:rPr>
          <w:lang w:val="en-US"/>
        </w:rPr>
        <w:t xml:space="preserve"> </w:t>
      </w:r>
      <w:r>
        <w:rPr>
          <w:i/>
          <w:iCs/>
          <w:lang w:val="en-US"/>
        </w:rPr>
        <w:t>Nativity</w:t>
      </w:r>
      <w:r>
        <w:rPr>
          <w:lang w:val="en-US"/>
        </w:rPr>
        <w:t xml:space="preserve">, as did other artists. The influence of the </w:t>
      </w:r>
      <w:r>
        <w:rPr>
          <w:i/>
          <w:iCs/>
          <w:lang w:val="en-US"/>
        </w:rPr>
        <w:t>Divine</w:t>
      </w:r>
      <w:r>
        <w:rPr>
          <w:lang w:val="en-US"/>
        </w:rPr>
        <w:t xml:space="preserve"> </w:t>
      </w:r>
      <w:r>
        <w:rPr>
          <w:i/>
          <w:iCs/>
          <w:lang w:val="en-US"/>
        </w:rPr>
        <w:t>Comedy</w:t>
      </w:r>
      <w:r>
        <w:rPr>
          <w:lang w:val="en-US"/>
        </w:rPr>
        <w:t xml:space="preserve"> may well have contributed to the fascination of later artworks depicting the Heavens, as well as likely partially inspiring them.</w:t>
      </w:r>
    </w:p>
    <w:p>
      <w:pPr>
        <w:pStyle w:val="style4099"/>
        <w:rPr/>
      </w:pPr>
    </w:p>
    <w:p>
      <w:pPr>
        <w:pStyle w:val="style4099"/>
        <w:rPr/>
      </w:pPr>
      <w:r>
        <w:rPr>
          <w:lang w:val="en-US"/>
        </w:rPr>
        <w:t>Italian Renaissance artists had something of a mixed heritage; living in Italy, which was both the ancestral home of the ancient Romans and the heart of the Roman Catholic world. Both, as the names imply, were centred in Rome. Helen de Borchgrave expresses that:</w:t>
      </w:r>
    </w:p>
    <w:p>
      <w:pPr>
        <w:pStyle w:val="style4099"/>
        <w:rPr/>
      </w:pPr>
    </w:p>
    <w:p>
      <w:pPr>
        <w:pStyle w:val="style4099"/>
        <w:jc w:val="center"/>
        <w:rPr/>
      </w:pPr>
      <w:r>
        <w:rPr>
          <w:lang w:val="en-US"/>
        </w:rPr>
        <w:t>... great Italian artists were heirs to the classical heritage [but] also members of the Catholic Church, surrounded by all the evidence of faith with its mystical and devotional piety.</w:t>
      </w:r>
      <w:r>
        <w:rPr>
          <w:vertAlign w:val="superscript"/>
        </w:rPr>
        <w:footnoteReference w:id="12"/>
      </w:r>
    </w:p>
    <w:p>
      <w:pPr>
        <w:pStyle w:val="style4099"/>
        <w:jc w:val="center"/>
        <w:rPr/>
      </w:pPr>
    </w:p>
    <w:p>
      <w:pPr>
        <w:pStyle w:val="style4099"/>
        <w:rPr/>
      </w:pPr>
      <w:r>
        <w:rPr>
          <w:lang w:val="en-US"/>
        </w:rPr>
        <w:t xml:space="preserve">This partially explains why Italian Renaissance artists may have painted both classical myth scenes and Christian devotional art. Botticelli was especially known for his works in both. He is probably best known nowadays for his classical works, such as </w:t>
      </w:r>
      <w:r>
        <w:rPr>
          <w:i/>
          <w:iCs/>
          <w:lang w:val="en-US"/>
        </w:rPr>
        <w:t>Birth</w:t>
      </w:r>
      <w:r>
        <w:rPr>
          <w:lang w:val="en-US"/>
        </w:rPr>
        <w:t xml:space="preserve"> </w:t>
      </w:r>
      <w:r>
        <w:rPr>
          <w:i/>
          <w:iCs/>
          <w:lang w:val="en-US"/>
        </w:rPr>
        <w:t>of</w:t>
      </w:r>
      <w:r>
        <w:rPr>
          <w:lang w:val="en-US"/>
        </w:rPr>
        <w:t xml:space="preserve"> </w:t>
      </w:r>
      <w:r>
        <w:rPr>
          <w:i/>
          <w:iCs/>
          <w:lang w:val="en-US"/>
        </w:rPr>
        <w:t>Venus</w:t>
      </w:r>
      <w:r>
        <w:rPr>
          <w:lang w:val="en-US"/>
        </w:rPr>
        <w:t xml:space="preserve"> (c. 1485), </w:t>
      </w:r>
      <w:r>
        <w:rPr>
          <w:i/>
          <w:iCs/>
          <w:lang w:val="en-US"/>
        </w:rPr>
        <w:t>Primavera</w:t>
      </w:r>
      <w:r>
        <w:rPr>
          <w:lang w:val="en-US"/>
        </w:rPr>
        <w:t xml:space="preserve"> (c. 1482) and </w:t>
      </w:r>
      <w:r>
        <w:rPr>
          <w:i/>
          <w:iCs/>
          <w:lang w:val="en-US"/>
        </w:rPr>
        <w:t>Venus</w:t>
      </w:r>
      <w:r>
        <w:rPr>
          <w:lang w:val="en-US"/>
        </w:rPr>
        <w:t xml:space="preserve"> </w:t>
      </w:r>
      <w:r>
        <w:rPr>
          <w:i/>
          <w:iCs/>
          <w:lang w:val="en-US"/>
        </w:rPr>
        <w:t>and</w:t>
      </w:r>
      <w:r>
        <w:rPr>
          <w:lang w:val="en-US"/>
        </w:rPr>
        <w:t xml:space="preserve"> </w:t>
      </w:r>
      <w:r>
        <w:rPr>
          <w:i/>
          <w:iCs/>
          <w:lang w:val="en-US"/>
        </w:rPr>
        <w:t>Mars</w:t>
      </w:r>
      <w:r>
        <w:rPr>
          <w:lang w:val="en-US"/>
        </w:rPr>
        <w:t xml:space="preserve"> (c. 1485).  Aston describes Botticelli as: </w:t>
      </w:r>
      <w:r>
        <w:rPr>
          <w:lang w:val="en-US"/>
        </w:rPr>
        <w:t>“</w:t>
      </w:r>
      <w:r>
        <w:rPr>
          <w:lang w:val="en-US"/>
        </w:rPr>
        <w:t xml:space="preserve">[an] Italian painter whose allegorical works, particularly </w:t>
      </w:r>
      <w:r>
        <w:rPr>
          <w:i/>
          <w:iCs/>
          <w:lang w:val="en-US"/>
        </w:rPr>
        <w:t>The</w:t>
      </w:r>
      <w:r>
        <w:rPr>
          <w:lang w:val="en-US"/>
        </w:rPr>
        <w:t xml:space="preserve"> </w:t>
      </w:r>
      <w:r>
        <w:rPr>
          <w:i/>
          <w:iCs/>
          <w:lang w:val="en-US"/>
        </w:rPr>
        <w:t>Birth</w:t>
      </w:r>
      <w:r>
        <w:rPr>
          <w:lang w:val="en-US"/>
        </w:rPr>
        <w:t xml:space="preserve"> </w:t>
      </w:r>
      <w:r>
        <w:rPr>
          <w:i/>
          <w:iCs/>
          <w:lang w:val="en-US"/>
        </w:rPr>
        <w:t>of</w:t>
      </w:r>
      <w:r>
        <w:rPr>
          <w:lang w:val="en-US"/>
        </w:rPr>
        <w:t xml:space="preserve"> </w:t>
      </w:r>
      <w:r>
        <w:rPr>
          <w:i/>
          <w:iCs/>
          <w:lang w:val="en-US"/>
        </w:rPr>
        <w:t>Venus</w:t>
      </w:r>
      <w:r>
        <w:rPr>
          <w:lang w:val="en-US"/>
        </w:rPr>
        <w:t xml:space="preserve"> and the </w:t>
      </w:r>
      <w:r>
        <w:rPr>
          <w:i/>
          <w:iCs/>
          <w:lang w:val="en-US"/>
        </w:rPr>
        <w:t>Primavera</w:t>
      </w:r>
      <w:r>
        <w:rPr>
          <w:lang w:val="en-US"/>
        </w:rPr>
        <w:t>, are today among the most famous images of Italian Renaissance art.</w:t>
      </w:r>
      <w:r>
        <w:rPr>
          <w:rFonts w:ascii="Arial Rounded MT Bold" w:cs="Arial Rounded MT Bold" w:eastAsia="Arial Rounded MT Bold" w:hAnsi="Arial Rounded MT Bold"/>
          <w:b w:val="false"/>
          <w:bCs w:val="false"/>
          <w:i w:val="false"/>
          <w:iCs w:val="false"/>
          <w:vertAlign w:val="superscript"/>
        </w:rPr>
        <w:footnoteReference w:id="13"/>
      </w:r>
      <w:r>
        <w:rPr>
          <w:lang w:val="en-US"/>
        </w:rPr>
        <w:t xml:space="preserve"> Hagen dates the shift in Botticelli</w:t>
      </w:r>
      <w:r>
        <w:rPr>
          <w:lang w:val="en-US"/>
        </w:rPr>
        <w:t>’</w:t>
      </w:r>
      <w:r>
        <w:rPr>
          <w:lang w:val="en-US"/>
        </w:rPr>
        <w:t>s paintings from the classical to the Christian devotional to some time after 1497; when he likely became a follower of the strict monk, Savonarola. This is consistent with the 1500 date of the Mystical Nativity painting. The claim of Botticelli becoming a follower of Savonarola is supported by his near contemporary biographer Giorgio Vasari. Hagen names Botticelli as:</w:t>
      </w:r>
    </w:p>
    <w:p>
      <w:pPr>
        <w:pStyle w:val="style4099"/>
        <w:rPr/>
      </w:pPr>
    </w:p>
    <w:p>
      <w:pPr>
        <w:pStyle w:val="style4099"/>
        <w:jc w:val="center"/>
        <w:rPr/>
      </w:pPr>
      <w:r>
        <w:rPr>
          <w:lang w:val="en-US"/>
        </w:rPr>
        <w:t>a devout Christian, whose studio... satisfied the... demands of the public for devotional pictures: saints, gentle-faced Virgins and the Holy Child.</w:t>
      </w:r>
      <w:r>
        <w:rPr>
          <w:vertAlign w:val="superscript"/>
        </w:rPr>
        <w:footnoteReference w:id="14"/>
      </w:r>
    </w:p>
    <w:p>
      <w:pPr>
        <w:pStyle w:val="style4099"/>
        <w:jc w:val="center"/>
        <w:rPr/>
      </w:pPr>
    </w:p>
    <w:p>
      <w:pPr>
        <w:pStyle w:val="style4099"/>
        <w:rPr/>
      </w:pPr>
      <w:r>
        <w:rPr>
          <w:lang w:val="en-US"/>
        </w:rPr>
        <w:t xml:space="preserve">Much of the above quotation would describe the </w:t>
      </w:r>
      <w:r>
        <w:rPr>
          <w:i/>
          <w:iCs/>
          <w:lang w:val="en-US"/>
        </w:rPr>
        <w:t>Mystical</w:t>
      </w:r>
      <w:r>
        <w:rPr>
          <w:lang w:val="en-US"/>
        </w:rPr>
        <w:t xml:space="preserve"> </w:t>
      </w:r>
      <w:r>
        <w:rPr>
          <w:i/>
          <w:iCs/>
          <w:lang w:val="en-US"/>
        </w:rPr>
        <w:t>Nativity</w:t>
      </w:r>
      <w:r>
        <w:rPr>
          <w:lang w:val="en-US"/>
        </w:rPr>
        <w:t xml:space="preserve"> painting (1500). The Virgin and the Holy Child are foregrounded as central figures in the painting. Mary is depicted in a praying pose, with joined hands and closed eyes. Her expression is serene and she has the distinctive blurred beauty that characterises Botticelli</w:t>
      </w:r>
      <w:r>
        <w:rPr>
          <w:lang w:val="en-US"/>
        </w:rPr>
        <w:t>’</w:t>
      </w:r>
      <w:r>
        <w:rPr>
          <w:lang w:val="en-US"/>
        </w:rPr>
        <w:t xml:space="preserve">s female figures. She could therefore be reasonably described as </w:t>
      </w:r>
      <w:r>
        <w:rPr>
          <w:lang w:val="en-US"/>
        </w:rPr>
        <w:t>‘</w:t>
      </w:r>
      <w:r>
        <w:rPr>
          <w:lang w:val="en-US"/>
        </w:rPr>
        <w:t>gentle-faced</w:t>
      </w:r>
      <w:r>
        <w:rPr>
          <w:lang w:val="en-US"/>
        </w:rPr>
        <w:t>’</w:t>
      </w:r>
      <w:r>
        <w:rPr>
          <w:lang w:val="en-US"/>
        </w:rPr>
        <w:t xml:space="preserve">. Although the painting is populated mainly by angels rather than saints, the saints are still present. Mary herself is presented as a saint, with the characteristic halo. Also present is Saint Joseph, who is interestingly sans halo, as the French might express it. With </w:t>
      </w:r>
      <w:r>
        <w:rPr>
          <w:i/>
          <w:iCs/>
          <w:lang w:val="en-US"/>
        </w:rPr>
        <w:t>Mystical</w:t>
      </w:r>
      <w:r>
        <w:rPr>
          <w:lang w:val="en-US"/>
        </w:rPr>
        <w:t xml:space="preserve"> </w:t>
      </w:r>
      <w:r>
        <w:rPr>
          <w:i/>
          <w:iCs/>
          <w:lang w:val="en-US"/>
        </w:rPr>
        <w:t>Nativity</w:t>
      </w:r>
      <w:r>
        <w:rPr>
          <w:lang w:val="en-US"/>
        </w:rPr>
        <w:t xml:space="preserve"> as an example, it is easy to understand why </w:t>
      </w:r>
      <w:r>
        <w:rPr>
          <w:lang w:val="en-US"/>
        </w:rPr>
        <w:t>“</w:t>
      </w:r>
      <w:r>
        <w:rPr>
          <w:lang w:val="en-US"/>
        </w:rPr>
        <w:t>Botticelli</w:t>
      </w:r>
      <w:r>
        <w:rPr>
          <w:lang w:val="en-US"/>
        </w:rPr>
        <w:t>’</w:t>
      </w:r>
      <w:r>
        <w:rPr>
          <w:lang w:val="en-US"/>
        </w:rPr>
        <w:t>s tender images of the Madonna and Child were extremely popular and inspired many inferior copies</w:t>
      </w:r>
      <w:r>
        <w:rPr>
          <w:lang w:val="en-US"/>
        </w:rPr>
        <w:t>”</w:t>
      </w:r>
      <w:r>
        <w:rPr>
          <w:lang w:val="en-US"/>
        </w:rPr>
        <w:t>, as stated by Aston.</w:t>
      </w:r>
      <w:r>
        <w:rPr>
          <w:rFonts w:ascii="Arial Rounded MT Bold" w:cs="Arial Rounded MT Bold" w:eastAsia="Arial Rounded MT Bold" w:hAnsi="Arial Rounded MT Bold"/>
          <w:b w:val="false"/>
          <w:bCs w:val="false"/>
          <w:i w:val="false"/>
          <w:iCs w:val="false"/>
          <w:vertAlign w:val="superscript"/>
        </w:rPr>
        <w:footnoteReference w:id="15"/>
      </w:r>
    </w:p>
    <w:p>
      <w:pPr>
        <w:pStyle w:val="style4099"/>
        <w:rPr/>
      </w:pPr>
    </w:p>
    <w:p>
      <w:pPr>
        <w:pStyle w:val="style4099"/>
        <w:rPr/>
      </w:pPr>
      <w:r>
        <w:rPr>
          <w:lang w:val="en-US"/>
        </w:rPr>
        <w:t>The estimated dates for the life of Sandro Botticelli are given as c. 1445-1510.</w:t>
      </w:r>
      <w:r>
        <w:rPr>
          <w:rFonts w:ascii="Arial Rounded MT Bold" w:cs="Arial Rounded MT Bold" w:eastAsia="Arial Rounded MT Bold" w:hAnsi="Arial Rounded MT Bold"/>
          <w:b w:val="false"/>
          <w:bCs w:val="false"/>
          <w:i w:val="false"/>
          <w:iCs w:val="false"/>
          <w:vertAlign w:val="superscript"/>
        </w:rPr>
        <w:footnoteReference w:id="16"/>
      </w:r>
      <w:r>
        <w:rPr>
          <w:lang w:val="en-US"/>
        </w:rPr>
        <w:t xml:space="preserve"> These dates contextualise him as an Early Renaissance painter. His birth name was Alessandro Di Mariano Di Vanni Filipepi.</w:t>
      </w:r>
      <w:r>
        <w:rPr>
          <w:rFonts w:ascii="Arial Rounded MT Bold" w:cs="Arial Rounded MT Bold" w:eastAsia="Arial Rounded MT Bold" w:hAnsi="Arial Rounded MT Bold"/>
          <w:b w:val="false"/>
          <w:bCs w:val="false"/>
          <w:i w:val="false"/>
          <w:iCs w:val="false"/>
          <w:vertAlign w:val="superscript"/>
        </w:rPr>
        <w:footnoteReference w:id="17"/>
      </w:r>
      <w:r>
        <w:rPr>
          <w:lang w:val="en-US"/>
        </w:rPr>
        <w:t xml:space="preserve"> He was a native of Florence in Italy and lived there during the age of the Medicis; a very powerful and influential family. The Medicis were patrons of his, and commissioned a number of his works. The city of Florence is noteworthy, as according to Victoria Charles: </w:t>
      </w:r>
      <w:r>
        <w:rPr>
          <w:lang w:val="en-US"/>
        </w:rPr>
        <w:t>“</w:t>
      </w:r>
      <w:r>
        <w:rPr>
          <w:lang w:val="en-US"/>
        </w:rPr>
        <w:t>The earliest traces of the Renaissance are found in Florence.</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18"/>
      </w:r>
      <w:r>
        <w:rPr>
          <w:lang w:val="en-US"/>
        </w:rPr>
        <w:t xml:space="preserve"> This fits with Botticelli being an early Renaissance painter. History knows this artist as Sandro Botticelli; a catchier name than that he was born with. Sandro is an obvious diminutive of Alessandro, while the nickname of Botticelli has varying explanations. One offered by Alston is that the name may have originated from an early apprenticeship:</w:t>
      </w:r>
    </w:p>
    <w:p>
      <w:pPr>
        <w:pStyle w:val="style4099"/>
        <w:rPr/>
      </w:pPr>
    </w:p>
    <w:p>
      <w:pPr>
        <w:pStyle w:val="style4099"/>
        <w:jc w:val="center"/>
        <w:rPr/>
      </w:pPr>
      <w:r>
        <w:rPr>
          <w:lang w:val="en-US"/>
        </w:rPr>
        <w:t>Alessandro was briefly an apprentice to... his brother who was a goldsmith. Botticelli</w:t>
      </w:r>
      <w:r>
        <w:rPr>
          <w:lang w:val="en-US"/>
        </w:rPr>
        <w:t>’</w:t>
      </w:r>
      <w:r>
        <w:rPr>
          <w:lang w:val="en-US"/>
        </w:rPr>
        <w:t xml:space="preserve">s primary job was to hit the gold repeatedly with a hammer to shape it, referred to in Italian as </w:t>
      </w:r>
      <w:r>
        <w:rPr>
          <w:lang w:val="en-US"/>
        </w:rPr>
        <w:t>‘</w:t>
      </w:r>
      <w:r>
        <w:rPr>
          <w:lang w:val="en-US"/>
        </w:rPr>
        <w:t>battigello</w:t>
      </w:r>
      <w:r>
        <w:rPr>
          <w:lang w:val="en-US"/>
        </w:rPr>
        <w:t>’</w:t>
      </w:r>
      <w:r>
        <w:rPr>
          <w:lang w:val="en-US"/>
        </w:rPr>
        <w:t>, and this possibly could have morphed into Botticelli over time.</w:t>
      </w:r>
      <w:r>
        <w:rPr>
          <w:vertAlign w:val="superscript"/>
        </w:rPr>
        <w:footnoteReference w:id="19"/>
      </w:r>
    </w:p>
    <w:p>
      <w:pPr>
        <w:pStyle w:val="style4099"/>
        <w:jc w:val="center"/>
        <w:rPr/>
      </w:pPr>
    </w:p>
    <w:p>
      <w:pPr>
        <w:pStyle w:val="style4099"/>
        <w:rPr/>
      </w:pPr>
      <w:r>
        <w:rPr>
          <w:lang w:val="en-US"/>
        </w:rPr>
        <w:t>Alston offers a plausible theory to account for the nickname by way of the intricacies of the Italian language. Furthermore, supporting evidence can be gleaned from some of Botticelli</w:t>
      </w:r>
      <w:r>
        <w:rPr>
          <w:lang w:val="en-US"/>
        </w:rPr>
        <w:t>’</w:t>
      </w:r>
      <w:r>
        <w:rPr>
          <w:lang w:val="en-US"/>
        </w:rPr>
        <w:t xml:space="preserve">s own paintings that he was apprenticed to a goldsmith at some point, early in his life. This includes </w:t>
      </w:r>
      <w:r>
        <w:rPr>
          <w:i/>
          <w:iCs/>
          <w:lang w:val="en-US"/>
        </w:rPr>
        <w:t>Mystic</w:t>
      </w:r>
      <w:r>
        <w:rPr>
          <w:lang w:val="en-US"/>
        </w:rPr>
        <w:t xml:space="preserve"> </w:t>
      </w:r>
      <w:r>
        <w:rPr>
          <w:i/>
          <w:iCs/>
          <w:lang w:val="en-US"/>
        </w:rPr>
        <w:t>Nativity</w:t>
      </w:r>
      <w:r>
        <w:rPr>
          <w:lang w:val="en-US"/>
        </w:rPr>
        <w:t xml:space="preserve">, also known as </w:t>
      </w:r>
      <w:r>
        <w:rPr>
          <w:i/>
          <w:iCs/>
          <w:lang w:val="en-US"/>
        </w:rPr>
        <w:t>Mystical</w:t>
      </w:r>
      <w:r>
        <w:rPr>
          <w:lang w:val="en-US"/>
        </w:rPr>
        <w:t xml:space="preserve"> </w:t>
      </w:r>
      <w:r>
        <w:rPr>
          <w:i/>
          <w:iCs/>
          <w:lang w:val="en-US"/>
        </w:rPr>
        <w:t>Nativity</w:t>
      </w:r>
      <w:r>
        <w:rPr>
          <w:lang w:val="en-US"/>
        </w:rPr>
        <w:t xml:space="preserve">, the painting of most relevance to this essay. Additionally, the aforementioned sixteenth century art historian, Giorgio, also claimed in his </w:t>
      </w:r>
      <w:r>
        <w:rPr>
          <w:i/>
          <w:iCs/>
          <w:lang w:val="en-US"/>
        </w:rPr>
        <w:t>Life</w:t>
      </w:r>
      <w:r>
        <w:rPr>
          <w:lang w:val="en-US"/>
        </w:rPr>
        <w:t xml:space="preserve"> </w:t>
      </w:r>
      <w:r>
        <w:rPr>
          <w:i/>
          <w:iCs/>
          <w:lang w:val="en-US"/>
        </w:rPr>
        <w:t>of</w:t>
      </w:r>
      <w:r>
        <w:rPr>
          <w:lang w:val="en-US"/>
        </w:rPr>
        <w:t xml:space="preserve"> </w:t>
      </w:r>
      <w:r>
        <w:rPr>
          <w:i/>
          <w:iCs/>
          <w:lang w:val="en-US"/>
        </w:rPr>
        <w:t>Botticelli</w:t>
      </w:r>
      <w:r>
        <w:rPr>
          <w:lang w:val="en-US"/>
        </w:rPr>
        <w:t>, that the eponymous artist had been initially trained as a goldsmith. Botticelli</w:t>
      </w:r>
      <w:r>
        <w:rPr>
          <w:lang w:val="en-US"/>
        </w:rPr>
        <w:t>’</w:t>
      </w:r>
      <w:r>
        <w:rPr>
          <w:lang w:val="en-US"/>
        </w:rPr>
        <w:t xml:space="preserve">s primary apprenticeship began in 1462, at around the age of seventeen and lasted about five years. He </w:t>
      </w:r>
      <w:r>
        <w:rPr>
          <w:lang w:val="en-US"/>
        </w:rPr>
        <w:t>“</w:t>
      </w:r>
      <w:r>
        <w:rPr>
          <w:lang w:val="en-US"/>
        </w:rPr>
        <w:t>was apprenticed to the artist, Fra Filippo Lippi, considered to be the best Florentine painter of the period.</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20"/>
      </w:r>
      <w:r>
        <w:rPr>
          <w:lang w:val="en-US"/>
        </w:rPr>
        <w:t xml:space="preserve"> This judgement was likely considered reasonable in its own time. However, it is arguable that his apprentice, Botticelli, went on to eclipse his former mentor, Lippi, in terms of both artistic achievements and posthumous reputation. Alston accounts for the fact of Botticelli</w:t>
      </w:r>
      <w:r>
        <w:rPr>
          <w:lang w:val="en-US"/>
        </w:rPr>
        <w:t>’</w:t>
      </w:r>
      <w:r>
        <w:rPr>
          <w:lang w:val="en-US"/>
        </w:rPr>
        <w:t>s relatively late apprenticeship (twelve would have been a more typical age to be apprenticed) to his having been educated.</w:t>
      </w:r>
      <w:r>
        <w:rPr>
          <w:rFonts w:ascii="Arial Rounded MT Bold" w:cs="Arial Rounded MT Bold" w:eastAsia="Arial Rounded MT Bold" w:hAnsi="Arial Rounded MT Bold"/>
          <w:b w:val="false"/>
          <w:bCs w:val="false"/>
          <w:i w:val="false"/>
          <w:iCs w:val="false"/>
          <w:vertAlign w:val="superscript"/>
        </w:rPr>
        <w:footnoteReference w:id="21"/>
      </w:r>
      <w:r>
        <w:rPr>
          <w:lang w:val="en-US"/>
        </w:rPr>
        <w:t xml:space="preserve"> This, like the goldsmith apprenticeship theory, is another speculation that seems to be internally supported by the evidence of Botticelli</w:t>
      </w:r>
      <w:r>
        <w:rPr>
          <w:lang w:val="en-US"/>
        </w:rPr>
        <w:t>’</w:t>
      </w:r>
      <w:r>
        <w:rPr>
          <w:lang w:val="en-US"/>
        </w:rPr>
        <w:t>s paintings. As considered, his artworks encompass both mythological subjects and Christian devotion. This is suggestive of his having benefited from a  Classical education, an asset prized during the Renaissance, period of the New Learning. Giorgio Vasari mentions Botticelli</w:t>
      </w:r>
      <w:r>
        <w:rPr>
          <w:lang w:val="en-US"/>
        </w:rPr>
        <w:t>’</w:t>
      </w:r>
      <w:r>
        <w:rPr>
          <w:lang w:val="en-US"/>
        </w:rPr>
        <w:t>s education, naming him as an apt pupil, albeit one with a tendency towards restlessness, prior to his apprenticeship as a goldsmith. (Vasari, 147)   Further supporting evidence of Botticelli</w:t>
      </w:r>
      <w:r>
        <w:rPr>
          <w:lang w:val="en-US"/>
        </w:rPr>
        <w:t>’</w:t>
      </w:r>
      <w:r>
        <w:rPr>
          <w:lang w:val="en-US"/>
        </w:rPr>
        <w:t xml:space="preserve">s education, takes the form of a tax-return, submitted by his father. Cronin refers to Botticelli as </w:t>
      </w:r>
      <w:r>
        <w:rPr>
          <w:lang w:val="en-US"/>
        </w:rPr>
        <w:t>“</w:t>
      </w:r>
      <w:r>
        <w:rPr>
          <w:lang w:val="en-US"/>
        </w:rPr>
        <w:t>the youngest of a tanner</w:t>
      </w:r>
      <w:r>
        <w:rPr>
          <w:lang w:val="en-US"/>
        </w:rPr>
        <w:t>’</w:t>
      </w:r>
      <w:r>
        <w:rPr>
          <w:lang w:val="en-US"/>
        </w:rPr>
        <w:t>s seven children</w:t>
      </w:r>
      <w:r>
        <w:rPr>
          <w:lang w:val="en-US"/>
        </w:rPr>
        <w:t>”</w:t>
      </w:r>
      <w:r>
        <w:rPr>
          <w:lang w:val="en-US"/>
        </w:rPr>
        <w:t xml:space="preserve">, adding that he: </w:t>
      </w:r>
      <w:r>
        <w:rPr>
          <w:lang w:val="en-US"/>
        </w:rPr>
        <w:t>“</w:t>
      </w:r>
      <w:r>
        <w:rPr>
          <w:lang w:val="en-US"/>
        </w:rPr>
        <w:t>received a slightly better education than most painters of his day, for at thirteen, according to a tax-return, he was still at his books, and in poor health</w:t>
      </w:r>
      <w:r>
        <w:rPr>
          <w:lang w:val="en-US"/>
        </w:rPr>
        <w:t>”</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22"/>
      </w:r>
    </w:p>
    <w:p>
      <w:pPr>
        <w:pStyle w:val="style4099"/>
        <w:rPr/>
      </w:pPr>
    </w:p>
    <w:p>
      <w:pPr>
        <w:pStyle w:val="style4099"/>
        <w:rPr/>
      </w:pPr>
      <w:r>
        <w:rPr>
          <w:lang w:val="en-US"/>
        </w:rPr>
        <w:t xml:space="preserve">The Art History textbook </w:t>
      </w:r>
      <w:r>
        <w:rPr>
          <w:i/>
          <w:iCs/>
          <w:lang w:val="en-US"/>
        </w:rPr>
        <w:t>Masters</w:t>
      </w:r>
      <w:r>
        <w:rPr>
          <w:lang w:val="en-US"/>
        </w:rPr>
        <w:t xml:space="preserve"> </w:t>
      </w:r>
      <w:r>
        <w:rPr>
          <w:i/>
          <w:iCs/>
          <w:lang w:val="en-US"/>
        </w:rPr>
        <w:t>of</w:t>
      </w:r>
      <w:r>
        <w:rPr>
          <w:lang w:val="en-US"/>
        </w:rPr>
        <w:t xml:space="preserve"> </w:t>
      </w:r>
      <w:r>
        <w:rPr>
          <w:i/>
          <w:iCs/>
          <w:lang w:val="en-US"/>
        </w:rPr>
        <w:t>Art</w:t>
      </w:r>
      <w:r>
        <w:rPr>
          <w:lang w:val="en-US"/>
        </w:rPr>
        <w:t xml:space="preserve">: </w:t>
      </w:r>
      <w:r>
        <w:rPr>
          <w:i/>
          <w:iCs/>
          <w:lang w:val="en-US"/>
        </w:rPr>
        <w:t>Sandro</w:t>
      </w:r>
      <w:r>
        <w:rPr>
          <w:lang w:val="en-US"/>
        </w:rPr>
        <w:t xml:space="preserve"> </w:t>
      </w:r>
      <w:r>
        <w:rPr>
          <w:i/>
          <w:iCs/>
          <w:lang w:val="en-US"/>
        </w:rPr>
        <w:t>Botticelli</w:t>
      </w:r>
      <w:r>
        <w:rPr>
          <w:lang w:val="en-US"/>
        </w:rPr>
        <w:t xml:space="preserve"> lists </w:t>
      </w:r>
      <w:r>
        <w:rPr>
          <w:i/>
          <w:iCs/>
          <w:lang w:val="en-US"/>
        </w:rPr>
        <w:t>The</w:t>
      </w:r>
      <w:r>
        <w:rPr>
          <w:lang w:val="en-US"/>
        </w:rPr>
        <w:t xml:space="preserve"> </w:t>
      </w:r>
      <w:r>
        <w:rPr>
          <w:i/>
          <w:iCs/>
          <w:lang w:val="en-US"/>
        </w:rPr>
        <w:t>Mystical</w:t>
      </w:r>
      <w:r>
        <w:rPr>
          <w:lang w:val="en-US"/>
        </w:rPr>
        <w:t xml:space="preserve"> </w:t>
      </w:r>
      <w:r>
        <w:rPr>
          <w:i/>
          <w:iCs/>
          <w:lang w:val="en-US"/>
        </w:rPr>
        <w:t>Nativity</w:t>
      </w:r>
      <w:r>
        <w:rPr>
          <w:lang w:val="en-US"/>
        </w:rPr>
        <w:t xml:space="preserve"> among the highlights of the artist</w:t>
      </w:r>
      <w:r>
        <w:rPr>
          <w:lang w:val="en-US"/>
        </w:rPr>
        <w:t>’</w:t>
      </w:r>
      <w:r>
        <w:rPr>
          <w:lang w:val="en-US"/>
        </w:rPr>
        <w:t>s work.</w:t>
      </w:r>
      <w:r>
        <w:rPr>
          <w:rFonts w:ascii="Arial Rounded MT Bold" w:cs="Arial Rounded MT Bold" w:eastAsia="Arial Rounded MT Bold" w:hAnsi="Arial Rounded MT Bold"/>
          <w:b w:val="false"/>
          <w:bCs w:val="false"/>
          <w:i w:val="false"/>
          <w:iCs w:val="false"/>
          <w:vertAlign w:val="superscript"/>
        </w:rPr>
        <w:footnoteReference w:id="23"/>
      </w:r>
      <w:r>
        <w:rPr>
          <w:lang w:val="en-US"/>
        </w:rPr>
        <w:t xml:space="preserve"> This gives some indication of its status and reputation. It is, however, considered fairly small, in comparison with his other works, measuring 42.7 inches by 29.5 inches. Its stature might be explained by the theory that Botticelli painted it for his own purposes. De Borchgrave states that : </w:t>
      </w:r>
      <w:r>
        <w:rPr>
          <w:lang w:val="en-US"/>
        </w:rPr>
        <w:t>“</w:t>
      </w:r>
      <w:r>
        <w:rPr>
          <w:lang w:val="en-US"/>
        </w:rPr>
        <w:t xml:space="preserve">Botticelli painted </w:t>
      </w:r>
      <w:r>
        <w:rPr>
          <w:i/>
          <w:iCs/>
          <w:lang w:val="en-US"/>
        </w:rPr>
        <w:t>Mystic</w:t>
      </w:r>
      <w:r>
        <w:rPr>
          <w:lang w:val="en-US"/>
        </w:rPr>
        <w:t xml:space="preserve"> </w:t>
      </w:r>
      <w:r>
        <w:rPr>
          <w:i/>
          <w:iCs/>
          <w:lang w:val="en-US"/>
        </w:rPr>
        <w:t>Nativity</w:t>
      </w:r>
      <w:r>
        <w:rPr>
          <w:lang w:val="en-US"/>
        </w:rPr>
        <w:t xml:space="preserve"> for his own private devotions.</w:t>
      </w:r>
      <w:r>
        <w:rPr>
          <w:lang w:val="en-US"/>
        </w:rPr>
        <w:t xml:space="preserve">” </w:t>
      </w:r>
      <w:r>
        <w:rPr>
          <w:rFonts w:ascii="Arial Rounded MT Bold" w:cs="Arial Rounded MT Bold" w:eastAsia="Arial Rounded MT Bold" w:hAnsi="Arial Rounded MT Bold"/>
          <w:b w:val="false"/>
          <w:bCs w:val="false"/>
          <w:i w:val="false"/>
          <w:iCs w:val="false"/>
          <w:vertAlign w:val="superscript"/>
        </w:rPr>
        <w:footnoteReference w:id="24"/>
      </w:r>
      <w:r>
        <w:rPr>
          <w:lang w:val="en-US"/>
        </w:rPr>
        <w:t xml:space="preserve"> Painting it for himself might account for the work being smaller than his more commercial and previously mentioned Classical Mythology paintings. It was painted in oil on canvas. </w:t>
      </w:r>
      <w:r>
        <w:rPr>
          <w:i/>
          <w:iCs/>
          <w:lang w:val="en-US"/>
        </w:rPr>
        <w:t>The</w:t>
      </w:r>
      <w:r>
        <w:rPr>
          <w:lang w:val="en-US"/>
        </w:rPr>
        <w:t xml:space="preserve"> </w:t>
      </w:r>
      <w:r>
        <w:rPr>
          <w:i/>
          <w:iCs/>
          <w:lang w:val="en-US"/>
        </w:rPr>
        <w:t>Mystical</w:t>
      </w:r>
      <w:r>
        <w:rPr>
          <w:lang w:val="en-US"/>
        </w:rPr>
        <w:t xml:space="preserve"> </w:t>
      </w:r>
      <w:r>
        <w:rPr>
          <w:i/>
          <w:iCs/>
          <w:lang w:val="en-US"/>
        </w:rPr>
        <w:t>Nativity</w:t>
      </w:r>
      <w:r>
        <w:rPr>
          <w:lang w:val="en-US"/>
        </w:rPr>
        <w:t xml:space="preserve"> is singular among Botticelli</w:t>
      </w:r>
      <w:r>
        <w:rPr>
          <w:lang w:val="en-US"/>
        </w:rPr>
        <w:t>’</w:t>
      </w:r>
      <w:r>
        <w:rPr>
          <w:lang w:val="en-US"/>
        </w:rPr>
        <w:t>s works for being the only one both signed by him and inscribed with a date.</w:t>
      </w:r>
      <w:r>
        <w:rPr>
          <w:rFonts w:ascii="Arial Rounded MT Bold" w:cs="Arial Rounded MT Bold" w:eastAsia="Arial Rounded MT Bold" w:hAnsi="Arial Rounded MT Bold"/>
          <w:b w:val="false"/>
          <w:bCs w:val="false"/>
          <w:i w:val="false"/>
          <w:iCs w:val="false"/>
          <w:vertAlign w:val="superscript"/>
        </w:rPr>
        <w:footnoteReference w:id="25"/>
      </w:r>
      <w:r>
        <w:rPr>
          <w:lang w:val="en-US"/>
        </w:rPr>
        <w:t xml:space="preserve"> It can therefore be more precisely dated than his other works. The date stated is 1500. This contextualises the painting as a mature work, created when the artist was approximately fifty-five years old, ten years prior to his death. In addition to the artist</w:t>
      </w:r>
      <w:r>
        <w:rPr>
          <w:lang w:val="en-US"/>
        </w:rPr>
        <w:t>’</w:t>
      </w:r>
      <w:r>
        <w:rPr>
          <w:lang w:val="en-US"/>
        </w:rPr>
        <w:t>s signature and the date, the top of the painting also features a lengthy inscription written in Greek. This demonstrates the artist</w:t>
      </w:r>
      <w:r>
        <w:rPr>
          <w:lang w:val="en-US"/>
        </w:rPr>
        <w:t>’</w:t>
      </w:r>
      <w:r>
        <w:rPr>
          <w:lang w:val="en-US"/>
        </w:rPr>
        <w:t>s familiarity with the language and provides further internal evidence of his classical education. The National Gallery; residence of this painting, have provided an English translation of the Greek on their website:</w:t>
      </w:r>
    </w:p>
    <w:p>
      <w:pPr>
        <w:pStyle w:val="style4099"/>
        <w:rPr/>
      </w:pPr>
    </w:p>
    <w:p>
      <w:pPr>
        <w:pStyle w:val="style4099"/>
        <w:jc w:val="center"/>
        <w:rPr/>
      </w:pPr>
      <w:r>
        <w:rPr>
          <w:lang w:val="en-US"/>
        </w:rPr>
        <w:t>This picture, at the end of the year 1500, in the troubles of Italy, I, Alessandro, in the half-time after the time, painted, according to the eleventh [chapter] of Saint John, in the second woe of the Apocalypse, during the release of the devil for three and a half years; then he shall be bound in the twelfth [chapter] and we shall see [him buried] as in this picture.</w:t>
      </w:r>
      <w:r>
        <w:rPr>
          <w:vertAlign w:val="superscript"/>
        </w:rPr>
        <w:footnoteReference w:id="26"/>
      </w:r>
    </w:p>
    <w:p>
      <w:pPr>
        <w:pStyle w:val="style4099"/>
        <w:jc w:val="center"/>
        <w:rPr/>
      </w:pPr>
    </w:p>
    <w:p>
      <w:pPr>
        <w:pStyle w:val="style4099"/>
        <w:rPr/>
      </w:pPr>
      <w:r>
        <w:rPr>
          <w:lang w:val="en-US"/>
        </w:rPr>
        <w:t>The Greek inscription appears at the topmost part of the painting. It is therefore higher even than the sky, which features as a heavenly scene. The Greek words are inscribed on a silver background. This constitutes an effective and complementary pairing with the gold of the sky. Interestingly, Fra Filippo Lippi, Botticelli</w:t>
      </w:r>
      <w:r>
        <w:rPr>
          <w:lang w:val="en-US"/>
        </w:rPr>
        <w:t>’</w:t>
      </w:r>
      <w:r>
        <w:rPr>
          <w:lang w:val="en-US"/>
        </w:rPr>
        <w:t xml:space="preserve">s former mentor also created a painting entitled </w:t>
      </w:r>
      <w:r>
        <w:rPr>
          <w:i/>
          <w:iCs/>
          <w:lang w:val="en-US"/>
        </w:rPr>
        <w:t>Mystical</w:t>
      </w:r>
      <w:r>
        <w:rPr>
          <w:lang w:val="en-US"/>
        </w:rPr>
        <w:t xml:space="preserve"> </w:t>
      </w:r>
      <w:r>
        <w:rPr>
          <w:i/>
          <w:iCs/>
          <w:lang w:val="en-US"/>
        </w:rPr>
        <w:t>Nativity</w:t>
      </w:r>
      <w:r>
        <w:rPr>
          <w:lang w:val="en-US"/>
        </w:rPr>
        <w:t>. It was painted prior to Botticelli</w:t>
      </w:r>
      <w:r>
        <w:rPr>
          <w:lang w:val="en-US"/>
        </w:rPr>
        <w:t>’</w:t>
      </w:r>
      <w:r>
        <w:rPr>
          <w:lang w:val="en-US"/>
        </w:rPr>
        <w:t>s apprenticeship, in approximately 1459. It can therefore be speculated that Botticelli may have seen the earlier work and heard about it from the artist. Thus, the influence of the mentor is evidenced by the subsequent painting of the student. Comparably, Lippi</w:t>
      </w:r>
      <w:r>
        <w:rPr>
          <w:lang w:val="en-US"/>
        </w:rPr>
        <w:t>’</w:t>
      </w:r>
      <w:r>
        <w:rPr>
          <w:lang w:val="en-US"/>
        </w:rPr>
        <w:t>s version also features a Nativity scene, as indicated by the title. The consideration of these two identically-named paintings by two artists who knew one another, gives some indication of the prevalence of the Nativity scene in Italian Renaissance Art. Indeed, artistic Nativity scenes, based on biblical narratives, have formed a major component of Christian art since the fourth century.</w:t>
      </w:r>
      <w:r>
        <w:rPr>
          <w:rFonts w:ascii="Arial Rounded MT Bold" w:cs="Arial Rounded MT Bold" w:eastAsia="Arial Rounded MT Bold" w:hAnsi="Arial Rounded MT Bold"/>
          <w:b w:val="false"/>
          <w:bCs w:val="false"/>
          <w:i w:val="false"/>
          <w:iCs w:val="false"/>
          <w:vertAlign w:val="superscript"/>
        </w:rPr>
        <w:footnoteReference w:id="27"/>
      </w:r>
      <w:r>
        <w:rPr>
          <w:lang w:val="en-US"/>
        </w:rPr>
        <w:t xml:space="preserve"> Botticelli</w:t>
      </w:r>
      <w:r>
        <w:rPr>
          <w:lang w:val="en-US"/>
        </w:rPr>
        <w:t>’</w:t>
      </w:r>
      <w:r>
        <w:rPr>
          <w:lang w:val="en-US"/>
        </w:rPr>
        <w:t xml:space="preserve">s 1500 version entitled </w:t>
      </w:r>
      <w:r>
        <w:rPr>
          <w:i/>
          <w:iCs/>
          <w:lang w:val="en-US"/>
        </w:rPr>
        <w:t>Mystical</w:t>
      </w:r>
      <w:r>
        <w:rPr>
          <w:lang w:val="en-US"/>
        </w:rPr>
        <w:t xml:space="preserve"> </w:t>
      </w:r>
      <w:r>
        <w:rPr>
          <w:i/>
          <w:iCs/>
          <w:lang w:val="en-US"/>
        </w:rPr>
        <w:t>Nativity</w:t>
      </w:r>
      <w:r>
        <w:rPr>
          <w:lang w:val="en-US"/>
        </w:rPr>
        <w:t xml:space="preserve">, is not generally considered typical. It is sometimes viewed as having an unusual iconography for a Nativity painting. De Borchgrave states that the painting </w:t>
      </w:r>
      <w:r>
        <w:rPr>
          <w:lang w:val="en-US"/>
        </w:rPr>
        <w:t>“</w:t>
      </w:r>
      <w:r>
        <w:rPr>
          <w:lang w:val="en-US"/>
        </w:rPr>
        <w:t>was no ordinary nativity scene, nor was it similar to his many religious paintings that graced Tuscan churches.</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28"/>
      </w:r>
    </w:p>
    <w:p>
      <w:pPr>
        <w:pStyle w:val="style4099"/>
        <w:rPr/>
      </w:pPr>
    </w:p>
    <w:p>
      <w:pPr>
        <w:pStyle w:val="style4099"/>
        <w:rPr/>
      </w:pPr>
      <w:r>
        <w:rPr>
          <w:i/>
          <w:iCs/>
          <w:lang w:val="en-US"/>
        </w:rPr>
        <w:t>The</w:t>
      </w:r>
      <w:r>
        <w:rPr>
          <w:lang w:val="en-US"/>
        </w:rPr>
        <w:t xml:space="preserve"> </w:t>
      </w:r>
      <w:r>
        <w:rPr>
          <w:i/>
          <w:iCs/>
          <w:lang w:val="en-US"/>
        </w:rPr>
        <w:t>Mystical</w:t>
      </w:r>
      <w:r>
        <w:rPr>
          <w:lang w:val="en-US"/>
        </w:rPr>
        <w:t xml:space="preserve"> </w:t>
      </w:r>
      <w:r>
        <w:rPr>
          <w:i/>
          <w:iCs/>
          <w:lang w:val="en-US"/>
        </w:rPr>
        <w:t>Nativity</w:t>
      </w:r>
      <w:r>
        <w:rPr>
          <w:lang w:val="en-US"/>
        </w:rPr>
        <w:t xml:space="preserve"> depicts both earthly and celestial joy. This can be examined by way of a top-down viewing approach. Such an approach seems fitting, due to the Greek inscription on silver at the very top having been previously considered. Immediately below the silver, Heaven itself is shown in the painting. The celestial realm is represented by a great golden dome. This is notable for a number of reasons. Besides the previously considered complementary pairing of silver and gold, the golden dome provides internal evidence of Botticelli</w:t>
      </w:r>
      <w:r>
        <w:rPr>
          <w:lang w:val="en-US"/>
        </w:rPr>
        <w:t>’</w:t>
      </w:r>
      <w:r>
        <w:rPr>
          <w:lang w:val="en-US"/>
        </w:rPr>
        <w:t>s apprenticeship to a goldsmith. His effective use of the colour demonstrates his application of his earlier trade into his ultimate vocation as an artist. This is especially fitting if his nickname indeed derived from his goldsmith apprenticeship. Furthermore, the gold had an additional symbolic value that inherently connected it to Heaven. Featherstone stated that:</w:t>
      </w:r>
    </w:p>
    <w:p>
      <w:pPr>
        <w:pStyle w:val="style4099"/>
        <w:rPr/>
      </w:pPr>
    </w:p>
    <w:p>
      <w:pPr>
        <w:pStyle w:val="style4099"/>
        <w:jc w:val="center"/>
        <w:rPr/>
      </w:pPr>
      <w:r>
        <w:rPr>
          <w:lang w:val="en-US"/>
        </w:rPr>
        <w:t>The symbolism of the gold is to do with the unchanging, untarnished nature of heaven - gold doesn</w:t>
      </w:r>
      <w:r>
        <w:rPr>
          <w:lang w:val="en-US"/>
        </w:rPr>
        <w:t>’</w:t>
      </w:r>
      <w:r>
        <w:rPr>
          <w:lang w:val="en-US"/>
        </w:rPr>
        <w:t>t decay, it doesn</w:t>
      </w:r>
      <w:r>
        <w:rPr>
          <w:lang w:val="en-US"/>
        </w:rPr>
        <w:t>’</w:t>
      </w:r>
      <w:r>
        <w:rPr>
          <w:lang w:val="en-US"/>
        </w:rPr>
        <w:t>t darken like silver.</w:t>
      </w:r>
      <w:r>
        <w:rPr>
          <w:vertAlign w:val="superscript"/>
        </w:rPr>
        <w:footnoteReference w:id="29"/>
      </w:r>
    </w:p>
    <w:p>
      <w:pPr>
        <w:pStyle w:val="style4099"/>
        <w:rPr/>
      </w:pPr>
    </w:p>
    <w:p>
      <w:pPr>
        <w:pStyle w:val="style4099"/>
        <w:rPr/>
      </w:pPr>
    </w:p>
    <w:p>
      <w:pPr>
        <w:pStyle w:val="style4099"/>
        <w:rPr/>
      </w:pPr>
      <w:r>
        <w:rPr>
          <w:lang w:val="en-US"/>
        </w:rPr>
        <w:t>Additionally, Botticelli</w:t>
      </w:r>
      <w:r>
        <w:rPr>
          <w:lang w:val="en-US"/>
        </w:rPr>
        <w:t>’</w:t>
      </w:r>
      <w:r>
        <w:rPr>
          <w:lang w:val="en-US"/>
        </w:rPr>
        <w:t>s use of gold, as well as blue, in the sky, suggests that he may have painted partially from life, as both are colours observable, at times, during sunsets. Twelve angels dance in a circle in the sky. They appear to be celebrating. Their presence indicates that the upper part of the painting, besides representing the sky, also features Heaven itself in the same location, made visible to observers, as Langmuir referred to. The angels are dressed in the colours associated with Faith, Hope and Charity. They seem to be representing these cardinal virtues, which adds an additional layer of symbolism. Furthermore, they carry olive branches. In biblical symbology, the plant denotes peace. This adds to the sense of joy depicted. Angels feature at multiple levels in this painting. They perform a circular dance in the sky, cluster over a book on the stable roof, and appear to be embracing mortal men at ground level, at the very bottom of the painting. However, it is those featured in Heaven itself that seem the most appealing and eye-catching. This might be explained by the sheer number of them appearing together, in addition to the splendour of the depiction of Heaven drawing the eye. Aston compares Botticelli</w:t>
      </w:r>
      <w:r>
        <w:rPr>
          <w:lang w:val="en-US"/>
        </w:rPr>
        <w:t>’</w:t>
      </w:r>
      <w:r>
        <w:rPr>
          <w:lang w:val="en-US"/>
        </w:rPr>
        <w:t xml:space="preserve">s </w:t>
      </w:r>
      <w:r>
        <w:rPr>
          <w:i/>
          <w:iCs/>
          <w:lang w:val="en-US"/>
        </w:rPr>
        <w:t>Mystical</w:t>
      </w:r>
      <w:r>
        <w:rPr>
          <w:lang w:val="en-US"/>
        </w:rPr>
        <w:t xml:space="preserve"> </w:t>
      </w:r>
      <w:r>
        <w:rPr>
          <w:i/>
          <w:iCs/>
          <w:lang w:val="en-US"/>
        </w:rPr>
        <w:t>Nativity</w:t>
      </w:r>
      <w:r>
        <w:rPr>
          <w:lang w:val="en-US"/>
        </w:rPr>
        <w:t xml:space="preserve"> favourably with other nativity paintings by different artists. She ends her discussion of the sub-genre with Botticelli, which tacitly acknowledges his version as its culmination. She characterises Botticelli</w:t>
      </w:r>
      <w:r>
        <w:rPr>
          <w:lang w:val="en-US"/>
        </w:rPr>
        <w:t>’</w:t>
      </w:r>
      <w:r>
        <w:rPr>
          <w:lang w:val="en-US"/>
        </w:rPr>
        <w:t>s painting as:</w:t>
      </w:r>
    </w:p>
    <w:p>
      <w:pPr>
        <w:pStyle w:val="style4099"/>
        <w:rPr/>
      </w:pPr>
    </w:p>
    <w:p>
      <w:pPr>
        <w:pStyle w:val="style4099"/>
        <w:jc w:val="center"/>
        <w:rPr/>
      </w:pPr>
      <w:r>
        <w:rPr>
          <w:lang w:val="en-US"/>
        </w:rPr>
        <w:t>a picture painted near the end of his life, when he was under the influence of Savonarola, [which] unfolds the whole theology of the incarnation, with a circle of dancing angels in the sky and on earth the promise of redemption, Satan defeated and more angels embracing saved mankind.</w:t>
      </w:r>
      <w:r>
        <w:rPr>
          <w:vertAlign w:val="superscript"/>
        </w:rPr>
        <w:footnoteReference w:id="30"/>
      </w:r>
    </w:p>
    <w:p>
      <w:pPr>
        <w:pStyle w:val="style4099"/>
        <w:jc w:val="center"/>
        <w:rPr/>
      </w:pPr>
    </w:p>
    <w:p>
      <w:pPr>
        <w:pStyle w:val="style4099"/>
        <w:rPr/>
      </w:pPr>
    </w:p>
    <w:p>
      <w:pPr>
        <w:pStyle w:val="style4099"/>
        <w:rPr/>
      </w:pPr>
      <w:r>
        <w:rPr>
          <w:lang w:val="en-US"/>
        </w:rPr>
        <w:t xml:space="preserve">Benvenuto Tisi, who was nicknamed Il Garofalo lived from 1481 to 1559. Comparable with Sandro Botticelli, he was also a Renaissance Italian painter and fairly contemporary with him. His nickname of Il Garofalo might be traced to his habitual practice of signing some of his works with a picture of a carnation. In Italian, </w:t>
      </w:r>
      <w:r>
        <w:rPr>
          <w:lang w:val="en-US"/>
        </w:rPr>
        <w:t>‘</w:t>
      </w:r>
      <w:r>
        <w:rPr>
          <w:lang w:val="en-US"/>
        </w:rPr>
        <w:t>carnation</w:t>
      </w:r>
      <w:r>
        <w:rPr>
          <w:lang w:val="en-US"/>
        </w:rPr>
        <w:t xml:space="preserve">’ </w:t>
      </w:r>
      <w:r>
        <w:rPr>
          <w:lang w:val="en-US"/>
        </w:rPr>
        <w:t xml:space="preserve">is </w:t>
      </w:r>
      <w:r>
        <w:rPr>
          <w:lang w:val="en-US"/>
        </w:rPr>
        <w:t>‘</w:t>
      </w:r>
      <w:r>
        <w:rPr>
          <w:lang w:val="en-US"/>
        </w:rPr>
        <w:t>garofano</w:t>
      </w:r>
      <w:r>
        <w:rPr>
          <w:lang w:val="en-US"/>
        </w:rPr>
        <w:t>’</w:t>
      </w:r>
      <w:r>
        <w:rPr>
          <w:lang w:val="en-US"/>
        </w:rPr>
        <w:t xml:space="preserve">. Hence the name Il Garofalo, which is (almost) Italian for </w:t>
      </w:r>
      <w:r>
        <w:rPr>
          <w:lang w:val="en-US"/>
        </w:rPr>
        <w:t>‘</w:t>
      </w:r>
      <w:r>
        <w:rPr>
          <w:lang w:val="en-US"/>
        </w:rPr>
        <w:t>The Carnation</w:t>
      </w:r>
      <w:r>
        <w:rPr>
          <w:lang w:val="en-US"/>
        </w:rPr>
        <w:t>’</w:t>
      </w:r>
      <w:r>
        <w:rPr>
          <w:lang w:val="en-US"/>
        </w:rPr>
        <w:t xml:space="preserve">. This essay will follow the example of the National Gallery, in referring to this artist as Garofalo. During visits to Venice and Rome, he came under the influence of the artist Raphael. This led ultimately to his gaining the reputation of being </w:t>
      </w:r>
      <w:r>
        <w:rPr>
          <w:lang w:val="en-US"/>
        </w:rPr>
        <w:t>‘</w:t>
      </w:r>
      <w:r>
        <w:rPr>
          <w:lang w:val="en-US"/>
        </w:rPr>
        <w:t>The Ferrarese Raphael</w:t>
      </w:r>
      <w:r>
        <w:rPr>
          <w:lang w:val="en-US"/>
        </w:rPr>
        <w:t xml:space="preserve">’ </w:t>
      </w:r>
      <w:r>
        <w:rPr>
          <w:lang w:val="en-US"/>
        </w:rPr>
        <w:t>among collectors.</w:t>
      </w:r>
      <w:r>
        <w:rPr>
          <w:rFonts w:ascii="Arial Rounded MT Bold" w:cs="Arial Rounded MT Bold" w:eastAsia="Arial Rounded MT Bold" w:hAnsi="Arial Rounded MT Bold"/>
          <w:b w:val="false"/>
          <w:bCs w:val="false"/>
          <w:i w:val="false"/>
          <w:iCs w:val="false"/>
          <w:vertAlign w:val="superscript"/>
        </w:rPr>
        <w:footnoteReference w:id="31"/>
      </w:r>
      <w:r>
        <w:rPr>
          <w:lang w:val="en-US"/>
        </w:rPr>
        <w:t xml:space="preserve"> As the name indicates, he painted extensively in Ferrara, where he had settled, using both oil and fresco. Many of his works had a religious theme, causing him to become known for this type of painting. Tragically for an artist, he spent the last nine years of his life blind. Subsequent to becoming blind, Garofalo spent more time in monasteries; his Christian religion that had dominated his art remaining an important factor in his life. His death occurred in Ferrara, on either the 6th or the 16th of September 1559. Two children survived him.</w:t>
      </w:r>
      <w:r>
        <w:rPr>
          <w:rFonts w:ascii="Arial Rounded MT Bold" w:cs="Arial Rounded MT Bold" w:eastAsia="Arial Rounded MT Bold" w:hAnsi="Arial Rounded MT Bold"/>
          <w:b w:val="false"/>
          <w:bCs w:val="false"/>
          <w:i w:val="false"/>
          <w:iCs w:val="false"/>
          <w:vertAlign w:val="superscript"/>
        </w:rPr>
        <w:footnoteReference w:id="32"/>
      </w:r>
      <w:r>
        <w:rPr>
          <w:lang w:val="en-US"/>
        </w:rPr>
        <w:t xml:space="preserve"> The National Gallery contains four of his paintings,</w:t>
      </w:r>
      <w:r>
        <w:rPr>
          <w:rFonts w:ascii="Arial Rounded MT Bold" w:cs="Arial Rounded MT Bold" w:eastAsia="Arial Rounded MT Bold" w:hAnsi="Arial Rounded MT Bold"/>
          <w:b w:val="false"/>
          <w:bCs w:val="false"/>
          <w:i w:val="false"/>
          <w:iCs w:val="false"/>
          <w:vertAlign w:val="superscript"/>
        </w:rPr>
        <w:footnoteReference w:id="33"/>
      </w:r>
      <w:r>
        <w:rPr>
          <w:lang w:val="en-US"/>
        </w:rPr>
        <w:t xml:space="preserve"> including </w:t>
      </w:r>
      <w:r>
        <w:rPr>
          <w:i/>
          <w:iCs/>
          <w:lang w:val="en-US"/>
        </w:rPr>
        <w:t>Saint</w:t>
      </w:r>
      <w:r>
        <w:rPr>
          <w:lang w:val="en-US"/>
        </w:rPr>
        <w:t xml:space="preserve"> </w:t>
      </w:r>
      <w:r>
        <w:rPr>
          <w:i/>
          <w:iCs/>
          <w:lang w:val="en-US"/>
        </w:rPr>
        <w:t>Augustine</w:t>
      </w:r>
      <w:r>
        <w:rPr>
          <w:lang w:val="en-US"/>
        </w:rPr>
        <w:t xml:space="preserve"> </w:t>
      </w:r>
      <w:r>
        <w:rPr>
          <w:i/>
          <w:iCs/>
          <w:lang w:val="en-US"/>
        </w:rPr>
        <w:t>with</w:t>
      </w:r>
      <w:r>
        <w:rPr>
          <w:lang w:val="en-US"/>
        </w:rPr>
        <w:t xml:space="preserve"> </w:t>
      </w:r>
      <w:r>
        <w:rPr>
          <w:i/>
          <w:iCs/>
          <w:lang w:val="en-US"/>
        </w:rPr>
        <w:t>the</w:t>
      </w:r>
      <w:r>
        <w:rPr>
          <w:lang w:val="en-US"/>
        </w:rPr>
        <w:t xml:space="preserve"> </w:t>
      </w:r>
      <w:r>
        <w:rPr>
          <w:i/>
          <w:iCs/>
          <w:lang w:val="en-US"/>
        </w:rPr>
        <w:t>Holy</w:t>
      </w:r>
      <w:r>
        <w:rPr>
          <w:lang w:val="en-US"/>
        </w:rPr>
        <w:t xml:space="preserve"> </w:t>
      </w:r>
      <w:r>
        <w:rPr>
          <w:i/>
          <w:iCs/>
          <w:lang w:val="en-US"/>
        </w:rPr>
        <w:t>Family</w:t>
      </w:r>
      <w:r>
        <w:rPr>
          <w:lang w:val="en-US"/>
        </w:rPr>
        <w:t xml:space="preserve"> </w:t>
      </w:r>
      <w:r>
        <w:rPr>
          <w:i/>
          <w:iCs/>
          <w:lang w:val="en-US"/>
        </w:rPr>
        <w:t>and</w:t>
      </w:r>
      <w:r>
        <w:rPr>
          <w:lang w:val="en-US"/>
        </w:rPr>
        <w:t xml:space="preserve"> </w:t>
      </w:r>
      <w:r>
        <w:rPr>
          <w:i/>
          <w:iCs/>
          <w:lang w:val="en-US"/>
        </w:rPr>
        <w:t>Saint</w:t>
      </w:r>
      <w:r>
        <w:rPr>
          <w:lang w:val="en-US"/>
        </w:rPr>
        <w:t xml:space="preserve"> </w:t>
      </w:r>
      <w:r>
        <w:rPr>
          <w:i/>
          <w:iCs/>
          <w:lang w:val="en-US"/>
        </w:rPr>
        <w:t>Catherine</w:t>
      </w:r>
      <w:r>
        <w:rPr>
          <w:lang w:val="en-US"/>
        </w:rPr>
        <w:t xml:space="preserve"> </w:t>
      </w:r>
      <w:r>
        <w:rPr>
          <w:i/>
          <w:iCs/>
          <w:lang w:val="en-US"/>
        </w:rPr>
        <w:t>of</w:t>
      </w:r>
      <w:r>
        <w:rPr>
          <w:lang w:val="en-US"/>
        </w:rPr>
        <w:t xml:space="preserve"> </w:t>
      </w:r>
      <w:r>
        <w:rPr>
          <w:i/>
          <w:iCs/>
          <w:lang w:val="en-US"/>
        </w:rPr>
        <w:t>Alexandria</w:t>
      </w:r>
      <w:r>
        <w:rPr>
          <w:lang w:val="en-US"/>
        </w:rPr>
        <w:t xml:space="preserve"> (</w:t>
      </w:r>
      <w:r>
        <w:rPr>
          <w:lang w:val="en-US"/>
        </w:rPr>
        <w:t>‘</w:t>
      </w:r>
      <w:r>
        <w:rPr>
          <w:i/>
          <w:iCs/>
          <w:lang w:val="en-US"/>
        </w:rPr>
        <w:t>The</w:t>
      </w:r>
      <w:r>
        <w:rPr>
          <w:lang w:val="en-US"/>
        </w:rPr>
        <w:t xml:space="preserve"> </w:t>
      </w:r>
      <w:r>
        <w:rPr>
          <w:i/>
          <w:iCs/>
          <w:lang w:val="en-US"/>
        </w:rPr>
        <w:t>Vision</w:t>
      </w:r>
      <w:r>
        <w:rPr>
          <w:lang w:val="en-US"/>
        </w:rPr>
        <w:t xml:space="preserve"> </w:t>
      </w:r>
      <w:r>
        <w:rPr>
          <w:i/>
          <w:iCs/>
          <w:lang w:val="en-US"/>
        </w:rPr>
        <w:t>of</w:t>
      </w:r>
      <w:r>
        <w:rPr>
          <w:lang w:val="en-US"/>
        </w:rPr>
        <w:t xml:space="preserve"> </w:t>
      </w:r>
      <w:r>
        <w:rPr>
          <w:i/>
          <w:iCs/>
          <w:lang w:val="en-US"/>
        </w:rPr>
        <w:t>Saint</w:t>
      </w:r>
      <w:r>
        <w:rPr>
          <w:lang w:val="en-US"/>
        </w:rPr>
        <w:t xml:space="preserve"> </w:t>
      </w:r>
      <w:r>
        <w:rPr>
          <w:i/>
          <w:iCs/>
          <w:lang w:val="en-US"/>
        </w:rPr>
        <w:t>Augustine</w:t>
      </w:r>
      <w:r>
        <w:rPr>
          <w:lang w:val="en-US"/>
        </w:rPr>
        <w:t>’</w:t>
      </w:r>
      <w:r>
        <w:rPr>
          <w:lang w:val="en-US"/>
        </w:rPr>
        <w:t>) (1520). Langmuir</w:t>
      </w:r>
      <w:r>
        <w:rPr>
          <w:lang w:val="en-US"/>
        </w:rPr>
        <w:t>’</w:t>
      </w:r>
      <w:r>
        <w:rPr>
          <w:lang w:val="en-US"/>
        </w:rPr>
        <w:t xml:space="preserve">s book displays this painting on the back cover, in both its complete form and three details from it. This choice of the painting, to partially represent the book, demonstrates a high opinion of it. </w:t>
      </w:r>
    </w:p>
    <w:p>
      <w:pPr>
        <w:pStyle w:val="style4099"/>
        <w:rPr/>
      </w:pPr>
    </w:p>
    <w:p>
      <w:pPr>
        <w:pStyle w:val="style4099"/>
        <w:rPr/>
      </w:pPr>
      <w:r>
        <w:rPr>
          <w:lang w:val="en-US"/>
        </w:rPr>
        <w:t>Garofalo</w:t>
      </w:r>
      <w:r>
        <w:rPr>
          <w:lang w:val="en-US"/>
        </w:rPr>
        <w:t>’</w:t>
      </w:r>
      <w:r>
        <w:rPr>
          <w:lang w:val="en-US"/>
        </w:rPr>
        <w:t>s choice of St. Augustine as the primary figure in his painting, is a fitting one for a religious work. Augustine was one of the founding fathers of the early Christian Church. His writings helped to codify many of the Church laws and customs. Fittingly, Langmuir</w:t>
      </w:r>
      <w:r>
        <w:rPr>
          <w:lang w:val="en-US"/>
        </w:rPr>
        <w:t>’</w:t>
      </w:r>
      <w:r>
        <w:rPr>
          <w:lang w:val="en-US"/>
        </w:rPr>
        <w:t>s book pairs Garofalo</w:t>
      </w:r>
      <w:r>
        <w:rPr>
          <w:lang w:val="en-US"/>
        </w:rPr>
        <w:t>’</w:t>
      </w:r>
      <w:r>
        <w:rPr>
          <w:lang w:val="en-US"/>
        </w:rPr>
        <w:t>s painting with an extract from Augustine</w:t>
      </w:r>
      <w:r>
        <w:rPr>
          <w:lang w:val="en-US"/>
        </w:rPr>
        <w:t>’</w:t>
      </w:r>
      <w:r>
        <w:rPr>
          <w:lang w:val="en-US"/>
        </w:rPr>
        <w:t>s works; specifically from The Confessions of Saint Augustine. This extract takes the form of a prayer. In the bottom right of the painting, Augustine sits at his desk with books, seemingly in the act of writing. (Perhaps the Confessions.) St. Catherine stands just behind him; seemingly shoulder to shoulder. She holds a long feather, that might be a quill pen. This accoutrement, in addition to her proximity to him as he writes, indicates that she might be inspiring him. Thus, the task of the ancient pagan muses being performed by a Saint, is emblematic of the Christianisation of the world. The gap is somewhat bridged by Catherine being a very early Saint, and being from Ancient Egypt. This distinguishes her (Saint Catherine of Alexandria) from her more Medieval namesake, Saint Catherine of Sienna. The other Saint Catherine is also featured in the paintings of Garofalo. It is unclear whether or not Augustine can see Catherine. He is not quite looking at her, and her own eyes are lowered or closed. He might be imagining her, or she might be inspiring him without him being aware of her. Whatever the case, she is implied to be at least partially responsible for the scene in the sky. The scene might be real, or it might be what Augustine imagines with Catherine</w:t>
      </w:r>
      <w:r>
        <w:rPr>
          <w:lang w:val="en-US"/>
        </w:rPr>
        <w:t>’</w:t>
      </w:r>
      <w:r>
        <w:rPr>
          <w:lang w:val="en-US"/>
        </w:rPr>
        <w:t>s help. The painting</w:t>
      </w:r>
      <w:r>
        <w:rPr>
          <w:lang w:val="en-US"/>
        </w:rPr>
        <w:t>’</w:t>
      </w:r>
      <w:r>
        <w:rPr>
          <w:lang w:val="en-US"/>
        </w:rPr>
        <w:t xml:space="preserve">s subtitle of </w:t>
      </w:r>
      <w:r>
        <w:rPr>
          <w:lang w:val="en-US"/>
        </w:rPr>
        <w:t>‘</w:t>
      </w:r>
      <w:r>
        <w:rPr>
          <w:i/>
          <w:iCs/>
          <w:lang w:val="en-US"/>
        </w:rPr>
        <w:t>The</w:t>
      </w:r>
      <w:r>
        <w:rPr>
          <w:lang w:val="en-US"/>
        </w:rPr>
        <w:t xml:space="preserve"> </w:t>
      </w:r>
      <w:r>
        <w:rPr>
          <w:i/>
          <w:iCs/>
          <w:lang w:val="en-US"/>
        </w:rPr>
        <w:t>Vision</w:t>
      </w:r>
      <w:r>
        <w:rPr>
          <w:lang w:val="en-US"/>
        </w:rPr>
        <w:t xml:space="preserve"> </w:t>
      </w:r>
      <w:r>
        <w:rPr>
          <w:i/>
          <w:iCs/>
          <w:lang w:val="en-US"/>
        </w:rPr>
        <w:t>of</w:t>
      </w:r>
      <w:r>
        <w:rPr>
          <w:lang w:val="en-US"/>
        </w:rPr>
        <w:t xml:space="preserve"> </w:t>
      </w:r>
      <w:r>
        <w:rPr>
          <w:i/>
          <w:iCs/>
          <w:lang w:val="en-US"/>
        </w:rPr>
        <w:t>Saint</w:t>
      </w:r>
      <w:r>
        <w:rPr>
          <w:lang w:val="en-US"/>
        </w:rPr>
        <w:t xml:space="preserve"> </w:t>
      </w:r>
      <w:r>
        <w:rPr>
          <w:i/>
          <w:iCs/>
          <w:lang w:val="en-US"/>
        </w:rPr>
        <w:t>Augustine</w:t>
      </w:r>
      <w:r>
        <w:rPr>
          <w:lang w:val="en-US"/>
        </w:rPr>
        <w:t xml:space="preserve">’ </w:t>
      </w:r>
      <w:r>
        <w:rPr>
          <w:lang w:val="en-US"/>
        </w:rPr>
        <w:t>suggests the latter. Either way, through the magic of religious art, viewers of the painting are able to see it.</w:t>
      </w:r>
    </w:p>
    <w:p>
      <w:pPr>
        <w:pStyle w:val="style4099"/>
        <w:rPr/>
      </w:pPr>
    </w:p>
    <w:p>
      <w:pPr>
        <w:pStyle w:val="style4099"/>
        <w:rPr/>
      </w:pPr>
      <w:r>
        <w:rPr>
          <w:lang w:val="en-US"/>
        </w:rPr>
        <w:t>As the main title suggests, the sky scene features the Holy Family. They appear in the top left corner. Mary and Joseph are depicted with halos, as they are considered Saints.Thus, interestingly, in the twenty years since the Botticelli, Joseph has acquired his halo, reaffirming his sainthood, if the paintings are read in a chronological theological progression. Augustine also has a halo, though fainter and less prominent than those of Mary and Joseph. This might symbolise that he is destined for sainthood, even if the painting depicts him as if in life. Grinnell refers to:</w:t>
      </w:r>
    </w:p>
    <w:p>
      <w:pPr>
        <w:pStyle w:val="style4099"/>
        <w:rPr/>
      </w:pPr>
    </w:p>
    <w:p>
      <w:pPr>
        <w:pStyle w:val="style4099"/>
        <w:jc w:val="center"/>
        <w:rPr/>
      </w:pPr>
      <w:r>
        <w:rPr>
          <w:lang w:val="en-US"/>
        </w:rPr>
        <w:t>a perfect halo of gold [as], the symbol of eternity not only because it has no beginning and no end, but also because gold alone of all the metals is incorruptible.</w:t>
      </w:r>
      <w:r>
        <w:rPr>
          <w:vertAlign w:val="superscript"/>
        </w:rPr>
        <w:footnoteReference w:id="34"/>
      </w:r>
    </w:p>
    <w:p>
      <w:pPr>
        <w:pStyle w:val="style4099"/>
        <w:rPr/>
      </w:pPr>
    </w:p>
    <w:p>
      <w:pPr>
        <w:pStyle w:val="style4099"/>
        <w:rPr/>
      </w:pPr>
      <w:r>
        <w:rPr>
          <w:lang w:val="en-US"/>
        </w:rPr>
        <w:t>Grinnell</w:t>
      </w:r>
      <w:r>
        <w:rPr>
          <w:lang w:val="en-US"/>
        </w:rPr>
        <w:t>’</w:t>
      </w:r>
      <w:r>
        <w:rPr>
          <w:lang w:val="en-US"/>
        </w:rPr>
        <w:t>s views of gold are in accordance with those of Featherstone. In Garofalo</w:t>
      </w:r>
      <w:r>
        <w:rPr>
          <w:lang w:val="en-US"/>
        </w:rPr>
        <w:t>’</w:t>
      </w:r>
      <w:r>
        <w:rPr>
          <w:lang w:val="en-US"/>
        </w:rPr>
        <w:t>s painting, the Christ Child is a somewhat large baby, being held by his mother. He is depicted with a family resemblance to her, especially in his hair, which is an effective touch. Next to the family are a large crowd of angels. Some of them are depicted with musical instruments, a motif this picture has in common with the Reni painting. The motif will therefore be considered in the next section. It is worth noting that the Holy Family and the angels, being in the sky, are literally in the clouds, in the sense of appearing to be sitting on them (the two angels at the back apparently standing notwithstanding). This is interesting, as the clouds are therefore being depicted as a solid object, apparently capable of weight-bearing. This constitutes another motif that also features in the Reni painting.</w:t>
      </w:r>
    </w:p>
    <w:p>
      <w:pPr>
        <w:pStyle w:val="style4099"/>
        <w:rPr/>
      </w:pPr>
    </w:p>
    <w:p>
      <w:pPr>
        <w:pStyle w:val="style4099"/>
        <w:rPr/>
      </w:pPr>
    </w:p>
    <w:p>
      <w:pPr>
        <w:pStyle w:val="style4099"/>
        <w:rPr/>
      </w:pPr>
      <w:r>
        <w:rPr>
          <w:lang w:val="en-US"/>
        </w:rPr>
        <w:t xml:space="preserve">Guido Reni lived from 1575-1642. He was an Italian Renaissance painter from Bologna, who was also associated with the Baroque movement. Comparable with Sandro Botticelli, he painted a combination of religious and mythological subjects. </w:t>
      </w:r>
      <w:r>
        <w:rPr>
          <w:i/>
          <w:iCs/>
          <w:lang w:val="en-US"/>
        </w:rPr>
        <w:t>The</w:t>
      </w:r>
      <w:r>
        <w:rPr>
          <w:lang w:val="en-US"/>
        </w:rPr>
        <w:t xml:space="preserve"> </w:t>
      </w:r>
      <w:r>
        <w:rPr>
          <w:i/>
          <w:iCs/>
          <w:lang w:val="en-US"/>
        </w:rPr>
        <w:t>Coronation</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Virgin</w:t>
      </w:r>
      <w:r>
        <w:rPr>
          <w:lang w:val="en-US"/>
        </w:rPr>
        <w:t>, the Reni painting studied in this essay, has been dated to approximately 1607.This year marked the beginning of Reni</w:t>
      </w:r>
      <w:r>
        <w:rPr>
          <w:lang w:val="en-US"/>
        </w:rPr>
        <w:t>’</w:t>
      </w:r>
      <w:r>
        <w:rPr>
          <w:lang w:val="en-US"/>
        </w:rPr>
        <w:t>s patronage by the Borghese family, which dated from 1607 to 1614. They were the family of Pope Paul V, who presided as Head of the Catholic Church during this period. The exact dates of his tenure as Pope were 1605-1621. Fittingly, as one of the premier painters patronised by the Borghese family, Reni spent this time period living in Rome. Reni is sometimes considered to be the most famous Italian artist of his generation.</w:t>
      </w:r>
      <w:r>
        <w:rPr>
          <w:rFonts w:ascii="Arial Rounded MT Bold" w:cs="Arial Rounded MT Bold" w:eastAsia="Arial Rounded MT Bold" w:hAnsi="Arial Rounded MT Bold"/>
          <w:b w:val="false"/>
          <w:bCs w:val="false"/>
          <w:i w:val="false"/>
          <w:iCs w:val="false"/>
          <w:vertAlign w:val="superscript"/>
        </w:rPr>
        <w:footnoteReference w:id="35"/>
      </w:r>
      <w:r>
        <w:rPr>
          <w:lang w:val="en-US"/>
        </w:rPr>
        <w:t xml:space="preserve"> It is therefore entirely fitting that the Parisian Louvre contains twenty of his paintings (the artist having been greatly appreciated in France, dating back to his own lifetime), while London</w:t>
      </w:r>
      <w:r>
        <w:rPr>
          <w:lang w:val="en-US"/>
        </w:rPr>
        <w:t>’</w:t>
      </w:r>
      <w:r>
        <w:rPr>
          <w:lang w:val="en-US"/>
        </w:rPr>
        <w:t xml:space="preserve">s National Gallery has seven. Among these seven is the </w:t>
      </w:r>
      <w:r>
        <w:rPr>
          <w:i/>
          <w:iCs/>
          <w:lang w:val="en-US"/>
        </w:rPr>
        <w:t>Coronation</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Virgin</w:t>
      </w:r>
      <w:r>
        <w:rPr>
          <w:lang w:val="en-US"/>
        </w:rPr>
        <w:t>. Similarly to Botticelli</w:t>
      </w:r>
      <w:r>
        <w:rPr>
          <w:lang w:val="en-US"/>
        </w:rPr>
        <w:t>’</w:t>
      </w:r>
      <w:r>
        <w:rPr>
          <w:lang w:val="en-US"/>
        </w:rPr>
        <w:t xml:space="preserve">s </w:t>
      </w:r>
      <w:r>
        <w:rPr>
          <w:i/>
          <w:iCs/>
          <w:lang w:val="en-US"/>
        </w:rPr>
        <w:t>Mystical</w:t>
      </w:r>
      <w:r>
        <w:rPr>
          <w:lang w:val="en-US"/>
        </w:rPr>
        <w:t xml:space="preserve"> </w:t>
      </w:r>
      <w:r>
        <w:rPr>
          <w:i/>
          <w:iCs/>
          <w:lang w:val="en-US"/>
        </w:rPr>
        <w:t>Nativity</w:t>
      </w:r>
      <w:r>
        <w:rPr>
          <w:lang w:val="en-US"/>
        </w:rPr>
        <w:t>, this painting is notably small. Its dimensions are 66.6cm height by 48.8cm width. Furthermore, it was painted in oil on copper. The copper base may have provided an underlying contribution to some of the colours used by the artist. The National Gallery website notes that:</w:t>
      </w:r>
    </w:p>
    <w:p>
      <w:pPr>
        <w:pStyle w:val="style4099"/>
        <w:rPr/>
      </w:pPr>
    </w:p>
    <w:p>
      <w:pPr>
        <w:pStyle w:val="style4099"/>
        <w:jc w:val="center"/>
        <w:rPr/>
      </w:pPr>
      <w:r>
        <w:rPr>
          <w:lang w:val="en-US"/>
        </w:rPr>
        <w:t>Reni began to paint on copper in the early 1590s and was considered especially successful at it - its smooth hard surface allowed the artist to paint in minutely fine detail.</w:t>
      </w:r>
      <w:r>
        <w:rPr>
          <w:vertAlign w:val="superscript"/>
        </w:rPr>
        <w:footnoteReference w:id="36"/>
      </w:r>
    </w:p>
    <w:p>
      <w:pPr>
        <w:pStyle w:val="style4099"/>
        <w:jc w:val="center"/>
        <w:rPr/>
      </w:pPr>
    </w:p>
    <w:p>
      <w:pPr>
        <w:pStyle w:val="style4099"/>
        <w:rPr/>
      </w:pPr>
      <w:r>
        <w:rPr>
          <w:lang w:val="en-US"/>
        </w:rPr>
        <w:t>Approximately fifteen years of practice (by 1607) might account for the level of detail present in this painting, in addition to the level of skill applied to it. The National Gallery acquired the painting in 1847, when it was bequeathed to them by William Wells. Paintings of the Virgin Mary being crowned by angels were a recurring tradition in art history. The National Gallery contains older examples than Reni</w:t>
      </w:r>
      <w:r>
        <w:rPr>
          <w:lang w:val="en-US"/>
        </w:rPr>
        <w:t>’</w:t>
      </w:r>
      <w:r>
        <w:rPr>
          <w:lang w:val="en-US"/>
        </w:rPr>
        <w:t>s 1607 version. It is quite possible that Reni saw some of these earlier works and was inspired by them, prior to painting the scene himself. He certainly would have known of the tradition.</w:t>
      </w:r>
    </w:p>
    <w:p>
      <w:pPr>
        <w:pStyle w:val="style4099"/>
        <w:rPr/>
      </w:pPr>
    </w:p>
    <w:p>
      <w:pPr>
        <w:pStyle w:val="style4099"/>
        <w:rPr/>
      </w:pPr>
      <w:r>
        <w:rPr>
          <w:lang w:val="en-US"/>
        </w:rPr>
        <w:t>It is sometimes speculated that the painting was likely produced prior to the artist leaving Bologna for Rome and beginning his patronage by the Borghese family. This would explain the estimated date.</w:t>
      </w:r>
      <w:r>
        <w:rPr>
          <w:rFonts w:ascii="Arial Rounded MT Bold" w:cs="Arial Rounded MT Bold" w:eastAsia="Arial Rounded MT Bold" w:hAnsi="Arial Rounded MT Bold"/>
          <w:b w:val="false"/>
          <w:bCs w:val="false"/>
          <w:i w:val="false"/>
          <w:iCs w:val="false"/>
          <w:vertAlign w:val="superscript"/>
        </w:rPr>
        <w:footnoteReference w:id="37"/>
      </w:r>
      <w:r>
        <w:rPr>
          <w:lang w:val="en-US"/>
        </w:rPr>
        <w:t xml:space="preserve"> William Michael Rossetti claims in his encyclopaedia article that:</w:t>
      </w:r>
    </w:p>
    <w:p>
      <w:pPr>
        <w:pStyle w:val="style4099"/>
        <w:rPr/>
      </w:pPr>
    </w:p>
    <w:p>
      <w:pPr>
        <w:pStyle w:val="style4099"/>
        <w:jc w:val="center"/>
        <w:rPr/>
      </w:pPr>
      <w:r>
        <w:rPr>
          <w:lang w:val="en-US"/>
        </w:rPr>
        <w:t xml:space="preserve">The most interesting of the seven [National Gallery Reni paintings] is the small </w:t>
      </w:r>
      <w:r>
        <w:rPr>
          <w:lang w:val="en-US"/>
        </w:rPr>
        <w:t>“</w:t>
      </w:r>
      <w:r>
        <w:rPr>
          <w:i/>
          <w:iCs/>
          <w:lang w:val="en-US"/>
        </w:rPr>
        <w:t>Coronation</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Virgin</w:t>
      </w:r>
      <w:r>
        <w:rPr>
          <w:lang w:val="en-US"/>
        </w:rPr>
        <w:t>”</w:t>
      </w:r>
      <w:r>
        <w:rPr>
          <w:lang w:val="en-US"/>
        </w:rPr>
        <w:t>, painted on copper, an elegantly finished work, more pretty than beautiful. It was probably painted before the master quitted Bologna for Rome.</w:t>
      </w:r>
      <w:r>
        <w:rPr>
          <w:vertAlign w:val="superscript"/>
        </w:rPr>
        <w:footnoteReference w:id="38"/>
      </w:r>
    </w:p>
    <w:p>
      <w:pPr>
        <w:pStyle w:val="style4099"/>
        <w:jc w:val="center"/>
        <w:rPr/>
      </w:pPr>
    </w:p>
    <w:p>
      <w:pPr>
        <w:pStyle w:val="style4099"/>
        <w:rPr/>
      </w:pPr>
    </w:p>
    <w:p>
      <w:pPr>
        <w:pStyle w:val="style4099"/>
        <w:rPr/>
      </w:pPr>
      <w:r>
        <w:rPr>
          <w:lang w:val="en-US"/>
        </w:rPr>
        <w:t>An additional author who provides background information on Guido Reni is Roy Bolton. He appears to be in general agreement with previously referenced critics. This suggests that there might be an established academic consensus on the topic of the artist. Bolton supplements his information with further details that arguably shed light on the artist</w:t>
      </w:r>
      <w:r>
        <w:rPr>
          <w:lang w:val="en-US"/>
        </w:rPr>
        <w:t>’</w:t>
      </w:r>
      <w:r>
        <w:rPr>
          <w:lang w:val="en-US"/>
        </w:rPr>
        <w:t>s work. He states that:</w:t>
      </w:r>
    </w:p>
    <w:p>
      <w:pPr>
        <w:pStyle w:val="style4099"/>
        <w:rPr/>
      </w:pPr>
    </w:p>
    <w:p>
      <w:pPr>
        <w:pStyle w:val="style4099"/>
        <w:jc w:val="center"/>
        <w:rPr/>
      </w:pPr>
      <w:r>
        <w:rPr>
          <w:lang w:val="en-US"/>
        </w:rPr>
        <w:t>Reni is one of the seventeenth-century</w:t>
      </w:r>
      <w:r>
        <w:rPr>
          <w:lang w:val="en-US"/>
        </w:rPr>
        <w:t>’</w:t>
      </w:r>
      <w:r>
        <w:rPr>
          <w:lang w:val="en-US"/>
        </w:rPr>
        <w:t>s most influential painters. Until the nineteenth century, when the English critic John Ruskin trashed his reputation, Reni had been ranked next to Raphael. His huge studio cranked out thousands of copies of his paintings - not all were great ones, thus Ruskin</w:t>
      </w:r>
      <w:r>
        <w:rPr>
          <w:lang w:val="en-US"/>
        </w:rPr>
        <w:t>’</w:t>
      </w:r>
      <w:r>
        <w:rPr>
          <w:lang w:val="en-US"/>
        </w:rPr>
        <w:t xml:space="preserve">s rant against him. But Reni had a massive gambling habit he needed to pay for. We know more about him than about any artist of the time. He was prim, got embarrassed by obscenities, and venerated the cult of the Virgin Mary because he was a virgin himself. It is now thought he was also a repressed homosexual. He lived with his mother, but the art historian Count Malvasia wrote that he froze up </w:t>
      </w:r>
      <w:r>
        <w:rPr>
          <w:lang w:val="en-US"/>
        </w:rPr>
        <w:t>‘</w:t>
      </w:r>
      <w:r>
        <w:rPr>
          <w:lang w:val="en-US"/>
        </w:rPr>
        <w:t>like marble</w:t>
      </w:r>
      <w:r>
        <w:rPr>
          <w:lang w:val="en-US"/>
        </w:rPr>
        <w:t xml:space="preserve">’ </w:t>
      </w:r>
      <w:r>
        <w:rPr>
          <w:lang w:val="en-US"/>
        </w:rPr>
        <w:t>in front of any other woman.</w:t>
      </w:r>
      <w:r>
        <w:rPr>
          <w:vertAlign w:val="superscript"/>
        </w:rPr>
        <w:footnoteReference w:id="39"/>
      </w:r>
    </w:p>
    <w:p>
      <w:pPr>
        <w:pStyle w:val="style4099"/>
        <w:jc w:val="center"/>
        <w:rPr/>
      </w:pPr>
    </w:p>
    <w:p>
      <w:pPr>
        <w:pStyle w:val="style4099"/>
        <w:rPr/>
      </w:pPr>
    </w:p>
    <w:p>
      <w:pPr>
        <w:pStyle w:val="style4099"/>
        <w:rPr/>
      </w:pPr>
      <w:r>
        <w:rPr>
          <w:lang w:val="en-US"/>
        </w:rPr>
        <w:t>Bolton appears to confirm the pre-existing critical view regarding Reni</w:t>
      </w:r>
      <w:r>
        <w:rPr>
          <w:lang w:val="en-US"/>
        </w:rPr>
        <w:t>’</w:t>
      </w:r>
      <w:r>
        <w:rPr>
          <w:lang w:val="en-US"/>
        </w:rPr>
        <w:t>s fame and influence. Having John Ruskin affect his posthumous reputation, was something Reni had in common with Botticelli. Reni</w:t>
      </w:r>
      <w:r>
        <w:rPr>
          <w:lang w:val="en-US"/>
        </w:rPr>
        <w:t>’</w:t>
      </w:r>
      <w:r>
        <w:rPr>
          <w:lang w:val="en-US"/>
        </w:rPr>
        <w:t xml:space="preserve">s apparent intimacy issues may well have contributed to his veneration of the Virgin Mary. This veneration in itself may in turn be an underlying factor in the fact that Reni painted multiple representations of the Virgin Mary. One prominent example is </w:t>
      </w:r>
      <w:r>
        <w:rPr>
          <w:i/>
          <w:iCs/>
          <w:lang w:val="en-US"/>
        </w:rPr>
        <w:t>The</w:t>
      </w:r>
      <w:r>
        <w:rPr>
          <w:lang w:val="en-US"/>
        </w:rPr>
        <w:t xml:space="preserve"> </w:t>
      </w:r>
      <w:r>
        <w:rPr>
          <w:i/>
          <w:iCs/>
          <w:lang w:val="en-US"/>
        </w:rPr>
        <w:t>Coronation</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Virgin</w:t>
      </w:r>
      <w:r>
        <w:rPr>
          <w:lang w:val="en-US"/>
        </w:rPr>
        <w:t>. Another likely factor is the fact that Virgin Mary paintings were very popular during this time period. Langmuir</w:t>
      </w:r>
      <w:r>
        <w:rPr>
          <w:lang w:val="en-US"/>
        </w:rPr>
        <w:t>’</w:t>
      </w:r>
      <w:r>
        <w:rPr>
          <w:lang w:val="en-US"/>
        </w:rPr>
        <w:t>s book features an entire chapter showcasing them, entitled The Queen of Heaven. Such paintings differ from nativities in that, rather than representing the birth of Jesus, they focus on His mother, typically bestowing glory and honour on her. She is often the only human character present, generally being depicted with angels, rather than with her family. Reni</w:t>
      </w:r>
      <w:r>
        <w:rPr>
          <w:lang w:val="en-US"/>
        </w:rPr>
        <w:t>’</w:t>
      </w:r>
      <w:r>
        <w:rPr>
          <w:lang w:val="en-US"/>
        </w:rPr>
        <w:t>s 1607 painting follows this pattern. Mary is foregrounded in the centre of the painting, instantly drawing the eye. She wears a pink gown, while her wrap is the traditional blue associated with the character. Both colours represent her innocence. Her garments show the rippling effect often seen in paintings. Her headdress is reminiscent of a nun</w:t>
      </w:r>
      <w:r>
        <w:rPr>
          <w:lang w:val="en-US"/>
        </w:rPr>
        <w:t>’</w:t>
      </w:r>
      <w:r>
        <w:rPr>
          <w:lang w:val="en-US"/>
        </w:rPr>
        <w:t>s habit. Given the artist</w:t>
      </w:r>
      <w:r>
        <w:rPr>
          <w:lang w:val="en-US"/>
        </w:rPr>
        <w:t>’</w:t>
      </w:r>
      <w:r>
        <w:rPr>
          <w:lang w:val="en-US"/>
        </w:rPr>
        <w:t>s reverence for virgins and virginity, this is presumably deliberate. It might be speculated that the artist wished to additionally honour the nuns who emulate the Holy Mother</w:t>
      </w:r>
      <w:r>
        <w:rPr>
          <w:lang w:val="en-US"/>
        </w:rPr>
        <w:t>’</w:t>
      </w:r>
      <w:r>
        <w:rPr>
          <w:lang w:val="en-US"/>
        </w:rPr>
        <w:t>s legendary virginity by maintaining their own.</w:t>
      </w:r>
    </w:p>
    <w:p>
      <w:pPr>
        <w:pStyle w:val="style4099"/>
        <w:rPr/>
      </w:pPr>
    </w:p>
    <w:p>
      <w:pPr>
        <w:pStyle w:val="style4099"/>
        <w:rPr/>
      </w:pPr>
      <w:r>
        <w:rPr>
          <w:lang w:val="en-US"/>
        </w:rPr>
        <w:t>One word that instantly comes to mind with this painting is crowded. The painting is crammed almost completely with angels. They feature at all levels, in a manner vaguely reminiscent of the Botticelli painting. Angels are depicted both above and below Mary; the central figure. Additionally, two cherubs (or else putti) flank her on either side. They match the two hovering above her, and holding a crown directly over her head. They are presumably engaged in the crowning referred to in the painting</w:t>
      </w:r>
      <w:r>
        <w:rPr>
          <w:lang w:val="en-US"/>
        </w:rPr>
        <w:t>’</w:t>
      </w:r>
      <w:r>
        <w:rPr>
          <w:lang w:val="en-US"/>
        </w:rPr>
        <w:t>s title. They may also represent Mary</w:t>
      </w:r>
      <w:r>
        <w:rPr>
          <w:lang w:val="en-US"/>
        </w:rPr>
        <w:t>’</w:t>
      </w:r>
      <w:r>
        <w:rPr>
          <w:lang w:val="en-US"/>
        </w:rPr>
        <w:t>s own son; the Holy Child himself. The sky, as representing Heaven and featured at the top of the painting, is a beautiful copper-gold colour. This was presumably assisted by the painting being on copper. It may also have been influenced by the colours of real sunsets, and possibly by Botticelli</w:t>
      </w:r>
      <w:r>
        <w:rPr>
          <w:lang w:val="en-US"/>
        </w:rPr>
        <w:t>’</w:t>
      </w:r>
      <w:r>
        <w:rPr>
          <w:lang w:val="en-US"/>
        </w:rPr>
        <w:t>s golden dome, in his depiction of the same, a little over a century previously. The effect is very striking, especially with the eerie and barely visible children</w:t>
      </w:r>
      <w:r>
        <w:rPr>
          <w:lang w:val="en-US"/>
        </w:rPr>
        <w:t>’</w:t>
      </w:r>
      <w:r>
        <w:rPr>
          <w:lang w:val="en-US"/>
        </w:rPr>
        <w:t>s faces, shown faintly against the copper at the very top.</w:t>
      </w:r>
    </w:p>
    <w:p>
      <w:pPr>
        <w:pStyle w:val="style4099"/>
        <w:rPr/>
      </w:pPr>
    </w:p>
    <w:p>
      <w:pPr>
        <w:pStyle w:val="style4099"/>
        <w:rPr/>
      </w:pPr>
      <w:r>
        <w:rPr>
          <w:lang w:val="en-US"/>
        </w:rPr>
        <w:t>The upper corners feature two angels seemingly engaged in the process of holding back two clouds. This suggests that the Reni painting can be viewed as a continuation of sorts of the Garofalo, in the sense that they both feature clouds as corporeal objects; capable of bearing weight, or motion, or both. This position and apparent motion of the clouds from above the scene is reminiscent of curtains being drawn back to reveal a theatrical performance. Indeed, the whole picture has something of a theatrical flavour to it. The scene depicts a coronation, after all. Such a ceremony has remained mostly unchanged since the Medieval period. It definitely has performative elements to it, resembling a play. Traditionally, a coronation also features an abundance of gold. Thus, another reason for the sky to be gold is added, in addition to sunset colours and the potential influence of Botticelli. Furthermore, the gold in the sky tones effectively with the golden crown. An additional theatrical element is that the angels are sufficient in number to form a chorus. Both types of chorus, in fact, the dramatic and the musical. The popular image of angels playing musical instruments and especially the harp, might be connected to Italian Renaissance art, as this occurs there as a common sight. Additional origins to the idea include the fact that one of the traditional orders of angels were the heralds. This led to them being pictorially represented with trumpets and pipes to complement this role. Further instruments were gradually added over time. In this painting, instruments featured appear to include the cello, the harp, the violin, the lute and the pipe.</w:t>
      </w:r>
    </w:p>
    <w:p>
      <w:pPr>
        <w:pStyle w:val="style4099"/>
        <w:rPr/>
      </w:pPr>
    </w:p>
    <w:p>
      <w:pPr>
        <w:pStyle w:val="style4099"/>
        <w:rPr/>
      </w:pPr>
      <w:r>
        <w:rPr>
          <w:lang w:val="en-US"/>
        </w:rPr>
        <w:t>In addition to the clouds at the top of the painting, clouds also feature at the bottom and up to the middle. The golden sky is between the upper and lower clouds. The top clouds appear to be movable. The bottom clouds are weight-bearing. The middle clouds form a heavenly throne, upon which the Virgin sits, in anticipation of being crowned. Reni</w:t>
      </w:r>
      <w:r>
        <w:rPr>
          <w:lang w:val="en-US"/>
        </w:rPr>
        <w:t>’</w:t>
      </w:r>
      <w:r>
        <w:rPr>
          <w:lang w:val="en-US"/>
        </w:rPr>
        <w:t>s lower clouds are comparable with Garofalo</w:t>
      </w:r>
      <w:r>
        <w:rPr>
          <w:lang w:val="en-US"/>
        </w:rPr>
        <w:t>’</w:t>
      </w:r>
      <w:r>
        <w:rPr>
          <w:lang w:val="en-US"/>
        </w:rPr>
        <w:t>s, in that they bear the weight of a large number of figures, in this case a chorus of angels. The patches of blue at the very bottom, below the lower clouds, confirm the location of Heaven as being in the sky. They also tone effectively with both the Virgin</w:t>
      </w:r>
      <w:r>
        <w:rPr>
          <w:lang w:val="en-US"/>
        </w:rPr>
        <w:t>’</w:t>
      </w:r>
      <w:r>
        <w:rPr>
          <w:lang w:val="en-US"/>
        </w:rPr>
        <w:t>s wrap and the blue clothing worn by some of the angels.</w:t>
      </w:r>
    </w:p>
    <w:p>
      <w:pPr>
        <w:pStyle w:val="style4099"/>
        <w:rPr/>
      </w:pPr>
    </w:p>
    <w:p>
      <w:pPr>
        <w:pStyle w:val="style4099"/>
        <w:rPr/>
      </w:pPr>
      <w:r>
        <w:rPr>
          <w:lang w:val="en-US"/>
        </w:rPr>
        <w:t>John Pope-Hennessy notes in his Paradiso book that the period</w:t>
      </w:r>
      <w:r>
        <w:rPr>
          <w:lang w:val="en-US"/>
        </w:rPr>
        <w:t>’</w:t>
      </w:r>
      <w:r>
        <w:rPr>
          <w:lang w:val="en-US"/>
        </w:rPr>
        <w:t>s renewed appreciation for the natural world was evidenced in Renaissance paintings. This meant that even in religious art, such natural features of the landscape as clouds, animals and plants were painted in a more realistic manner than in earlier periods.</w:t>
      </w:r>
      <w:r>
        <w:rPr>
          <w:rFonts w:ascii="Arial Rounded MT Bold" w:cs="Arial Rounded MT Bold" w:eastAsia="Arial Rounded MT Bold" w:hAnsi="Arial Rounded MT Bold"/>
          <w:b w:val="false"/>
          <w:bCs w:val="false"/>
          <w:i w:val="false"/>
          <w:iCs w:val="false"/>
          <w:vertAlign w:val="superscript"/>
        </w:rPr>
        <w:footnoteReference w:id="40"/>
      </w:r>
      <w:r>
        <w:rPr>
          <w:lang w:val="en-US"/>
        </w:rPr>
        <w:t xml:space="preserve"> This is interesting to apply to both the Reni and Garofalo paintings. The clouds and the straightforward sky, such as sunset colours, were the elements present in the painting that were both real and visible. They could, therefore, plausibly have been painted from life. However, the more mystical elements, such as the appearance of Heaven and the saints and angels were (presumably) invisible to the artist, and required imagination to be painted. Certainly they could have posed human models as the mystical figures, but it would still require imagination to see them as divine beings and subsequently to paint them as such. In his seminal 1972 book, </w:t>
      </w:r>
      <w:r>
        <w:rPr>
          <w:i/>
          <w:iCs/>
          <w:lang w:val="en-US"/>
        </w:rPr>
        <w:t>Ways</w:t>
      </w:r>
      <w:r>
        <w:rPr>
          <w:lang w:val="en-US"/>
        </w:rPr>
        <w:t xml:space="preserve"> </w:t>
      </w:r>
      <w:r>
        <w:rPr>
          <w:i/>
          <w:iCs/>
          <w:lang w:val="en-US"/>
        </w:rPr>
        <w:t>of</w:t>
      </w:r>
      <w:r>
        <w:rPr>
          <w:lang w:val="en-US"/>
        </w:rPr>
        <w:t xml:space="preserve"> </w:t>
      </w:r>
      <w:r>
        <w:rPr>
          <w:i/>
          <w:iCs/>
          <w:lang w:val="en-US"/>
        </w:rPr>
        <w:t>Seeing</w:t>
      </w:r>
      <w:r>
        <w:rPr>
          <w:lang w:val="en-US"/>
        </w:rPr>
        <w:t xml:space="preserve">, John Berger argues that the way people see art is affected by a range of factors, including worldview, opinions, beliefs and education. He defines </w:t>
      </w:r>
      <w:r>
        <w:rPr>
          <w:lang w:val="en-US"/>
        </w:rPr>
        <w:t>‘</w:t>
      </w:r>
      <w:r>
        <w:rPr>
          <w:lang w:val="en-US"/>
        </w:rPr>
        <w:t>image</w:t>
      </w:r>
      <w:r>
        <w:rPr>
          <w:lang w:val="en-US"/>
        </w:rPr>
        <w:t xml:space="preserve">’ </w:t>
      </w:r>
      <w:r>
        <w:rPr>
          <w:lang w:val="en-US"/>
        </w:rPr>
        <w:t xml:space="preserve">as: </w:t>
      </w:r>
      <w:r>
        <w:rPr>
          <w:lang w:val="en-US"/>
        </w:rPr>
        <w:t>“</w:t>
      </w:r>
      <w:r>
        <w:rPr>
          <w:lang w:val="en-US"/>
        </w:rPr>
        <w:t>a sight which has been recreated or reproduced</w:t>
      </w:r>
      <w:r>
        <w:rPr>
          <w:lang w:val="en-US"/>
        </w:rPr>
        <w:t>”</w:t>
      </w:r>
      <w:r>
        <w:rPr>
          <w:lang w:val="en-US"/>
        </w:rPr>
        <w:t xml:space="preserve">, adding that: </w:t>
      </w:r>
      <w:r>
        <w:rPr>
          <w:lang w:val="en-US"/>
        </w:rPr>
        <w:t>“</w:t>
      </w:r>
      <w:r>
        <w:rPr>
          <w:lang w:val="en-US"/>
        </w:rPr>
        <w:t>Every image embodies a way of seeing.</w:t>
      </w:r>
      <w:r>
        <w:rPr>
          <w:lang w:val="en-US"/>
        </w:rPr>
        <w:t xml:space="preserve">” </w:t>
      </w:r>
      <w:r>
        <w:rPr>
          <w:lang w:val="en-US"/>
        </w:rPr>
        <w:t xml:space="preserve">Perhaps most relevant to this essay, is his assertion that: </w:t>
      </w:r>
      <w:r>
        <w:rPr>
          <w:lang w:val="en-US"/>
        </w:rPr>
        <w:t>“</w:t>
      </w:r>
      <w:r>
        <w:rPr>
          <w:lang w:val="en-US"/>
        </w:rPr>
        <w:t>Images were first made to conjure up the appearances of something that was absent.</w:t>
      </w:r>
      <w:r>
        <w:rPr>
          <w:lang w:val="en-US"/>
        </w:rPr>
        <w:t>”</w:t>
      </w:r>
      <w:r>
        <w:rPr>
          <w:rFonts w:ascii="Arial Rounded MT Bold" w:cs="Arial Rounded MT Bold" w:eastAsia="Arial Rounded MT Bold" w:hAnsi="Arial Rounded MT Bold"/>
          <w:b w:val="false"/>
          <w:bCs w:val="false"/>
          <w:i w:val="false"/>
          <w:iCs w:val="false"/>
          <w:vertAlign w:val="superscript"/>
        </w:rPr>
        <w:footnoteReference w:id="41"/>
      </w:r>
      <w:r>
        <w:rPr>
          <w:lang w:val="en-US"/>
        </w:rPr>
        <w:t xml:space="preserve"> To apply Berger</w:t>
      </w:r>
      <w:r>
        <w:rPr>
          <w:lang w:val="en-US"/>
        </w:rPr>
        <w:t>’</w:t>
      </w:r>
      <w:r>
        <w:rPr>
          <w:lang w:val="en-US"/>
        </w:rPr>
        <w:t xml:space="preserve">s views to the paintings under investigation, the interpretation is that the Renaissance artists were painting the Heavens as they believed them to be, even though they could not truly be seen, save in the </w:t>
      </w:r>
      <w:r>
        <w:rPr>
          <w:lang w:val="en-US"/>
        </w:rPr>
        <w:t>‘</w:t>
      </w:r>
      <w:r>
        <w:rPr>
          <w:lang w:val="en-US"/>
        </w:rPr>
        <w:t>mind</w:t>
      </w:r>
      <w:r>
        <w:rPr>
          <w:lang w:val="en-US"/>
        </w:rPr>
        <w:t>’</w:t>
      </w:r>
      <w:r>
        <w:rPr>
          <w:lang w:val="en-US"/>
        </w:rPr>
        <w:t>s eye</w:t>
      </w:r>
      <w:r>
        <w:rPr>
          <w:lang w:val="en-US"/>
        </w:rPr>
        <w:t>’</w:t>
      </w:r>
      <w:r>
        <w:rPr>
          <w:lang w:val="en-US"/>
        </w:rPr>
        <w:t xml:space="preserve">, as Shakespeare phrased it. There was thus a gap between the imagination and the eye, which artists sought to fill with their own interpretation. </w:t>
      </w:r>
    </w:p>
    <w:p>
      <w:pPr>
        <w:pStyle w:val="style4099"/>
        <w:rPr/>
      </w:pPr>
    </w:p>
    <w:p>
      <w:pPr>
        <w:pStyle w:val="style4099"/>
        <w:rPr/>
      </w:pPr>
    </w:p>
    <w:p>
      <w:pPr>
        <w:pStyle w:val="style4099"/>
        <w:rPr/>
      </w:pPr>
      <w:r>
        <w:rPr>
          <w:lang w:val="en-US"/>
        </w:rPr>
        <w:t>In conclusion, Botticelli, Garofalo and Reni are all worthy representatives of Italian Renaissance art. They all painted the sky and featured Heaven within it. The sky as Heaven constituted part of the painting for the first two artists and the entire picture for the third. Their contemporary viewers would have been able to share in the artists</w:t>
      </w:r>
      <w:r>
        <w:rPr>
          <w:lang w:val="en-US"/>
        </w:rPr>
        <w:t xml:space="preserve">’ </w:t>
      </w:r>
      <w:r>
        <w:rPr>
          <w:lang w:val="en-US"/>
        </w:rPr>
        <w:t>vision, allowing them to visualise Heaven and connect it to the sky, as the artists had placed it there. This might have assisted their religious devotions; a benefit also gained by the artists, at least in some cases.</w:t>
      </w:r>
    </w:p>
    <w:p>
      <w:pPr>
        <w:pStyle w:val="style4099"/>
        <w:rPr/>
      </w:pPr>
    </w:p>
    <w:p>
      <w:pPr>
        <w:pStyle w:val="style4099"/>
        <w:rPr/>
      </w:pPr>
      <w:r>
        <w:rPr>
          <w:lang w:val="en-US"/>
        </w:rPr>
        <w:t xml:space="preserve"> From the paintings, it can be inferred that the Renaissance imagined sky was populated with saints and angels. This indicates that such beings were viewed as sacred. The artists</w:t>
      </w:r>
      <w:r>
        <w:rPr>
          <w:lang w:val="en-US"/>
        </w:rPr>
        <w:t xml:space="preserve">’ </w:t>
      </w:r>
      <w:r>
        <w:rPr>
          <w:lang w:val="en-US"/>
        </w:rPr>
        <w:t>conceptions of Heaven may well have been influenced by poetry, during an age that highly valued education. Certainly, there is evidence of Botticelli being influenced by Dante</w:t>
      </w:r>
      <w:r>
        <w:rPr>
          <w:lang w:val="en-US"/>
        </w:rPr>
        <w:t>’</w:t>
      </w:r>
      <w:r>
        <w:rPr>
          <w:lang w:val="en-US"/>
        </w:rPr>
        <w:t xml:space="preserve">s </w:t>
      </w:r>
      <w:r>
        <w:rPr>
          <w:i/>
          <w:iCs/>
          <w:lang w:val="en-US"/>
        </w:rPr>
        <w:t>Divine</w:t>
      </w:r>
      <w:r>
        <w:rPr>
          <w:lang w:val="en-US"/>
        </w:rPr>
        <w:t xml:space="preserve"> </w:t>
      </w:r>
      <w:r>
        <w:rPr>
          <w:i/>
          <w:iCs/>
          <w:lang w:val="en-US"/>
        </w:rPr>
        <w:t>Comedy</w:t>
      </w:r>
      <w:r>
        <w:rPr>
          <w:lang w:val="en-US"/>
        </w:rPr>
        <w:t xml:space="preserve">, due to his illustrations of it and subsequent creation of the </w:t>
      </w:r>
      <w:r>
        <w:rPr>
          <w:i/>
          <w:iCs/>
          <w:lang w:val="en-US"/>
        </w:rPr>
        <w:t>Mystical</w:t>
      </w:r>
      <w:r>
        <w:rPr>
          <w:lang w:val="en-US"/>
        </w:rPr>
        <w:t xml:space="preserve"> </w:t>
      </w:r>
      <w:r>
        <w:rPr>
          <w:i/>
          <w:iCs/>
          <w:lang w:val="en-US"/>
        </w:rPr>
        <w:t>Nativity</w:t>
      </w:r>
      <w:r>
        <w:rPr>
          <w:lang w:val="en-US"/>
        </w:rPr>
        <w:t>. The later artists may in turn, have been influenced by Botticelli, as their works have elements in common with his, including saints and angels and the use of gold as a colour for Heaven. The symbolism of gold as an unchanging and incorruptible metal makes it fitting for Heaven, in addition to being a realistic sunset colour. Comparably blue both represented the sky and clothed the Virgin Mary in her traditional garb, in addition to some angels.</w:t>
      </w:r>
    </w:p>
    <w:p>
      <w:pPr>
        <w:pStyle w:val="style4099"/>
        <w:rPr/>
      </w:pPr>
    </w:p>
    <w:p>
      <w:pPr>
        <w:pStyle w:val="style4099"/>
        <w:rPr/>
      </w:pPr>
      <w:r>
        <w:rPr>
          <w:lang w:val="en-US"/>
        </w:rPr>
        <w:t>For modern viewers, the benefits to viewing the paintings include the historical. In all three cases, there is evidence of the artist</w:t>
      </w:r>
      <w:r>
        <w:rPr>
          <w:lang w:val="en-US"/>
        </w:rPr>
        <w:t>’</w:t>
      </w:r>
      <w:r>
        <w:rPr>
          <w:lang w:val="en-US"/>
        </w:rPr>
        <w:t>s Christian beliefs. The painting adds to this evidence; allowing the viewers a glimpse into the artist</w:t>
      </w:r>
      <w:r>
        <w:rPr>
          <w:lang w:val="en-US"/>
        </w:rPr>
        <w:t>’</w:t>
      </w:r>
      <w:r>
        <w:rPr>
          <w:lang w:val="en-US"/>
        </w:rPr>
        <w:t>s imagination; his very view of Heaven. Furthermore, the artist reveals not only his own mind, but his contribution to the cultural zeitgeist. As considered, the paintings can be used as evidence of Renaissance Christian belief.</w:t>
      </w:r>
    </w:p>
    <w:p>
      <w:pPr>
        <w:pStyle w:val="style4099"/>
        <w:rPr/>
      </w:pPr>
    </w:p>
    <w:p>
      <w:pPr>
        <w:pStyle w:val="style4099"/>
        <w:rPr/>
      </w:pPr>
      <w:r>
        <w:rPr>
          <w:lang w:val="en-US"/>
        </w:rPr>
        <w:t>It might not be necessary to draw a diametric opposition between contemporary and modern viewers of the artists</w:t>
      </w:r>
      <w:r>
        <w:rPr>
          <w:lang w:val="en-US"/>
        </w:rPr>
        <w:t xml:space="preserve">’ </w:t>
      </w:r>
      <w:r>
        <w:rPr>
          <w:lang w:val="en-US"/>
        </w:rPr>
        <w:t>work. One factor that has remained mostly unchanged between the past and the present is the great aesthetic appeal of the paintings in question. Whether a viewer lives in the Renaissance or in the contemporary world, they can all appreciate and admire the great beauty of the artworks. Aesthetic appreciation can bring the paintings</w:t>
      </w:r>
      <w:r>
        <w:rPr>
          <w:lang w:val="en-US"/>
        </w:rPr>
        <w:t xml:space="preserve">’ </w:t>
      </w:r>
      <w:r>
        <w:rPr>
          <w:lang w:val="en-US"/>
        </w:rPr>
        <w:t>audiences together across time. This constitutes another sense of the concept of eternity, such as that being captured in the pictures. The fact that the paintings have survived denotes that they have successfully encapsulated eternity.</w:t>
      </w:r>
    </w:p>
    <w:p>
      <w:pPr>
        <w:pStyle w:val="style4099"/>
        <w:rPr/>
      </w:pPr>
    </w:p>
    <w:p>
      <w:pPr>
        <w:pStyle w:val="style4099"/>
        <w:rPr/>
      </w:pPr>
    </w:p>
    <w:p>
      <w:pPr>
        <w:pStyle w:val="style4099"/>
        <w:rPr/>
      </w:pPr>
    </w:p>
    <w:p>
      <w:pPr>
        <w:pStyle w:val="style4099"/>
        <w:rPr/>
      </w:pPr>
    </w:p>
    <w:p>
      <w:pPr>
        <w:pStyle w:val="style4099"/>
        <w:rPr/>
      </w:pPr>
    </w:p>
    <w:p>
      <w:pPr>
        <w:pStyle w:val="style4099"/>
        <w:rPr/>
      </w:pPr>
    </w:p>
    <w:p>
      <w:pPr>
        <w:pStyle w:val="style4099"/>
        <w:rPr/>
      </w:pPr>
    </w:p>
    <w:p>
      <w:pPr>
        <w:pStyle w:val="style4099"/>
        <w:jc w:val="center"/>
        <w:rPr/>
      </w:pPr>
      <w:r>
        <w:rPr>
          <w:lang w:val="en-US"/>
        </w:rPr>
        <w:t xml:space="preserve">Bibliography </w:t>
      </w:r>
    </w:p>
    <w:p>
      <w:pPr>
        <w:pStyle w:val="style4099"/>
        <w:jc w:val="center"/>
        <w:rPr/>
      </w:pPr>
    </w:p>
    <w:p>
      <w:pPr>
        <w:pStyle w:val="style4099"/>
        <w:rPr/>
      </w:pPr>
      <w:r>
        <w:rPr>
          <w:lang w:val="en-US"/>
        </w:rPr>
        <w:t xml:space="preserve">Adams, L. S., </w:t>
      </w:r>
      <w:r>
        <w:rPr>
          <w:i/>
          <w:iCs/>
          <w:lang w:val="en-US"/>
        </w:rPr>
        <w:t>Italian</w:t>
      </w:r>
      <w:r>
        <w:rPr>
          <w:lang w:val="en-US"/>
        </w:rPr>
        <w:t xml:space="preserve"> </w:t>
      </w:r>
      <w:r>
        <w:rPr>
          <w:i/>
          <w:iCs/>
          <w:lang w:val="en-US"/>
        </w:rPr>
        <w:t>Renaissance</w:t>
      </w:r>
      <w:r>
        <w:rPr>
          <w:lang w:val="en-US"/>
        </w:rPr>
        <w:t xml:space="preserve"> </w:t>
      </w:r>
      <w:r>
        <w:rPr>
          <w:i/>
          <w:iCs/>
          <w:lang w:val="en-US"/>
        </w:rPr>
        <w:t>Art</w:t>
      </w:r>
      <w:r>
        <w:rPr>
          <w:lang w:val="en-US"/>
        </w:rPr>
        <w:t xml:space="preserve"> Second Edition (Routledge, 2018, Kindle Edition)</w:t>
      </w:r>
    </w:p>
    <w:p>
      <w:pPr>
        <w:pStyle w:val="style4099"/>
        <w:rPr/>
      </w:pPr>
    </w:p>
    <w:p>
      <w:pPr>
        <w:pStyle w:val="style4099"/>
        <w:rPr/>
      </w:pPr>
      <w:r>
        <w:rPr>
          <w:lang w:val="en-US"/>
        </w:rPr>
        <w:t xml:space="preserve">Alexander, J. J., </w:t>
      </w:r>
      <w:r>
        <w:rPr>
          <w:i/>
          <w:iCs/>
          <w:lang w:val="en-US"/>
        </w:rPr>
        <w:t>Italian</w:t>
      </w:r>
      <w:r>
        <w:rPr>
          <w:lang w:val="en-US"/>
        </w:rPr>
        <w:t xml:space="preserve"> </w:t>
      </w:r>
      <w:r>
        <w:rPr>
          <w:i/>
          <w:iCs/>
          <w:lang w:val="en-US"/>
        </w:rPr>
        <w:t>Renaissance</w:t>
      </w:r>
      <w:r>
        <w:rPr>
          <w:lang w:val="en-US"/>
        </w:rPr>
        <w:t xml:space="preserve"> </w:t>
      </w:r>
      <w:r>
        <w:rPr>
          <w:i/>
          <w:iCs/>
          <w:lang w:val="en-US"/>
        </w:rPr>
        <w:t>Illuminations</w:t>
      </w:r>
      <w:r>
        <w:rPr>
          <w:lang w:val="en-US"/>
        </w:rPr>
        <w:t xml:space="preserve"> (Chatto &amp; Windus, 1977)</w:t>
      </w:r>
    </w:p>
    <w:p>
      <w:pPr>
        <w:pStyle w:val="style4099"/>
        <w:rPr/>
      </w:pPr>
    </w:p>
    <w:p>
      <w:pPr>
        <w:pStyle w:val="style4099"/>
        <w:rPr/>
      </w:pPr>
      <w:r>
        <w:rPr>
          <w:lang w:val="en-US"/>
        </w:rPr>
        <w:t xml:space="preserve">Alston, I., </w:t>
      </w:r>
      <w:r>
        <w:rPr>
          <w:i/>
          <w:iCs/>
          <w:lang w:val="en-US"/>
        </w:rPr>
        <w:t>Botticelli</w:t>
      </w:r>
      <w:r>
        <w:rPr>
          <w:lang w:val="en-US"/>
        </w:rPr>
        <w:t xml:space="preserve"> (TAJ Books, 2014, ebook)</w:t>
      </w:r>
    </w:p>
    <w:p>
      <w:pPr>
        <w:pStyle w:val="style4099"/>
        <w:rPr/>
      </w:pPr>
    </w:p>
    <w:p>
      <w:pPr>
        <w:pStyle w:val="style4099"/>
        <w:rPr/>
      </w:pPr>
      <w:r>
        <w:rPr>
          <w:lang w:val="en-US"/>
        </w:rPr>
        <w:t xml:space="preserve">Aston, M., ed. </w:t>
      </w:r>
      <w:r>
        <w:rPr>
          <w:i/>
          <w:iCs/>
          <w:lang w:val="en-US"/>
        </w:rPr>
        <w:t>The</w:t>
      </w:r>
      <w:r>
        <w:rPr>
          <w:lang w:val="en-US"/>
        </w:rPr>
        <w:t xml:space="preserve"> </w:t>
      </w:r>
      <w:r>
        <w:rPr>
          <w:i/>
          <w:iCs/>
          <w:lang w:val="en-US"/>
        </w:rPr>
        <w:t>Panorama</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Renaissance</w:t>
      </w:r>
      <w:r>
        <w:rPr>
          <w:lang w:val="en-US"/>
        </w:rPr>
        <w:t xml:space="preserve"> (London: Thames and Hudson Ltd., 1996)</w:t>
      </w:r>
    </w:p>
    <w:p>
      <w:pPr>
        <w:pStyle w:val="style4099"/>
        <w:rPr/>
      </w:pPr>
    </w:p>
    <w:p>
      <w:pPr>
        <w:pStyle w:val="style4099"/>
        <w:rPr/>
      </w:pPr>
      <w:r>
        <w:rPr>
          <w:lang w:val="en-US"/>
        </w:rPr>
        <w:t xml:space="preserve">Bauer, S. W., </w:t>
      </w:r>
      <w:r>
        <w:rPr>
          <w:i/>
          <w:iCs/>
          <w:lang w:val="en-US"/>
        </w:rPr>
        <w:t>The</w:t>
      </w:r>
      <w:r>
        <w:rPr>
          <w:lang w:val="en-US"/>
        </w:rPr>
        <w:t xml:space="preserve"> </w:t>
      </w:r>
      <w:r>
        <w:rPr>
          <w:i/>
          <w:iCs/>
          <w:lang w:val="en-US"/>
        </w:rPr>
        <w:t>History</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Renaissance</w:t>
      </w:r>
      <w:r>
        <w:rPr>
          <w:lang w:val="en-US"/>
        </w:rPr>
        <w:t xml:space="preserve"> </w:t>
      </w:r>
      <w:r>
        <w:rPr>
          <w:i/>
          <w:iCs/>
          <w:lang w:val="en-US"/>
        </w:rPr>
        <w:t>World</w:t>
      </w:r>
      <w:r>
        <w:rPr>
          <w:lang w:val="en-US"/>
        </w:rPr>
        <w:t xml:space="preserve"> (W. W. Norton &amp; Company, Kindle Edition)</w:t>
      </w:r>
    </w:p>
    <w:p>
      <w:pPr>
        <w:pStyle w:val="style4099"/>
        <w:rPr/>
      </w:pPr>
    </w:p>
    <w:p>
      <w:pPr>
        <w:pStyle w:val="style4099"/>
        <w:rPr/>
      </w:pPr>
      <w:r>
        <w:rPr>
          <w:lang w:val="en-US"/>
        </w:rPr>
        <w:t xml:space="preserve">Berger, J., </w:t>
      </w:r>
      <w:r>
        <w:rPr>
          <w:i/>
          <w:iCs/>
          <w:lang w:val="en-US"/>
        </w:rPr>
        <w:t>Ways</w:t>
      </w:r>
      <w:r>
        <w:rPr>
          <w:lang w:val="en-US"/>
        </w:rPr>
        <w:t xml:space="preserve"> </w:t>
      </w:r>
      <w:r>
        <w:rPr>
          <w:i/>
          <w:iCs/>
          <w:lang w:val="en-US"/>
        </w:rPr>
        <w:t>of</w:t>
      </w:r>
      <w:r>
        <w:rPr>
          <w:lang w:val="en-US"/>
        </w:rPr>
        <w:t xml:space="preserve"> </w:t>
      </w:r>
      <w:r>
        <w:rPr>
          <w:i/>
          <w:iCs/>
          <w:lang w:val="en-US"/>
        </w:rPr>
        <w:t>Seeing</w:t>
      </w:r>
      <w:r>
        <w:rPr>
          <w:lang w:val="en-US"/>
        </w:rPr>
        <w:t xml:space="preserve"> (Penguin Books, 1972, ebook)</w:t>
      </w:r>
    </w:p>
    <w:p>
      <w:pPr>
        <w:pStyle w:val="style4099"/>
        <w:rPr/>
      </w:pPr>
    </w:p>
    <w:p>
      <w:pPr>
        <w:pStyle w:val="style4099"/>
        <w:rPr/>
      </w:pPr>
      <w:r>
        <w:rPr>
          <w:lang w:val="en-US"/>
        </w:rPr>
        <w:t xml:space="preserve">Binns, H. B., </w:t>
      </w:r>
      <w:r>
        <w:rPr>
          <w:i/>
          <w:iCs/>
          <w:lang w:val="en-US"/>
        </w:rPr>
        <w:t>Botticelli</w:t>
      </w:r>
      <w:r>
        <w:rPr>
          <w:lang w:val="en-US"/>
        </w:rPr>
        <w:t xml:space="preserve"> (1907, ebook)</w:t>
      </w:r>
    </w:p>
    <w:p>
      <w:pPr>
        <w:pStyle w:val="style4099"/>
        <w:rPr/>
      </w:pPr>
    </w:p>
    <w:p>
      <w:pPr>
        <w:pStyle w:val="style4099"/>
        <w:rPr/>
      </w:pPr>
      <w:r>
        <w:rPr>
          <w:lang w:val="en-US"/>
        </w:rPr>
        <w:t xml:space="preserve">Bolton, R., </w:t>
      </w:r>
      <w:r>
        <w:rPr>
          <w:i/>
          <w:iCs/>
          <w:lang w:val="en-US"/>
        </w:rPr>
        <w:t>A</w:t>
      </w:r>
      <w:r>
        <w:rPr>
          <w:lang w:val="en-US"/>
        </w:rPr>
        <w:t xml:space="preserve"> </w:t>
      </w:r>
      <w:r>
        <w:rPr>
          <w:i/>
          <w:iCs/>
          <w:lang w:val="en-US"/>
        </w:rPr>
        <w:t>Brief</w:t>
      </w:r>
      <w:r>
        <w:rPr>
          <w:lang w:val="en-US"/>
        </w:rPr>
        <w:t xml:space="preserve"> </w:t>
      </w:r>
      <w:r>
        <w:rPr>
          <w:i/>
          <w:iCs/>
          <w:lang w:val="en-US"/>
        </w:rPr>
        <w:t>History</w:t>
      </w:r>
      <w:r>
        <w:rPr>
          <w:lang w:val="en-US"/>
        </w:rPr>
        <w:t xml:space="preserve"> </w:t>
      </w:r>
      <w:r>
        <w:rPr>
          <w:i/>
          <w:iCs/>
          <w:lang w:val="en-US"/>
        </w:rPr>
        <w:t>of</w:t>
      </w:r>
      <w:r>
        <w:rPr>
          <w:lang w:val="en-US"/>
        </w:rPr>
        <w:t xml:space="preserve"> </w:t>
      </w:r>
      <w:r>
        <w:rPr>
          <w:i/>
          <w:iCs/>
          <w:lang w:val="en-US"/>
        </w:rPr>
        <w:t>Painting</w:t>
      </w:r>
      <w:r>
        <w:rPr>
          <w:lang w:val="en-US"/>
        </w:rPr>
        <w:t xml:space="preserve"> (Robinson, 2004)</w:t>
      </w:r>
    </w:p>
    <w:p>
      <w:pPr>
        <w:pStyle w:val="style4099"/>
        <w:rPr/>
      </w:pPr>
    </w:p>
    <w:p>
      <w:pPr>
        <w:pStyle w:val="style4099"/>
        <w:rPr/>
      </w:pPr>
      <w:r>
        <w:rPr>
          <w:lang w:val="en-US"/>
        </w:rPr>
        <w:t xml:space="preserve">Burckhardt, J., </w:t>
      </w:r>
      <w:r>
        <w:rPr>
          <w:i/>
          <w:iCs/>
          <w:lang w:val="en-US"/>
        </w:rPr>
        <w:t>The</w:t>
      </w:r>
      <w:r>
        <w:rPr>
          <w:lang w:val="en-US"/>
        </w:rPr>
        <w:t xml:space="preserve"> </w:t>
      </w:r>
      <w:r>
        <w:rPr>
          <w:i/>
          <w:iCs/>
          <w:lang w:val="en-US"/>
        </w:rPr>
        <w:t>Civilisation</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Renaissance</w:t>
      </w:r>
      <w:r>
        <w:rPr>
          <w:lang w:val="en-US"/>
        </w:rPr>
        <w:t xml:space="preserve"> </w:t>
      </w:r>
      <w:r>
        <w:rPr>
          <w:i/>
          <w:iCs/>
          <w:lang w:val="en-US"/>
        </w:rPr>
        <w:t>in</w:t>
      </w:r>
      <w:r>
        <w:rPr>
          <w:lang w:val="en-US"/>
        </w:rPr>
        <w:t xml:space="preserve"> </w:t>
      </w:r>
      <w:r>
        <w:rPr>
          <w:i/>
          <w:iCs/>
          <w:lang w:val="en-US"/>
        </w:rPr>
        <w:t>Italy</w:t>
      </w:r>
      <w:r>
        <w:rPr>
          <w:lang w:val="en-US"/>
        </w:rPr>
        <w:t xml:space="preserve"> (SMK Books, 2012, Kindle Edition)</w:t>
      </w:r>
    </w:p>
    <w:p>
      <w:pPr>
        <w:pStyle w:val="style4099"/>
        <w:rPr/>
      </w:pPr>
    </w:p>
    <w:p>
      <w:pPr>
        <w:pStyle w:val="style4099"/>
        <w:rPr/>
      </w:pPr>
      <w:r>
        <w:rPr>
          <w:lang w:val="en-US"/>
        </w:rPr>
        <w:t xml:space="preserve">Burke, P., </w:t>
      </w:r>
      <w:r>
        <w:rPr>
          <w:i/>
          <w:iCs/>
          <w:lang w:val="en-US"/>
        </w:rPr>
        <w:t>The</w:t>
      </w:r>
      <w:r>
        <w:rPr>
          <w:lang w:val="en-US"/>
        </w:rPr>
        <w:t xml:space="preserve"> </w:t>
      </w:r>
      <w:r>
        <w:rPr>
          <w:i/>
          <w:iCs/>
          <w:lang w:val="en-US"/>
        </w:rPr>
        <w:t>Italian</w:t>
      </w:r>
      <w:r>
        <w:rPr>
          <w:lang w:val="en-US"/>
        </w:rPr>
        <w:t xml:space="preserve"> </w:t>
      </w:r>
      <w:r>
        <w:rPr>
          <w:i/>
          <w:iCs/>
          <w:lang w:val="en-US"/>
        </w:rPr>
        <w:t>Renaissance</w:t>
      </w:r>
      <w:r>
        <w:rPr>
          <w:lang w:val="en-US"/>
        </w:rPr>
        <w:t xml:space="preserve">: </w:t>
      </w:r>
      <w:r>
        <w:rPr>
          <w:i/>
          <w:iCs/>
          <w:lang w:val="en-US"/>
        </w:rPr>
        <w:t>Culture</w:t>
      </w:r>
      <w:r>
        <w:rPr>
          <w:lang w:val="en-US"/>
        </w:rPr>
        <w:t xml:space="preserve"> </w:t>
      </w:r>
      <w:r>
        <w:rPr>
          <w:i/>
          <w:iCs/>
          <w:lang w:val="en-US"/>
        </w:rPr>
        <w:t>and</w:t>
      </w:r>
      <w:r>
        <w:rPr>
          <w:lang w:val="en-US"/>
        </w:rPr>
        <w:t xml:space="preserve"> </w:t>
      </w:r>
      <w:r>
        <w:rPr>
          <w:i/>
          <w:iCs/>
          <w:lang w:val="en-US"/>
        </w:rPr>
        <w:t>Society</w:t>
      </w:r>
      <w:r>
        <w:rPr>
          <w:lang w:val="en-US"/>
        </w:rPr>
        <w:t xml:space="preserve"> </w:t>
      </w:r>
      <w:r>
        <w:rPr>
          <w:i/>
          <w:iCs/>
          <w:lang w:val="en-US"/>
        </w:rPr>
        <w:t>in</w:t>
      </w:r>
      <w:r>
        <w:rPr>
          <w:lang w:val="en-US"/>
        </w:rPr>
        <w:t xml:space="preserve"> </w:t>
      </w:r>
      <w:r>
        <w:rPr>
          <w:i/>
          <w:iCs/>
          <w:lang w:val="en-US"/>
        </w:rPr>
        <w:t>Italy</w:t>
      </w:r>
      <w:r>
        <w:rPr>
          <w:lang w:val="en-US"/>
        </w:rPr>
        <w:t xml:space="preserve"> Third Edition (Polity Press, 2014, Kindle Edition)</w:t>
      </w:r>
    </w:p>
    <w:p>
      <w:pPr>
        <w:pStyle w:val="style4099"/>
        <w:rPr/>
      </w:pPr>
    </w:p>
    <w:p>
      <w:pPr>
        <w:pStyle w:val="style4099"/>
        <w:rPr/>
      </w:pPr>
      <w:r>
        <w:rPr>
          <w:lang w:val="en-US"/>
        </w:rPr>
        <w:t xml:space="preserve">Celenza, X. S., </w:t>
      </w:r>
      <w:r>
        <w:rPr>
          <w:i/>
          <w:iCs/>
          <w:lang w:val="en-US"/>
        </w:rPr>
        <w:t>The</w:t>
      </w:r>
      <w:r>
        <w:rPr>
          <w:lang w:val="en-US"/>
        </w:rPr>
        <w:t xml:space="preserve"> </w:t>
      </w:r>
      <w:r>
        <w:rPr>
          <w:i/>
          <w:iCs/>
          <w:lang w:val="en-US"/>
        </w:rPr>
        <w:t>Intellectual</w:t>
      </w:r>
      <w:r>
        <w:rPr>
          <w:lang w:val="en-US"/>
        </w:rPr>
        <w:t xml:space="preserve"> </w:t>
      </w:r>
      <w:r>
        <w:rPr>
          <w:i/>
          <w:iCs/>
          <w:lang w:val="en-US"/>
        </w:rPr>
        <w:t>World</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Italian</w:t>
      </w:r>
      <w:r>
        <w:rPr>
          <w:lang w:val="en-US"/>
        </w:rPr>
        <w:t xml:space="preserve"> </w:t>
      </w:r>
      <w:r>
        <w:rPr>
          <w:i/>
          <w:iCs/>
          <w:lang w:val="en-US"/>
        </w:rPr>
        <w:t>Renaissance</w:t>
      </w:r>
      <w:r>
        <w:rPr>
          <w:lang w:val="en-US"/>
        </w:rPr>
        <w:t xml:space="preserve"> (Cambridge: Cambridge University Press, 2018, Kindle Edition)</w:t>
      </w:r>
    </w:p>
    <w:p>
      <w:pPr>
        <w:pStyle w:val="style4099"/>
        <w:rPr/>
      </w:pPr>
    </w:p>
    <w:p>
      <w:pPr>
        <w:pStyle w:val="style4099"/>
        <w:rPr/>
      </w:pPr>
      <w:r>
        <w:rPr>
          <w:lang w:val="en-US"/>
        </w:rPr>
        <w:t xml:space="preserve">Charles, V., </w:t>
      </w:r>
      <w:r>
        <w:rPr>
          <w:i/>
          <w:iCs/>
          <w:lang w:val="en-US"/>
        </w:rPr>
        <w:t>Renaissance</w:t>
      </w:r>
      <w:r>
        <w:rPr>
          <w:lang w:val="en-US"/>
        </w:rPr>
        <w:t xml:space="preserve"> </w:t>
      </w:r>
      <w:r>
        <w:rPr>
          <w:i/>
          <w:iCs/>
          <w:lang w:val="en-US"/>
        </w:rPr>
        <w:t>Art</w:t>
      </w:r>
      <w:r>
        <w:rPr>
          <w:lang w:val="en-US"/>
        </w:rPr>
        <w:t xml:space="preserve"> (Parkstone Press, Kindle Edition)</w:t>
      </w:r>
    </w:p>
    <w:p>
      <w:pPr>
        <w:pStyle w:val="style4099"/>
        <w:rPr/>
      </w:pPr>
    </w:p>
    <w:p>
      <w:pPr>
        <w:pStyle w:val="style4099"/>
        <w:rPr/>
      </w:pPr>
      <w:r>
        <w:rPr>
          <w:lang w:val="en-US"/>
        </w:rPr>
        <w:t xml:space="preserve">Coenn, D., </w:t>
      </w:r>
      <w:r>
        <w:rPr>
          <w:i/>
          <w:iCs/>
          <w:lang w:val="en-US"/>
        </w:rPr>
        <w:t>Guido</w:t>
      </w:r>
      <w:r>
        <w:rPr>
          <w:lang w:val="en-US"/>
        </w:rPr>
        <w:t xml:space="preserve"> </w:t>
      </w:r>
      <w:r>
        <w:rPr>
          <w:i/>
          <w:iCs/>
          <w:lang w:val="en-US"/>
        </w:rPr>
        <w:t>Reni</w:t>
      </w:r>
      <w:r>
        <w:rPr>
          <w:lang w:val="en-US"/>
        </w:rPr>
        <w:t xml:space="preserve">: </w:t>
      </w:r>
      <w:r>
        <w:rPr>
          <w:i/>
          <w:iCs/>
          <w:lang w:val="en-US"/>
        </w:rPr>
        <w:t>Paintings</w:t>
      </w:r>
      <w:r>
        <w:rPr>
          <w:lang w:val="en-US"/>
        </w:rPr>
        <w:t xml:space="preserve"> (2013, ebook)</w:t>
      </w:r>
    </w:p>
    <w:p>
      <w:pPr>
        <w:pStyle w:val="style4099"/>
        <w:rPr/>
      </w:pPr>
    </w:p>
    <w:p>
      <w:pPr>
        <w:pStyle w:val="style4099"/>
        <w:rPr/>
      </w:pPr>
      <w:r>
        <w:rPr>
          <w:lang w:val="en-US"/>
        </w:rPr>
        <w:t xml:space="preserve">Cronin, V., </w:t>
      </w:r>
      <w:r>
        <w:rPr>
          <w:i/>
          <w:iCs/>
          <w:lang w:val="en-US"/>
        </w:rPr>
        <w:t>The</w:t>
      </w:r>
      <w:r>
        <w:rPr>
          <w:lang w:val="en-US"/>
        </w:rPr>
        <w:t xml:space="preserve"> </w:t>
      </w:r>
      <w:r>
        <w:rPr>
          <w:i/>
          <w:iCs/>
          <w:lang w:val="en-US"/>
        </w:rPr>
        <w:t>Florentine</w:t>
      </w:r>
      <w:r>
        <w:rPr>
          <w:lang w:val="en-US"/>
        </w:rPr>
        <w:t xml:space="preserve"> </w:t>
      </w:r>
      <w:r>
        <w:rPr>
          <w:i/>
          <w:iCs/>
          <w:lang w:val="en-US"/>
        </w:rPr>
        <w:t>Renaissance</w:t>
      </w:r>
      <w:r>
        <w:rPr>
          <w:lang w:val="en-US"/>
        </w:rPr>
        <w:t xml:space="preserve"> (London: Pimlico, 1967, repr. 1992)</w:t>
      </w:r>
    </w:p>
    <w:p>
      <w:pPr>
        <w:pStyle w:val="style4099"/>
        <w:rPr/>
      </w:pPr>
    </w:p>
    <w:p>
      <w:pPr>
        <w:pStyle w:val="style4099"/>
        <w:rPr/>
      </w:pPr>
      <w:r>
        <w:rPr>
          <w:lang w:val="en-US"/>
        </w:rPr>
        <w:t xml:space="preserve">Cust, R. H. H., </w:t>
      </w:r>
      <w:r>
        <w:rPr>
          <w:i/>
          <w:iCs/>
          <w:lang w:val="en-US"/>
        </w:rPr>
        <w:t>Botticelli</w:t>
      </w:r>
      <w:r>
        <w:rPr>
          <w:lang w:val="en-US"/>
        </w:rPr>
        <w:t xml:space="preserve">: </w:t>
      </w:r>
      <w:r>
        <w:rPr>
          <w:i/>
          <w:iCs/>
          <w:lang w:val="en-US"/>
        </w:rPr>
        <w:t>A</w:t>
      </w:r>
      <w:r>
        <w:rPr>
          <w:lang w:val="en-US"/>
        </w:rPr>
        <w:t xml:space="preserve"> </w:t>
      </w:r>
      <w:r>
        <w:rPr>
          <w:i/>
          <w:iCs/>
          <w:lang w:val="en-US"/>
        </w:rPr>
        <w:t>Portrait</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Artist</w:t>
      </w:r>
      <w:r>
        <w:rPr>
          <w:lang w:val="en-US"/>
        </w:rPr>
        <w:t xml:space="preserve"> (Sharpe Books, 2020, Kindle Edition)</w:t>
      </w:r>
    </w:p>
    <w:p>
      <w:pPr>
        <w:pStyle w:val="style4099"/>
        <w:rPr/>
      </w:pPr>
    </w:p>
    <w:p>
      <w:pPr>
        <w:pStyle w:val="style4099"/>
        <w:rPr/>
      </w:pPr>
      <w:r>
        <w:rPr>
          <w:lang w:val="en-US"/>
        </w:rPr>
        <w:t xml:space="preserve">De Borchgrave, H., </w:t>
      </w:r>
      <w:r>
        <w:rPr>
          <w:i/>
          <w:iCs/>
          <w:lang w:val="en-US"/>
        </w:rPr>
        <w:t>A</w:t>
      </w:r>
      <w:r>
        <w:rPr>
          <w:lang w:val="en-US"/>
        </w:rPr>
        <w:t xml:space="preserve"> </w:t>
      </w:r>
      <w:r>
        <w:rPr>
          <w:i/>
          <w:iCs/>
          <w:lang w:val="en-US"/>
        </w:rPr>
        <w:t>Journey</w:t>
      </w:r>
      <w:r>
        <w:rPr>
          <w:lang w:val="en-US"/>
        </w:rPr>
        <w:t xml:space="preserve"> </w:t>
      </w:r>
      <w:r>
        <w:rPr>
          <w:i/>
          <w:iCs/>
          <w:lang w:val="en-US"/>
        </w:rPr>
        <w:t>into</w:t>
      </w:r>
      <w:r>
        <w:rPr>
          <w:lang w:val="en-US"/>
        </w:rPr>
        <w:t xml:space="preserve"> </w:t>
      </w:r>
      <w:r>
        <w:rPr>
          <w:i/>
          <w:iCs/>
          <w:lang w:val="en-US"/>
        </w:rPr>
        <w:t>Christian</w:t>
      </w:r>
      <w:r>
        <w:rPr>
          <w:lang w:val="en-US"/>
        </w:rPr>
        <w:t xml:space="preserve"> </w:t>
      </w:r>
      <w:r>
        <w:rPr>
          <w:i/>
          <w:iCs/>
          <w:lang w:val="en-US"/>
        </w:rPr>
        <w:t>Art</w:t>
      </w:r>
      <w:r>
        <w:rPr>
          <w:lang w:val="en-US"/>
        </w:rPr>
        <w:t xml:space="preserve"> (Lion, 1999)</w:t>
      </w:r>
    </w:p>
    <w:p>
      <w:pPr>
        <w:pStyle w:val="style4099"/>
        <w:rPr/>
      </w:pPr>
    </w:p>
    <w:p>
      <w:pPr>
        <w:pStyle w:val="style4099"/>
        <w:rPr/>
      </w:pPr>
      <w:r>
        <w:rPr>
          <w:lang w:val="en-US"/>
        </w:rPr>
        <w:t xml:space="preserve">Debenedetti, A., </w:t>
      </w:r>
      <w:r>
        <w:rPr>
          <w:i/>
          <w:iCs/>
          <w:lang w:val="en-US"/>
        </w:rPr>
        <w:t>Botticelli</w:t>
      </w:r>
      <w:r>
        <w:rPr>
          <w:lang w:val="en-US"/>
        </w:rPr>
        <w:t xml:space="preserve">: </w:t>
      </w:r>
      <w:r>
        <w:rPr>
          <w:i/>
          <w:iCs/>
          <w:lang w:val="en-US"/>
        </w:rPr>
        <w:t>Artist</w:t>
      </w:r>
      <w:r>
        <w:rPr>
          <w:lang w:val="en-US"/>
        </w:rPr>
        <w:t xml:space="preserve"> </w:t>
      </w:r>
      <w:r>
        <w:rPr>
          <w:i/>
          <w:iCs/>
          <w:lang w:val="en-US"/>
        </w:rPr>
        <w:t>and</w:t>
      </w:r>
      <w:r>
        <w:rPr>
          <w:lang w:val="en-US"/>
        </w:rPr>
        <w:t xml:space="preserve"> </w:t>
      </w:r>
      <w:r>
        <w:rPr>
          <w:i/>
          <w:iCs/>
          <w:lang w:val="en-US"/>
        </w:rPr>
        <w:t>Designer</w:t>
      </w:r>
      <w:r>
        <w:rPr>
          <w:lang w:val="en-US"/>
        </w:rPr>
        <w:t xml:space="preserve"> (Reaktion Books Ltd, 2021, ebook)</w:t>
      </w:r>
    </w:p>
    <w:p>
      <w:pPr>
        <w:pStyle w:val="style4099"/>
        <w:rPr/>
      </w:pPr>
    </w:p>
    <w:p>
      <w:pPr>
        <w:pStyle w:val="style4099"/>
        <w:jc w:val="right"/>
        <w:rPr/>
      </w:pPr>
      <w:r>
        <w:rPr>
          <w:lang w:val="en-US"/>
        </w:rPr>
        <w:t xml:space="preserve">- </w:t>
      </w:r>
      <w:r>
        <w:rPr>
          <w:i/>
          <w:iCs/>
          <w:lang w:val="en-US"/>
        </w:rPr>
        <w:t>Botticelli</w:t>
      </w:r>
      <w:r>
        <w:rPr>
          <w:lang w:val="en-US"/>
        </w:rPr>
        <w:t xml:space="preserve">: </w:t>
      </w:r>
      <w:r>
        <w:rPr>
          <w:i/>
          <w:iCs/>
          <w:lang w:val="en-US"/>
        </w:rPr>
        <w:t>Past</w:t>
      </w:r>
      <w:r>
        <w:rPr>
          <w:lang w:val="en-US"/>
        </w:rPr>
        <w:t xml:space="preserve"> </w:t>
      </w:r>
      <w:r>
        <w:rPr>
          <w:i/>
          <w:iCs/>
          <w:lang w:val="en-US"/>
        </w:rPr>
        <w:t>and</w:t>
      </w:r>
      <w:r>
        <w:rPr>
          <w:lang w:val="en-US"/>
        </w:rPr>
        <w:t xml:space="preserve"> </w:t>
      </w:r>
      <w:r>
        <w:rPr>
          <w:i/>
          <w:iCs/>
          <w:lang w:val="en-US"/>
        </w:rPr>
        <w:t>Present</w:t>
      </w:r>
      <w:r>
        <w:rPr>
          <w:lang w:val="en-US"/>
        </w:rPr>
        <w:t xml:space="preserve">  (UCL Press ,2019, Kindle Edition)</w:t>
      </w:r>
    </w:p>
    <w:p>
      <w:pPr>
        <w:pStyle w:val="style4099"/>
        <w:rPr/>
      </w:pPr>
    </w:p>
    <w:p>
      <w:pPr>
        <w:pStyle w:val="style4099"/>
        <w:rPr/>
      </w:pPr>
    </w:p>
    <w:p>
      <w:pPr>
        <w:pStyle w:val="style4099"/>
        <w:rPr/>
      </w:pPr>
      <w:r>
        <w:rPr>
          <w:lang w:val="en-US"/>
        </w:rPr>
        <w:t xml:space="preserve">Gebhart, E., and V. Charles, </w:t>
      </w:r>
      <w:r>
        <w:rPr>
          <w:i/>
          <w:iCs/>
          <w:lang w:val="en-US"/>
        </w:rPr>
        <w:t>Botticelli</w:t>
      </w:r>
      <w:r>
        <w:rPr>
          <w:lang w:val="en-US"/>
        </w:rPr>
        <w:t xml:space="preserve"> (Parkstone Press, Kindle Edition)</w:t>
      </w:r>
    </w:p>
    <w:p>
      <w:pPr>
        <w:pStyle w:val="style4099"/>
        <w:rPr/>
      </w:pPr>
    </w:p>
    <w:p>
      <w:pPr>
        <w:pStyle w:val="style4099"/>
        <w:rPr/>
      </w:pPr>
      <w:r>
        <w:rPr>
          <w:lang w:val="en-US"/>
        </w:rPr>
        <w:t xml:space="preserve">Greenblatt, S., </w:t>
      </w:r>
      <w:r>
        <w:rPr>
          <w:i/>
          <w:iCs/>
          <w:lang w:val="en-US"/>
        </w:rPr>
        <w:t>The</w:t>
      </w:r>
      <w:r>
        <w:rPr>
          <w:lang w:val="en-US"/>
        </w:rPr>
        <w:t xml:space="preserve"> </w:t>
      </w:r>
      <w:r>
        <w:rPr>
          <w:i/>
          <w:iCs/>
          <w:lang w:val="en-US"/>
        </w:rPr>
        <w:t>Swerve</w:t>
      </w:r>
      <w:r>
        <w:rPr>
          <w:lang w:val="en-US"/>
        </w:rPr>
        <w:t xml:space="preserve">: </w:t>
      </w:r>
      <w:r>
        <w:rPr>
          <w:i/>
          <w:iCs/>
          <w:lang w:val="en-US"/>
        </w:rPr>
        <w:t>How</w:t>
      </w:r>
      <w:r>
        <w:rPr>
          <w:lang w:val="en-US"/>
        </w:rPr>
        <w:t xml:space="preserve"> </w:t>
      </w:r>
      <w:r>
        <w:rPr>
          <w:i/>
          <w:iCs/>
          <w:lang w:val="en-US"/>
        </w:rPr>
        <w:t>the</w:t>
      </w:r>
      <w:r>
        <w:rPr>
          <w:lang w:val="en-US"/>
        </w:rPr>
        <w:t xml:space="preserve"> </w:t>
      </w:r>
      <w:r>
        <w:rPr>
          <w:i/>
          <w:iCs/>
          <w:lang w:val="en-US"/>
        </w:rPr>
        <w:t>Renaissance</w:t>
      </w:r>
      <w:r>
        <w:rPr>
          <w:lang w:val="en-US"/>
        </w:rPr>
        <w:t xml:space="preserve"> </w:t>
      </w:r>
      <w:r>
        <w:rPr>
          <w:i/>
          <w:iCs/>
          <w:lang w:val="en-US"/>
        </w:rPr>
        <w:t>Began</w:t>
      </w:r>
      <w:r>
        <w:rPr>
          <w:lang w:val="en-US"/>
        </w:rPr>
        <w:t xml:space="preserve"> (2012, Kindle Edition)</w:t>
      </w:r>
    </w:p>
    <w:p>
      <w:pPr>
        <w:pStyle w:val="style4099"/>
        <w:rPr/>
      </w:pPr>
    </w:p>
    <w:p>
      <w:pPr>
        <w:pStyle w:val="style4099"/>
        <w:rPr/>
      </w:pPr>
      <w:r>
        <w:rPr>
          <w:lang w:val="en-US"/>
        </w:rPr>
        <w:t xml:space="preserve">Hagen, R., </w:t>
      </w:r>
      <w:r>
        <w:rPr>
          <w:i/>
          <w:iCs/>
          <w:lang w:val="en-US"/>
        </w:rPr>
        <w:t>15th</w:t>
      </w:r>
      <w:r>
        <w:rPr>
          <w:lang w:val="en-US"/>
        </w:rPr>
        <w:t xml:space="preserve"> </w:t>
      </w:r>
      <w:r>
        <w:rPr>
          <w:i/>
          <w:iCs/>
          <w:lang w:val="en-US"/>
        </w:rPr>
        <w:t>Century</w:t>
      </w:r>
      <w:r>
        <w:rPr>
          <w:lang w:val="en-US"/>
        </w:rPr>
        <w:t xml:space="preserve"> </w:t>
      </w:r>
      <w:r>
        <w:rPr>
          <w:i/>
          <w:iCs/>
          <w:lang w:val="en-US"/>
        </w:rPr>
        <w:t>Paintings</w:t>
      </w:r>
      <w:r>
        <w:rPr>
          <w:lang w:val="en-US"/>
        </w:rPr>
        <w:t xml:space="preserve"> (Taschen, 2001)</w:t>
      </w:r>
    </w:p>
    <w:p>
      <w:pPr>
        <w:pStyle w:val="style4099"/>
        <w:rPr/>
      </w:pPr>
    </w:p>
    <w:p>
      <w:pPr>
        <w:pStyle w:val="style4099"/>
        <w:rPr/>
      </w:pPr>
      <w:r>
        <w:rPr>
          <w:lang w:val="en-US"/>
        </w:rPr>
        <w:t xml:space="preserve">Hollingsworth, M., </w:t>
      </w:r>
      <w:r>
        <w:rPr>
          <w:i/>
          <w:iCs/>
          <w:lang w:val="en-US"/>
        </w:rPr>
        <w:t>Patronage</w:t>
      </w:r>
      <w:r>
        <w:rPr>
          <w:lang w:val="en-US"/>
        </w:rPr>
        <w:t xml:space="preserve"> </w:t>
      </w:r>
      <w:r>
        <w:rPr>
          <w:i/>
          <w:iCs/>
          <w:lang w:val="en-US"/>
        </w:rPr>
        <w:t>in</w:t>
      </w:r>
      <w:r>
        <w:rPr>
          <w:lang w:val="en-US"/>
        </w:rPr>
        <w:t xml:space="preserve"> </w:t>
      </w:r>
      <w:r>
        <w:rPr>
          <w:i/>
          <w:iCs/>
          <w:lang w:val="en-US"/>
        </w:rPr>
        <w:t>Renaissance</w:t>
      </w:r>
      <w:r>
        <w:rPr>
          <w:lang w:val="en-US"/>
        </w:rPr>
        <w:t xml:space="preserve"> </w:t>
      </w:r>
      <w:r>
        <w:rPr>
          <w:i/>
          <w:iCs/>
          <w:lang w:val="en-US"/>
        </w:rPr>
        <w:t>Italy</w:t>
      </w:r>
      <w:r>
        <w:rPr>
          <w:lang w:val="en-US"/>
        </w:rPr>
        <w:t xml:space="preserve"> (Lyme Books, 2020, Kindle Edition)</w:t>
      </w:r>
    </w:p>
    <w:p>
      <w:pPr>
        <w:pStyle w:val="style4099"/>
        <w:rPr/>
      </w:pPr>
    </w:p>
    <w:p>
      <w:pPr>
        <w:pStyle w:val="style4099"/>
        <w:rPr/>
      </w:pPr>
      <w:r>
        <w:rPr>
          <w:lang w:val="en-US"/>
        </w:rPr>
        <w:t xml:space="preserve">Johnson, P., </w:t>
      </w:r>
      <w:r>
        <w:rPr>
          <w:i/>
          <w:iCs/>
          <w:lang w:val="en-US"/>
        </w:rPr>
        <w:t>The</w:t>
      </w:r>
      <w:r>
        <w:rPr>
          <w:lang w:val="en-US"/>
        </w:rPr>
        <w:t xml:space="preserve"> </w:t>
      </w:r>
      <w:r>
        <w:rPr>
          <w:i/>
          <w:iCs/>
          <w:lang w:val="en-US"/>
        </w:rPr>
        <w:t>Renaissance</w:t>
      </w:r>
      <w:r>
        <w:rPr>
          <w:lang w:val="en-US"/>
        </w:rPr>
        <w:t xml:space="preserve"> (Phoenix, Kindle Edition)</w:t>
      </w:r>
    </w:p>
    <w:p>
      <w:pPr>
        <w:pStyle w:val="style4099"/>
        <w:rPr/>
      </w:pPr>
    </w:p>
    <w:p>
      <w:pPr>
        <w:pStyle w:val="style4099"/>
        <w:rPr/>
      </w:pPr>
      <w:r>
        <w:rPr>
          <w:lang w:val="en-US"/>
        </w:rPr>
        <w:t xml:space="preserve">Joost-Gaugier, C. L., </w:t>
      </w:r>
      <w:r>
        <w:rPr>
          <w:i/>
          <w:iCs/>
          <w:lang w:val="en-US"/>
        </w:rPr>
        <w:t>Italian</w:t>
      </w:r>
      <w:r>
        <w:rPr>
          <w:lang w:val="en-US"/>
        </w:rPr>
        <w:t xml:space="preserve"> </w:t>
      </w:r>
      <w:r>
        <w:rPr>
          <w:i/>
          <w:iCs/>
          <w:lang w:val="en-US"/>
        </w:rPr>
        <w:t>Renaissance</w:t>
      </w:r>
      <w:r>
        <w:rPr>
          <w:lang w:val="en-US"/>
        </w:rPr>
        <w:t xml:space="preserve"> </w:t>
      </w:r>
      <w:r>
        <w:rPr>
          <w:i/>
          <w:iCs/>
          <w:lang w:val="en-US"/>
        </w:rPr>
        <w:t>Art</w:t>
      </w:r>
      <w:r>
        <w:rPr>
          <w:lang w:val="en-US"/>
        </w:rPr>
        <w:t xml:space="preserve">: </w:t>
      </w:r>
      <w:r>
        <w:rPr>
          <w:i/>
          <w:iCs/>
          <w:lang w:val="en-US"/>
        </w:rPr>
        <w:t>Understanding</w:t>
      </w:r>
      <w:r>
        <w:rPr>
          <w:lang w:val="en-US"/>
        </w:rPr>
        <w:t xml:space="preserve"> </w:t>
      </w:r>
      <w:r>
        <w:rPr>
          <w:i/>
          <w:iCs/>
          <w:lang w:val="en-US"/>
        </w:rPr>
        <w:t>Its</w:t>
      </w:r>
      <w:r>
        <w:rPr>
          <w:lang w:val="en-US"/>
        </w:rPr>
        <w:t xml:space="preserve"> </w:t>
      </w:r>
      <w:r>
        <w:rPr>
          <w:i/>
          <w:iCs/>
          <w:lang w:val="en-US"/>
        </w:rPr>
        <w:t>Meaning</w:t>
      </w:r>
      <w:r>
        <w:rPr>
          <w:lang w:val="en-US"/>
        </w:rPr>
        <w:t xml:space="preserve"> (Wiley, 2013, Kindle Edition)</w:t>
      </w:r>
    </w:p>
    <w:p>
      <w:pPr>
        <w:pStyle w:val="style4099"/>
        <w:rPr/>
      </w:pPr>
    </w:p>
    <w:p>
      <w:pPr>
        <w:pStyle w:val="style4099"/>
        <w:rPr/>
      </w:pPr>
      <w:r>
        <w:rPr>
          <w:i/>
          <w:iCs/>
          <w:lang w:val="en-US"/>
        </w:rPr>
        <w:t>Masters</w:t>
      </w:r>
      <w:r>
        <w:rPr>
          <w:lang w:val="en-US"/>
        </w:rPr>
        <w:t xml:space="preserve"> </w:t>
      </w:r>
      <w:r>
        <w:rPr>
          <w:i/>
          <w:iCs/>
          <w:lang w:val="en-US"/>
        </w:rPr>
        <w:t>of</w:t>
      </w:r>
      <w:r>
        <w:rPr>
          <w:lang w:val="en-US"/>
        </w:rPr>
        <w:t xml:space="preserve"> </w:t>
      </w:r>
      <w:r>
        <w:rPr>
          <w:i/>
          <w:iCs/>
          <w:lang w:val="en-US"/>
        </w:rPr>
        <w:t>Art</w:t>
      </w:r>
      <w:r>
        <w:rPr>
          <w:lang w:val="en-US"/>
        </w:rPr>
        <w:t xml:space="preserve">: </w:t>
      </w:r>
      <w:r>
        <w:rPr>
          <w:i/>
          <w:iCs/>
          <w:lang w:val="en-US"/>
        </w:rPr>
        <w:t>Sandro</w:t>
      </w:r>
      <w:r>
        <w:rPr>
          <w:lang w:val="en-US"/>
        </w:rPr>
        <w:t xml:space="preserve"> </w:t>
      </w:r>
      <w:r>
        <w:rPr>
          <w:i/>
          <w:iCs/>
          <w:lang w:val="en-US"/>
        </w:rPr>
        <w:t>Botticelli</w:t>
      </w:r>
      <w:r>
        <w:rPr>
          <w:lang w:val="en-US"/>
        </w:rPr>
        <w:t xml:space="preserve"> (Delphi Classics, 2015, ebook)</w:t>
      </w:r>
    </w:p>
    <w:p>
      <w:pPr>
        <w:pStyle w:val="style4099"/>
        <w:rPr/>
      </w:pPr>
    </w:p>
    <w:p>
      <w:pPr>
        <w:pStyle w:val="style4099"/>
        <w:rPr/>
      </w:pPr>
      <w:r>
        <w:rPr>
          <w:lang w:val="en-US"/>
        </w:rPr>
        <w:t xml:space="preserve">Peitcheva, M., </w:t>
      </w:r>
      <w:r>
        <w:rPr>
          <w:i/>
          <w:iCs/>
          <w:lang w:val="en-US"/>
        </w:rPr>
        <w:t>Guido</w:t>
      </w:r>
      <w:r>
        <w:rPr>
          <w:lang w:val="en-US"/>
        </w:rPr>
        <w:t xml:space="preserve"> </w:t>
      </w:r>
      <w:r>
        <w:rPr>
          <w:i/>
          <w:iCs/>
          <w:lang w:val="en-US"/>
        </w:rPr>
        <w:t>Reni</w:t>
      </w:r>
      <w:r>
        <w:rPr>
          <w:lang w:val="en-US"/>
        </w:rPr>
        <w:t xml:space="preserve">, (2016, ebook) </w:t>
      </w:r>
    </w:p>
    <w:p>
      <w:pPr>
        <w:pStyle w:val="style4099"/>
        <w:rPr/>
      </w:pPr>
    </w:p>
    <w:p>
      <w:pPr>
        <w:pStyle w:val="style4099"/>
        <w:rPr/>
      </w:pPr>
      <w:r>
        <w:rPr>
          <w:lang w:val="en-US"/>
        </w:rPr>
        <w:t xml:space="preserve">Pope-Hennessy, J., </w:t>
      </w:r>
      <w:r>
        <w:rPr>
          <w:i/>
          <w:iCs/>
          <w:lang w:val="en-US"/>
        </w:rPr>
        <w:t>Paradiso</w:t>
      </w:r>
      <w:r>
        <w:rPr>
          <w:lang w:val="en-US"/>
        </w:rPr>
        <w:t xml:space="preserve"> (Thames and Hudson, 1993)</w:t>
      </w:r>
    </w:p>
    <w:p>
      <w:pPr>
        <w:pStyle w:val="style4099"/>
        <w:rPr/>
      </w:pPr>
    </w:p>
    <w:p>
      <w:pPr>
        <w:pStyle w:val="style4099"/>
        <w:rPr/>
      </w:pPr>
      <w:r>
        <w:rPr>
          <w:lang w:val="en-US"/>
        </w:rPr>
        <w:t xml:space="preserve">Tsaneva, M., </w:t>
      </w:r>
      <w:r>
        <w:rPr>
          <w:i/>
          <w:iCs/>
          <w:lang w:val="en-US"/>
        </w:rPr>
        <w:t>Guido</w:t>
      </w:r>
      <w:r>
        <w:rPr>
          <w:lang w:val="en-US"/>
        </w:rPr>
        <w:t xml:space="preserve"> </w:t>
      </w:r>
      <w:r>
        <w:rPr>
          <w:i/>
          <w:iCs/>
          <w:lang w:val="en-US"/>
        </w:rPr>
        <w:t>Reni</w:t>
      </w:r>
      <w:r>
        <w:rPr>
          <w:lang w:val="en-US"/>
        </w:rPr>
        <w:t>, (2014, ebook)</w:t>
      </w:r>
    </w:p>
    <w:p>
      <w:pPr>
        <w:pStyle w:val="style4099"/>
        <w:rPr/>
      </w:pPr>
    </w:p>
    <w:p>
      <w:pPr>
        <w:pStyle w:val="style4099"/>
        <w:rPr/>
      </w:pPr>
      <w:r>
        <w:rPr>
          <w:lang w:val="en-US"/>
        </w:rPr>
        <w:t xml:space="preserve">Vasari, J., </w:t>
      </w:r>
      <w:r>
        <w:rPr>
          <w:i/>
          <w:iCs/>
          <w:lang w:val="en-US"/>
        </w:rPr>
        <w:t>Vasari</w:t>
      </w:r>
      <w:r>
        <w:rPr>
          <w:lang w:val="en-US"/>
        </w:rPr>
        <w:t>’</w:t>
      </w:r>
      <w:r>
        <w:rPr>
          <w:i/>
          <w:iCs/>
          <w:lang w:val="en-US"/>
        </w:rPr>
        <w:t>s</w:t>
      </w:r>
      <w:r>
        <w:rPr>
          <w:lang w:val="en-US"/>
        </w:rPr>
        <w:t xml:space="preserve"> </w:t>
      </w:r>
      <w:r>
        <w:rPr>
          <w:i/>
          <w:iCs/>
          <w:lang w:val="en-US"/>
        </w:rPr>
        <w:t>Lives</w:t>
      </w:r>
      <w:r>
        <w:rPr>
          <w:lang w:val="en-US"/>
        </w:rPr>
        <w:t xml:space="preserve"> </w:t>
      </w:r>
      <w:r>
        <w:rPr>
          <w:i/>
          <w:iCs/>
          <w:lang w:val="en-US"/>
        </w:rPr>
        <w:t>of</w:t>
      </w:r>
      <w:r>
        <w:rPr>
          <w:lang w:val="en-US"/>
        </w:rPr>
        <w:t xml:space="preserve"> </w:t>
      </w:r>
      <w:r>
        <w:rPr>
          <w:i/>
          <w:iCs/>
          <w:lang w:val="en-US"/>
        </w:rPr>
        <w:t>the</w:t>
      </w:r>
      <w:r>
        <w:rPr>
          <w:lang w:val="en-US"/>
        </w:rPr>
        <w:t xml:space="preserve"> </w:t>
      </w:r>
      <w:r>
        <w:rPr>
          <w:i/>
          <w:iCs/>
          <w:lang w:val="en-US"/>
        </w:rPr>
        <w:t>Artists</w:t>
      </w:r>
      <w:r>
        <w:rPr>
          <w:lang w:val="en-US"/>
        </w:rPr>
        <w:t xml:space="preserve"> (1967 translation, ebook)</w:t>
      </w:r>
    </w:p>
    <w:p>
      <w:pPr>
        <w:pStyle w:val="style4099"/>
        <w:rPr/>
      </w:pPr>
    </w:p>
    <w:p>
      <w:pPr>
        <w:pStyle w:val="style4099"/>
        <w:rPr/>
      </w:pPr>
      <w:r>
        <w:rPr>
          <w:lang w:val="en-US"/>
        </w:rPr>
        <w:t xml:space="preserve">West, S., </w:t>
      </w:r>
      <w:r>
        <w:rPr>
          <w:i/>
          <w:iCs/>
          <w:lang w:val="en-US"/>
        </w:rPr>
        <w:t>A</w:t>
      </w:r>
      <w:r>
        <w:rPr>
          <w:lang w:val="en-US"/>
        </w:rPr>
        <w:t xml:space="preserve"> </w:t>
      </w:r>
      <w:r>
        <w:rPr>
          <w:i/>
          <w:iCs/>
          <w:lang w:val="en-US"/>
        </w:rPr>
        <w:t>Guide</w:t>
      </w:r>
      <w:r>
        <w:rPr>
          <w:lang w:val="en-US"/>
        </w:rPr>
        <w:t xml:space="preserve"> </w:t>
      </w:r>
      <w:r>
        <w:rPr>
          <w:i/>
          <w:iCs/>
          <w:lang w:val="en-US"/>
        </w:rPr>
        <w:t>to</w:t>
      </w:r>
      <w:r>
        <w:rPr>
          <w:lang w:val="en-US"/>
        </w:rPr>
        <w:t xml:space="preserve"> </w:t>
      </w:r>
      <w:r>
        <w:rPr>
          <w:i/>
          <w:iCs/>
          <w:lang w:val="en-US"/>
        </w:rPr>
        <w:t>Art</w:t>
      </w:r>
      <w:r>
        <w:rPr>
          <w:lang w:val="en-US"/>
        </w:rPr>
        <w:t xml:space="preserve"> (Bloomsbury, 1996)</w:t>
      </w:r>
    </w:p>
    <w:p>
      <w:pPr>
        <w:pStyle w:val="style4099"/>
        <w:rPr/>
      </w:pPr>
    </w:p>
    <w:p>
      <w:pPr>
        <w:pStyle w:val="style4099"/>
        <w:rPr/>
      </w:pPr>
    </w:p>
    <w:p>
      <w:pPr>
        <w:pStyle w:val="style4099"/>
        <w:rPr/>
      </w:pPr>
    </w:p>
    <w:p>
      <w:pPr>
        <w:pStyle w:val="style4099"/>
        <w:rPr/>
      </w:pPr>
    </w:p>
    <w:p>
      <w:pPr>
        <w:pStyle w:val="style4099"/>
        <w:rPr/>
      </w:pPr>
    </w:p>
    <w:p>
      <w:pPr>
        <w:pStyle w:val="style4099"/>
        <w:rPr/>
      </w:pPr>
    </w:p>
    <w:p>
      <w:pPr>
        <w:pStyle w:val="style4099"/>
        <w:rPr/>
      </w:pPr>
    </w:p>
    <w:p>
      <w:pPr>
        <w:pStyle w:val="style4099"/>
        <w:rPr/>
      </w:pPr>
    </w:p>
    <w:p>
      <w:pPr>
        <w:pStyle w:val="style4099"/>
        <w:rPr/>
      </w:pPr>
    </w:p>
    <w:p>
      <w:pPr>
        <w:pStyle w:val="style4099"/>
        <w:rPr/>
      </w:pPr>
    </w:p>
    <w:p>
      <w:pPr>
        <w:pStyle w:val="style4099"/>
        <w:jc w:val="center"/>
        <w:rPr/>
      </w:pPr>
    </w:p>
    <w:p>
      <w:pPr>
        <w:pStyle w:val="style4099"/>
        <w:rPr/>
      </w:pPr>
    </w:p>
    <w:p>
      <w:pPr>
        <w:pStyle w:val="style4099"/>
        <w:rPr/>
      </w:pPr>
    </w:p>
    <w:p>
      <w:pPr>
        <w:pStyle w:val="style4099"/>
        <w:rPr/>
      </w:pPr>
    </w:p>
    <w:p>
      <w:pPr>
        <w:pStyle w:val="style4099"/>
        <w:jc w:val="center"/>
        <w:rPr/>
      </w:pPr>
    </w:p>
    <w:p>
      <w:pPr>
        <w:pStyle w:val="style4099"/>
        <w:rPr/>
      </w:pPr>
    </w:p>
    <w:p>
      <w:pPr>
        <w:pStyle w:val="style4099"/>
        <w:rPr/>
      </w:pPr>
    </w:p>
    <w:p>
      <w:pPr>
        <w:pStyle w:val="style4099"/>
        <w:jc w:val="center"/>
        <w:rPr/>
      </w:pPr>
    </w:p>
    <w:p>
      <w:pPr>
        <w:pStyle w:val="style4099"/>
        <w:rPr/>
      </w:pPr>
    </w:p>
    <w:p>
      <w:pPr>
        <w:pStyle w:val="style4099"/>
        <w:rPr/>
      </w:pPr>
    </w:p>
    <w:p>
      <w:pPr>
        <w:pStyle w:val="style4099"/>
        <w:jc w:val="center"/>
        <w:rPr/>
      </w:pPr>
    </w:p>
    <w:p>
      <w:pPr>
        <w:pStyle w:val="style4099"/>
        <w:rPr/>
      </w:pPr>
    </w:p>
    <w:p>
      <w:pPr>
        <w:pStyle w:val="style4099"/>
        <w:jc w:val="center"/>
        <w:rPr/>
      </w:pPr>
    </w:p>
    <w:p>
      <w:pPr>
        <w:pStyle w:val="style4099"/>
        <w:rPr/>
      </w:pPr>
    </w:p>
    <w:p>
      <w:pPr>
        <w:pStyle w:val="style4099"/>
        <w:jc w:val="center"/>
        <w:rPr/>
      </w:pPr>
    </w:p>
    <w:p>
      <w:pPr>
        <w:pStyle w:val="style4099"/>
        <w:rPr/>
      </w:pPr>
    </w:p>
    <w:sectPr>
      <w:headerReference w:type="default" r:id="rId3"/>
      <w:footerReference w:type="default" r:id="rId4"/>
      <w:pgSz w:w="11900" w:h="16840" w:orient="portrait"/>
      <w:pgMar w:top="1134" w:right="1134" w:bottom="1417" w:left="1134" w:header="709" w:footer="850" w:gutter="0"/>
      <w:bidi w:val="fals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altName w:val="Times New Roman"/>
    <w:panose1 w:val="02020603050005020304"/>
    <w:charset w:val="00"/>
    <w:family w:val="roman"/>
    <w:pitch w:val="variable"/>
    <w:sig w:usb0="20007A87" w:usb1="80000000" w:usb2="00000008" w:usb3="00000000" w:csb0="000001FF" w:csb1="00000000"/>
  </w:font>
  <w:font w:name="Georgia">
    <w:altName w:val="Times New Roman"/>
    <w:panose1 w:val="02020603050005020304"/>
    <w:charset w:val="00"/>
    <w:family w:val="roman"/>
    <w:pitch w:val="variable"/>
    <w:sig w:usb0="20007A87" w:usb1="80000000" w:usb2="00000008" w:usb3="00000000" w:csb0="000001FF" w:csb1="00000000"/>
  </w:font>
  <w:font w:name="Arial">
    <w:altName w:val="Arial"/>
    <w:panose1 w:val="020b0604020002020204"/>
    <w:charset w:val="01"/>
    <w:family w:val="swiss"/>
    <w:pitch w:val="default"/>
    <w:sig w:usb0="00007A87" w:usb1="80000000" w:usb2="00000008" w:usb3="00000000" w:csb0="400001FF" w:csb1="FFFF0000"/>
  </w:font>
  <w:font w:name="Trebuchet MS">
    <w:altName w:val="Times New Roman"/>
    <w:panose1 w:val="02020603050005020304"/>
    <w:charset w:val="00"/>
    <w:family w:val="roman"/>
    <w:pitch w:val="variable"/>
    <w:sig w:usb0="20007A87" w:usb1="80000000" w:usb2="00000008" w:usb3="00000000" w:csb0="000001FF" w:csb1="00000000"/>
  </w:font>
  <w:font w:name="Calibri">
    <w:altName w:val="Calibri"/>
    <w:panose1 w:val="020f0502020004030204"/>
    <w:charset w:val="7a"/>
    <w:family w:val="swiss"/>
    <w:pitch w:val="default"/>
    <w:sig w:usb0="E10002FF" w:usb1="4000ACFF" w:usb2="00000009" w:usb3="00000000" w:csb0="2000019F" w:csb1="00000000"/>
  </w:font>
  <w:font w:name="Helvetica Neue WGL">
    <w:altName w:val="Times New Roman"/>
    <w:panose1 w:val="02020603050005020304"/>
    <w:charset w:val="00"/>
    <w:family w:val="roman"/>
    <w:pitch w:val="variable"/>
    <w:sig w:usb0="20007A87" w:usb1="80000000" w:usb2="00000008" w:usb3="00000000" w:csb0="000001FF" w:csb1="00000000"/>
  </w:font>
  <w:font w:name="Amazon Ember Display">
    <w:altName w:val="Times New Roman"/>
    <w:panose1 w:val="02020603050005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4098"/>
      <w:tabs>
        <w:tab w:val="clear" w:pos="9020"/>
      </w:tabs>
      <w:rPr/>
    </w:pPr>
    <w:r>
      <w:rPr/>
      <w:fldChar w:fldCharType="begin"/>
    </w:r>
    <w:r>
      <w:instrText xml:space="preserve"> PAGE </w:instrText>
    </w:r>
    <w:r>
      <w:rPr/>
      <w:fldChar w:fldCharType="separate"/>
    </w:r>
    <w:r>
      <w:rPr/>
      <w:fldChar w:fldCharType="end"/>
    </w: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Langmuir, E., </w:t>
      </w:r>
      <w:r>
        <w:rPr>
          <w:rFonts w:cs="Arial Unicode MS" w:eastAsia="Arial Unicode MS"/>
          <w:i/>
          <w:iCs/>
          <w:sz w:val="28"/>
          <w:szCs w:val="28"/>
          <w:lang w:val="en-US"/>
        </w:rPr>
        <w:t>Heaven</w:t>
      </w:r>
      <w:r>
        <w:rPr>
          <w:rFonts w:cs="Arial Unicode MS" w:eastAsia="Arial Unicode MS"/>
          <w:sz w:val="28"/>
          <w:szCs w:val="28"/>
          <w:lang w:val="en-US"/>
        </w:rPr>
        <w:t xml:space="preserve"> </w:t>
      </w:r>
      <w:r>
        <w:rPr>
          <w:rFonts w:cs="Arial Unicode MS" w:eastAsia="Arial Unicode MS"/>
          <w:i/>
          <w:iCs/>
          <w:sz w:val="28"/>
          <w:szCs w:val="28"/>
          <w:lang w:val="en-US"/>
        </w:rPr>
        <w:t>in</w:t>
      </w:r>
      <w:r>
        <w:rPr>
          <w:rFonts w:cs="Arial Unicode MS" w:eastAsia="Arial Unicode MS"/>
          <w:sz w:val="28"/>
          <w:szCs w:val="28"/>
          <w:lang w:val="en-US"/>
        </w:rPr>
        <w:t xml:space="preserve"> </w:t>
      </w:r>
      <w:r>
        <w:rPr>
          <w:rFonts w:cs="Arial Unicode MS" w:eastAsia="Arial Unicode MS"/>
          <w:i/>
          <w:iCs/>
          <w:sz w:val="28"/>
          <w:szCs w:val="28"/>
          <w:lang w:val="en-US"/>
        </w:rPr>
        <w:t>Art</w:t>
      </w:r>
      <w:r>
        <w:rPr>
          <w:rFonts w:cs="Arial Unicode MS" w:eastAsia="Arial Unicode MS"/>
          <w:sz w:val="28"/>
          <w:szCs w:val="28"/>
          <w:lang w:val="en-US"/>
        </w:rPr>
        <w:t xml:space="preserve">: </w:t>
      </w:r>
      <w:r>
        <w:rPr>
          <w:rFonts w:cs="Arial Unicode MS" w:eastAsia="Arial Unicode MS"/>
          <w:i/>
          <w:iCs/>
          <w:sz w:val="28"/>
          <w:szCs w:val="28"/>
          <w:lang w:val="en-US"/>
        </w:rPr>
        <w:t>National</w:t>
      </w:r>
      <w:r>
        <w:rPr>
          <w:rFonts w:cs="Arial Unicode MS" w:eastAsia="Arial Unicode MS"/>
          <w:sz w:val="28"/>
          <w:szCs w:val="28"/>
          <w:lang w:val="en-US"/>
        </w:rPr>
        <w:t xml:space="preserve"> </w:t>
      </w:r>
      <w:r>
        <w:rPr>
          <w:rFonts w:cs="Arial Unicode MS" w:eastAsia="Arial Unicode MS"/>
          <w:i/>
          <w:iCs/>
          <w:sz w:val="28"/>
          <w:szCs w:val="28"/>
          <w:lang w:val="en-US"/>
        </w:rPr>
        <w:t>Gallery</w:t>
      </w:r>
      <w:r>
        <w:rPr>
          <w:rFonts w:cs="Arial Unicode MS" w:eastAsia="Arial Unicode MS"/>
          <w:sz w:val="28"/>
          <w:szCs w:val="28"/>
          <w:lang w:val="en-US"/>
        </w:rPr>
        <w:t>, p.7, (M. Q. Publications Ltd, 1998)</w:t>
      </w:r>
    </w:p>
  </w:footnote>
  <w:footnote w:id="2">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Greenblatt, S.,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Swerve</w:t>
      </w:r>
      <w:r>
        <w:rPr>
          <w:rFonts w:cs="Arial Unicode MS" w:eastAsia="Arial Unicode MS"/>
          <w:sz w:val="28"/>
          <w:szCs w:val="28"/>
          <w:lang w:val="en-US"/>
        </w:rPr>
        <w:t xml:space="preserve">: </w:t>
      </w:r>
      <w:r>
        <w:rPr>
          <w:rFonts w:cs="Arial Unicode MS" w:eastAsia="Arial Unicode MS"/>
          <w:i/>
          <w:iCs/>
          <w:sz w:val="28"/>
          <w:szCs w:val="28"/>
          <w:lang w:val="en-US"/>
        </w:rPr>
        <w:t>How</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Renaissance</w:t>
      </w:r>
      <w:r>
        <w:rPr>
          <w:rFonts w:cs="Arial Unicode MS" w:eastAsia="Arial Unicode MS"/>
          <w:sz w:val="28"/>
          <w:szCs w:val="28"/>
          <w:lang w:val="en-US"/>
        </w:rPr>
        <w:t xml:space="preserve"> </w:t>
      </w:r>
      <w:r>
        <w:rPr>
          <w:rFonts w:cs="Arial Unicode MS" w:eastAsia="Arial Unicode MS"/>
          <w:i/>
          <w:iCs/>
          <w:sz w:val="28"/>
          <w:szCs w:val="28"/>
          <w:lang w:val="en-US"/>
        </w:rPr>
        <w:t>Began</w:t>
      </w:r>
      <w:r>
        <w:rPr>
          <w:rFonts w:cs="Arial Unicode MS" w:eastAsia="Arial Unicode MS"/>
          <w:sz w:val="28"/>
          <w:szCs w:val="28"/>
          <w:lang w:val="en-US"/>
        </w:rPr>
        <w:t xml:space="preserve"> (Vintage, 2012, Kindle Edition)</w:t>
      </w:r>
    </w:p>
  </w:footnote>
  <w:footnote w:id="3">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Hagen, R., </w:t>
      </w:r>
      <w:r>
        <w:rPr>
          <w:rFonts w:cs="Arial Unicode MS" w:eastAsia="Arial Unicode MS"/>
          <w:i/>
          <w:iCs/>
          <w:sz w:val="28"/>
          <w:szCs w:val="28"/>
          <w:lang w:val="en-US"/>
        </w:rPr>
        <w:t>15th</w:t>
      </w:r>
      <w:r>
        <w:rPr>
          <w:rFonts w:cs="Arial Unicode MS" w:eastAsia="Arial Unicode MS"/>
          <w:sz w:val="28"/>
          <w:szCs w:val="28"/>
          <w:lang w:val="en-US"/>
        </w:rPr>
        <w:t xml:space="preserve"> </w:t>
      </w:r>
      <w:r>
        <w:rPr>
          <w:rFonts w:cs="Arial Unicode MS" w:eastAsia="Arial Unicode MS"/>
          <w:i/>
          <w:iCs/>
          <w:sz w:val="28"/>
          <w:szCs w:val="28"/>
          <w:lang w:val="en-US"/>
        </w:rPr>
        <w:t>Century</w:t>
      </w:r>
      <w:r>
        <w:rPr>
          <w:rFonts w:cs="Arial Unicode MS" w:eastAsia="Arial Unicode MS"/>
          <w:sz w:val="28"/>
          <w:szCs w:val="28"/>
          <w:lang w:val="en-US"/>
        </w:rPr>
        <w:t xml:space="preserve"> </w:t>
      </w:r>
      <w:r>
        <w:rPr>
          <w:rFonts w:cs="Arial Unicode MS" w:eastAsia="Arial Unicode MS"/>
          <w:i/>
          <w:iCs/>
          <w:sz w:val="28"/>
          <w:szCs w:val="28"/>
          <w:lang w:val="en-US"/>
        </w:rPr>
        <w:t>Paintings</w:t>
      </w:r>
      <w:r>
        <w:rPr>
          <w:rFonts w:cs="Arial Unicode MS" w:eastAsia="Arial Unicode MS"/>
          <w:sz w:val="28"/>
          <w:szCs w:val="28"/>
          <w:lang w:val="en-US"/>
        </w:rPr>
        <w:t>, p.160 (Taschen, 2001)</w:t>
      </w:r>
    </w:p>
  </w:footnote>
  <w:footnote w:id="4">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Greenblatt, S.,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Swerve</w:t>
      </w:r>
      <w:r>
        <w:rPr>
          <w:rFonts w:cs="Arial Unicode MS" w:eastAsia="Arial Unicode MS"/>
          <w:sz w:val="28"/>
          <w:szCs w:val="28"/>
          <w:lang w:val="en-US"/>
        </w:rPr>
        <w:t xml:space="preserve">: </w:t>
      </w:r>
      <w:r>
        <w:rPr>
          <w:rFonts w:cs="Arial Unicode MS" w:eastAsia="Arial Unicode MS"/>
          <w:i/>
          <w:iCs/>
          <w:sz w:val="28"/>
          <w:szCs w:val="28"/>
          <w:lang w:val="en-US"/>
        </w:rPr>
        <w:t>How</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Renaissance</w:t>
      </w:r>
      <w:r>
        <w:rPr>
          <w:rFonts w:cs="Arial Unicode MS" w:eastAsia="Arial Unicode MS"/>
          <w:sz w:val="28"/>
          <w:szCs w:val="28"/>
          <w:lang w:val="en-US"/>
        </w:rPr>
        <w:t xml:space="preserve"> Began (Vintage, 2012, Kindle Edition)</w:t>
      </w:r>
    </w:p>
  </w:footnote>
  <w:footnote w:id="5">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Aston,M.,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Panorama</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Renaissance</w:t>
      </w:r>
      <w:r>
        <w:rPr>
          <w:rFonts w:cs="Arial Unicode MS" w:eastAsia="Arial Unicode MS"/>
          <w:sz w:val="28"/>
          <w:szCs w:val="28"/>
          <w:lang w:val="en-US"/>
        </w:rPr>
        <w:t xml:space="preserve"> (London: Thames and Hudson has Ltd., 1996)</w:t>
      </w:r>
    </w:p>
  </w:footnote>
  <w:footnote w:id="6">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West, S., </w:t>
      </w:r>
      <w:r>
        <w:rPr>
          <w:rFonts w:cs="Arial Unicode MS" w:eastAsia="Arial Unicode MS"/>
          <w:i/>
          <w:iCs/>
          <w:sz w:val="28"/>
          <w:szCs w:val="28"/>
          <w:lang w:val="en-US"/>
        </w:rPr>
        <w:t>A</w:t>
      </w:r>
      <w:r>
        <w:rPr>
          <w:rFonts w:cs="Arial Unicode MS" w:eastAsia="Arial Unicode MS"/>
          <w:sz w:val="28"/>
          <w:szCs w:val="28"/>
          <w:lang w:val="en-US"/>
        </w:rPr>
        <w:t xml:space="preserve"> </w:t>
      </w:r>
      <w:r>
        <w:rPr>
          <w:rFonts w:cs="Arial Unicode MS" w:eastAsia="Arial Unicode MS"/>
          <w:i/>
          <w:iCs/>
          <w:sz w:val="28"/>
          <w:szCs w:val="28"/>
          <w:lang w:val="en-US"/>
        </w:rPr>
        <w:t>Guide</w:t>
      </w:r>
      <w:r>
        <w:rPr>
          <w:rFonts w:cs="Arial Unicode MS" w:eastAsia="Arial Unicode MS"/>
          <w:sz w:val="28"/>
          <w:szCs w:val="28"/>
          <w:lang w:val="en-US"/>
        </w:rPr>
        <w:t xml:space="preserve"> </w:t>
      </w:r>
      <w:r>
        <w:rPr>
          <w:rFonts w:cs="Arial Unicode MS" w:eastAsia="Arial Unicode MS"/>
          <w:i/>
          <w:iCs/>
          <w:sz w:val="28"/>
          <w:szCs w:val="28"/>
          <w:lang w:val="en-US"/>
        </w:rPr>
        <w:t>to</w:t>
      </w:r>
      <w:r>
        <w:rPr>
          <w:rFonts w:cs="Arial Unicode MS" w:eastAsia="Arial Unicode MS"/>
          <w:sz w:val="28"/>
          <w:szCs w:val="28"/>
          <w:lang w:val="en-US"/>
        </w:rPr>
        <w:t xml:space="preserve"> </w:t>
      </w:r>
      <w:r>
        <w:rPr>
          <w:rFonts w:cs="Arial Unicode MS" w:eastAsia="Arial Unicode MS"/>
          <w:i/>
          <w:iCs/>
          <w:sz w:val="28"/>
          <w:szCs w:val="28"/>
          <w:lang w:val="en-US"/>
        </w:rPr>
        <w:t>Art</w:t>
      </w:r>
      <w:r>
        <w:rPr>
          <w:rFonts w:cs="Arial Unicode MS" w:eastAsia="Arial Unicode MS"/>
          <w:sz w:val="28"/>
          <w:szCs w:val="28"/>
          <w:lang w:val="en-US"/>
        </w:rPr>
        <w:t xml:space="preserve"> (Bloomsbury, 1996)</w:t>
      </w:r>
    </w:p>
  </w:footnote>
  <w:footnote w:id="7">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Dante, </w:t>
      </w:r>
      <w:r>
        <w:rPr>
          <w:rFonts w:cs="Arial Unicode MS" w:eastAsia="Arial Unicode MS"/>
          <w:i/>
          <w:iCs/>
          <w:sz w:val="28"/>
          <w:szCs w:val="28"/>
          <w:lang w:val="en-US"/>
        </w:rPr>
        <w:t>Divine</w:t>
      </w:r>
      <w:r>
        <w:rPr>
          <w:rFonts w:cs="Arial Unicode MS" w:eastAsia="Arial Unicode MS"/>
          <w:sz w:val="28"/>
          <w:szCs w:val="28"/>
          <w:lang w:val="en-US"/>
        </w:rPr>
        <w:t xml:space="preserve"> </w:t>
      </w:r>
      <w:r>
        <w:rPr>
          <w:rFonts w:cs="Arial Unicode MS" w:eastAsia="Arial Unicode MS"/>
          <w:i/>
          <w:iCs/>
          <w:sz w:val="28"/>
          <w:szCs w:val="28"/>
          <w:lang w:val="en-US"/>
        </w:rPr>
        <w:t>Comedy</w:t>
      </w:r>
      <w:r>
        <w:rPr>
          <w:rFonts w:cs="Arial Unicode MS" w:eastAsia="Arial Unicode MS"/>
          <w:sz w:val="28"/>
          <w:szCs w:val="28"/>
          <w:lang w:val="en-US"/>
        </w:rPr>
        <w:t>, 1901 translation (Gutenberg Press, ebook)</w:t>
      </w:r>
    </w:p>
  </w:footnote>
  <w:footnote w:id="8">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Pope-Hennessy, J., </w:t>
      </w:r>
      <w:r>
        <w:rPr>
          <w:rFonts w:cs="Arial Unicode MS" w:eastAsia="Arial Unicode MS"/>
          <w:i/>
          <w:iCs/>
          <w:sz w:val="28"/>
          <w:szCs w:val="28"/>
          <w:lang w:val="en-US"/>
        </w:rPr>
        <w:t>Paradiso</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Illuminations</w:t>
      </w:r>
      <w:r>
        <w:rPr>
          <w:rFonts w:cs="Arial Unicode MS" w:eastAsia="Arial Unicode MS"/>
          <w:sz w:val="28"/>
          <w:szCs w:val="28"/>
          <w:lang w:val="en-US"/>
        </w:rPr>
        <w:t xml:space="preserve"> </w:t>
      </w:r>
      <w:r>
        <w:rPr>
          <w:rFonts w:cs="Arial Unicode MS" w:eastAsia="Arial Unicode MS"/>
          <w:i/>
          <w:iCs/>
          <w:sz w:val="28"/>
          <w:szCs w:val="28"/>
          <w:lang w:val="en-US"/>
        </w:rPr>
        <w:t>to</w:t>
      </w:r>
      <w:r>
        <w:rPr>
          <w:rFonts w:cs="Arial Unicode MS" w:eastAsia="Arial Unicode MS"/>
          <w:sz w:val="28"/>
          <w:szCs w:val="28"/>
          <w:lang w:val="en-US"/>
        </w:rPr>
        <w:t xml:space="preserve"> </w:t>
      </w:r>
      <w:r>
        <w:rPr>
          <w:rFonts w:cs="Arial Unicode MS" w:eastAsia="Arial Unicode MS"/>
          <w:i/>
          <w:iCs/>
          <w:sz w:val="28"/>
          <w:szCs w:val="28"/>
          <w:lang w:val="en-US"/>
        </w:rPr>
        <w:t>Dante</w:t>
      </w:r>
      <w:r>
        <w:rPr>
          <w:rFonts w:cs="Arial Unicode MS" w:eastAsia="Arial Unicode MS" w:hint="default"/>
          <w:sz w:val="28"/>
          <w:szCs w:val="28"/>
          <w:lang w:val="en-US"/>
        </w:rPr>
        <w:t>’</w:t>
      </w:r>
      <w:r>
        <w:rPr>
          <w:rFonts w:cs="Arial Unicode MS" w:eastAsia="Arial Unicode MS"/>
          <w:i/>
          <w:iCs/>
          <w:sz w:val="28"/>
          <w:szCs w:val="28"/>
          <w:lang w:val="en-US"/>
        </w:rPr>
        <w:t>s</w:t>
      </w:r>
      <w:r>
        <w:rPr>
          <w:rFonts w:cs="Arial Unicode MS" w:eastAsia="Arial Unicode MS"/>
          <w:sz w:val="28"/>
          <w:szCs w:val="28"/>
          <w:lang w:val="en-US"/>
        </w:rPr>
        <w:t xml:space="preserve"> </w:t>
      </w:r>
      <w:r>
        <w:rPr>
          <w:rFonts w:cs="Arial Unicode MS" w:eastAsia="Arial Unicode MS"/>
          <w:i/>
          <w:iCs/>
          <w:sz w:val="28"/>
          <w:szCs w:val="28"/>
          <w:lang w:val="en-US"/>
        </w:rPr>
        <w:t>Divine</w:t>
      </w:r>
      <w:r>
        <w:rPr>
          <w:rFonts w:cs="Arial Unicode MS" w:eastAsia="Arial Unicode MS"/>
          <w:sz w:val="28"/>
          <w:szCs w:val="28"/>
          <w:lang w:val="en-US"/>
        </w:rPr>
        <w:t xml:space="preserve"> </w:t>
      </w:r>
      <w:r>
        <w:rPr>
          <w:rFonts w:cs="Arial Unicode MS" w:eastAsia="Arial Unicode MS"/>
          <w:i/>
          <w:iCs/>
          <w:sz w:val="28"/>
          <w:szCs w:val="28"/>
          <w:lang w:val="en-US"/>
        </w:rPr>
        <w:t>Comedy</w:t>
      </w:r>
      <w:r>
        <w:rPr>
          <w:rFonts w:cs="Arial Unicode MS" w:eastAsia="Arial Unicode MS"/>
          <w:sz w:val="28"/>
          <w:szCs w:val="28"/>
          <w:lang w:val="en-US"/>
        </w:rPr>
        <w:t xml:space="preserve"> </w:t>
      </w:r>
      <w:r>
        <w:rPr>
          <w:rFonts w:cs="Arial Unicode MS" w:eastAsia="Arial Unicode MS"/>
          <w:i/>
          <w:iCs/>
          <w:sz w:val="28"/>
          <w:szCs w:val="28"/>
          <w:lang w:val="en-US"/>
        </w:rPr>
        <w:t>by</w:t>
      </w:r>
      <w:r>
        <w:rPr>
          <w:rFonts w:cs="Arial Unicode MS" w:eastAsia="Arial Unicode MS"/>
          <w:sz w:val="28"/>
          <w:szCs w:val="28"/>
          <w:lang w:val="en-US"/>
        </w:rPr>
        <w:t xml:space="preserve"> </w:t>
      </w:r>
      <w:r>
        <w:rPr>
          <w:rFonts w:cs="Arial Unicode MS" w:eastAsia="Arial Unicode MS"/>
          <w:i/>
          <w:iCs/>
          <w:sz w:val="28"/>
          <w:szCs w:val="28"/>
          <w:lang w:val="en-US"/>
        </w:rPr>
        <w:t>Giovanni</w:t>
      </w:r>
      <w:r>
        <w:rPr>
          <w:rFonts w:cs="Arial Unicode MS" w:eastAsia="Arial Unicode MS"/>
          <w:sz w:val="28"/>
          <w:szCs w:val="28"/>
          <w:lang w:val="en-US"/>
        </w:rPr>
        <w:t xml:space="preserve"> </w:t>
      </w:r>
      <w:r>
        <w:rPr>
          <w:rFonts w:cs="Arial Unicode MS" w:eastAsia="Arial Unicode MS"/>
          <w:i/>
          <w:iCs/>
          <w:sz w:val="28"/>
          <w:szCs w:val="28"/>
          <w:lang w:val="en-US"/>
        </w:rPr>
        <w:t>Di</w:t>
      </w:r>
      <w:r>
        <w:rPr>
          <w:rFonts w:cs="Arial Unicode MS" w:eastAsia="Arial Unicode MS"/>
          <w:sz w:val="28"/>
          <w:szCs w:val="28"/>
          <w:lang w:val="en-US"/>
        </w:rPr>
        <w:t xml:space="preserve"> </w:t>
      </w:r>
      <w:r>
        <w:rPr>
          <w:rFonts w:cs="Arial Unicode MS" w:eastAsia="Arial Unicode MS"/>
          <w:i/>
          <w:iCs/>
          <w:sz w:val="28"/>
          <w:szCs w:val="28"/>
          <w:lang w:val="en-US"/>
        </w:rPr>
        <w:t>Paolo</w:t>
      </w:r>
      <w:r>
        <w:rPr>
          <w:rFonts w:cs="Arial Unicode MS" w:eastAsia="Arial Unicode MS"/>
          <w:sz w:val="28"/>
          <w:szCs w:val="28"/>
          <w:lang w:val="en-US"/>
        </w:rPr>
        <w:t xml:space="preserve"> (Thames and Hudson, 1993)</w:t>
      </w:r>
    </w:p>
  </w:footnote>
  <w:footnote w:id="9">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Richard Townsend, Director of the Museum of Biblical Art, New York, CBS News Website, 2014, accessed 2/5/2023</w:t>
      </w:r>
    </w:p>
  </w:footnote>
  <w:footnote w:id="10">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Cronin, V.,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Florentine</w:t>
      </w:r>
      <w:r>
        <w:rPr>
          <w:rFonts w:cs="Arial Unicode MS" w:eastAsia="Arial Unicode MS"/>
          <w:sz w:val="28"/>
          <w:szCs w:val="28"/>
          <w:lang w:val="en-US"/>
        </w:rPr>
        <w:t xml:space="preserve"> </w:t>
      </w:r>
      <w:r>
        <w:rPr>
          <w:rFonts w:cs="Arial Unicode MS" w:eastAsia="Arial Unicode MS"/>
          <w:i/>
          <w:iCs/>
          <w:sz w:val="28"/>
          <w:szCs w:val="28"/>
          <w:lang w:val="en-US"/>
        </w:rPr>
        <w:t>Renaissance</w:t>
      </w:r>
      <w:r>
        <w:rPr>
          <w:rFonts w:cs="Arial Unicode MS" w:eastAsia="Arial Unicode MS"/>
          <w:sz w:val="28"/>
          <w:szCs w:val="28"/>
          <w:lang w:val="en-US"/>
        </w:rPr>
        <w:t xml:space="preserve"> (London: Pimlico, 1967, repr. 1992)</w:t>
      </w:r>
    </w:p>
  </w:footnote>
  <w:footnote w:id="11">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Pope-Hennessy, J., </w:t>
      </w:r>
      <w:r>
        <w:rPr>
          <w:rFonts w:cs="Arial Unicode MS" w:eastAsia="Arial Unicode MS"/>
          <w:i/>
          <w:iCs/>
          <w:sz w:val="28"/>
          <w:szCs w:val="28"/>
          <w:lang w:val="en-US"/>
        </w:rPr>
        <w:t>Paradiso</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Illuminations</w:t>
      </w:r>
      <w:r>
        <w:rPr>
          <w:rFonts w:cs="Arial Unicode MS" w:eastAsia="Arial Unicode MS"/>
          <w:sz w:val="28"/>
          <w:szCs w:val="28"/>
          <w:lang w:val="en-US"/>
        </w:rPr>
        <w:t xml:space="preserve"> </w:t>
      </w:r>
      <w:r>
        <w:rPr>
          <w:rFonts w:cs="Arial Unicode MS" w:eastAsia="Arial Unicode MS"/>
          <w:i/>
          <w:iCs/>
          <w:sz w:val="28"/>
          <w:szCs w:val="28"/>
          <w:lang w:val="en-US"/>
        </w:rPr>
        <w:t>to</w:t>
      </w:r>
      <w:r>
        <w:rPr>
          <w:rFonts w:cs="Arial Unicode MS" w:eastAsia="Arial Unicode MS"/>
          <w:sz w:val="28"/>
          <w:szCs w:val="28"/>
          <w:lang w:val="en-US"/>
        </w:rPr>
        <w:t xml:space="preserve"> </w:t>
      </w:r>
      <w:r>
        <w:rPr>
          <w:rFonts w:cs="Arial Unicode MS" w:eastAsia="Arial Unicode MS"/>
          <w:i/>
          <w:iCs/>
          <w:sz w:val="28"/>
          <w:szCs w:val="28"/>
          <w:lang w:val="en-US"/>
        </w:rPr>
        <w:t>Dante</w:t>
      </w:r>
      <w:r>
        <w:rPr>
          <w:rFonts w:cs="Arial Unicode MS" w:eastAsia="Arial Unicode MS" w:hint="default"/>
          <w:sz w:val="28"/>
          <w:szCs w:val="28"/>
          <w:lang w:val="en-US"/>
        </w:rPr>
        <w:t>’</w:t>
      </w:r>
      <w:r>
        <w:rPr>
          <w:rFonts w:cs="Arial Unicode MS" w:eastAsia="Arial Unicode MS"/>
          <w:i/>
          <w:iCs/>
          <w:sz w:val="28"/>
          <w:szCs w:val="28"/>
          <w:lang w:val="en-US"/>
        </w:rPr>
        <w:t>s</w:t>
      </w:r>
      <w:r>
        <w:rPr>
          <w:rFonts w:cs="Arial Unicode MS" w:eastAsia="Arial Unicode MS"/>
          <w:sz w:val="28"/>
          <w:szCs w:val="28"/>
          <w:lang w:val="en-US"/>
        </w:rPr>
        <w:t xml:space="preserve"> </w:t>
      </w:r>
      <w:r>
        <w:rPr>
          <w:rFonts w:cs="Arial Unicode MS" w:eastAsia="Arial Unicode MS"/>
          <w:i/>
          <w:iCs/>
          <w:sz w:val="28"/>
          <w:szCs w:val="28"/>
          <w:lang w:val="en-US"/>
        </w:rPr>
        <w:t>Divine</w:t>
      </w:r>
      <w:r>
        <w:rPr>
          <w:rFonts w:cs="Arial Unicode MS" w:eastAsia="Arial Unicode MS"/>
          <w:sz w:val="28"/>
          <w:szCs w:val="28"/>
          <w:lang w:val="en-US"/>
        </w:rPr>
        <w:t xml:space="preserve"> </w:t>
      </w:r>
      <w:r>
        <w:rPr>
          <w:rFonts w:cs="Arial Unicode MS" w:eastAsia="Arial Unicode MS"/>
          <w:i/>
          <w:iCs/>
          <w:sz w:val="28"/>
          <w:szCs w:val="28"/>
          <w:lang w:val="en-US"/>
        </w:rPr>
        <w:t>Comedy</w:t>
      </w:r>
      <w:r>
        <w:rPr>
          <w:rFonts w:cs="Arial Unicode MS" w:eastAsia="Arial Unicode MS"/>
          <w:sz w:val="28"/>
          <w:szCs w:val="28"/>
          <w:lang w:val="en-US"/>
        </w:rPr>
        <w:t xml:space="preserve"> </w:t>
      </w:r>
      <w:r>
        <w:rPr>
          <w:rFonts w:cs="Arial Unicode MS" w:eastAsia="Arial Unicode MS"/>
          <w:i/>
          <w:iCs/>
          <w:sz w:val="28"/>
          <w:szCs w:val="28"/>
          <w:lang w:val="en-US"/>
        </w:rPr>
        <w:t>by</w:t>
      </w:r>
      <w:r>
        <w:rPr>
          <w:rFonts w:cs="Arial Unicode MS" w:eastAsia="Arial Unicode MS"/>
          <w:sz w:val="28"/>
          <w:szCs w:val="28"/>
          <w:lang w:val="en-US"/>
        </w:rPr>
        <w:t xml:space="preserve"> </w:t>
      </w:r>
      <w:r>
        <w:rPr>
          <w:rFonts w:cs="Arial Unicode MS" w:eastAsia="Arial Unicode MS"/>
          <w:i/>
          <w:iCs/>
          <w:sz w:val="28"/>
          <w:szCs w:val="28"/>
          <w:lang w:val="en-US"/>
        </w:rPr>
        <w:t>Giovanni</w:t>
      </w:r>
      <w:r>
        <w:rPr>
          <w:rFonts w:cs="Arial Unicode MS" w:eastAsia="Arial Unicode MS"/>
          <w:sz w:val="28"/>
          <w:szCs w:val="28"/>
          <w:lang w:val="en-US"/>
        </w:rPr>
        <w:t xml:space="preserve"> </w:t>
      </w:r>
      <w:r>
        <w:rPr>
          <w:rFonts w:cs="Arial Unicode MS" w:eastAsia="Arial Unicode MS"/>
          <w:i/>
          <w:iCs/>
          <w:sz w:val="28"/>
          <w:szCs w:val="28"/>
          <w:lang w:val="en-US"/>
        </w:rPr>
        <w:t>Di</w:t>
      </w:r>
      <w:r>
        <w:rPr>
          <w:rFonts w:cs="Arial Unicode MS" w:eastAsia="Arial Unicode MS"/>
          <w:sz w:val="28"/>
          <w:szCs w:val="28"/>
          <w:lang w:val="en-US"/>
        </w:rPr>
        <w:t xml:space="preserve"> </w:t>
      </w:r>
      <w:r>
        <w:rPr>
          <w:rFonts w:cs="Arial Unicode MS" w:eastAsia="Arial Unicode MS"/>
          <w:i/>
          <w:iCs/>
          <w:sz w:val="28"/>
          <w:szCs w:val="28"/>
          <w:lang w:val="en-US"/>
        </w:rPr>
        <w:t>Paolo</w:t>
      </w:r>
      <w:r>
        <w:rPr>
          <w:rFonts w:cs="Arial Unicode MS" w:eastAsia="Arial Unicode MS"/>
          <w:sz w:val="28"/>
          <w:szCs w:val="28"/>
          <w:lang w:val="en-US"/>
        </w:rPr>
        <w:t xml:space="preserve"> (Thames and Hudson, 1993)</w:t>
      </w:r>
    </w:p>
  </w:footnote>
  <w:footnote w:id="12">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de Borchgrave, H., </w:t>
      </w:r>
      <w:r>
        <w:rPr>
          <w:rFonts w:cs="Arial Unicode MS" w:eastAsia="Arial Unicode MS"/>
          <w:i/>
          <w:iCs/>
          <w:sz w:val="28"/>
          <w:szCs w:val="28"/>
          <w:lang w:val="en-US"/>
        </w:rPr>
        <w:t>A</w:t>
      </w:r>
      <w:r>
        <w:rPr>
          <w:rFonts w:cs="Arial Unicode MS" w:eastAsia="Arial Unicode MS"/>
          <w:sz w:val="28"/>
          <w:szCs w:val="28"/>
          <w:lang w:val="en-US"/>
        </w:rPr>
        <w:t xml:space="preserve"> </w:t>
      </w:r>
      <w:r>
        <w:rPr>
          <w:rFonts w:cs="Arial Unicode MS" w:eastAsia="Arial Unicode MS"/>
          <w:i/>
          <w:iCs/>
          <w:sz w:val="28"/>
          <w:szCs w:val="28"/>
          <w:lang w:val="en-US"/>
        </w:rPr>
        <w:t>Journey</w:t>
      </w:r>
      <w:r>
        <w:rPr>
          <w:rFonts w:cs="Arial Unicode MS" w:eastAsia="Arial Unicode MS"/>
          <w:sz w:val="28"/>
          <w:szCs w:val="28"/>
          <w:lang w:val="en-US"/>
        </w:rPr>
        <w:t xml:space="preserve"> </w:t>
      </w:r>
      <w:r>
        <w:rPr>
          <w:rFonts w:cs="Arial Unicode MS" w:eastAsia="Arial Unicode MS"/>
          <w:i/>
          <w:iCs/>
          <w:sz w:val="28"/>
          <w:szCs w:val="28"/>
          <w:lang w:val="en-US"/>
        </w:rPr>
        <w:t>into</w:t>
      </w:r>
      <w:r>
        <w:rPr>
          <w:rFonts w:cs="Arial Unicode MS" w:eastAsia="Arial Unicode MS"/>
          <w:sz w:val="28"/>
          <w:szCs w:val="28"/>
          <w:lang w:val="en-US"/>
        </w:rPr>
        <w:t xml:space="preserve"> </w:t>
      </w:r>
      <w:r>
        <w:rPr>
          <w:rFonts w:cs="Arial Unicode MS" w:eastAsia="Arial Unicode MS"/>
          <w:i/>
          <w:iCs/>
          <w:sz w:val="28"/>
          <w:szCs w:val="28"/>
          <w:lang w:val="en-US"/>
        </w:rPr>
        <w:t>Christian</w:t>
      </w:r>
      <w:r>
        <w:rPr>
          <w:rFonts w:cs="Arial Unicode MS" w:eastAsia="Arial Unicode MS"/>
          <w:sz w:val="28"/>
          <w:szCs w:val="28"/>
          <w:lang w:val="en-US"/>
        </w:rPr>
        <w:t xml:space="preserve"> </w:t>
      </w:r>
      <w:r>
        <w:rPr>
          <w:rFonts w:cs="Arial Unicode MS" w:eastAsia="Arial Unicode MS"/>
          <w:i/>
          <w:iCs/>
          <w:sz w:val="28"/>
          <w:szCs w:val="28"/>
          <w:lang w:val="en-US"/>
        </w:rPr>
        <w:t>Art</w:t>
      </w:r>
      <w:r>
        <w:rPr>
          <w:rFonts w:cs="Arial Unicode MS" w:eastAsia="Arial Unicode MS"/>
          <w:sz w:val="28"/>
          <w:szCs w:val="28"/>
          <w:lang w:val="en-US"/>
        </w:rPr>
        <w:t xml:space="preserve"> (Lion, 1999)</w:t>
      </w:r>
    </w:p>
  </w:footnote>
  <w:footnote w:id="13">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Aston, M.,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Panorama</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Renaissance</w:t>
      </w:r>
      <w:r>
        <w:rPr>
          <w:rFonts w:cs="Arial Unicode MS" w:eastAsia="Arial Unicode MS"/>
          <w:sz w:val="28"/>
          <w:szCs w:val="28"/>
          <w:lang w:val="en-US"/>
        </w:rPr>
        <w:t xml:space="preserve"> (London: Thames and Hudson Ltd., 1996)</w:t>
      </w:r>
    </w:p>
  </w:footnote>
  <w:footnote w:id="14">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Hagen, R., </w:t>
      </w:r>
      <w:r>
        <w:rPr>
          <w:rFonts w:cs="Arial Unicode MS" w:eastAsia="Arial Unicode MS"/>
          <w:i/>
          <w:iCs/>
          <w:sz w:val="28"/>
          <w:szCs w:val="28"/>
          <w:lang w:val="en-US"/>
        </w:rPr>
        <w:t>15th</w:t>
      </w:r>
      <w:r>
        <w:rPr>
          <w:rFonts w:cs="Arial Unicode MS" w:eastAsia="Arial Unicode MS"/>
          <w:sz w:val="28"/>
          <w:szCs w:val="28"/>
          <w:lang w:val="en-US"/>
        </w:rPr>
        <w:t xml:space="preserve"> </w:t>
      </w:r>
      <w:r>
        <w:rPr>
          <w:rFonts w:cs="Arial Unicode MS" w:eastAsia="Arial Unicode MS"/>
          <w:i/>
          <w:iCs/>
          <w:sz w:val="28"/>
          <w:szCs w:val="28"/>
          <w:lang w:val="en-US"/>
        </w:rPr>
        <w:t>Century</w:t>
      </w:r>
      <w:r>
        <w:rPr>
          <w:rFonts w:cs="Arial Unicode MS" w:eastAsia="Arial Unicode MS"/>
          <w:sz w:val="28"/>
          <w:szCs w:val="28"/>
          <w:lang w:val="en-US"/>
        </w:rPr>
        <w:t xml:space="preserve"> </w:t>
      </w:r>
      <w:r>
        <w:rPr>
          <w:rFonts w:cs="Arial Unicode MS" w:eastAsia="Arial Unicode MS"/>
          <w:i/>
          <w:iCs/>
          <w:sz w:val="28"/>
          <w:szCs w:val="28"/>
          <w:lang w:val="en-US"/>
        </w:rPr>
        <w:t>Paintings</w:t>
      </w:r>
      <w:r>
        <w:rPr>
          <w:rFonts w:cs="Arial Unicode MS" w:eastAsia="Arial Unicode MS"/>
          <w:sz w:val="28"/>
          <w:szCs w:val="28"/>
          <w:lang w:val="en-US"/>
        </w:rPr>
        <w:t xml:space="preserve"> p.159 (Taschen, 2001)</w:t>
      </w:r>
    </w:p>
  </w:footnote>
  <w:footnote w:id="15">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Aston, M.,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Panorama</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Renaissance</w:t>
      </w:r>
      <w:r>
        <w:rPr>
          <w:rFonts w:cs="Arial Unicode MS" w:eastAsia="Arial Unicode MS"/>
          <w:sz w:val="28"/>
          <w:szCs w:val="28"/>
          <w:lang w:val="en-US"/>
        </w:rPr>
        <w:t xml:space="preserve"> (London: Thames and Hudson Ltd., 1996)</w:t>
      </w:r>
    </w:p>
  </w:footnote>
  <w:footnote w:id="16">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Alston, I., </w:t>
      </w:r>
      <w:r>
        <w:rPr>
          <w:rFonts w:cs="Arial Unicode MS" w:eastAsia="Arial Unicode MS"/>
          <w:i/>
          <w:iCs/>
          <w:sz w:val="28"/>
          <w:szCs w:val="28"/>
          <w:lang w:val="en-US"/>
        </w:rPr>
        <w:t>Botticelli</w:t>
      </w:r>
      <w:r>
        <w:rPr>
          <w:rFonts w:cs="Arial Unicode MS" w:eastAsia="Arial Unicode MS"/>
          <w:sz w:val="28"/>
          <w:szCs w:val="28"/>
          <w:lang w:val="en-US"/>
        </w:rPr>
        <w:t>, (TAJ Books, ebook, 2014) Other books may vary the dates slightly.</w:t>
      </w:r>
    </w:p>
  </w:footnote>
  <w:footnote w:id="17">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ibid</w:t>
      </w:r>
    </w:p>
  </w:footnote>
  <w:footnote w:id="18">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Charles, V., </w:t>
      </w:r>
      <w:r>
        <w:rPr>
          <w:rFonts w:cs="Arial Unicode MS" w:eastAsia="Arial Unicode MS"/>
          <w:i/>
          <w:iCs/>
          <w:sz w:val="28"/>
          <w:szCs w:val="28"/>
          <w:lang w:val="en-US"/>
        </w:rPr>
        <w:t>Renaissance</w:t>
      </w:r>
      <w:r>
        <w:rPr>
          <w:rFonts w:cs="Arial Unicode MS" w:eastAsia="Arial Unicode MS"/>
          <w:sz w:val="28"/>
          <w:szCs w:val="28"/>
          <w:lang w:val="en-US"/>
        </w:rPr>
        <w:t xml:space="preserve"> </w:t>
      </w:r>
      <w:r>
        <w:rPr>
          <w:rFonts w:cs="Arial Unicode MS" w:eastAsia="Arial Unicode MS"/>
          <w:i/>
          <w:iCs/>
          <w:sz w:val="28"/>
          <w:szCs w:val="28"/>
          <w:lang w:val="en-US"/>
        </w:rPr>
        <w:t>Paintings</w:t>
      </w:r>
      <w:r>
        <w:rPr>
          <w:rFonts w:cs="Arial Unicode MS" w:eastAsia="Arial Unicode MS"/>
          <w:sz w:val="28"/>
          <w:szCs w:val="28"/>
          <w:lang w:val="en-US"/>
        </w:rPr>
        <w:t xml:space="preserve"> (Parkstone Press, Kindle Edition)</w:t>
      </w:r>
    </w:p>
  </w:footnote>
  <w:footnote w:id="19">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Alston, I., </w:t>
      </w:r>
      <w:r>
        <w:rPr>
          <w:rFonts w:cs="Arial Unicode MS" w:eastAsia="Arial Unicode MS"/>
          <w:i/>
          <w:iCs/>
          <w:sz w:val="28"/>
          <w:szCs w:val="28"/>
          <w:lang w:val="en-US"/>
        </w:rPr>
        <w:t>Botticelli</w:t>
      </w:r>
      <w:r>
        <w:rPr>
          <w:rFonts w:cs="Arial Unicode MS" w:eastAsia="Arial Unicode MS"/>
          <w:sz w:val="28"/>
          <w:szCs w:val="28"/>
          <w:lang w:val="en-US"/>
        </w:rPr>
        <w:t>, (TAJ Books, ebook, 2014)</w:t>
      </w:r>
    </w:p>
  </w:footnote>
  <w:footnote w:id="20">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ibid</w:t>
      </w:r>
    </w:p>
  </w:footnote>
  <w:footnote w:id="21">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ibid</w:t>
      </w:r>
    </w:p>
  </w:footnote>
  <w:footnote w:id="22">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Cronin, V.,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Florentine</w:t>
      </w:r>
      <w:r>
        <w:rPr>
          <w:rFonts w:cs="Arial Unicode MS" w:eastAsia="Arial Unicode MS"/>
          <w:sz w:val="28"/>
          <w:szCs w:val="28"/>
          <w:lang w:val="en-US"/>
        </w:rPr>
        <w:t xml:space="preserve"> </w:t>
      </w:r>
      <w:r>
        <w:rPr>
          <w:rFonts w:cs="Arial Unicode MS" w:eastAsia="Arial Unicode MS"/>
          <w:i/>
          <w:iCs/>
          <w:sz w:val="28"/>
          <w:szCs w:val="28"/>
          <w:lang w:val="en-US"/>
        </w:rPr>
        <w:t>Renaissance</w:t>
      </w:r>
      <w:r>
        <w:rPr>
          <w:rFonts w:cs="Arial Unicode MS" w:eastAsia="Arial Unicode MS"/>
          <w:sz w:val="28"/>
          <w:szCs w:val="28"/>
          <w:lang w:val="en-US"/>
        </w:rPr>
        <w:t xml:space="preserve"> (London: Pimlico, 1967, repr. 1992)</w:t>
      </w:r>
    </w:p>
  </w:footnote>
  <w:footnote w:id="23">
    <w:p>
      <w:pPr>
        <w:pStyle w:val="style4100"/>
        <w:rPr/>
      </w:pPr>
      <w:r>
        <w:rPr>
          <w:vertAlign w:val="superscript"/>
        </w:rPr>
        <w:footnoteRef/>
      </w:r>
      <w:r>
        <w:rPr>
          <w:rFonts w:cs="Arial Unicode MS" w:eastAsia="Arial Unicode MS"/>
        </w:rPr>
        <w:t xml:space="preserve"> </w:t>
      </w:r>
      <w:r>
        <w:rPr>
          <w:rFonts w:cs="Arial Unicode MS" w:eastAsia="Arial Unicode MS"/>
          <w:i/>
          <w:iCs/>
          <w:sz w:val="28"/>
          <w:szCs w:val="28"/>
          <w:lang w:val="en-US"/>
        </w:rPr>
        <w:t>Masters</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Art</w:t>
      </w:r>
      <w:r>
        <w:rPr>
          <w:rFonts w:cs="Arial Unicode MS" w:eastAsia="Arial Unicode MS"/>
          <w:sz w:val="28"/>
          <w:szCs w:val="28"/>
          <w:lang w:val="en-US"/>
        </w:rPr>
        <w:t xml:space="preserve">: </w:t>
      </w:r>
      <w:r>
        <w:rPr>
          <w:rFonts w:cs="Arial Unicode MS" w:eastAsia="Arial Unicode MS"/>
          <w:i/>
          <w:iCs/>
          <w:sz w:val="28"/>
          <w:szCs w:val="28"/>
          <w:lang w:val="en-US"/>
        </w:rPr>
        <w:t>Sandro</w:t>
      </w:r>
      <w:r>
        <w:rPr>
          <w:rFonts w:cs="Arial Unicode MS" w:eastAsia="Arial Unicode MS"/>
          <w:sz w:val="28"/>
          <w:szCs w:val="28"/>
          <w:lang w:val="en-US"/>
        </w:rPr>
        <w:t xml:space="preserve"> </w:t>
      </w:r>
      <w:r>
        <w:rPr>
          <w:rFonts w:cs="Arial Unicode MS" w:eastAsia="Arial Unicode MS"/>
          <w:i/>
          <w:iCs/>
          <w:sz w:val="28"/>
          <w:szCs w:val="28"/>
          <w:lang w:val="en-US"/>
        </w:rPr>
        <w:t>Botticelli</w:t>
      </w:r>
      <w:r>
        <w:rPr>
          <w:rFonts w:cs="Arial Unicode MS" w:eastAsia="Arial Unicode MS"/>
          <w:sz w:val="28"/>
          <w:szCs w:val="28"/>
          <w:lang w:val="en-US"/>
        </w:rPr>
        <w:t xml:space="preserve"> (Delphi Classics, 2015, ebook)</w:t>
      </w:r>
    </w:p>
  </w:footnote>
  <w:footnote w:id="24">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De Borchgrave, H., </w:t>
      </w:r>
      <w:r>
        <w:rPr>
          <w:rFonts w:cs="Arial Unicode MS" w:eastAsia="Arial Unicode MS"/>
          <w:i/>
          <w:iCs/>
          <w:sz w:val="28"/>
          <w:szCs w:val="28"/>
          <w:lang w:val="en-US"/>
        </w:rPr>
        <w:t>A</w:t>
      </w:r>
      <w:r>
        <w:rPr>
          <w:rFonts w:cs="Arial Unicode MS" w:eastAsia="Arial Unicode MS"/>
          <w:sz w:val="28"/>
          <w:szCs w:val="28"/>
          <w:lang w:val="en-US"/>
        </w:rPr>
        <w:t xml:space="preserve"> </w:t>
      </w:r>
      <w:r>
        <w:rPr>
          <w:rFonts w:cs="Arial Unicode MS" w:eastAsia="Arial Unicode MS"/>
          <w:i/>
          <w:iCs/>
          <w:sz w:val="28"/>
          <w:szCs w:val="28"/>
          <w:lang w:val="en-US"/>
        </w:rPr>
        <w:t>Journey</w:t>
      </w:r>
      <w:r>
        <w:rPr>
          <w:rFonts w:cs="Arial Unicode MS" w:eastAsia="Arial Unicode MS"/>
          <w:sz w:val="28"/>
          <w:szCs w:val="28"/>
          <w:lang w:val="en-US"/>
        </w:rPr>
        <w:t xml:space="preserve"> </w:t>
      </w:r>
      <w:r>
        <w:rPr>
          <w:rFonts w:cs="Arial Unicode MS" w:eastAsia="Arial Unicode MS"/>
          <w:i/>
          <w:iCs/>
          <w:sz w:val="28"/>
          <w:szCs w:val="28"/>
          <w:lang w:val="en-US"/>
        </w:rPr>
        <w:t>into</w:t>
      </w:r>
      <w:r>
        <w:rPr>
          <w:rFonts w:cs="Arial Unicode MS" w:eastAsia="Arial Unicode MS"/>
          <w:sz w:val="28"/>
          <w:szCs w:val="28"/>
          <w:lang w:val="en-US"/>
        </w:rPr>
        <w:t xml:space="preserve"> </w:t>
      </w:r>
      <w:r>
        <w:rPr>
          <w:rFonts w:cs="Arial Unicode MS" w:eastAsia="Arial Unicode MS"/>
          <w:i/>
          <w:iCs/>
          <w:sz w:val="28"/>
          <w:szCs w:val="28"/>
          <w:lang w:val="en-US"/>
        </w:rPr>
        <w:t>Christian</w:t>
      </w:r>
      <w:r>
        <w:rPr>
          <w:rFonts w:cs="Arial Unicode MS" w:eastAsia="Arial Unicode MS"/>
          <w:sz w:val="28"/>
          <w:szCs w:val="28"/>
          <w:lang w:val="en-US"/>
        </w:rPr>
        <w:t xml:space="preserve"> </w:t>
      </w:r>
      <w:r>
        <w:rPr>
          <w:rFonts w:cs="Arial Unicode MS" w:eastAsia="Arial Unicode MS"/>
          <w:i/>
          <w:iCs/>
          <w:sz w:val="28"/>
          <w:szCs w:val="28"/>
          <w:lang w:val="en-US"/>
        </w:rPr>
        <w:t>Art</w:t>
      </w:r>
      <w:r>
        <w:rPr>
          <w:rFonts w:cs="Arial Unicode MS" w:eastAsia="Arial Unicode MS"/>
          <w:sz w:val="28"/>
          <w:szCs w:val="28"/>
          <w:lang w:val="en-US"/>
        </w:rPr>
        <w:t xml:space="preserve"> (Lion, 1999)</w:t>
      </w:r>
    </w:p>
  </w:footnote>
  <w:footnote w:id="25">
    <w:p>
      <w:pPr>
        <w:pStyle w:val="style4100"/>
        <w:rPr/>
      </w:pPr>
      <w:r>
        <w:rPr>
          <w:vertAlign w:val="superscript"/>
        </w:rPr>
        <w:footnoteRef/>
      </w:r>
      <w:r>
        <w:rPr>
          <w:rFonts w:cs="Arial Unicode MS" w:eastAsia="Arial Unicode MS"/>
        </w:rPr>
        <w:t xml:space="preserve"> </w:t>
      </w:r>
      <w:r>
        <w:rPr>
          <w:rStyle w:val="style4101"/>
        </w:rPr>
        <w:fldChar w:fldCharType="begin"/>
      </w:r>
      <w:r>
        <w:rPr>
          <w:rStyle w:val="style4101"/>
        </w:rPr>
        <w:instrText xml:space="preserve"> HYPERLINK "http://NationalGallery.org.uk"</w:instrText>
      </w:r>
      <w:r>
        <w:rPr>
          <w:rStyle w:val="style4101"/>
        </w:rPr>
        <w:fldChar w:fldCharType="separate"/>
      </w:r>
      <w:r>
        <w:rPr>
          <w:rStyle w:val="style4101"/>
          <w:rFonts w:cs="Arial Unicode MS" w:eastAsia="Arial Unicode MS"/>
          <w:lang w:val="en-US"/>
        </w:rPr>
        <w:t>NationalGallery.org.uk</w:t>
      </w:r>
      <w:r>
        <w:rPr/>
        <w:fldChar w:fldCharType="end"/>
      </w:r>
      <w:r>
        <w:rPr>
          <w:rFonts w:cs="Arial Unicode MS" w:eastAsia="Arial Unicode MS"/>
          <w:sz w:val="28"/>
          <w:szCs w:val="28"/>
          <w:lang w:val="en-US"/>
        </w:rPr>
        <w:t>, accessed 10/8/2023</w:t>
      </w:r>
    </w:p>
  </w:footnote>
  <w:footnote w:id="26">
    <w:p>
      <w:pPr>
        <w:pStyle w:val="style4100"/>
        <w:rPr/>
      </w:pPr>
      <w:r>
        <w:rPr>
          <w:vertAlign w:val="superscript"/>
        </w:rPr>
        <w:footnoteRef/>
      </w:r>
      <w:r>
        <w:rPr>
          <w:rFonts w:cs="Arial Unicode MS" w:eastAsia="Arial Unicode MS"/>
        </w:rPr>
        <w:t xml:space="preserve"> </w:t>
      </w:r>
      <w:r>
        <w:rPr>
          <w:rStyle w:val="style4101"/>
        </w:rPr>
        <w:fldChar w:fldCharType="begin"/>
      </w:r>
      <w:r>
        <w:rPr>
          <w:rStyle w:val="style4101"/>
        </w:rPr>
        <w:instrText xml:space="preserve"> HYPERLINK "http://NationalGallery.org.uk"</w:instrText>
      </w:r>
      <w:r>
        <w:rPr>
          <w:rStyle w:val="style4101"/>
        </w:rPr>
        <w:fldChar w:fldCharType="separate"/>
      </w:r>
      <w:r>
        <w:rPr>
          <w:rStyle w:val="style4101"/>
          <w:rFonts w:cs="Arial Unicode MS" w:eastAsia="Arial Unicode MS"/>
          <w:lang w:val="en-US"/>
        </w:rPr>
        <w:t>NationalGallery.org.uk</w:t>
      </w:r>
      <w:r>
        <w:rPr/>
        <w:fldChar w:fldCharType="end"/>
      </w:r>
      <w:r>
        <w:rPr>
          <w:rFonts w:cs="Arial Unicode MS" w:eastAsia="Arial Unicode MS"/>
          <w:sz w:val="28"/>
          <w:szCs w:val="28"/>
          <w:lang w:val="en-US"/>
        </w:rPr>
        <w:t xml:space="preserve"> , accessed 10/8/2023</w:t>
      </w:r>
    </w:p>
  </w:footnote>
  <w:footnote w:id="27">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De Borchgrave, H., </w:t>
      </w:r>
      <w:r>
        <w:rPr>
          <w:rFonts w:cs="Arial Unicode MS" w:eastAsia="Arial Unicode MS"/>
          <w:i/>
          <w:iCs/>
          <w:sz w:val="28"/>
          <w:szCs w:val="28"/>
          <w:lang w:val="en-US"/>
        </w:rPr>
        <w:t>A</w:t>
      </w:r>
      <w:r>
        <w:rPr>
          <w:rFonts w:cs="Arial Unicode MS" w:eastAsia="Arial Unicode MS"/>
          <w:sz w:val="28"/>
          <w:szCs w:val="28"/>
          <w:lang w:val="en-US"/>
        </w:rPr>
        <w:t xml:space="preserve"> </w:t>
      </w:r>
      <w:r>
        <w:rPr>
          <w:rFonts w:cs="Arial Unicode MS" w:eastAsia="Arial Unicode MS"/>
          <w:i/>
          <w:iCs/>
          <w:sz w:val="28"/>
          <w:szCs w:val="28"/>
          <w:lang w:val="en-US"/>
        </w:rPr>
        <w:t>Journey</w:t>
      </w:r>
      <w:r>
        <w:rPr>
          <w:rFonts w:cs="Arial Unicode MS" w:eastAsia="Arial Unicode MS"/>
          <w:sz w:val="28"/>
          <w:szCs w:val="28"/>
          <w:lang w:val="en-US"/>
        </w:rPr>
        <w:t xml:space="preserve"> </w:t>
      </w:r>
      <w:r>
        <w:rPr>
          <w:rFonts w:cs="Arial Unicode MS" w:eastAsia="Arial Unicode MS"/>
          <w:i/>
          <w:iCs/>
          <w:sz w:val="28"/>
          <w:szCs w:val="28"/>
          <w:lang w:val="en-US"/>
        </w:rPr>
        <w:t>into</w:t>
      </w:r>
      <w:r>
        <w:rPr>
          <w:rFonts w:cs="Arial Unicode MS" w:eastAsia="Arial Unicode MS"/>
          <w:sz w:val="28"/>
          <w:szCs w:val="28"/>
          <w:lang w:val="en-US"/>
        </w:rPr>
        <w:t xml:space="preserve"> </w:t>
      </w:r>
      <w:r>
        <w:rPr>
          <w:rFonts w:cs="Arial Unicode MS" w:eastAsia="Arial Unicode MS"/>
          <w:i/>
          <w:iCs/>
          <w:sz w:val="28"/>
          <w:szCs w:val="28"/>
          <w:lang w:val="en-US"/>
        </w:rPr>
        <w:t>Christian</w:t>
      </w:r>
      <w:r>
        <w:rPr>
          <w:rFonts w:cs="Arial Unicode MS" w:eastAsia="Arial Unicode MS"/>
          <w:sz w:val="28"/>
          <w:szCs w:val="28"/>
          <w:lang w:val="en-US"/>
        </w:rPr>
        <w:t xml:space="preserve"> </w:t>
      </w:r>
      <w:r>
        <w:rPr>
          <w:rFonts w:cs="Arial Unicode MS" w:eastAsia="Arial Unicode MS"/>
          <w:i/>
          <w:iCs/>
          <w:sz w:val="28"/>
          <w:szCs w:val="28"/>
          <w:lang w:val="en-US"/>
        </w:rPr>
        <w:t>Art</w:t>
      </w:r>
      <w:r>
        <w:rPr>
          <w:rFonts w:cs="Arial Unicode MS" w:eastAsia="Arial Unicode MS"/>
          <w:sz w:val="28"/>
          <w:szCs w:val="28"/>
          <w:lang w:val="en-US"/>
        </w:rPr>
        <w:t xml:space="preserve"> (Lion, 1999)</w:t>
      </w:r>
    </w:p>
  </w:footnote>
  <w:footnote w:id="28">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ibid</w:t>
      </w:r>
    </w:p>
  </w:footnote>
  <w:footnote w:id="29">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Rupert Featherstone, The Private Life of a Masterpiece, BBC TV, December 2009</w:t>
      </w:r>
    </w:p>
  </w:footnote>
  <w:footnote w:id="30">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Aston, M.,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Panorama</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Renaissance</w:t>
      </w:r>
      <w:r>
        <w:rPr>
          <w:rFonts w:cs="Arial Unicode MS" w:eastAsia="Arial Unicode MS"/>
          <w:sz w:val="28"/>
          <w:szCs w:val="28"/>
          <w:lang w:val="en-US"/>
        </w:rPr>
        <w:t xml:space="preserve"> (London: Thames and Hudson Ltd., 1996)</w:t>
      </w:r>
    </w:p>
  </w:footnote>
  <w:footnote w:id="31">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Osborne, H. Ed.,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Oxford</w:t>
      </w:r>
      <w:r>
        <w:rPr>
          <w:rFonts w:cs="Arial Unicode MS" w:eastAsia="Arial Unicode MS"/>
          <w:sz w:val="28"/>
          <w:szCs w:val="28"/>
          <w:lang w:val="en-US"/>
        </w:rPr>
        <w:t xml:space="preserve"> </w:t>
      </w:r>
      <w:r>
        <w:rPr>
          <w:rFonts w:cs="Arial Unicode MS" w:eastAsia="Arial Unicode MS"/>
          <w:i/>
          <w:iCs/>
          <w:sz w:val="28"/>
          <w:szCs w:val="28"/>
          <w:lang w:val="en-US"/>
        </w:rPr>
        <w:t>Companion</w:t>
      </w:r>
      <w:r>
        <w:rPr>
          <w:rFonts w:cs="Arial Unicode MS" w:eastAsia="Arial Unicode MS"/>
          <w:sz w:val="28"/>
          <w:szCs w:val="28"/>
          <w:lang w:val="en-US"/>
        </w:rPr>
        <w:t xml:space="preserve"> </w:t>
      </w:r>
      <w:r>
        <w:rPr>
          <w:rFonts w:cs="Arial Unicode MS" w:eastAsia="Arial Unicode MS"/>
          <w:i/>
          <w:iCs/>
          <w:sz w:val="28"/>
          <w:szCs w:val="28"/>
          <w:lang w:val="en-US"/>
        </w:rPr>
        <w:t>to</w:t>
      </w:r>
      <w:r>
        <w:rPr>
          <w:rFonts w:cs="Arial Unicode MS" w:eastAsia="Arial Unicode MS"/>
          <w:sz w:val="28"/>
          <w:szCs w:val="28"/>
          <w:lang w:val="en-US"/>
        </w:rPr>
        <w:t xml:space="preserve"> </w:t>
      </w:r>
      <w:r>
        <w:rPr>
          <w:rFonts w:cs="Arial Unicode MS" w:eastAsia="Arial Unicode MS"/>
          <w:i/>
          <w:iCs/>
          <w:sz w:val="28"/>
          <w:szCs w:val="28"/>
          <w:lang w:val="en-US"/>
        </w:rPr>
        <w:t>Art</w:t>
      </w:r>
      <w:r>
        <w:rPr>
          <w:rFonts w:cs="Arial Unicode MS" w:eastAsia="Arial Unicode MS"/>
          <w:sz w:val="28"/>
          <w:szCs w:val="28"/>
          <w:lang w:val="en-US"/>
        </w:rPr>
        <w:t xml:space="preserve"> (Oxford: Oxford University Press, 1970)</w:t>
      </w:r>
    </w:p>
  </w:footnote>
  <w:footnote w:id="32">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Chisholm, H., Ed. (1911) </w:t>
      </w:r>
      <w:r>
        <w:rPr>
          <w:rFonts w:cs="Arial Unicode MS" w:eastAsia="Arial Unicode MS" w:hint="default"/>
          <w:sz w:val="28"/>
          <w:szCs w:val="28"/>
          <w:lang w:val="en-US"/>
        </w:rPr>
        <w:t>“</w:t>
      </w:r>
      <w:r>
        <w:rPr>
          <w:rFonts w:cs="Arial Unicode MS" w:eastAsia="Arial Unicode MS"/>
          <w:sz w:val="28"/>
          <w:szCs w:val="28"/>
          <w:lang w:val="en-US"/>
        </w:rPr>
        <w:t>Tisio, Benvenuto</w:t>
      </w:r>
      <w:r>
        <w:rPr>
          <w:rFonts w:cs="Arial Unicode MS" w:eastAsia="Arial Unicode MS" w:hint="default"/>
          <w:sz w:val="28"/>
          <w:szCs w:val="28"/>
          <w:lang w:val="en-US"/>
        </w:rPr>
        <w:t>”</w:t>
      </w:r>
      <w:r>
        <w:rPr>
          <w:rFonts w:cs="Arial Unicode MS" w:eastAsia="Arial Unicode MS"/>
          <w:sz w:val="28"/>
          <w:szCs w:val="28"/>
          <w:lang w:val="en-US"/>
        </w:rPr>
        <w:t>, Encyclopaedia Britannica, Vol.26 (11th Ed.) Cambridge University Press p.1014, accessed online 5/5/2023</w:t>
      </w:r>
    </w:p>
  </w:footnote>
  <w:footnote w:id="33">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ibid</w:t>
      </w:r>
    </w:p>
  </w:footnote>
  <w:footnote w:id="34">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George J. Grinnell, Heaven and Earth Reconciled: The Common Vision of Renaissance Art and Science, Leonardo, Volume 21, Number 2, April 1988, pp. 195-199, The MIT Press.</w:t>
      </w:r>
    </w:p>
  </w:footnote>
  <w:footnote w:id="35">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Spear, Richard E., </w:t>
      </w:r>
      <w:r>
        <w:rPr>
          <w:rFonts w:cs="Arial Unicode MS" w:eastAsia="Arial Unicode MS" w:hint="default"/>
          <w:sz w:val="28"/>
          <w:szCs w:val="28"/>
          <w:lang w:val="en-US"/>
        </w:rPr>
        <w:t>“</w:t>
      </w:r>
      <w:r>
        <w:rPr>
          <w:rFonts w:cs="Arial Unicode MS" w:eastAsia="Arial Unicode MS"/>
          <w:sz w:val="28"/>
          <w:szCs w:val="28"/>
          <w:lang w:val="en-US"/>
        </w:rPr>
        <w:t>Reni, Guido</w:t>
      </w:r>
      <w:r>
        <w:rPr>
          <w:rFonts w:cs="Arial Unicode MS" w:eastAsia="Arial Unicode MS" w:hint="default"/>
          <w:sz w:val="28"/>
          <w:szCs w:val="28"/>
          <w:lang w:val="en-US"/>
        </w:rPr>
        <w:t>”</w:t>
      </w:r>
      <w:r>
        <w:rPr>
          <w:rFonts w:cs="Arial Unicode MS" w:eastAsia="Arial Unicode MS"/>
          <w:sz w:val="28"/>
          <w:szCs w:val="28"/>
          <w:lang w:val="en-US"/>
        </w:rPr>
        <w:t>, Grove Art Online, Oxford Art Online, Oxford University Press, accessed online 7/5/2023</w:t>
      </w:r>
    </w:p>
  </w:footnote>
  <w:footnote w:id="36">
    <w:p>
      <w:pPr>
        <w:pStyle w:val="style4100"/>
        <w:rPr/>
      </w:pPr>
      <w:r>
        <w:rPr>
          <w:vertAlign w:val="superscript"/>
        </w:rPr>
        <w:footnoteRef/>
      </w:r>
      <w:r>
        <w:rPr>
          <w:rFonts w:cs="Arial Unicode MS" w:eastAsia="Arial Unicode MS"/>
        </w:rPr>
        <w:t xml:space="preserve"> </w:t>
      </w:r>
      <w:r>
        <w:rPr>
          <w:rStyle w:val="style4101"/>
        </w:rPr>
        <w:fldChar w:fldCharType="begin"/>
      </w:r>
      <w:r>
        <w:rPr>
          <w:rStyle w:val="style4101"/>
        </w:rPr>
        <w:instrText xml:space="preserve"> HYPERLINK "http://NationalGallery.org.uk"</w:instrText>
      </w:r>
      <w:r>
        <w:rPr>
          <w:rStyle w:val="style4101"/>
        </w:rPr>
        <w:fldChar w:fldCharType="separate"/>
      </w:r>
      <w:r>
        <w:rPr>
          <w:rStyle w:val="style4101"/>
          <w:rFonts w:cs="Arial Unicode MS" w:eastAsia="Arial Unicode MS"/>
          <w:lang w:val="en-US"/>
        </w:rPr>
        <w:t>NationalGallery.org.uk</w:t>
      </w:r>
      <w:r>
        <w:rPr/>
        <w:fldChar w:fldCharType="end"/>
      </w:r>
      <w:r>
        <w:rPr>
          <w:rFonts w:cs="Arial Unicode MS" w:eastAsia="Arial Unicode MS"/>
          <w:sz w:val="28"/>
          <w:szCs w:val="28"/>
          <w:lang w:val="en-US"/>
        </w:rPr>
        <w:t>, accessed 10/8/2023</w:t>
      </w:r>
    </w:p>
  </w:footnote>
  <w:footnote w:id="37">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Rossetti, William Michael (1911), </w:t>
      </w:r>
      <w:r>
        <w:rPr>
          <w:rFonts w:cs="Arial Unicode MS" w:eastAsia="Arial Unicode MS" w:hint="default"/>
          <w:sz w:val="28"/>
          <w:szCs w:val="28"/>
          <w:lang w:val="en-US"/>
        </w:rPr>
        <w:t>“</w:t>
      </w:r>
      <w:r>
        <w:rPr>
          <w:rFonts w:cs="Arial Unicode MS" w:eastAsia="Arial Unicode MS"/>
          <w:sz w:val="28"/>
          <w:szCs w:val="28"/>
          <w:lang w:val="en-US"/>
        </w:rPr>
        <w:t>Guido Reni</w:t>
      </w:r>
      <w:r>
        <w:rPr>
          <w:rFonts w:cs="Arial Unicode MS" w:eastAsia="Arial Unicode MS" w:hint="default"/>
          <w:sz w:val="28"/>
          <w:szCs w:val="28"/>
          <w:lang w:val="en-US"/>
        </w:rPr>
        <w:t>”</w:t>
      </w:r>
      <w:r>
        <w:rPr>
          <w:rFonts w:cs="Arial Unicode MS" w:eastAsia="Arial Unicode MS"/>
          <w:sz w:val="28"/>
          <w:szCs w:val="28"/>
          <w:lang w:val="en-US"/>
        </w:rPr>
        <w:t>, Encyclopaedia Britannica. Vol. 12 (11th Ed.). pp. 688-689, accessed online 7/5/2023</w:t>
      </w:r>
    </w:p>
  </w:footnote>
  <w:footnote w:id="38">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ibid</w:t>
      </w:r>
    </w:p>
  </w:footnote>
  <w:footnote w:id="39">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Bolton, R., </w:t>
      </w:r>
      <w:r>
        <w:rPr>
          <w:rFonts w:cs="Arial Unicode MS" w:eastAsia="Arial Unicode MS"/>
          <w:i/>
          <w:iCs/>
          <w:sz w:val="28"/>
          <w:szCs w:val="28"/>
          <w:lang w:val="en-US"/>
        </w:rPr>
        <w:t>A</w:t>
      </w:r>
      <w:r>
        <w:rPr>
          <w:rFonts w:cs="Arial Unicode MS" w:eastAsia="Arial Unicode MS"/>
          <w:sz w:val="28"/>
          <w:szCs w:val="28"/>
          <w:lang w:val="en-US"/>
        </w:rPr>
        <w:t xml:space="preserve"> </w:t>
      </w:r>
      <w:r>
        <w:rPr>
          <w:rFonts w:cs="Arial Unicode MS" w:eastAsia="Arial Unicode MS"/>
          <w:i/>
          <w:iCs/>
          <w:sz w:val="28"/>
          <w:szCs w:val="28"/>
          <w:lang w:val="en-US"/>
        </w:rPr>
        <w:t>Brief</w:t>
      </w:r>
      <w:r>
        <w:rPr>
          <w:rFonts w:cs="Arial Unicode MS" w:eastAsia="Arial Unicode MS"/>
          <w:sz w:val="28"/>
          <w:szCs w:val="28"/>
          <w:lang w:val="en-US"/>
        </w:rPr>
        <w:t xml:space="preserve"> </w:t>
      </w:r>
      <w:r>
        <w:rPr>
          <w:rFonts w:cs="Arial Unicode MS" w:eastAsia="Arial Unicode MS"/>
          <w:i/>
          <w:iCs/>
          <w:sz w:val="28"/>
          <w:szCs w:val="28"/>
          <w:lang w:val="en-US"/>
        </w:rPr>
        <w:t>History</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Painting</w:t>
      </w:r>
      <w:r>
        <w:rPr>
          <w:rFonts w:cs="Arial Unicode MS" w:eastAsia="Arial Unicode MS"/>
          <w:sz w:val="28"/>
          <w:szCs w:val="28"/>
          <w:lang w:val="en-US"/>
        </w:rPr>
        <w:t xml:space="preserve">: </w:t>
      </w:r>
      <w:r>
        <w:rPr>
          <w:rFonts w:cs="Arial Unicode MS" w:eastAsia="Arial Unicode MS"/>
          <w:i/>
          <w:iCs/>
          <w:sz w:val="28"/>
          <w:szCs w:val="28"/>
          <w:lang w:val="en-US"/>
        </w:rPr>
        <w:t>2000</w:t>
      </w:r>
      <w:r>
        <w:rPr>
          <w:rFonts w:cs="Arial Unicode MS" w:eastAsia="Arial Unicode MS"/>
          <w:sz w:val="28"/>
          <w:szCs w:val="28"/>
          <w:lang w:val="en-US"/>
        </w:rPr>
        <w:t xml:space="preserve"> </w:t>
      </w:r>
      <w:r>
        <w:rPr>
          <w:rFonts w:cs="Arial Unicode MS" w:eastAsia="Arial Unicode MS"/>
          <w:i/>
          <w:iCs/>
          <w:sz w:val="28"/>
          <w:szCs w:val="28"/>
          <w:lang w:val="en-US"/>
        </w:rPr>
        <w:t>BC</w:t>
      </w:r>
      <w:r>
        <w:rPr>
          <w:rFonts w:cs="Arial Unicode MS" w:eastAsia="Arial Unicode MS"/>
          <w:sz w:val="28"/>
          <w:szCs w:val="28"/>
          <w:lang w:val="en-US"/>
        </w:rPr>
        <w:t xml:space="preserve"> </w:t>
      </w:r>
      <w:r>
        <w:rPr>
          <w:rFonts w:cs="Arial Unicode MS" w:eastAsia="Arial Unicode MS"/>
          <w:i/>
          <w:iCs/>
          <w:sz w:val="28"/>
          <w:szCs w:val="28"/>
          <w:lang w:val="en-US"/>
        </w:rPr>
        <w:t>to</w:t>
      </w:r>
      <w:r>
        <w:rPr>
          <w:rFonts w:cs="Arial Unicode MS" w:eastAsia="Arial Unicode MS"/>
          <w:sz w:val="28"/>
          <w:szCs w:val="28"/>
          <w:lang w:val="en-US"/>
        </w:rPr>
        <w:t xml:space="preserve"> </w:t>
      </w:r>
      <w:r>
        <w:rPr>
          <w:rFonts w:cs="Arial Unicode MS" w:eastAsia="Arial Unicode MS"/>
          <w:i/>
          <w:iCs/>
          <w:sz w:val="28"/>
          <w:szCs w:val="28"/>
          <w:lang w:val="en-US"/>
        </w:rPr>
        <w:t>AD</w:t>
      </w:r>
      <w:r>
        <w:rPr>
          <w:rFonts w:cs="Arial Unicode MS" w:eastAsia="Arial Unicode MS"/>
          <w:sz w:val="28"/>
          <w:szCs w:val="28"/>
          <w:lang w:val="en-US"/>
        </w:rPr>
        <w:t xml:space="preserve"> </w:t>
      </w:r>
      <w:r>
        <w:rPr>
          <w:rFonts w:cs="Arial Unicode MS" w:eastAsia="Arial Unicode MS"/>
          <w:i/>
          <w:iCs/>
          <w:sz w:val="28"/>
          <w:szCs w:val="28"/>
          <w:lang w:val="en-US"/>
        </w:rPr>
        <w:t>2000</w:t>
      </w:r>
      <w:r>
        <w:rPr>
          <w:rFonts w:cs="Arial Unicode MS" w:eastAsia="Arial Unicode MS"/>
          <w:sz w:val="28"/>
          <w:szCs w:val="28"/>
          <w:lang w:val="en-US"/>
        </w:rPr>
        <w:t xml:space="preserve"> (Robinson, 2004)</w:t>
      </w:r>
    </w:p>
  </w:footnote>
  <w:footnote w:id="40">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Pope-Hennessy, J., </w:t>
      </w:r>
      <w:r>
        <w:rPr>
          <w:rFonts w:cs="Arial Unicode MS" w:eastAsia="Arial Unicode MS"/>
          <w:i/>
          <w:iCs/>
          <w:sz w:val="28"/>
          <w:szCs w:val="28"/>
          <w:lang w:val="en-US"/>
        </w:rPr>
        <w:t>Paradiso</w:t>
      </w:r>
      <w:r>
        <w:rPr>
          <w:rFonts w:cs="Arial Unicode MS" w:eastAsia="Arial Unicode MS"/>
          <w:sz w:val="28"/>
          <w:szCs w:val="28"/>
          <w:lang w:val="en-US"/>
        </w:rPr>
        <w:t xml:space="preserve">: </w:t>
      </w:r>
      <w:r>
        <w:rPr>
          <w:rFonts w:cs="Arial Unicode MS" w:eastAsia="Arial Unicode MS"/>
          <w:i/>
          <w:iCs/>
          <w:sz w:val="28"/>
          <w:szCs w:val="28"/>
          <w:lang w:val="en-US"/>
        </w:rPr>
        <w:t>The</w:t>
      </w:r>
      <w:r>
        <w:rPr>
          <w:rFonts w:cs="Arial Unicode MS" w:eastAsia="Arial Unicode MS"/>
          <w:sz w:val="28"/>
          <w:szCs w:val="28"/>
          <w:lang w:val="en-US"/>
        </w:rPr>
        <w:t xml:space="preserve"> </w:t>
      </w:r>
      <w:r>
        <w:rPr>
          <w:rFonts w:cs="Arial Unicode MS" w:eastAsia="Arial Unicode MS"/>
          <w:i/>
          <w:iCs/>
          <w:sz w:val="28"/>
          <w:szCs w:val="28"/>
          <w:lang w:val="en-US"/>
        </w:rPr>
        <w:t>Illuminations</w:t>
      </w:r>
      <w:r>
        <w:rPr>
          <w:rFonts w:cs="Arial Unicode MS" w:eastAsia="Arial Unicode MS"/>
          <w:sz w:val="28"/>
          <w:szCs w:val="28"/>
          <w:lang w:val="en-US"/>
        </w:rPr>
        <w:t xml:space="preserve"> </w:t>
      </w:r>
      <w:r>
        <w:rPr>
          <w:rFonts w:cs="Arial Unicode MS" w:eastAsia="Arial Unicode MS"/>
          <w:i/>
          <w:iCs/>
          <w:sz w:val="28"/>
          <w:szCs w:val="28"/>
          <w:lang w:val="en-US"/>
        </w:rPr>
        <w:t>to</w:t>
      </w:r>
      <w:r>
        <w:rPr>
          <w:rFonts w:cs="Arial Unicode MS" w:eastAsia="Arial Unicode MS"/>
          <w:sz w:val="28"/>
          <w:szCs w:val="28"/>
          <w:lang w:val="en-US"/>
        </w:rPr>
        <w:t xml:space="preserve"> </w:t>
      </w:r>
      <w:r>
        <w:rPr>
          <w:rFonts w:cs="Arial Unicode MS" w:eastAsia="Arial Unicode MS"/>
          <w:i/>
          <w:iCs/>
          <w:sz w:val="28"/>
          <w:szCs w:val="28"/>
          <w:lang w:val="en-US"/>
        </w:rPr>
        <w:t>Dante</w:t>
      </w:r>
      <w:r>
        <w:rPr>
          <w:rFonts w:cs="Arial Unicode MS" w:eastAsia="Arial Unicode MS" w:hint="default"/>
          <w:sz w:val="28"/>
          <w:szCs w:val="28"/>
          <w:lang w:val="en-US"/>
        </w:rPr>
        <w:t>’</w:t>
      </w:r>
      <w:r>
        <w:rPr>
          <w:rFonts w:cs="Arial Unicode MS" w:eastAsia="Arial Unicode MS"/>
          <w:i/>
          <w:iCs/>
          <w:sz w:val="28"/>
          <w:szCs w:val="28"/>
          <w:lang w:val="en-US"/>
        </w:rPr>
        <w:t>s</w:t>
      </w:r>
      <w:r>
        <w:rPr>
          <w:rFonts w:cs="Arial Unicode MS" w:eastAsia="Arial Unicode MS"/>
          <w:sz w:val="28"/>
          <w:szCs w:val="28"/>
          <w:lang w:val="en-US"/>
        </w:rPr>
        <w:t xml:space="preserve"> </w:t>
      </w:r>
      <w:r>
        <w:rPr>
          <w:rFonts w:cs="Arial Unicode MS" w:eastAsia="Arial Unicode MS"/>
          <w:i/>
          <w:iCs/>
          <w:sz w:val="28"/>
          <w:szCs w:val="28"/>
          <w:lang w:val="en-US"/>
        </w:rPr>
        <w:t>Divine</w:t>
      </w:r>
      <w:r>
        <w:rPr>
          <w:rFonts w:cs="Arial Unicode MS" w:eastAsia="Arial Unicode MS"/>
          <w:sz w:val="28"/>
          <w:szCs w:val="28"/>
          <w:lang w:val="en-US"/>
        </w:rPr>
        <w:t xml:space="preserve"> </w:t>
      </w:r>
      <w:r>
        <w:rPr>
          <w:rFonts w:cs="Arial Unicode MS" w:eastAsia="Arial Unicode MS"/>
          <w:i/>
          <w:iCs/>
          <w:sz w:val="28"/>
          <w:szCs w:val="28"/>
          <w:lang w:val="en-US"/>
        </w:rPr>
        <w:t>Comedy</w:t>
      </w:r>
      <w:r>
        <w:rPr>
          <w:rFonts w:cs="Arial Unicode MS" w:eastAsia="Arial Unicode MS"/>
          <w:sz w:val="28"/>
          <w:szCs w:val="28"/>
          <w:lang w:val="en-US"/>
        </w:rPr>
        <w:t xml:space="preserve"> </w:t>
      </w:r>
      <w:r>
        <w:rPr>
          <w:rFonts w:cs="Arial Unicode MS" w:eastAsia="Arial Unicode MS"/>
          <w:i/>
          <w:iCs/>
          <w:sz w:val="28"/>
          <w:szCs w:val="28"/>
          <w:lang w:val="en-US"/>
        </w:rPr>
        <w:t>by</w:t>
      </w:r>
      <w:r>
        <w:rPr>
          <w:rFonts w:cs="Arial Unicode MS" w:eastAsia="Arial Unicode MS"/>
          <w:sz w:val="28"/>
          <w:szCs w:val="28"/>
          <w:lang w:val="en-US"/>
        </w:rPr>
        <w:t xml:space="preserve"> </w:t>
      </w:r>
      <w:r>
        <w:rPr>
          <w:rFonts w:cs="Arial Unicode MS" w:eastAsia="Arial Unicode MS"/>
          <w:i/>
          <w:iCs/>
          <w:sz w:val="28"/>
          <w:szCs w:val="28"/>
          <w:lang w:val="en-US"/>
        </w:rPr>
        <w:t>Giovanni</w:t>
      </w:r>
      <w:r>
        <w:rPr>
          <w:rFonts w:cs="Arial Unicode MS" w:eastAsia="Arial Unicode MS"/>
          <w:sz w:val="28"/>
          <w:szCs w:val="28"/>
          <w:lang w:val="en-US"/>
        </w:rPr>
        <w:t xml:space="preserve"> </w:t>
      </w:r>
      <w:r>
        <w:rPr>
          <w:rFonts w:cs="Arial Unicode MS" w:eastAsia="Arial Unicode MS"/>
          <w:i/>
          <w:iCs/>
          <w:sz w:val="28"/>
          <w:szCs w:val="28"/>
          <w:lang w:val="en-US"/>
        </w:rPr>
        <w:t>Di</w:t>
      </w:r>
      <w:r>
        <w:rPr>
          <w:rFonts w:cs="Arial Unicode MS" w:eastAsia="Arial Unicode MS"/>
          <w:sz w:val="28"/>
          <w:szCs w:val="28"/>
          <w:lang w:val="en-US"/>
        </w:rPr>
        <w:t xml:space="preserve"> </w:t>
      </w:r>
      <w:r>
        <w:rPr>
          <w:rFonts w:cs="Arial Unicode MS" w:eastAsia="Arial Unicode MS"/>
          <w:i/>
          <w:iCs/>
          <w:sz w:val="28"/>
          <w:szCs w:val="28"/>
          <w:lang w:val="en-US"/>
        </w:rPr>
        <w:t>Paolo</w:t>
      </w:r>
      <w:r>
        <w:rPr>
          <w:rFonts w:cs="Arial Unicode MS" w:eastAsia="Arial Unicode MS"/>
          <w:sz w:val="28"/>
          <w:szCs w:val="28"/>
          <w:lang w:val="en-US"/>
        </w:rPr>
        <w:t xml:space="preserve"> (Thames and Hudson, 1993)</w:t>
      </w:r>
    </w:p>
  </w:footnote>
  <w:footnote w:id="41">
    <w:p>
      <w:pPr>
        <w:pStyle w:val="style4100"/>
        <w:rPr/>
      </w:pPr>
      <w:r>
        <w:rPr>
          <w:vertAlign w:val="superscript"/>
        </w:rPr>
        <w:footnoteRef/>
      </w:r>
      <w:r>
        <w:rPr>
          <w:rFonts w:cs="Arial Unicode MS" w:eastAsia="Arial Unicode MS"/>
        </w:rPr>
        <w:t xml:space="preserve"> </w:t>
      </w:r>
      <w:r>
        <w:rPr>
          <w:rFonts w:cs="Arial Unicode MS" w:eastAsia="Arial Unicode MS"/>
          <w:sz w:val="28"/>
          <w:szCs w:val="28"/>
          <w:lang w:val="en-US"/>
        </w:rPr>
        <w:t xml:space="preserve">Berger, J., </w:t>
      </w:r>
      <w:r>
        <w:rPr>
          <w:rFonts w:cs="Arial Unicode MS" w:eastAsia="Arial Unicode MS"/>
          <w:i/>
          <w:iCs/>
          <w:sz w:val="28"/>
          <w:szCs w:val="28"/>
          <w:lang w:val="en-US"/>
        </w:rPr>
        <w:t>Ways</w:t>
      </w:r>
      <w:r>
        <w:rPr>
          <w:rFonts w:cs="Arial Unicode MS" w:eastAsia="Arial Unicode MS"/>
          <w:sz w:val="28"/>
          <w:szCs w:val="28"/>
          <w:lang w:val="en-US"/>
        </w:rPr>
        <w:t xml:space="preserve"> </w:t>
      </w:r>
      <w:r>
        <w:rPr>
          <w:rFonts w:cs="Arial Unicode MS" w:eastAsia="Arial Unicode MS"/>
          <w:i/>
          <w:iCs/>
          <w:sz w:val="28"/>
          <w:szCs w:val="28"/>
          <w:lang w:val="en-US"/>
        </w:rPr>
        <w:t>of</w:t>
      </w:r>
      <w:r>
        <w:rPr>
          <w:rFonts w:cs="Arial Unicode MS" w:eastAsia="Arial Unicode MS"/>
          <w:sz w:val="28"/>
          <w:szCs w:val="28"/>
          <w:lang w:val="en-US"/>
        </w:rPr>
        <w:t xml:space="preserve"> </w:t>
      </w:r>
      <w:r>
        <w:rPr>
          <w:rFonts w:cs="Arial Unicode MS" w:eastAsia="Arial Unicode MS"/>
          <w:i/>
          <w:iCs/>
          <w:sz w:val="28"/>
          <w:szCs w:val="28"/>
          <w:lang w:val="en-US"/>
        </w:rPr>
        <w:t>Seeing</w:t>
      </w:r>
      <w:r>
        <w:rPr>
          <w:rFonts w:cs="Arial Unicode MS" w:eastAsia="Arial Unicode MS"/>
          <w:sz w:val="28"/>
          <w:szCs w:val="28"/>
          <w:lang w:val="en-US"/>
        </w:rPr>
        <w:t xml:space="preserve"> (Penguin Books, 1972, repr. 2003)</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4098"/>
      <w:tabs>
        <w:tab w:val="clear" w:pos="9020"/>
      </w:tabs>
      <w:rPr/>
    </w:pPr>
    <w:r>
      <w:rPr>
        <w:rFonts w:ascii="Helvetica Neue" w:hAnsi="Helvetica Neue"/>
        <w:sz w:val="28"/>
        <w:szCs w:val="28"/>
      </w:rPr>
      <w:tab/>
    </w:r>
    <w:r>
      <w:rPr>
        <w:rFonts w:ascii="Helvetica Neue" w:hAnsi="Helvetica Neue"/>
        <w:sz w:val="28"/>
        <w:szCs w:val="28"/>
        <w:lang w:val="en-US"/>
      </w:rPr>
      <w:t xml:space="preserve">Catherine Hornby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view w:val="print"/>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markup="t" w:comments="t" w:insDel="t" w:formatting="f"/>
  <w:documentProtection w:edit="none" w:enforcement="0"/>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Arial Unicode MS" w:hAnsi="Times New Roman"/>
        <w:b w:val="false"/>
        <w:bCs w:val="false"/>
        <w:i w:val="false"/>
        <w:iCs w:val="false"/>
        <w:caps w:val="false"/>
        <w:smallCaps w:val="false"/>
        <w:outline w:val="false"/>
        <w:emboss w:val="false"/>
        <w:imprint w:val="false"/>
        <w:vanish w:val="false"/>
        <w:color w:val="auto"/>
        <w:spacing w:val="0"/>
        <w:w w:val="100"/>
        <w:kern w:val="0"/>
        <w:position w:val="0"/>
        <w:sz w:val="20"/>
        <w:szCs w:val="20"/>
        <w:u w:val="none" w:color="auto"/>
        <w:bdr w:val="nil"/>
        <w:vertAlign w:val="baseline"/>
      </w:rPr>
    </w:rPrDefault>
    <w:pPrDefault>
      <w:pPr>
        <w:keepNext w:val="false"/>
        <w:keepLines w:val="false"/>
        <w:pageBreakBefore w:val="false"/>
        <w:framePr w:h="0" w:hRule="exact" w:w="0" w:hSpace="0" w:vSpace="0" w:vAnchor="margin" w:xAlign="left" w:yAlign="inline" w:anchorLock="false"/>
        <w:widowControl/>
        <w:numPr>
          <w:ilvl w:val="0"/>
          <w:numId w:val="0"/>
        </w:numPr>
        <w:suppressLineNumbers w:val="false"/>
        <w:pBdr>
          <w:left w:val="nil"/>
          <w:right w:val="nil"/>
          <w:top w:val="nil"/>
          <w:bottom w:val="nil"/>
          <w:bar w:val="nil"/>
          <w:between w:val="nil"/>
        </w:pBdr>
        <w:shd w:val="clear" w:color="auto" w:fill="auto"/>
        <w:suppressAutoHyphens w:val="false"/>
        <w:spacing w:before="0" w:beforeAutospacing="false" w:after="0" w:afterAutospacing="false" w:lineRule="auto" w:line="240"/>
        <w:ind w:left="0" w:right="0" w:firstLine="0"/>
        <w:jc w:val="left"/>
        <w:outlineLvl w:val="9"/>
      </w:pPr>
    </w:pPrDefault>
  </w:docDefaults>
  <w:style w:type="paragraph" w:default="1" w:styleId="style0">
    <w:name w:val="Normal"/>
    <w:next w:val="style0"/>
    <w:pPr/>
    <w:rPr>
      <w:sz w:val="24"/>
      <w:szCs w:val="24"/>
      <w:lang w:val="en-US" w:bidi="ar-SA" w:eastAsia="en-US"/>
    </w:rPr>
  </w:style>
  <w:style w:type="character" w:default="1" w:styleId="style65">
    <w:name w:val="Default Paragraph Font"/>
    <w:next w:val="style65"/>
  </w:style>
  <w:style w:type="character" w:styleId="style85">
    <w:name w:val="Hyperlink"/>
    <w:next w:val="style85"/>
    <w:rPr>
      <w:u w:val="single"/>
    </w:rPr>
  </w:style>
  <w:style w:type="table" w:customStyle="1" w:styleId="style4097">
    <w:name w:val="Table Normal"/>
    <w:next w:val="style4097"/>
    <w:pPr/>
    <w:rPr/>
    <w:tblPr>
      <w:tblInd w:w="0" w:type="dxa"/>
    </w:tblPr>
    <w:tblStylePr w:type="firstRow">
      <w:pPr/>
      <w:tcPr>
        <w:tcBorders/>
      </w:tcPr>
    </w:tblStylePr>
    <w:tblStylePr w:type="lastRow">
      <w:pPr/>
      <w:tcPr>
        <w:tcBorders/>
      </w:tcPr>
    </w:tblStylePr>
    <w:tblStylePr w:type="band1Horz">
      <w:pPr/>
      <w:tcPr>
        <w:tcBorders/>
      </w:tcPr>
    </w:tblStylePr>
    <w:tblStylePr w:type="band2Horz">
      <w:pPr/>
      <w:tcPr>
        <w:tcBorders/>
      </w:tcPr>
    </w:tblStylePr>
    <w:tblStylePr w:type="firstCol">
      <w:pPr/>
      <w:tcPr>
        <w:tcBorders/>
      </w:tcPr>
    </w:tblStylePr>
    <w:tblStylePr w:type="lastCol">
      <w:pPr/>
      <w:tcPr>
        <w:tcBorders/>
      </w:tcPr>
    </w:tblStylePr>
    <w:tblStylePr w:type="band1Vert">
      <w:pPr/>
      <w:tcPr>
        <w:tcBorders/>
      </w:tcPr>
    </w:tblStylePr>
    <w:tblStylePr w:type="band2Vert">
      <w:pPr/>
      <w:tcPr>
        <w:tcBorders/>
      </w:tcPr>
    </w:tblStylePr>
    <w:tblStylePr w:type="neCell">
      <w:pPr/>
      <w:tcPr>
        <w:tcBorders/>
      </w:tcPr>
    </w:tblStylePr>
    <w:tblStylePr w:type="nwCell">
      <w:pPr/>
      <w:tcPr>
        <w:tcBorders/>
      </w:tcPr>
    </w:tblStylePr>
    <w:tblStylePr w:type="seCell">
      <w:pPr/>
      <w:tcPr>
        <w:tcBorders/>
      </w:tcPr>
    </w:tblStylePr>
    <w:tblStylePr w:type="swCell">
      <w:pPr/>
      <w:tcPr>
        <w:tcBorders/>
      </w:tcPr>
    </w:tblStylePr>
    <w:tcPr>
      <w:tcBorders/>
    </w:tcPr>
  </w:style>
  <w:style w:type="numbering" w:default="1" w:styleId="style107">
    <w:name w:val="No List"/>
    <w:next w:val="style107"/>
    <w:pPr/>
  </w:style>
  <w:style w:type="paragraph" w:customStyle="1" w:styleId="style4098">
    <w:name w:val="Header &amp; Footer"/>
    <w:next w:val="style4098"/>
    <w:pPr>
      <w:keepNext w:val="false"/>
      <w:keepLines w:val="false"/>
      <w:pageBreakBefore w:val="false"/>
      <w:widowControl/>
      <w:shd w:val="clear" w:color="auto" w:fill="auto"/>
      <w:tabs>
        <w:tab w:val="right" w:leader="none" w:pos="9020"/>
      </w:tabs>
      <w:suppressAutoHyphens w:val="false"/>
      <w:bidi w:val="false"/>
      <w:spacing w:before="0" w:after="0" w:lineRule="auto" w:line="240"/>
      <w:ind w:left="0" w:right="0" w:firstLine="0"/>
      <w:jc w:val="left"/>
      <w:outlineLvl w:val="9"/>
    </w:pPr>
    <w:rPr>
      <w:rFonts w:ascii="Arial Rounded MT Bold" w:cs="Arial Unicode MS" w:eastAsia="Arial Unicode MS" w:hAnsi="Arial Rounded MT Bold"/>
      <w:b w:val="false"/>
      <w:bCs w:val="false"/>
      <w:i w:val="false"/>
      <w:iCs w:val="false"/>
      <w:caps w:val="false"/>
      <w:smallCaps w:val="false"/>
      <w:outline w:val="false"/>
      <w:color w:val="000000"/>
      <w:spacing w:val="0"/>
      <w:kern w:val="0"/>
      <w:position w:val="0"/>
      <w:sz w:val="40"/>
      <w:szCs w:val="40"/>
      <w:u w:val="none" w:color="000000"/>
      <w:shd w:val="nil" w:color="auto" w:fill="auto"/>
      <w:vertAlign w:val="baseline"/>
      <w14:textOutline>
        <w14:noFill/>
      </w14:textOutline>
    </w:rPr>
  </w:style>
  <w:style w:type="paragraph" w:customStyle="1" w:styleId="style4099">
    <w:name w:val="Body A"/>
    <w:next w:val="style4099"/>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Arial Rounded MT Bold" w:cs="Arial Unicode MS" w:eastAsia="Arial Unicode MS" w:hAnsi="Arial Rounded MT Bold"/>
      <w:b w:val="false"/>
      <w:bCs w:val="false"/>
      <w:i w:val="false"/>
      <w:iCs w:val="false"/>
      <w:caps w:val="false"/>
      <w:smallCaps w:val="false"/>
      <w:outline w:val="false"/>
      <w:color w:val="000000"/>
      <w:spacing w:val="0"/>
      <w:kern w:val="0"/>
      <w:position w:val="0"/>
      <w:sz w:val="36"/>
      <w:szCs w:val="36"/>
      <w:u w:val="none" w:color="000000"/>
      <w:shd w:val="nil" w:color="auto" w:fill="auto"/>
      <w:vertAlign w:val="baseline"/>
      <w:lang w:val="en-US"/>
      <w14:textOutline>
        <w14:noFill/>
      </w14:textOutline>
    </w:rPr>
  </w:style>
  <w:style w:type="paragraph" w:customStyle="1" w:styleId="style4100">
    <w:name w:val="Footnote"/>
    <w:next w:val="style4100"/>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Arial Rounded MT Bold" w:cs="Arial Rounded MT Bold" w:eastAsia="Arial Rounded MT Bold" w:hAnsi="Arial Rounded MT Bold"/>
      <w:b w:val="false"/>
      <w:bCs w:val="false"/>
      <w:i w:val="false"/>
      <w:iCs w:val="false"/>
      <w:caps w:val="false"/>
      <w:smallCaps w:val="false"/>
      <w:outline w:val="false"/>
      <w:color w:val="000000"/>
      <w:spacing w:val="0"/>
      <w:kern w:val="0"/>
      <w:position w:val="0"/>
      <w:sz w:val="36"/>
      <w:szCs w:val="36"/>
      <w:u w:val="none" w:color="000000"/>
      <w:shd w:val="nil" w:color="auto" w:fill="auto"/>
      <w:vertAlign w:val="baseline"/>
      <w14:textOutline>
        <w14:noFill/>
      </w14:textOutline>
    </w:rPr>
  </w:style>
  <w:style w:type="character" w:customStyle="1" w:styleId="style4101">
    <w:name w:val="Hyperlink.0"/>
    <w:basedOn w:val="style85"/>
    <w:next w:val="style4101"/>
    <w:rPr>
      <w:outline w:val="false"/>
      <w:color w:val="0000ff"/>
      <w:u w:val="single" w:color="0000ff"/>
    </w:rPr>
  </w:style>
  <w:style w:type="paragraph" w:customStyle="1" w:styleId="style4102">
    <w:name w:val="&quot;Heading 3&quot;"/>
    <w:basedOn w:val="style0"/>
    <w:next w:val="style4094"/>
    <w:qFormat/>
    <w:pPr>
      <w:spacing w:before="0" w:after="0"/>
      <w:ind w:left="720" w:right="0"/>
      <w:jc w:val="both"/>
    </w:pPr>
    <w:rPr>
      <w:rFonts w:ascii="Tahoma" w:hAnsi="Tahoma"/>
      <w:b/>
      <w:sz w:val="20"/>
      <w:szCs w:val="20"/>
    </w:rPr>
  </w:style>
  <w:style w:type="paragraph" w:customStyle="1" w:styleId="style4103">
    <w:name w:val="&quot;Footer&quot;"/>
    <w:basedOn w:val="style0"/>
    <w:next w:val="style4094"/>
    <w:qFormat/>
    <w:pPr>
      <w:spacing w:after="0"/>
    </w:pPr>
    <w:rPr>
      <w:sz w:val="24"/>
      <w:szCs w:val="24"/>
    </w:rPr>
  </w:style>
  <w:style w:type="paragraph" w:styleId="style94">
    <w:name w:val="Normal (Web)"/>
    <w:basedOn w:val="style0"/>
    <w:next w:val="style4094"/>
    <w:qFormat/>
    <w:pPr>
      <w:spacing w:before="0" w:after="0"/>
      <w:ind w:left="0" w:right="0"/>
    </w:pPr>
    <w:rPr>
      <w:rFonts w:ascii="Georgia" w:hAnsi="Georgia"/>
      <w:color w:val="000000"/>
      <w:sz w:val="21"/>
      <w:szCs w:val="21"/>
    </w:rPr>
  </w:style>
</w:styles>
</file>

<file path=word/_rels/document.xml.rels><?xml version="1.0" encoding="UTF-8"?>
<Relationships xmlns="http://schemas.openxmlformats.org/package/2006/relationships"><Relationship Id="rId2" Type="http://schemas.openxmlformats.org/officeDocument/2006/relationships/image" Target="media/image1.png"/><Relationship Id="rId5" Type="http://schemas.openxmlformats.org/officeDocument/2006/relationships/footnotes" Target="footnotes.xml"/><Relationship Id="rId8" Type="http://schemas.openxmlformats.org/officeDocument/2006/relationships/settings" Target="settings.xml"/><Relationship Id="rId4" Type="http://schemas.openxmlformats.org/officeDocument/2006/relationships/footer" Target="footer2.xml"/><Relationship Id="rId3" Type="http://schemas.openxmlformats.org/officeDocument/2006/relationships/header" Target="header1.xml"/><Relationship Id="rId9" Type="http://schemas.openxmlformats.org/officeDocument/2006/relationships/theme" Target="theme/theme1.xml"/><Relationship Id="rId6" Type="http://schemas.openxmlformats.org/officeDocument/2006/relationships/styles" Target="styles.xml"/><Relationship Id="rId1" Type="http://schemas.openxmlformats.org/officeDocument/2006/relationships/numbering" Target="numbering.xml"/><Relationship Id="rId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6822</Words>
  <Characters>36242</Characters>
  <Application>WPS Office</Application>
  <Paragraphs>334</Paragraphs>
  <CharactersWithSpaces>43017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2023-08-11T07:15:16Z</dcterms:created>
  <dc:creator>WPS Office</dc:creator>
  <lastModifiedBy>KFDOWI</lastModifiedBy>
  <dcterms:modified xsi:type="dcterms:W3CDTF">2023-08-11T07:15:18Z</dcterms:modified>
</coreProperties>
</file>

<file path=docProps/custom.xml><?xml version="1.0" encoding="utf-8"?>
<Properties xmlns="http://schemas.openxmlformats.org/officeDocument/2006/custom-properties" xmlns:vt="http://schemas.openxmlformats.org/officeDocument/2006/docPropsVTypes"/>
</file>