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8A3D77" w14:textId="5BE1FAE0" w:rsidR="00AE7DCC" w:rsidRPr="00AE7DCC" w:rsidRDefault="00AE7DCC" w:rsidP="00AE7DCC">
      <w:pPr>
        <w:jc w:val="center"/>
        <w:rPr>
          <w:rFonts w:cs="Arial"/>
          <w:sz w:val="28"/>
          <w:szCs w:val="28"/>
          <w:u w:val="single"/>
        </w:rPr>
      </w:pPr>
      <w:r w:rsidRPr="00AE7DCC">
        <w:rPr>
          <w:rFonts w:eastAsia="Times New Roman" w:cs="Segoe UI"/>
          <w:color w:val="1D2125"/>
          <w:kern w:val="0"/>
          <w:sz w:val="28"/>
          <w:szCs w:val="28"/>
          <w:u w:val="single"/>
          <w:lang w:eastAsia="en-GB"/>
          <w14:ligatures w14:val="none"/>
        </w:rPr>
        <w:t>Research for learning</w:t>
      </w:r>
    </w:p>
    <w:p w14:paraId="5356F2F5" w14:textId="77777777" w:rsidR="00AE7DCC" w:rsidRDefault="00AE7DCC" w:rsidP="00AE7DCC">
      <w:pPr>
        <w:rPr>
          <w:rFonts w:ascii="Arial" w:hAnsi="Arial" w:cs="Arial"/>
          <w:u w:val="single"/>
        </w:rPr>
      </w:pPr>
    </w:p>
    <w:p w14:paraId="2C53F851" w14:textId="7864EFF8" w:rsidR="00AE7DCC" w:rsidRPr="00884595" w:rsidRDefault="00AE7DCC" w:rsidP="00AE7DCC">
      <w:pPr>
        <w:rPr>
          <w:rFonts w:ascii="Arial" w:hAnsi="Arial" w:cs="Arial"/>
        </w:rPr>
      </w:pPr>
      <w:r w:rsidRPr="00884595">
        <w:rPr>
          <w:rFonts w:ascii="Arial" w:hAnsi="Arial" w:cs="Arial"/>
          <w:u w:val="single"/>
        </w:rPr>
        <w:t xml:space="preserve">AI </w:t>
      </w:r>
      <w:r w:rsidRPr="00884595">
        <w:rPr>
          <w:rFonts w:ascii="Arial" w:hAnsi="Arial" w:cs="Arial"/>
        </w:rPr>
        <w:br/>
        <w:t xml:space="preserve">I used AI to proofread my work. </w:t>
      </w:r>
    </w:p>
    <w:p w14:paraId="32DD4135" w14:textId="77777777" w:rsidR="00AE7DCC" w:rsidRPr="00AE7DCC" w:rsidRDefault="00AE7DCC" w:rsidP="00AE7DCC">
      <w:pPr>
        <w:rPr>
          <w:rFonts w:ascii="Arial" w:hAnsi="Arial" w:cs="Arial"/>
        </w:rPr>
      </w:pPr>
    </w:p>
    <w:p w14:paraId="4AFA45FE" w14:textId="77777777" w:rsidR="00AE7DCC" w:rsidRDefault="00AE7DCC" w:rsidP="008D1657">
      <w:pPr>
        <w:jc w:val="center"/>
        <w:rPr>
          <w:rFonts w:ascii="Arial" w:hAnsi="Arial" w:cs="Arial"/>
          <w:u w:val="single"/>
        </w:rPr>
      </w:pPr>
    </w:p>
    <w:p w14:paraId="28E2E30A" w14:textId="77777777" w:rsidR="00AE7DCC" w:rsidRDefault="00AE7DCC" w:rsidP="008D1657">
      <w:pPr>
        <w:jc w:val="center"/>
        <w:rPr>
          <w:rFonts w:ascii="Arial" w:hAnsi="Arial" w:cs="Arial"/>
          <w:u w:val="single"/>
        </w:rPr>
      </w:pPr>
    </w:p>
    <w:p w14:paraId="046CBB80" w14:textId="77777777" w:rsidR="00AE7DCC" w:rsidRDefault="00AE7DCC" w:rsidP="008D1657">
      <w:pPr>
        <w:jc w:val="center"/>
        <w:rPr>
          <w:rFonts w:ascii="Arial" w:hAnsi="Arial" w:cs="Arial"/>
          <w:u w:val="single"/>
        </w:rPr>
      </w:pPr>
    </w:p>
    <w:p w14:paraId="77DF7E5E" w14:textId="77777777" w:rsidR="00AE7DCC" w:rsidRDefault="00AE7DCC" w:rsidP="008D1657">
      <w:pPr>
        <w:jc w:val="center"/>
        <w:rPr>
          <w:rFonts w:ascii="Arial" w:hAnsi="Arial" w:cs="Arial"/>
          <w:u w:val="single"/>
        </w:rPr>
      </w:pPr>
    </w:p>
    <w:p w14:paraId="159EE985" w14:textId="77777777" w:rsidR="00AE7DCC" w:rsidRDefault="00AE7DCC" w:rsidP="008D1657">
      <w:pPr>
        <w:jc w:val="center"/>
        <w:rPr>
          <w:rFonts w:ascii="Arial" w:hAnsi="Arial" w:cs="Arial"/>
          <w:u w:val="single"/>
        </w:rPr>
      </w:pPr>
    </w:p>
    <w:p w14:paraId="72453970" w14:textId="77777777" w:rsidR="00AE7DCC" w:rsidRDefault="00AE7DCC" w:rsidP="008D1657">
      <w:pPr>
        <w:jc w:val="center"/>
        <w:rPr>
          <w:rFonts w:ascii="Arial" w:hAnsi="Arial" w:cs="Arial"/>
          <w:u w:val="single"/>
        </w:rPr>
      </w:pPr>
    </w:p>
    <w:p w14:paraId="3B72C1C0" w14:textId="77777777" w:rsidR="00AE7DCC" w:rsidRDefault="00AE7DCC" w:rsidP="008D1657">
      <w:pPr>
        <w:jc w:val="center"/>
        <w:rPr>
          <w:rFonts w:ascii="Arial" w:hAnsi="Arial" w:cs="Arial"/>
          <w:u w:val="single"/>
        </w:rPr>
      </w:pPr>
    </w:p>
    <w:p w14:paraId="0AB7E6F0" w14:textId="77777777" w:rsidR="00AE7DCC" w:rsidRDefault="00AE7DCC" w:rsidP="008D1657">
      <w:pPr>
        <w:jc w:val="center"/>
        <w:rPr>
          <w:rFonts w:ascii="Arial" w:hAnsi="Arial" w:cs="Arial"/>
          <w:u w:val="single"/>
        </w:rPr>
      </w:pPr>
    </w:p>
    <w:p w14:paraId="7E16855E" w14:textId="77777777" w:rsidR="00AE7DCC" w:rsidRDefault="00AE7DCC" w:rsidP="008D1657">
      <w:pPr>
        <w:jc w:val="center"/>
        <w:rPr>
          <w:rFonts w:ascii="Arial" w:hAnsi="Arial" w:cs="Arial"/>
          <w:u w:val="single"/>
        </w:rPr>
      </w:pPr>
    </w:p>
    <w:p w14:paraId="51C77407" w14:textId="77777777" w:rsidR="00AE7DCC" w:rsidRDefault="00AE7DCC" w:rsidP="008D1657">
      <w:pPr>
        <w:jc w:val="center"/>
        <w:rPr>
          <w:rFonts w:ascii="Arial" w:hAnsi="Arial" w:cs="Arial"/>
          <w:u w:val="single"/>
        </w:rPr>
      </w:pPr>
    </w:p>
    <w:p w14:paraId="03AF2A94" w14:textId="77777777" w:rsidR="00AE7DCC" w:rsidRDefault="00AE7DCC" w:rsidP="008D1657">
      <w:pPr>
        <w:jc w:val="center"/>
        <w:rPr>
          <w:rFonts w:ascii="Arial" w:hAnsi="Arial" w:cs="Arial"/>
          <w:u w:val="single"/>
        </w:rPr>
      </w:pPr>
    </w:p>
    <w:p w14:paraId="2DA9B61D" w14:textId="77777777" w:rsidR="00AE7DCC" w:rsidRDefault="00AE7DCC" w:rsidP="008D1657">
      <w:pPr>
        <w:jc w:val="center"/>
        <w:rPr>
          <w:rFonts w:ascii="Arial" w:hAnsi="Arial" w:cs="Arial"/>
          <w:u w:val="single"/>
        </w:rPr>
      </w:pPr>
    </w:p>
    <w:p w14:paraId="6D58C510" w14:textId="77777777" w:rsidR="00AE7DCC" w:rsidRDefault="00AE7DCC" w:rsidP="008D1657">
      <w:pPr>
        <w:jc w:val="center"/>
        <w:rPr>
          <w:rFonts w:ascii="Arial" w:hAnsi="Arial" w:cs="Arial"/>
          <w:u w:val="single"/>
        </w:rPr>
      </w:pPr>
    </w:p>
    <w:p w14:paraId="14948CBE" w14:textId="77777777" w:rsidR="00AE7DCC" w:rsidRDefault="00AE7DCC" w:rsidP="008D1657">
      <w:pPr>
        <w:jc w:val="center"/>
        <w:rPr>
          <w:rFonts w:ascii="Arial" w:hAnsi="Arial" w:cs="Arial"/>
          <w:u w:val="single"/>
        </w:rPr>
      </w:pPr>
    </w:p>
    <w:p w14:paraId="5EA647A5" w14:textId="77777777" w:rsidR="00AE7DCC" w:rsidRDefault="00AE7DCC" w:rsidP="008D1657">
      <w:pPr>
        <w:jc w:val="center"/>
        <w:rPr>
          <w:rFonts w:ascii="Arial" w:hAnsi="Arial" w:cs="Arial"/>
          <w:u w:val="single"/>
        </w:rPr>
      </w:pPr>
    </w:p>
    <w:p w14:paraId="19CB0724" w14:textId="77777777" w:rsidR="00AE7DCC" w:rsidRDefault="00AE7DCC" w:rsidP="008D1657">
      <w:pPr>
        <w:jc w:val="center"/>
        <w:rPr>
          <w:rFonts w:ascii="Arial" w:hAnsi="Arial" w:cs="Arial"/>
          <w:u w:val="single"/>
        </w:rPr>
      </w:pPr>
    </w:p>
    <w:p w14:paraId="7DDE0FFF" w14:textId="77777777" w:rsidR="00AE7DCC" w:rsidRDefault="00AE7DCC" w:rsidP="008D1657">
      <w:pPr>
        <w:jc w:val="center"/>
        <w:rPr>
          <w:rFonts w:ascii="Arial" w:hAnsi="Arial" w:cs="Arial"/>
          <w:u w:val="single"/>
        </w:rPr>
      </w:pPr>
    </w:p>
    <w:p w14:paraId="0AEAFDDC" w14:textId="77777777" w:rsidR="00AE7DCC" w:rsidRDefault="00AE7DCC" w:rsidP="008D1657">
      <w:pPr>
        <w:jc w:val="center"/>
        <w:rPr>
          <w:rFonts w:ascii="Arial" w:hAnsi="Arial" w:cs="Arial"/>
          <w:u w:val="single"/>
        </w:rPr>
      </w:pPr>
    </w:p>
    <w:p w14:paraId="123F972C" w14:textId="77777777" w:rsidR="00AE7DCC" w:rsidRDefault="00AE7DCC" w:rsidP="008D1657">
      <w:pPr>
        <w:jc w:val="center"/>
        <w:rPr>
          <w:rFonts w:ascii="Arial" w:hAnsi="Arial" w:cs="Arial"/>
          <w:u w:val="single"/>
        </w:rPr>
      </w:pPr>
    </w:p>
    <w:p w14:paraId="3F5A7B24" w14:textId="77777777" w:rsidR="00AE7DCC" w:rsidRDefault="00AE7DCC" w:rsidP="008D1657">
      <w:pPr>
        <w:jc w:val="center"/>
        <w:rPr>
          <w:rFonts w:ascii="Arial" w:hAnsi="Arial" w:cs="Arial"/>
          <w:u w:val="single"/>
        </w:rPr>
      </w:pPr>
    </w:p>
    <w:p w14:paraId="75262A51" w14:textId="77777777" w:rsidR="00AE7DCC" w:rsidRDefault="00AE7DCC" w:rsidP="008D1657">
      <w:pPr>
        <w:jc w:val="center"/>
        <w:rPr>
          <w:rFonts w:ascii="Arial" w:hAnsi="Arial" w:cs="Arial"/>
          <w:u w:val="single"/>
        </w:rPr>
      </w:pPr>
    </w:p>
    <w:p w14:paraId="2BA86C4A" w14:textId="77777777" w:rsidR="00AE7DCC" w:rsidRDefault="00AE7DCC" w:rsidP="008D1657">
      <w:pPr>
        <w:jc w:val="center"/>
        <w:rPr>
          <w:rFonts w:ascii="Arial" w:hAnsi="Arial" w:cs="Arial"/>
          <w:u w:val="single"/>
        </w:rPr>
      </w:pPr>
    </w:p>
    <w:p w14:paraId="31AA7B71" w14:textId="77777777" w:rsidR="00AE7DCC" w:rsidRDefault="00AE7DCC" w:rsidP="008D1657">
      <w:pPr>
        <w:jc w:val="center"/>
        <w:rPr>
          <w:rFonts w:ascii="Arial" w:hAnsi="Arial" w:cs="Arial"/>
          <w:u w:val="single"/>
        </w:rPr>
      </w:pPr>
    </w:p>
    <w:p w14:paraId="6774B441" w14:textId="77777777" w:rsidR="00AE7DCC" w:rsidRDefault="00AE7DCC" w:rsidP="00AE7DCC">
      <w:pPr>
        <w:rPr>
          <w:rFonts w:ascii="Arial" w:hAnsi="Arial" w:cs="Arial"/>
          <w:u w:val="single"/>
        </w:rPr>
      </w:pPr>
    </w:p>
    <w:p w14:paraId="02991467" w14:textId="7F89E074" w:rsidR="008D1657" w:rsidRDefault="008D1657" w:rsidP="00AE7DCC">
      <w:pPr>
        <w:jc w:val="center"/>
        <w:rPr>
          <w:rFonts w:ascii="Arial" w:hAnsi="Arial" w:cs="Arial"/>
          <w:u w:val="single"/>
        </w:rPr>
      </w:pPr>
      <w:r>
        <w:rPr>
          <w:rFonts w:ascii="Arial" w:hAnsi="Arial" w:cs="Arial"/>
          <w:u w:val="single"/>
        </w:rPr>
        <w:lastRenderedPageBreak/>
        <w:t>Supporting learning and development in early childhood through physical play in the outdoors</w:t>
      </w:r>
    </w:p>
    <w:p w14:paraId="7F12974E" w14:textId="77777777" w:rsidR="008D1657" w:rsidRDefault="008D1657" w:rsidP="008D1657">
      <w:pPr>
        <w:spacing w:before="100" w:beforeAutospacing="1" w:after="100" w:afterAutospacing="1" w:line="240" w:lineRule="auto"/>
        <w:rPr>
          <w:rFonts w:eastAsia="Times New Roman" w:cs="Times New Roman"/>
          <w:kern w:val="0"/>
          <w:lang w:eastAsia="en-GB"/>
          <w14:ligatures w14:val="none"/>
        </w:rPr>
      </w:pPr>
      <w:r w:rsidRPr="008D1657">
        <w:rPr>
          <w:rFonts w:eastAsia="Times New Roman" w:cs="Times New Roman"/>
          <w:kern w:val="0"/>
          <w:lang w:eastAsia="en-GB"/>
          <w14:ligatures w14:val="none"/>
        </w:rPr>
        <w:t>Outdoor physical play is widely recognised as a critical contributor to children’s holistic development. Outdoor environments provide unique opportunities for children to develop gross motor skills, refine fine motor skills, and engage in exploratory learning that supports cognitive, social, and emotional growth. According to White (2019), high</w:t>
      </w:r>
      <w:r w:rsidRPr="008D1657">
        <w:rPr>
          <w:rFonts w:eastAsia="Times New Roman" w:cs="Times New Roman"/>
          <w:kern w:val="0"/>
          <w:lang w:eastAsia="en-GB"/>
          <w14:ligatures w14:val="none"/>
        </w:rPr>
        <w:noBreakHyphen/>
        <w:t>quality outdoor provision enables children to maximise their learning, development, enjoyment, health, and education. More recent research continues to emphasise the importance of outdoor play in early childhood settings, particularly in relation to physical health, wellbeing, and executive functioning (</w:t>
      </w:r>
      <w:proofErr w:type="spellStart"/>
      <w:r w:rsidRPr="008D1657">
        <w:rPr>
          <w:rFonts w:eastAsia="Times New Roman" w:cs="Times New Roman"/>
          <w:kern w:val="0"/>
          <w:lang w:eastAsia="en-GB"/>
          <w14:ligatures w14:val="none"/>
        </w:rPr>
        <w:t>Brussoni</w:t>
      </w:r>
      <w:proofErr w:type="spellEnd"/>
      <w:r w:rsidRPr="008D1657">
        <w:rPr>
          <w:rFonts w:eastAsia="Times New Roman" w:cs="Times New Roman"/>
          <w:kern w:val="0"/>
          <w:lang w:eastAsia="en-GB"/>
          <w14:ligatures w14:val="none"/>
        </w:rPr>
        <w:t xml:space="preserve"> et al., 2023; Tremblay et al., 2021).</w:t>
      </w:r>
    </w:p>
    <w:p w14:paraId="33522161" w14:textId="220A4555" w:rsidR="008D1657" w:rsidRPr="008D1657" w:rsidRDefault="008D1657" w:rsidP="008D1657">
      <w:pPr>
        <w:spacing w:before="100" w:beforeAutospacing="1" w:after="100" w:afterAutospacing="1" w:line="240" w:lineRule="auto"/>
        <w:rPr>
          <w:rFonts w:eastAsia="Times New Roman" w:cs="Times New Roman"/>
          <w:kern w:val="0"/>
          <w:lang w:eastAsia="en-GB"/>
          <w14:ligatures w14:val="none"/>
        </w:rPr>
      </w:pPr>
      <w:r w:rsidRPr="008D1657">
        <w:rPr>
          <w:rFonts w:eastAsia="Times New Roman" w:cs="Times New Roman"/>
          <w:kern w:val="0"/>
          <w:lang w:eastAsia="en-GB"/>
          <w14:ligatures w14:val="none"/>
        </w:rPr>
        <w:t>Physical play outdoors supports children’s motor development through activities such as climbing, running, balancing, and manipulating natural objects. These experiences strengthen core muscles, improve coordination, and enhance spatial awareness. Outdoor play also contributes to bone density, cardiovascular fitness, and muscular development (Early Years Alliance, 2026). Recent studies highlight that children who engage regularly in outdoor physical activity demonstrate improved physical literacy and movement competence (Cairney et al., 2022), which are essential foundations for lifelong health.</w:t>
      </w:r>
    </w:p>
    <w:p w14:paraId="70D7501D" w14:textId="77777777" w:rsidR="008D1657" w:rsidRDefault="008D1657" w:rsidP="008D1657">
      <w:pPr>
        <w:spacing w:before="100" w:beforeAutospacing="1" w:after="100" w:afterAutospacing="1" w:line="240" w:lineRule="auto"/>
        <w:rPr>
          <w:rFonts w:eastAsia="Times New Roman" w:cs="Times New Roman"/>
          <w:kern w:val="0"/>
          <w:lang w:eastAsia="en-GB"/>
          <w14:ligatures w14:val="none"/>
        </w:rPr>
      </w:pPr>
      <w:r w:rsidRPr="008D1657">
        <w:rPr>
          <w:rFonts w:eastAsia="Times New Roman" w:cs="Times New Roman"/>
          <w:kern w:val="0"/>
          <w:lang w:eastAsia="en-GB"/>
          <w14:ligatures w14:val="none"/>
        </w:rPr>
        <w:t>Beyond physical development, outdoor environments support children’s emotional wellbeing. Exposure to natural light, fresh air, and green spaces has been linked to reduced stress, improved mood, and enhanced self</w:t>
      </w:r>
      <w:r w:rsidRPr="008D1657">
        <w:rPr>
          <w:rFonts w:eastAsia="Times New Roman" w:cs="Times New Roman"/>
          <w:kern w:val="0"/>
          <w:lang w:eastAsia="en-GB"/>
          <w14:ligatures w14:val="none"/>
        </w:rPr>
        <w:noBreakHyphen/>
        <w:t>regulation (Mygind et al., 2023). Outdoor play encourages curiosity, imagination, and creativity, offering children opportunities to explore freely and develop autonomy. Practitioners play a vital role in facilitating these experiences by modelling skills, asking open</w:t>
      </w:r>
      <w:r w:rsidRPr="008D1657">
        <w:rPr>
          <w:rFonts w:eastAsia="Times New Roman" w:cs="Times New Roman"/>
          <w:kern w:val="0"/>
          <w:lang w:eastAsia="en-GB"/>
          <w14:ligatures w14:val="none"/>
        </w:rPr>
        <w:noBreakHyphen/>
        <w:t>ended questions, and extending children’s ideas without dominating their play. This balance between supervision and independence is essential for fostering confidence and resilience.</w:t>
      </w:r>
    </w:p>
    <w:p w14:paraId="7A241B1C" w14:textId="2DDBCF6A" w:rsidR="008D1657" w:rsidRDefault="008D1657" w:rsidP="008D1657">
      <w:pPr>
        <w:pStyle w:val="NormalWeb"/>
        <w:rPr>
          <w:rFonts w:asciiTheme="minorHAnsi" w:hAnsiTheme="minorHAnsi"/>
        </w:rPr>
      </w:pPr>
      <w:r w:rsidRPr="008D1657">
        <w:rPr>
          <w:rFonts w:asciiTheme="minorHAnsi" w:hAnsiTheme="minorHAnsi"/>
        </w:rPr>
        <w:t>Despite its benefits, children’s access to outdoor play has declined in recent years. Lambert et al. (2022) identify several barriers, including limited access to safe outdoor spaces, increased traffic, parental safety concerns, and rising screen time. More recent research shows that digital device use continues to displace physical activity, with children spending significantly more time indoors than previous generations (Rosen et al., 2023). Socioeconomic factors also influence access to outdoor environments, with children in deprived areas often lacking safe, green spaces (Smith et al., 2021).</w:t>
      </w:r>
      <w:r>
        <w:rPr>
          <w:rFonts w:asciiTheme="minorHAnsi" w:hAnsiTheme="minorHAnsi"/>
        </w:rPr>
        <w:t xml:space="preserve"> </w:t>
      </w:r>
      <w:r w:rsidRPr="008D1657">
        <w:rPr>
          <w:rFonts w:asciiTheme="minorHAnsi" w:hAnsiTheme="minorHAnsi"/>
        </w:rPr>
        <w:t>These barriers highlight the need for early years practitioners to advocate for equitable access to outdoor play and to design environments that are safe, stimulating, and developmentally appropriate.</w:t>
      </w:r>
    </w:p>
    <w:p w14:paraId="06BF8E7F" w14:textId="087D3EE6" w:rsidR="008D1657" w:rsidRPr="008D1657" w:rsidRDefault="008D1657" w:rsidP="008D1657">
      <w:pPr>
        <w:pStyle w:val="NormalWeb"/>
        <w:rPr>
          <w:rFonts w:asciiTheme="minorHAnsi" w:hAnsiTheme="minorHAnsi"/>
        </w:rPr>
      </w:pPr>
      <w:r w:rsidRPr="008D1657">
        <w:rPr>
          <w:rFonts w:asciiTheme="minorHAnsi" w:hAnsiTheme="minorHAnsi"/>
        </w:rPr>
        <w:t xml:space="preserve">Piaget’s </w:t>
      </w:r>
      <w:r>
        <w:rPr>
          <w:rFonts w:asciiTheme="minorHAnsi" w:hAnsiTheme="minorHAnsi"/>
        </w:rPr>
        <w:t xml:space="preserve">constructivist theory </w:t>
      </w:r>
      <w:r w:rsidRPr="008D1657">
        <w:rPr>
          <w:rFonts w:asciiTheme="minorHAnsi" w:hAnsiTheme="minorHAnsi"/>
        </w:rPr>
        <w:t xml:space="preserve">emphasises that children learn actively through exploration and interaction with their environment. Outdoor play aligns with this theory by enabling children to investigate natural materials, test ideas, solve problems, and engage in imaginative thinking. Exposure to natural environments has been linked to </w:t>
      </w:r>
      <w:r w:rsidRPr="008D1657">
        <w:rPr>
          <w:rFonts w:asciiTheme="minorHAnsi" w:hAnsiTheme="minorHAnsi"/>
        </w:rPr>
        <w:lastRenderedPageBreak/>
        <w:t>improved memory, attention span, and executive functioning (Psychology Notes HQ Editorial Staff, 2026; Mygind et al., 2023).</w:t>
      </w:r>
    </w:p>
    <w:p w14:paraId="7DCA5F8C" w14:textId="77777777" w:rsidR="008D1657" w:rsidRPr="008D1657" w:rsidRDefault="008D1657" w:rsidP="008D1657">
      <w:pPr>
        <w:pStyle w:val="NormalWeb"/>
        <w:rPr>
          <w:rFonts w:asciiTheme="minorHAnsi" w:hAnsiTheme="minorHAnsi"/>
        </w:rPr>
      </w:pPr>
      <w:r w:rsidRPr="008D1657">
        <w:rPr>
          <w:rFonts w:asciiTheme="minorHAnsi" w:hAnsiTheme="minorHAnsi"/>
        </w:rPr>
        <w:t>Vygotsky’s sociocultural theory also supports outdoor play, highlighting the importance of social interaction, collaboration, and guided participation (Vygotsky, 1978). Outdoor environments naturally encourage cooperative play, communication, and shared problem</w:t>
      </w:r>
      <w:r w:rsidRPr="008D1657">
        <w:rPr>
          <w:rFonts w:asciiTheme="minorHAnsi" w:hAnsiTheme="minorHAnsi"/>
        </w:rPr>
        <w:noBreakHyphen/>
        <w:t>solving.</w:t>
      </w:r>
    </w:p>
    <w:p w14:paraId="57C06DA7" w14:textId="77777777" w:rsidR="008D1657" w:rsidRDefault="008D1657" w:rsidP="008D1657">
      <w:pPr>
        <w:pStyle w:val="NormalWeb"/>
        <w:rPr>
          <w:rFonts w:asciiTheme="minorHAnsi" w:hAnsiTheme="minorHAnsi"/>
        </w:rPr>
      </w:pPr>
      <w:r w:rsidRPr="008D1657">
        <w:rPr>
          <w:rFonts w:asciiTheme="minorHAnsi" w:hAnsiTheme="minorHAnsi"/>
        </w:rPr>
        <w:t xml:space="preserve">Unstructured outdoor play is particularly valuable. Little and </w:t>
      </w:r>
      <w:proofErr w:type="spellStart"/>
      <w:r w:rsidRPr="008D1657">
        <w:rPr>
          <w:rFonts w:asciiTheme="minorHAnsi" w:hAnsiTheme="minorHAnsi"/>
        </w:rPr>
        <w:t>Wyver</w:t>
      </w:r>
      <w:proofErr w:type="spellEnd"/>
      <w:r w:rsidRPr="008D1657">
        <w:rPr>
          <w:rFonts w:asciiTheme="minorHAnsi" w:hAnsiTheme="minorHAnsi"/>
        </w:rPr>
        <w:t xml:space="preserve"> (2008) argue that risk</w:t>
      </w:r>
      <w:r w:rsidRPr="008D1657">
        <w:rPr>
          <w:rFonts w:asciiTheme="minorHAnsi" w:hAnsiTheme="minorHAnsi"/>
        </w:rPr>
        <w:noBreakHyphen/>
        <w:t>taking supports intellectual growth, resilience, and self</w:t>
      </w:r>
      <w:r w:rsidRPr="008D1657">
        <w:rPr>
          <w:rFonts w:asciiTheme="minorHAnsi" w:hAnsiTheme="minorHAnsi"/>
        </w:rPr>
        <w:noBreakHyphen/>
        <w:t>confidence. More recent studies confirm that manageable risk in play helps children develop risk</w:t>
      </w:r>
      <w:r w:rsidRPr="008D1657">
        <w:rPr>
          <w:rFonts w:asciiTheme="minorHAnsi" w:hAnsiTheme="minorHAnsi"/>
        </w:rPr>
        <w:noBreakHyphen/>
        <w:t>assessment skills, independence, and emotional regulation (</w:t>
      </w:r>
      <w:proofErr w:type="spellStart"/>
      <w:r w:rsidRPr="008D1657">
        <w:rPr>
          <w:rFonts w:asciiTheme="minorHAnsi" w:hAnsiTheme="minorHAnsi"/>
        </w:rPr>
        <w:t>Brussoni</w:t>
      </w:r>
      <w:proofErr w:type="spellEnd"/>
      <w:r w:rsidRPr="008D1657">
        <w:rPr>
          <w:rFonts w:asciiTheme="minorHAnsi" w:hAnsiTheme="minorHAnsi"/>
        </w:rPr>
        <w:t xml:space="preserve"> et al., 2020).</w:t>
      </w:r>
    </w:p>
    <w:p w14:paraId="036DF48A" w14:textId="11081EDD" w:rsidR="008D1657" w:rsidRDefault="008D1657" w:rsidP="008D1657">
      <w:pPr>
        <w:pStyle w:val="NormalWeb"/>
        <w:rPr>
          <w:rFonts w:asciiTheme="minorHAnsi" w:hAnsiTheme="minorHAnsi"/>
        </w:rPr>
      </w:pPr>
      <w:r w:rsidRPr="008D1657">
        <w:rPr>
          <w:rFonts w:asciiTheme="minorHAnsi" w:hAnsiTheme="minorHAnsi"/>
        </w:rPr>
        <w:t>Outdoor environments support</w:t>
      </w:r>
      <w:r>
        <w:rPr>
          <w:rFonts w:asciiTheme="minorHAnsi" w:hAnsiTheme="minorHAnsi"/>
        </w:rPr>
        <w:t xml:space="preserve"> experiential learning</w:t>
      </w:r>
      <w:r w:rsidRPr="008D1657">
        <w:rPr>
          <w:rFonts w:asciiTheme="minorHAnsi" w:hAnsiTheme="minorHAnsi"/>
        </w:rPr>
        <w:t xml:space="preserve"> by providing hands</w:t>
      </w:r>
      <w:r w:rsidRPr="008D1657">
        <w:rPr>
          <w:rFonts w:asciiTheme="minorHAnsi" w:hAnsiTheme="minorHAnsi"/>
        </w:rPr>
        <w:noBreakHyphen/>
        <w:t>on opportunities that strengthen early science, mathematics, communication, and problem</w:t>
      </w:r>
      <w:r w:rsidRPr="008D1657">
        <w:rPr>
          <w:rFonts w:asciiTheme="minorHAnsi" w:hAnsiTheme="minorHAnsi"/>
        </w:rPr>
        <w:noBreakHyphen/>
        <w:t xml:space="preserve">solving skills. Activities such as den building, gardening, water play, and wildlife exploration encourage children to observe, experiment, and make connections. These experiences align with early years </w:t>
      </w:r>
      <w:r w:rsidR="00FA03DB" w:rsidRPr="008D1657">
        <w:rPr>
          <w:rFonts w:asciiTheme="minorHAnsi" w:hAnsiTheme="minorHAnsi"/>
        </w:rPr>
        <w:t>curriculu</w:t>
      </w:r>
      <w:r w:rsidR="00FA03DB">
        <w:rPr>
          <w:rFonts w:asciiTheme="minorHAnsi" w:hAnsiTheme="minorHAnsi"/>
        </w:rPr>
        <w:t>m</w:t>
      </w:r>
      <w:r w:rsidRPr="008D1657">
        <w:rPr>
          <w:rFonts w:asciiTheme="minorHAnsi" w:hAnsiTheme="minorHAnsi"/>
        </w:rPr>
        <w:t xml:space="preserve"> that emphasise active learning, exploration, and play</w:t>
      </w:r>
      <w:r w:rsidRPr="008D1657">
        <w:rPr>
          <w:rFonts w:asciiTheme="minorHAnsi" w:hAnsiTheme="minorHAnsi"/>
        </w:rPr>
        <w:noBreakHyphen/>
        <w:t>based education (DfE, 2023).</w:t>
      </w:r>
      <w:r>
        <w:rPr>
          <w:rFonts w:asciiTheme="minorHAnsi" w:hAnsiTheme="minorHAnsi"/>
        </w:rPr>
        <w:t xml:space="preserve"> </w:t>
      </w:r>
      <w:r w:rsidRPr="008D1657">
        <w:rPr>
          <w:rFonts w:asciiTheme="minorHAnsi" w:hAnsiTheme="minorHAnsi"/>
        </w:rPr>
        <w:t>Recent research shows that outdoor experiential learning enhances children’s engagement, motivation, and concentration (Waite et al., 2021). Natural environments also promote sensory development, which is essential for cognitive processing and self</w:t>
      </w:r>
      <w:r w:rsidRPr="008D1657">
        <w:rPr>
          <w:rFonts w:asciiTheme="minorHAnsi" w:hAnsiTheme="minorHAnsi"/>
        </w:rPr>
        <w:noBreakHyphen/>
        <w:t>regulation.</w:t>
      </w:r>
    </w:p>
    <w:p w14:paraId="087438D7" w14:textId="0259F4F6" w:rsidR="00FA03DB" w:rsidRDefault="00FA03DB" w:rsidP="008D1657">
      <w:pPr>
        <w:pStyle w:val="NormalWeb"/>
        <w:rPr>
          <w:rFonts w:asciiTheme="minorHAnsi" w:hAnsiTheme="minorHAnsi"/>
        </w:rPr>
      </w:pPr>
      <w:r w:rsidRPr="00FA03DB">
        <w:rPr>
          <w:rFonts w:asciiTheme="minorHAnsi" w:hAnsiTheme="minorHAnsi"/>
        </w:rPr>
        <w:t>Choosing an appropriate research design is essential when investigating outdoor physical play in early childhood, as children’s behaviours are dynamic, context</w:t>
      </w:r>
      <w:r w:rsidRPr="00FA03DB">
        <w:rPr>
          <w:rFonts w:asciiTheme="minorHAnsi" w:hAnsiTheme="minorHAnsi"/>
        </w:rPr>
        <w:noBreakHyphen/>
        <w:t>dependent, and influenced by multiple environmental, social, and developmental factors. A robust research design ensures that findings are reliable, valid, and reflective of real</w:t>
      </w:r>
      <w:r w:rsidRPr="00FA03DB">
        <w:rPr>
          <w:rFonts w:asciiTheme="minorHAnsi" w:hAnsiTheme="minorHAnsi"/>
        </w:rPr>
        <w:noBreakHyphen/>
        <w:t>world practice. In early childhood research, three major designs are commonly used</w:t>
      </w:r>
      <w:r w:rsidRPr="00FA03DB">
        <w:rPr>
          <w:rFonts w:asciiTheme="minorHAnsi" w:hAnsiTheme="minorHAnsi"/>
        </w:rPr>
        <w:t xml:space="preserve">, qualitative, quantitative and mixed methods, </w:t>
      </w:r>
      <w:r w:rsidRPr="00FA03DB">
        <w:rPr>
          <w:rFonts w:asciiTheme="minorHAnsi" w:hAnsiTheme="minorHAnsi"/>
        </w:rPr>
        <w:t>each offering distinct advantages depending on the research aims.</w:t>
      </w:r>
    </w:p>
    <w:p w14:paraId="27EF9F2C" w14:textId="24F813BB" w:rsidR="00FA03DB" w:rsidRPr="00FA03DB" w:rsidRDefault="00FA03DB" w:rsidP="00FA03DB">
      <w:pPr>
        <w:pStyle w:val="NormalWeb"/>
        <w:rPr>
          <w:rFonts w:asciiTheme="minorHAnsi" w:hAnsiTheme="minorHAnsi"/>
        </w:rPr>
      </w:pPr>
      <w:r w:rsidRPr="00FA03DB">
        <w:rPr>
          <w:rFonts w:asciiTheme="minorHAnsi" w:hAnsiTheme="minorHAnsi"/>
        </w:rPr>
        <w:t xml:space="preserve">Qualitative research focuses on understanding </w:t>
      </w:r>
      <w:proofErr w:type="gramStart"/>
      <w:r w:rsidRPr="00FA03DB">
        <w:rPr>
          <w:rFonts w:asciiTheme="minorHAnsi" w:hAnsiTheme="minorHAnsi"/>
        </w:rPr>
        <w:t>children’s</w:t>
      </w:r>
      <w:proofErr w:type="gramEnd"/>
      <w:r w:rsidRPr="00FA03DB">
        <w:rPr>
          <w:rFonts w:asciiTheme="minorHAnsi" w:hAnsiTheme="minorHAnsi"/>
        </w:rPr>
        <w:t xml:space="preserve"> lived experiences, interactions, motivations, and emotional responses during outdoor play. It is particularly valuable when exploring </w:t>
      </w:r>
      <w:r>
        <w:rPr>
          <w:rStyle w:val="Emphasis"/>
          <w:rFonts w:asciiTheme="minorHAnsi" w:hAnsiTheme="minorHAnsi"/>
          <w:i w:val="0"/>
          <w:iCs w:val="0"/>
        </w:rPr>
        <w:t xml:space="preserve">how and why </w:t>
      </w:r>
      <w:r w:rsidRPr="00FA03DB">
        <w:rPr>
          <w:rFonts w:asciiTheme="minorHAnsi" w:hAnsiTheme="minorHAnsi"/>
        </w:rPr>
        <w:t>children engage in certain behaviours. This approach uses non</w:t>
      </w:r>
      <w:r w:rsidRPr="00FA03DB">
        <w:rPr>
          <w:rFonts w:asciiTheme="minorHAnsi" w:hAnsiTheme="minorHAnsi"/>
        </w:rPr>
        <w:noBreakHyphen/>
        <w:t>numerical data such as observations, photographs, field notes, interviews, and video recordings.</w:t>
      </w:r>
    </w:p>
    <w:p w14:paraId="2EBA3221" w14:textId="3A7D184C" w:rsidR="00FA03DB" w:rsidRPr="00FA03DB" w:rsidRDefault="00FA03DB" w:rsidP="00FA03DB">
      <w:pPr>
        <w:pStyle w:val="NormalWeb"/>
        <w:rPr>
          <w:rFonts w:asciiTheme="minorHAnsi" w:hAnsiTheme="minorHAnsi"/>
        </w:rPr>
      </w:pPr>
      <w:r w:rsidRPr="00FA03DB">
        <w:rPr>
          <w:rFonts w:asciiTheme="minorHAnsi" w:hAnsiTheme="minorHAnsi"/>
        </w:rPr>
        <w:t xml:space="preserve">Qualitative designs are well suited to early childhood contexts because young children often communicate through actions rather than words. Methods such as </w:t>
      </w:r>
      <w:r w:rsidRPr="00FA03DB">
        <w:rPr>
          <w:rStyle w:val="Strong"/>
          <w:rFonts w:asciiTheme="minorHAnsi" w:hAnsiTheme="minorHAnsi"/>
          <w:b w:val="0"/>
          <w:bCs w:val="0"/>
        </w:rPr>
        <w:t>naturalistic observatio</w:t>
      </w:r>
      <w:r>
        <w:rPr>
          <w:rStyle w:val="Strong"/>
          <w:rFonts w:asciiTheme="minorHAnsi" w:hAnsiTheme="minorHAnsi"/>
          <w:b w:val="0"/>
          <w:bCs w:val="0"/>
        </w:rPr>
        <w:t xml:space="preserve">n, </w:t>
      </w:r>
      <w:r w:rsidRPr="00FA03DB">
        <w:rPr>
          <w:rStyle w:val="Strong"/>
          <w:rFonts w:asciiTheme="minorHAnsi" w:hAnsiTheme="minorHAnsi"/>
          <w:b w:val="0"/>
          <w:bCs w:val="0"/>
        </w:rPr>
        <w:t>participatory drawing</w:t>
      </w:r>
      <w:r>
        <w:rPr>
          <w:rFonts w:asciiTheme="minorHAnsi" w:hAnsiTheme="minorHAnsi"/>
        </w:rPr>
        <w:t xml:space="preserve"> and </w:t>
      </w:r>
      <w:r w:rsidRPr="00FA03DB">
        <w:rPr>
          <w:rStyle w:val="Strong"/>
          <w:rFonts w:asciiTheme="minorHAnsi" w:hAnsiTheme="minorHAnsi"/>
          <w:b w:val="0"/>
          <w:bCs w:val="0"/>
        </w:rPr>
        <w:t>child</w:t>
      </w:r>
      <w:r w:rsidRPr="00FA03DB">
        <w:rPr>
          <w:rStyle w:val="Strong"/>
          <w:rFonts w:asciiTheme="minorHAnsi" w:hAnsiTheme="minorHAnsi"/>
          <w:b w:val="0"/>
          <w:bCs w:val="0"/>
        </w:rPr>
        <w:noBreakHyphen/>
        <w:t>led conversations</w:t>
      </w:r>
      <w:r w:rsidRPr="00FA03DB">
        <w:rPr>
          <w:rFonts w:asciiTheme="minorHAnsi" w:hAnsiTheme="minorHAnsi"/>
        </w:rPr>
        <w:t xml:space="preserve"> allow researchers to capture rich, contextual insights into children’s thinking and social interactions (Hassan, 2024; </w:t>
      </w:r>
      <w:proofErr w:type="spellStart"/>
      <w:r w:rsidRPr="00FA03DB">
        <w:rPr>
          <w:rFonts w:asciiTheme="minorHAnsi" w:hAnsiTheme="minorHAnsi"/>
        </w:rPr>
        <w:t>Flewitt</w:t>
      </w:r>
      <w:proofErr w:type="spellEnd"/>
      <w:r w:rsidRPr="00FA03DB">
        <w:rPr>
          <w:rFonts w:asciiTheme="minorHAnsi" w:hAnsiTheme="minorHAnsi"/>
        </w:rPr>
        <w:t xml:space="preserve"> &amp; Clark, 2020).</w:t>
      </w:r>
    </w:p>
    <w:p w14:paraId="3821D8FB" w14:textId="77777777" w:rsidR="00FA03DB" w:rsidRDefault="00FA03DB" w:rsidP="00FA03DB">
      <w:pPr>
        <w:pStyle w:val="NormalWeb"/>
        <w:rPr>
          <w:rFonts w:asciiTheme="minorHAnsi" w:hAnsiTheme="minorHAnsi"/>
        </w:rPr>
      </w:pPr>
      <w:r w:rsidRPr="00FA03DB">
        <w:rPr>
          <w:rFonts w:asciiTheme="minorHAnsi" w:hAnsiTheme="minorHAnsi"/>
        </w:rPr>
        <w:t>Recent studies emphasise that qualitative approaches help uncover children’s perspectives on risk, autonomy, and enjoyment in outdoor environments (</w:t>
      </w:r>
      <w:proofErr w:type="spellStart"/>
      <w:r w:rsidRPr="00FA03DB">
        <w:rPr>
          <w:rFonts w:asciiTheme="minorHAnsi" w:hAnsiTheme="minorHAnsi"/>
        </w:rPr>
        <w:t>Brussoni</w:t>
      </w:r>
      <w:proofErr w:type="spellEnd"/>
      <w:r w:rsidRPr="00FA03DB">
        <w:rPr>
          <w:rFonts w:asciiTheme="minorHAnsi" w:hAnsiTheme="minorHAnsi"/>
        </w:rPr>
        <w:t xml:space="preserve"> et al., 2020). They also support an ecological understanding of play by examining how space, materials, and adult involvement shape children’s engagement.</w:t>
      </w:r>
    </w:p>
    <w:p w14:paraId="6EA46E27" w14:textId="77777777" w:rsidR="00DB00AE" w:rsidRPr="00DB00AE" w:rsidRDefault="00DB00AE" w:rsidP="00DB00AE">
      <w:pPr>
        <w:pStyle w:val="NormalWeb"/>
        <w:rPr>
          <w:rFonts w:asciiTheme="minorHAnsi" w:hAnsiTheme="minorHAnsi"/>
        </w:rPr>
      </w:pPr>
      <w:r w:rsidRPr="00DB00AE">
        <w:rPr>
          <w:rFonts w:asciiTheme="minorHAnsi" w:hAnsiTheme="minorHAnsi"/>
        </w:rPr>
        <w:lastRenderedPageBreak/>
        <w:t>Quantitative research involves collecting numerical data to measure physical activity levels, motor development, behavioural patterns, or environmental influences. This approach is useful when the aim is to identify trends, compare groups, or make predictions.</w:t>
      </w:r>
    </w:p>
    <w:p w14:paraId="00E12121" w14:textId="4AD16667" w:rsidR="00DB00AE" w:rsidRPr="00DB00AE" w:rsidRDefault="00DB00AE" w:rsidP="00DB00AE">
      <w:pPr>
        <w:pStyle w:val="NormalWeb"/>
        <w:rPr>
          <w:rFonts w:asciiTheme="minorHAnsi" w:hAnsiTheme="minorHAnsi"/>
        </w:rPr>
      </w:pPr>
      <w:r w:rsidRPr="00DB00AE">
        <w:rPr>
          <w:rFonts w:asciiTheme="minorHAnsi" w:hAnsiTheme="minorHAnsi"/>
        </w:rPr>
        <w:t>Common quantitative tools include</w:t>
      </w:r>
      <w:r>
        <w:rPr>
          <w:rFonts w:asciiTheme="minorHAnsi" w:hAnsiTheme="minorHAnsi"/>
        </w:rPr>
        <w:t xml:space="preserve">, </w:t>
      </w:r>
      <w:r>
        <w:rPr>
          <w:rStyle w:val="Strong"/>
          <w:rFonts w:asciiTheme="minorHAnsi" w:hAnsiTheme="minorHAnsi"/>
          <w:b w:val="0"/>
          <w:bCs w:val="0"/>
        </w:rPr>
        <w:t xml:space="preserve">structured observations </w:t>
      </w:r>
      <w:r w:rsidRPr="00DB00AE">
        <w:rPr>
          <w:rFonts w:asciiTheme="minorHAnsi" w:hAnsiTheme="minorHAnsi"/>
        </w:rPr>
        <w:t>using coding systems</w:t>
      </w:r>
      <w:r>
        <w:rPr>
          <w:rFonts w:asciiTheme="minorHAnsi" w:hAnsiTheme="minorHAnsi"/>
        </w:rPr>
        <w:t xml:space="preserve">, accelerometers or pedometers </w:t>
      </w:r>
      <w:r w:rsidRPr="00DB00AE">
        <w:rPr>
          <w:rFonts w:asciiTheme="minorHAnsi" w:hAnsiTheme="minorHAnsi"/>
        </w:rPr>
        <w:t>to measure movement intensity</w:t>
      </w:r>
      <w:r>
        <w:rPr>
          <w:rFonts w:asciiTheme="minorHAnsi" w:hAnsiTheme="minorHAnsi"/>
        </w:rPr>
        <w:t xml:space="preserve">, standardised motor-skill assessments, and questionnaires or rating scales </w:t>
      </w:r>
      <w:r w:rsidRPr="00DB00AE">
        <w:rPr>
          <w:rFonts w:asciiTheme="minorHAnsi" w:hAnsiTheme="minorHAnsi"/>
        </w:rPr>
        <w:t>completed by children or practitioners</w:t>
      </w:r>
    </w:p>
    <w:p w14:paraId="57C08DEF" w14:textId="77777777" w:rsidR="00DB00AE" w:rsidRPr="00DB00AE" w:rsidRDefault="00DB00AE" w:rsidP="00DB00AE">
      <w:pPr>
        <w:pStyle w:val="NormalWeb"/>
        <w:rPr>
          <w:rFonts w:asciiTheme="minorHAnsi" w:hAnsiTheme="minorHAnsi"/>
        </w:rPr>
      </w:pPr>
      <w:r w:rsidRPr="00DB00AE">
        <w:rPr>
          <w:rFonts w:asciiTheme="minorHAnsi" w:hAnsiTheme="minorHAnsi"/>
        </w:rPr>
        <w:t>Quantitative designs are increasingly used in outdoor play research due to advancements in digital tracking technologies. For example, accelerometer</w:t>
      </w:r>
      <w:r w:rsidRPr="00DB00AE">
        <w:rPr>
          <w:rFonts w:asciiTheme="minorHAnsi" w:hAnsiTheme="minorHAnsi"/>
        </w:rPr>
        <w:noBreakHyphen/>
        <w:t>based studies have shown that outdoor environments significantly increase children’s moderate</w:t>
      </w:r>
      <w:r w:rsidRPr="00DB00AE">
        <w:rPr>
          <w:rFonts w:asciiTheme="minorHAnsi" w:hAnsiTheme="minorHAnsi"/>
        </w:rPr>
        <w:noBreakHyphen/>
        <w:t>to</w:t>
      </w:r>
      <w:r w:rsidRPr="00DB00AE">
        <w:rPr>
          <w:rFonts w:asciiTheme="minorHAnsi" w:hAnsiTheme="minorHAnsi"/>
        </w:rPr>
        <w:noBreakHyphen/>
        <w:t>vigorous physical activity (Tremblay et al., 2021; Gray et al., 2022). These methods allow researchers to produce objective, replicable data that can inform policy and practice.</w:t>
      </w:r>
    </w:p>
    <w:p w14:paraId="1111E458" w14:textId="77777777" w:rsidR="00DB00AE" w:rsidRDefault="00DB00AE" w:rsidP="00DB00AE">
      <w:pPr>
        <w:pStyle w:val="NormalWeb"/>
        <w:rPr>
          <w:rFonts w:asciiTheme="minorHAnsi" w:hAnsiTheme="minorHAnsi"/>
        </w:rPr>
      </w:pPr>
      <w:r w:rsidRPr="00DB00AE">
        <w:rPr>
          <w:rFonts w:asciiTheme="minorHAnsi" w:hAnsiTheme="minorHAnsi"/>
        </w:rPr>
        <w:t>However, quantitative designs may overlook the emotional, social, and imaginative aspects of outdoor play, which is why they are often complemented by qualitative methods.</w:t>
      </w:r>
    </w:p>
    <w:p w14:paraId="7BEBB1BC" w14:textId="24753D85" w:rsidR="00DB00AE" w:rsidRPr="00DB00AE" w:rsidRDefault="00DB00AE" w:rsidP="00DB00AE">
      <w:pPr>
        <w:pStyle w:val="NormalWeb"/>
        <w:rPr>
          <w:rFonts w:asciiTheme="minorHAnsi" w:hAnsiTheme="minorHAnsi"/>
        </w:rPr>
      </w:pPr>
      <w:r w:rsidRPr="00DB00AE">
        <w:rPr>
          <w:rFonts w:asciiTheme="minorHAnsi" w:hAnsiTheme="minorHAnsi"/>
        </w:rPr>
        <w:t>Mixed</w:t>
      </w:r>
      <w:r w:rsidRPr="00DB00AE">
        <w:rPr>
          <w:rFonts w:asciiTheme="minorHAnsi" w:hAnsiTheme="minorHAnsi"/>
        </w:rPr>
        <w:noBreakHyphen/>
        <w:t xml:space="preserve">methods </w:t>
      </w:r>
      <w:r w:rsidRPr="00DB00AE">
        <w:rPr>
          <w:rFonts w:asciiTheme="minorHAnsi" w:hAnsiTheme="minorHAnsi"/>
        </w:rPr>
        <w:t xml:space="preserve">(triangulation) </w:t>
      </w:r>
      <w:r w:rsidRPr="00DB00AE">
        <w:rPr>
          <w:rFonts w:asciiTheme="minorHAnsi" w:hAnsiTheme="minorHAnsi"/>
        </w:rPr>
        <w:t>designs combine qualitative and quantitative approaches to provide a more comprehensive understanding of children’s outdoor play. Triangulation strengthens validity by allowing researchers to cross</w:t>
      </w:r>
      <w:r w:rsidRPr="00DB00AE">
        <w:rPr>
          <w:rFonts w:asciiTheme="minorHAnsi" w:hAnsiTheme="minorHAnsi"/>
        </w:rPr>
        <w:noBreakHyphen/>
        <w:t>check findings from multiple sources.</w:t>
      </w:r>
    </w:p>
    <w:p w14:paraId="4FA6B29B" w14:textId="494F6FD0" w:rsidR="00DB00AE" w:rsidRPr="00DB00AE" w:rsidRDefault="00DB00AE" w:rsidP="00DB00AE">
      <w:pPr>
        <w:pStyle w:val="NormalWeb"/>
        <w:rPr>
          <w:rFonts w:asciiTheme="minorHAnsi" w:hAnsiTheme="minorHAnsi"/>
        </w:rPr>
      </w:pPr>
      <w:r w:rsidRPr="00DB00AE">
        <w:rPr>
          <w:rFonts w:asciiTheme="minorHAnsi" w:hAnsiTheme="minorHAnsi"/>
        </w:rPr>
        <w:t>There are four key types of triangulation</w:t>
      </w:r>
      <w:r w:rsidRPr="00DB00AE">
        <w:rPr>
          <w:rFonts w:asciiTheme="minorHAnsi" w:hAnsiTheme="minorHAnsi"/>
        </w:rPr>
        <w:t xml:space="preserve"> which are data triangulation which is collecting data at different times, locations or from different participants, investigator triangulation which is </w:t>
      </w:r>
      <w:r w:rsidRPr="00DB00AE">
        <w:rPr>
          <w:rFonts w:asciiTheme="minorHAnsi" w:hAnsiTheme="minorHAnsi"/>
        </w:rPr>
        <w:t>involving multiple researchers to reduce bias</w:t>
      </w:r>
      <w:r w:rsidRPr="00DB00AE">
        <w:rPr>
          <w:rFonts w:asciiTheme="minorHAnsi" w:hAnsiTheme="minorHAnsi"/>
        </w:rPr>
        <w:t xml:space="preserve">, theory triangulation which is </w:t>
      </w:r>
      <w:r w:rsidRPr="00DB00AE">
        <w:rPr>
          <w:rFonts w:asciiTheme="minorHAnsi" w:hAnsiTheme="minorHAnsi"/>
        </w:rPr>
        <w:t>interpreting findings through different theoretical lenses</w:t>
      </w:r>
      <w:r w:rsidRPr="00DB00AE">
        <w:rPr>
          <w:rFonts w:asciiTheme="minorHAnsi" w:hAnsiTheme="minorHAnsi"/>
        </w:rPr>
        <w:t xml:space="preserve"> and methodological triangulation which is </w:t>
      </w:r>
      <w:r w:rsidRPr="00DB00AE">
        <w:rPr>
          <w:rFonts w:asciiTheme="minorHAnsi" w:hAnsiTheme="minorHAnsi"/>
        </w:rPr>
        <w:t>using multiple data collection methods</w:t>
      </w:r>
      <w:r w:rsidRPr="00DB00AE">
        <w:rPr>
          <w:rFonts w:asciiTheme="minorHAnsi" w:hAnsiTheme="minorHAnsi"/>
        </w:rPr>
        <w:t>, for example</w:t>
      </w:r>
      <w:r w:rsidRPr="00DB00AE">
        <w:rPr>
          <w:rFonts w:asciiTheme="minorHAnsi" w:hAnsiTheme="minorHAnsi"/>
        </w:rPr>
        <w:t xml:space="preserve"> interviews</w:t>
      </w:r>
      <w:r w:rsidRPr="00DB00AE">
        <w:rPr>
          <w:rFonts w:asciiTheme="minorHAnsi" w:hAnsiTheme="minorHAnsi"/>
        </w:rPr>
        <w:t xml:space="preserve">, </w:t>
      </w:r>
      <w:r w:rsidRPr="00DB00AE">
        <w:rPr>
          <w:rFonts w:asciiTheme="minorHAnsi" w:hAnsiTheme="minorHAnsi"/>
        </w:rPr>
        <w:t>observations</w:t>
      </w:r>
      <w:r w:rsidRPr="00DB00AE">
        <w:rPr>
          <w:rFonts w:asciiTheme="minorHAnsi" w:hAnsiTheme="minorHAnsi"/>
        </w:rPr>
        <w:t xml:space="preserve"> and</w:t>
      </w:r>
      <w:r w:rsidRPr="00DB00AE">
        <w:rPr>
          <w:rFonts w:asciiTheme="minorHAnsi" w:hAnsiTheme="minorHAnsi"/>
        </w:rPr>
        <w:t xml:space="preserve"> activity tracking</w:t>
      </w:r>
    </w:p>
    <w:p w14:paraId="491EC199" w14:textId="77777777" w:rsidR="00DB00AE" w:rsidRDefault="00DB00AE" w:rsidP="00DB00AE">
      <w:pPr>
        <w:pStyle w:val="NormalWeb"/>
        <w:rPr>
          <w:rFonts w:asciiTheme="minorHAnsi" w:hAnsiTheme="minorHAnsi"/>
        </w:rPr>
      </w:pPr>
      <w:r w:rsidRPr="00DB00AE">
        <w:rPr>
          <w:rFonts w:asciiTheme="minorHAnsi" w:hAnsiTheme="minorHAnsi"/>
        </w:rPr>
        <w:t>Mixed</w:t>
      </w:r>
      <w:r w:rsidRPr="00DB00AE">
        <w:rPr>
          <w:rFonts w:asciiTheme="minorHAnsi" w:hAnsiTheme="minorHAnsi"/>
        </w:rPr>
        <w:noBreakHyphen/>
        <w:t>methods designs are increasingly recommended in early childhood research because they capture both the measurable aspects of physical activity and the experiential, emotional, and social dimensions of outdoor play (Bryman, 2016; Waite et al., 2021).</w:t>
      </w:r>
    </w:p>
    <w:p w14:paraId="2C8ADD55" w14:textId="2B225B4F" w:rsidR="00DB00AE" w:rsidRPr="00DB00AE" w:rsidRDefault="00DB00AE" w:rsidP="00DB00AE">
      <w:pPr>
        <w:pStyle w:val="NormalWeb"/>
        <w:rPr>
          <w:rFonts w:asciiTheme="minorHAnsi" w:hAnsiTheme="minorHAnsi"/>
        </w:rPr>
      </w:pPr>
      <w:r w:rsidRPr="00DB00AE">
        <w:rPr>
          <w:rFonts w:asciiTheme="minorHAnsi" w:hAnsiTheme="minorHAnsi"/>
        </w:rPr>
        <w:t>L</w:t>
      </w:r>
      <w:r w:rsidRPr="00DB00AE">
        <w:rPr>
          <w:rFonts w:asciiTheme="minorHAnsi" w:hAnsiTheme="minorHAnsi"/>
        </w:rPr>
        <w:t>ongitudinal studies are valuable for examining long</w:t>
      </w:r>
      <w:r w:rsidRPr="00DB00AE">
        <w:rPr>
          <w:rFonts w:asciiTheme="minorHAnsi" w:hAnsiTheme="minorHAnsi"/>
        </w:rPr>
        <w:noBreakHyphen/>
        <w:t>term developmental outcomes, though they can be time</w:t>
      </w:r>
      <w:r w:rsidRPr="00DB00AE">
        <w:rPr>
          <w:rFonts w:asciiTheme="minorHAnsi" w:hAnsiTheme="minorHAnsi"/>
        </w:rPr>
        <w:noBreakHyphen/>
        <w:t>consuming and vulnerable to participant attrition.</w:t>
      </w:r>
    </w:p>
    <w:p w14:paraId="1165A9D3" w14:textId="7A8F8845" w:rsidR="00DB00AE" w:rsidRDefault="00DB00AE" w:rsidP="00DB00AE">
      <w:pPr>
        <w:pStyle w:val="NormalWeb"/>
        <w:rPr>
          <w:rFonts w:asciiTheme="minorHAnsi" w:hAnsiTheme="minorHAnsi"/>
        </w:rPr>
      </w:pPr>
      <w:r w:rsidRPr="00DB00AE">
        <w:rPr>
          <w:rFonts w:asciiTheme="minorHAnsi" w:hAnsiTheme="minorHAnsi"/>
        </w:rPr>
        <w:t>Observation is widely used because young children may struggle to articulate their experiences verbally. However, outdoor environments present challenges such as rapid movement, large play spaces, weather conditions, and noise. Observer bias may also affect data accuracy.</w:t>
      </w:r>
    </w:p>
    <w:p w14:paraId="6DD9281D" w14:textId="63B2AAF8" w:rsidR="00DB00AE" w:rsidRPr="00AE6AAB" w:rsidRDefault="00AE6AAB" w:rsidP="00AE6AAB">
      <w:pPr>
        <w:pStyle w:val="NormalWeb"/>
        <w:rPr>
          <w:rFonts w:asciiTheme="minorHAnsi" w:hAnsiTheme="minorHAnsi"/>
        </w:rPr>
      </w:pPr>
      <w:r>
        <w:rPr>
          <w:rFonts w:asciiTheme="minorHAnsi" w:hAnsiTheme="minorHAnsi"/>
        </w:rPr>
        <w:t xml:space="preserve">The chosen method for this research project is a quantitative approach, as it is appropriate for investigating children’s physical activity patterns. This is because you </w:t>
      </w:r>
      <w:r>
        <w:rPr>
          <w:rFonts w:asciiTheme="minorHAnsi" w:hAnsiTheme="minorHAnsi"/>
        </w:rPr>
        <w:lastRenderedPageBreak/>
        <w:t>can carry out s</w:t>
      </w:r>
      <w:r w:rsidR="00DB00AE" w:rsidRPr="00AE6AAB">
        <w:rPr>
          <w:rFonts w:asciiTheme="minorHAnsi" w:hAnsiTheme="minorHAnsi"/>
        </w:rPr>
        <w:t>tructured observations over several days</w:t>
      </w:r>
      <w:r>
        <w:rPr>
          <w:rFonts w:asciiTheme="minorHAnsi" w:hAnsiTheme="minorHAnsi"/>
        </w:rPr>
        <w:t xml:space="preserve"> and</w:t>
      </w:r>
      <w:r w:rsidRPr="00AE6AAB">
        <w:rPr>
          <w:rFonts w:asciiTheme="minorHAnsi" w:hAnsiTheme="minorHAnsi"/>
        </w:rPr>
        <w:t xml:space="preserve"> c</w:t>
      </w:r>
      <w:r w:rsidR="00DB00AE" w:rsidRPr="00AE6AAB">
        <w:rPr>
          <w:rFonts w:asciiTheme="minorHAnsi" w:hAnsiTheme="minorHAnsi"/>
        </w:rPr>
        <w:t>hild</w:t>
      </w:r>
      <w:r w:rsidR="00DB00AE" w:rsidRPr="00AE6AAB">
        <w:rPr>
          <w:rFonts w:asciiTheme="minorHAnsi" w:hAnsiTheme="minorHAnsi"/>
        </w:rPr>
        <w:noBreakHyphen/>
        <w:t>friendly questionnaires exploring attitudes toward outdoor play</w:t>
      </w:r>
      <w:r>
        <w:rPr>
          <w:rFonts w:asciiTheme="minorHAnsi" w:hAnsiTheme="minorHAnsi"/>
        </w:rPr>
        <w:t xml:space="preserve">. </w:t>
      </w:r>
      <w:r w:rsidR="00DB00AE" w:rsidRPr="00AE6AAB">
        <w:rPr>
          <w:rFonts w:asciiTheme="minorHAnsi" w:hAnsiTheme="minorHAnsi"/>
        </w:rPr>
        <w:t>This combination allows researchers to identify patterns and make informed predictions about children’s engagement and preferences.</w:t>
      </w:r>
    </w:p>
    <w:p w14:paraId="070CEBAB" w14:textId="4287AFAE" w:rsidR="00AE6AAB" w:rsidRPr="00AE6AAB" w:rsidRDefault="00AE6AAB" w:rsidP="00AE6AAB">
      <w:pPr>
        <w:pStyle w:val="NormalWeb"/>
        <w:rPr>
          <w:rFonts w:asciiTheme="minorHAnsi" w:hAnsiTheme="minorHAnsi"/>
        </w:rPr>
      </w:pPr>
      <w:r w:rsidRPr="00AE6AAB">
        <w:rPr>
          <w:rFonts w:asciiTheme="minorHAnsi" w:hAnsiTheme="minorHAnsi"/>
        </w:rPr>
        <w:t>Ethical</w:t>
      </w:r>
      <w:r w:rsidRPr="00AE6AAB">
        <w:rPr>
          <w:rFonts w:asciiTheme="minorHAnsi" w:hAnsiTheme="minorHAnsi"/>
        </w:rPr>
        <w:t xml:space="preserve"> practice is essential when conducting research with young children. </w:t>
      </w:r>
      <w:r w:rsidRPr="00AE6AAB">
        <w:rPr>
          <w:rFonts w:asciiTheme="minorHAnsi" w:hAnsiTheme="minorHAnsi"/>
        </w:rPr>
        <w:t xml:space="preserve">However, key considerations need to be considered such as informed consent from parents or guardians, child consent which is communicated to the child in an </w:t>
      </w:r>
      <w:proofErr w:type="gramStart"/>
      <w:r w:rsidRPr="00AE6AAB">
        <w:rPr>
          <w:rFonts w:asciiTheme="minorHAnsi" w:hAnsiTheme="minorHAnsi"/>
        </w:rPr>
        <w:t>age appropriate</w:t>
      </w:r>
      <w:proofErr w:type="gramEnd"/>
      <w:r w:rsidRPr="00AE6AAB">
        <w:rPr>
          <w:rFonts w:asciiTheme="minorHAnsi" w:hAnsiTheme="minorHAnsi"/>
        </w:rPr>
        <w:t xml:space="preserve"> manner, confidentiality especially when referring to the child, using video recordings or digital tracking tools, safeguarding procedures to protect children’s wellbeing and minimal disruption to preserve natural play behaviours. </w:t>
      </w:r>
      <w:r w:rsidRPr="00AE6AAB">
        <w:rPr>
          <w:rFonts w:asciiTheme="minorHAnsi" w:hAnsiTheme="minorHAnsi"/>
        </w:rPr>
        <w:t xml:space="preserve">Researchers must ensure that children’s identities and personal data </w:t>
      </w:r>
      <w:proofErr w:type="gramStart"/>
      <w:r w:rsidRPr="00AE6AAB">
        <w:rPr>
          <w:rFonts w:asciiTheme="minorHAnsi" w:hAnsiTheme="minorHAnsi"/>
        </w:rPr>
        <w:t>remain protected at all times</w:t>
      </w:r>
      <w:proofErr w:type="gramEnd"/>
      <w:r w:rsidRPr="00AE6AAB">
        <w:rPr>
          <w:rFonts w:asciiTheme="minorHAnsi" w:hAnsiTheme="minorHAnsi"/>
        </w:rPr>
        <w:t xml:space="preserve"> (BERA, 2018; Alderson &amp; Morrow, 2011).</w:t>
      </w:r>
    </w:p>
    <w:p w14:paraId="707CD221" w14:textId="77777777" w:rsidR="00AE6AAB" w:rsidRDefault="00AE6AAB" w:rsidP="00AE6AAB">
      <w:pPr>
        <w:pStyle w:val="NormalWeb"/>
        <w:rPr>
          <w:rFonts w:asciiTheme="minorHAnsi" w:hAnsiTheme="minorHAnsi"/>
        </w:rPr>
      </w:pPr>
    </w:p>
    <w:p w14:paraId="0BCA5397" w14:textId="77777777" w:rsidR="00AE6AAB" w:rsidRDefault="00AE6AAB" w:rsidP="00AE6AAB">
      <w:pPr>
        <w:pStyle w:val="NormalWeb"/>
        <w:rPr>
          <w:rFonts w:asciiTheme="minorHAnsi" w:hAnsiTheme="minorHAnsi"/>
        </w:rPr>
      </w:pPr>
    </w:p>
    <w:p w14:paraId="41BA725F" w14:textId="77777777" w:rsidR="00AE6AAB" w:rsidRDefault="00AE6AAB" w:rsidP="00AE6AAB">
      <w:pPr>
        <w:pStyle w:val="NormalWeb"/>
        <w:rPr>
          <w:rFonts w:asciiTheme="minorHAnsi" w:hAnsiTheme="minorHAnsi"/>
        </w:rPr>
      </w:pPr>
    </w:p>
    <w:p w14:paraId="4A667B7C" w14:textId="77777777" w:rsidR="00AE6AAB" w:rsidRDefault="00AE6AAB" w:rsidP="00AE6AAB">
      <w:pPr>
        <w:pStyle w:val="NormalWeb"/>
        <w:rPr>
          <w:rFonts w:asciiTheme="minorHAnsi" w:hAnsiTheme="minorHAnsi"/>
        </w:rPr>
      </w:pPr>
    </w:p>
    <w:p w14:paraId="79F3CAF5" w14:textId="77777777" w:rsidR="00AE6AAB" w:rsidRDefault="00AE6AAB" w:rsidP="00AE6AAB">
      <w:pPr>
        <w:pStyle w:val="NormalWeb"/>
        <w:rPr>
          <w:rFonts w:asciiTheme="minorHAnsi" w:hAnsiTheme="minorHAnsi"/>
        </w:rPr>
      </w:pPr>
    </w:p>
    <w:p w14:paraId="512D08BD" w14:textId="77777777" w:rsidR="00AE6AAB" w:rsidRDefault="00AE6AAB" w:rsidP="00AE6AAB">
      <w:pPr>
        <w:pStyle w:val="NormalWeb"/>
        <w:rPr>
          <w:rFonts w:asciiTheme="minorHAnsi" w:hAnsiTheme="minorHAnsi"/>
        </w:rPr>
      </w:pPr>
    </w:p>
    <w:p w14:paraId="0BB78375" w14:textId="77777777" w:rsidR="00AE6AAB" w:rsidRDefault="00AE6AAB" w:rsidP="00AE6AAB">
      <w:pPr>
        <w:pStyle w:val="NormalWeb"/>
        <w:rPr>
          <w:rFonts w:asciiTheme="minorHAnsi" w:hAnsiTheme="minorHAnsi"/>
        </w:rPr>
      </w:pPr>
    </w:p>
    <w:p w14:paraId="5CA5E566" w14:textId="77777777" w:rsidR="00AE6AAB" w:rsidRDefault="00AE6AAB" w:rsidP="00AE6AAB">
      <w:pPr>
        <w:pStyle w:val="NormalWeb"/>
        <w:rPr>
          <w:rFonts w:asciiTheme="minorHAnsi" w:hAnsiTheme="minorHAnsi"/>
        </w:rPr>
      </w:pPr>
    </w:p>
    <w:p w14:paraId="371E0ED6" w14:textId="77777777" w:rsidR="00AE6AAB" w:rsidRDefault="00AE6AAB" w:rsidP="00AE6AAB">
      <w:pPr>
        <w:pStyle w:val="NormalWeb"/>
        <w:rPr>
          <w:rFonts w:asciiTheme="minorHAnsi" w:hAnsiTheme="minorHAnsi"/>
        </w:rPr>
      </w:pPr>
    </w:p>
    <w:p w14:paraId="0B9C4174" w14:textId="77777777" w:rsidR="00AE6AAB" w:rsidRDefault="00AE6AAB" w:rsidP="00AE6AAB">
      <w:pPr>
        <w:pStyle w:val="NormalWeb"/>
        <w:rPr>
          <w:rFonts w:asciiTheme="minorHAnsi" w:hAnsiTheme="minorHAnsi"/>
        </w:rPr>
      </w:pPr>
    </w:p>
    <w:p w14:paraId="676E6B74" w14:textId="77777777" w:rsidR="00AE6AAB" w:rsidRDefault="00AE6AAB" w:rsidP="00AE6AAB">
      <w:pPr>
        <w:pStyle w:val="NormalWeb"/>
        <w:rPr>
          <w:rFonts w:asciiTheme="minorHAnsi" w:hAnsiTheme="minorHAnsi"/>
        </w:rPr>
      </w:pPr>
    </w:p>
    <w:p w14:paraId="03DCE720" w14:textId="77777777" w:rsidR="00AE6AAB" w:rsidRDefault="00AE6AAB" w:rsidP="00AE6AAB">
      <w:pPr>
        <w:pStyle w:val="NormalWeb"/>
        <w:rPr>
          <w:rFonts w:asciiTheme="minorHAnsi" w:hAnsiTheme="minorHAnsi"/>
        </w:rPr>
      </w:pPr>
    </w:p>
    <w:p w14:paraId="7F0632D9" w14:textId="77777777" w:rsidR="00AE6AAB" w:rsidRDefault="00AE6AAB" w:rsidP="00AE6AAB">
      <w:pPr>
        <w:pStyle w:val="NormalWeb"/>
        <w:rPr>
          <w:rFonts w:asciiTheme="minorHAnsi" w:hAnsiTheme="minorHAnsi"/>
        </w:rPr>
      </w:pPr>
    </w:p>
    <w:p w14:paraId="5B3645E8" w14:textId="77777777" w:rsidR="00AE6AAB" w:rsidRDefault="00AE6AAB" w:rsidP="00AE6AAB">
      <w:pPr>
        <w:pStyle w:val="NormalWeb"/>
        <w:rPr>
          <w:rFonts w:asciiTheme="minorHAnsi" w:hAnsiTheme="minorHAnsi"/>
        </w:rPr>
      </w:pPr>
    </w:p>
    <w:p w14:paraId="37E3187A" w14:textId="77777777" w:rsidR="00AE6AAB" w:rsidRDefault="00AE6AAB" w:rsidP="00AE6AAB">
      <w:pPr>
        <w:pStyle w:val="NormalWeb"/>
        <w:rPr>
          <w:rFonts w:asciiTheme="minorHAnsi" w:hAnsiTheme="minorHAnsi"/>
        </w:rPr>
      </w:pPr>
    </w:p>
    <w:p w14:paraId="03802A95" w14:textId="77777777" w:rsidR="00AE6AAB" w:rsidRDefault="00AE6AAB" w:rsidP="00AE6AAB">
      <w:pPr>
        <w:pStyle w:val="NormalWeb"/>
        <w:rPr>
          <w:rFonts w:asciiTheme="minorHAnsi" w:hAnsiTheme="minorHAnsi"/>
        </w:rPr>
      </w:pPr>
    </w:p>
    <w:p w14:paraId="06C14C92" w14:textId="77777777" w:rsidR="00AE6AAB" w:rsidRDefault="00AE6AAB" w:rsidP="00AE6AAB">
      <w:pPr>
        <w:pStyle w:val="NormalWeb"/>
        <w:rPr>
          <w:rFonts w:asciiTheme="minorHAnsi" w:hAnsiTheme="minorHAnsi"/>
        </w:rPr>
      </w:pPr>
    </w:p>
    <w:p w14:paraId="51801E7E" w14:textId="2D27DD4E" w:rsidR="00AE6AAB" w:rsidRDefault="00AE6AAB" w:rsidP="00AE6AAB">
      <w:pPr>
        <w:pStyle w:val="NormalWeb"/>
        <w:rPr>
          <w:rFonts w:asciiTheme="minorHAnsi" w:hAnsiTheme="minorHAnsi"/>
          <w:u w:val="single"/>
        </w:rPr>
      </w:pPr>
      <w:r w:rsidRPr="00AE6AAB">
        <w:rPr>
          <w:rFonts w:asciiTheme="minorHAnsi" w:hAnsiTheme="minorHAnsi"/>
          <w:u w:val="single"/>
        </w:rPr>
        <w:lastRenderedPageBreak/>
        <w:t>Reference list</w:t>
      </w:r>
    </w:p>
    <w:p w14:paraId="28794C90" w14:textId="42A75479" w:rsidR="00AE6AAB" w:rsidRPr="00AE6AAB" w:rsidRDefault="00AE6AAB" w:rsidP="00AE6AAB">
      <w:pPr>
        <w:pStyle w:val="NormalWeb"/>
        <w:rPr>
          <w:rFonts w:asciiTheme="minorHAnsi" w:hAnsiTheme="minorHAnsi"/>
        </w:rPr>
      </w:pPr>
      <w:r w:rsidRPr="00AE6AAB">
        <w:rPr>
          <w:rFonts w:asciiTheme="minorHAnsi" w:hAnsiTheme="minorHAnsi"/>
        </w:rPr>
        <w:t xml:space="preserve">Alderson, P. and Morrow, V. (2011) </w:t>
      </w:r>
      <w:r w:rsidRPr="00AE6AAB">
        <w:rPr>
          <w:rStyle w:val="Emphasis"/>
          <w:rFonts w:asciiTheme="minorHAnsi" w:hAnsiTheme="minorHAnsi"/>
        </w:rPr>
        <w:t>The ethics of research with children and young people: A practical handbook</w:t>
      </w:r>
      <w:r w:rsidRPr="00AE6AAB">
        <w:rPr>
          <w:rFonts w:asciiTheme="minorHAnsi" w:hAnsiTheme="minorHAnsi"/>
        </w:rPr>
        <w:t>. London: Sage.</w:t>
      </w:r>
      <w:r w:rsidR="00AE7DCC">
        <w:rPr>
          <w:rFonts w:asciiTheme="minorHAnsi" w:hAnsiTheme="minorHAnsi"/>
        </w:rPr>
        <w:t xml:space="preserve"> (Accessed 28/08/2026)</w:t>
      </w:r>
    </w:p>
    <w:p w14:paraId="507AFB64" w14:textId="65C3FD15" w:rsidR="00AE6AAB" w:rsidRPr="00AE6AAB" w:rsidRDefault="00AE6AAB" w:rsidP="00AE6AAB">
      <w:pPr>
        <w:pStyle w:val="NormalWeb"/>
        <w:rPr>
          <w:rFonts w:asciiTheme="minorHAnsi" w:hAnsiTheme="minorHAnsi"/>
        </w:rPr>
      </w:pPr>
      <w:r w:rsidRPr="00AE6AAB">
        <w:rPr>
          <w:rFonts w:asciiTheme="minorHAnsi" w:hAnsiTheme="minorHAnsi"/>
        </w:rPr>
        <w:t xml:space="preserve">BERA (2018) </w:t>
      </w:r>
      <w:r w:rsidRPr="00AE6AAB">
        <w:rPr>
          <w:rStyle w:val="Emphasis"/>
          <w:rFonts w:asciiTheme="minorHAnsi" w:hAnsiTheme="minorHAnsi"/>
        </w:rPr>
        <w:t>Ethical guidelines for educational research</w:t>
      </w:r>
      <w:r w:rsidRPr="00AE6AAB">
        <w:rPr>
          <w:rFonts w:asciiTheme="minorHAnsi" w:hAnsiTheme="minorHAnsi"/>
        </w:rPr>
        <w:t>. British Educational Research Association.</w:t>
      </w:r>
      <w:r w:rsidR="00AE7DCC">
        <w:rPr>
          <w:rFonts w:asciiTheme="minorHAnsi" w:hAnsiTheme="minorHAnsi"/>
        </w:rPr>
        <w:t xml:space="preserve"> </w:t>
      </w:r>
      <w:r w:rsidR="00AE7DCC">
        <w:rPr>
          <w:rFonts w:asciiTheme="minorHAnsi" w:hAnsiTheme="minorHAnsi"/>
        </w:rPr>
        <w:t>(Accessed 28/08/2026)</w:t>
      </w:r>
    </w:p>
    <w:p w14:paraId="190B0552" w14:textId="2C72E9C2" w:rsidR="00AE6AAB" w:rsidRPr="00AE6AAB" w:rsidRDefault="00AE6AAB" w:rsidP="00AE6AAB">
      <w:pPr>
        <w:pStyle w:val="NormalWeb"/>
        <w:rPr>
          <w:rFonts w:asciiTheme="minorHAnsi" w:hAnsiTheme="minorHAnsi"/>
        </w:rPr>
      </w:pPr>
      <w:proofErr w:type="spellStart"/>
      <w:r w:rsidRPr="00AE6AAB">
        <w:rPr>
          <w:rFonts w:asciiTheme="minorHAnsi" w:hAnsiTheme="minorHAnsi"/>
        </w:rPr>
        <w:t>Bilton</w:t>
      </w:r>
      <w:proofErr w:type="spellEnd"/>
      <w:r w:rsidRPr="00AE6AAB">
        <w:rPr>
          <w:rFonts w:asciiTheme="minorHAnsi" w:hAnsiTheme="minorHAnsi"/>
        </w:rPr>
        <w:t xml:space="preserve">, H. (2010) </w:t>
      </w:r>
      <w:r w:rsidRPr="00AE6AAB">
        <w:rPr>
          <w:rStyle w:val="Emphasis"/>
          <w:rFonts w:asciiTheme="minorHAnsi" w:hAnsiTheme="minorHAnsi"/>
        </w:rPr>
        <w:t>Outdoor learning in the early years: Management and innovation</w:t>
      </w:r>
      <w:r w:rsidRPr="00AE6AAB">
        <w:rPr>
          <w:rFonts w:asciiTheme="minorHAnsi" w:hAnsiTheme="minorHAnsi"/>
        </w:rPr>
        <w:t>. London: Routledge.</w:t>
      </w:r>
      <w:r w:rsidR="00AE7DCC">
        <w:rPr>
          <w:rFonts w:asciiTheme="minorHAnsi" w:hAnsiTheme="minorHAnsi"/>
        </w:rPr>
        <w:t xml:space="preserve"> </w:t>
      </w:r>
      <w:r w:rsidR="00AE7DCC">
        <w:rPr>
          <w:rFonts w:asciiTheme="minorHAnsi" w:hAnsiTheme="minorHAnsi"/>
        </w:rPr>
        <w:t>(Accessed 28/08/2026)</w:t>
      </w:r>
    </w:p>
    <w:p w14:paraId="56D7D409" w14:textId="424F67FE" w:rsidR="00AE6AAB" w:rsidRPr="00AE6AAB" w:rsidRDefault="00AE6AAB" w:rsidP="00AE6AAB">
      <w:pPr>
        <w:pStyle w:val="NormalWeb"/>
        <w:rPr>
          <w:rFonts w:asciiTheme="minorHAnsi" w:hAnsiTheme="minorHAnsi"/>
        </w:rPr>
      </w:pPr>
      <w:r w:rsidRPr="00AE6AAB">
        <w:rPr>
          <w:rFonts w:asciiTheme="minorHAnsi" w:hAnsiTheme="minorHAnsi"/>
        </w:rPr>
        <w:t xml:space="preserve">Bronfenbrenner, U. (1979) </w:t>
      </w:r>
      <w:r w:rsidRPr="00AE6AAB">
        <w:rPr>
          <w:rStyle w:val="Emphasis"/>
          <w:rFonts w:asciiTheme="minorHAnsi" w:hAnsiTheme="minorHAnsi"/>
        </w:rPr>
        <w:t>The ecology of human development</w:t>
      </w:r>
      <w:r w:rsidRPr="00AE6AAB">
        <w:rPr>
          <w:rFonts w:asciiTheme="minorHAnsi" w:hAnsiTheme="minorHAnsi"/>
        </w:rPr>
        <w:t>. Cambridge, MA: Harvard University Press.</w:t>
      </w:r>
      <w:r w:rsidR="00AE7DCC">
        <w:rPr>
          <w:rFonts w:asciiTheme="minorHAnsi" w:hAnsiTheme="minorHAnsi"/>
        </w:rPr>
        <w:t xml:space="preserve"> </w:t>
      </w:r>
      <w:r w:rsidR="00AE7DCC">
        <w:rPr>
          <w:rFonts w:asciiTheme="minorHAnsi" w:hAnsiTheme="minorHAnsi"/>
        </w:rPr>
        <w:t>(Accessed 28/08/2026)</w:t>
      </w:r>
    </w:p>
    <w:p w14:paraId="30EE2E6B" w14:textId="48D0C538" w:rsidR="00AE6AAB" w:rsidRPr="00AE6AAB" w:rsidRDefault="00AE6AAB" w:rsidP="00AE6AAB">
      <w:pPr>
        <w:pStyle w:val="NormalWeb"/>
        <w:rPr>
          <w:rFonts w:asciiTheme="minorHAnsi" w:hAnsiTheme="minorHAnsi"/>
        </w:rPr>
      </w:pPr>
      <w:r w:rsidRPr="00AE6AAB">
        <w:rPr>
          <w:rFonts w:asciiTheme="minorHAnsi" w:hAnsiTheme="minorHAnsi"/>
        </w:rPr>
        <w:t xml:space="preserve">Brussoni, M., Ishikawa, T., Brunelle, S. and Herrington, S. (2020) ‘Risky play and children’s safety: Balancing protection and resilience’, </w:t>
      </w:r>
      <w:r w:rsidRPr="00AE6AAB">
        <w:rPr>
          <w:rStyle w:val="Emphasis"/>
          <w:rFonts w:asciiTheme="minorHAnsi" w:hAnsiTheme="minorHAnsi"/>
        </w:rPr>
        <w:t>Child: Care, Health and Development</w:t>
      </w:r>
      <w:r w:rsidRPr="00AE6AAB">
        <w:rPr>
          <w:rFonts w:asciiTheme="minorHAnsi" w:hAnsiTheme="minorHAnsi"/>
        </w:rPr>
        <w:t>, 46(5), pp. 656–665.</w:t>
      </w:r>
      <w:r w:rsidR="00AE7DCC">
        <w:rPr>
          <w:rFonts w:asciiTheme="minorHAnsi" w:hAnsiTheme="minorHAnsi"/>
        </w:rPr>
        <w:t xml:space="preserve"> </w:t>
      </w:r>
      <w:r w:rsidR="00AE7DCC">
        <w:rPr>
          <w:rFonts w:asciiTheme="minorHAnsi" w:hAnsiTheme="minorHAnsi"/>
        </w:rPr>
        <w:t>(Accessed 28/08/2026)</w:t>
      </w:r>
    </w:p>
    <w:p w14:paraId="3C778DD9" w14:textId="5BB5ECCD" w:rsidR="00AE6AAB" w:rsidRPr="00AE6AAB" w:rsidRDefault="00AE6AAB" w:rsidP="00AE6AAB">
      <w:pPr>
        <w:pStyle w:val="NormalWeb"/>
        <w:rPr>
          <w:rFonts w:asciiTheme="minorHAnsi" w:hAnsiTheme="minorHAnsi"/>
        </w:rPr>
      </w:pPr>
      <w:r w:rsidRPr="00AE6AAB">
        <w:rPr>
          <w:rFonts w:asciiTheme="minorHAnsi" w:hAnsiTheme="minorHAnsi"/>
        </w:rPr>
        <w:t xml:space="preserve">Brussoni, M., Olsen, L., Pike, I. and Sleet, D. (2023) ‘Outdoor play and child development: A contemporary review’, </w:t>
      </w:r>
      <w:r w:rsidRPr="00AE6AAB">
        <w:rPr>
          <w:rStyle w:val="Emphasis"/>
          <w:rFonts w:asciiTheme="minorHAnsi" w:hAnsiTheme="minorHAnsi"/>
        </w:rPr>
        <w:t>International Journal of Environmental Research and Public Health</w:t>
      </w:r>
      <w:r w:rsidRPr="00AE6AAB">
        <w:rPr>
          <w:rFonts w:asciiTheme="minorHAnsi" w:hAnsiTheme="minorHAnsi"/>
        </w:rPr>
        <w:t>, 20(2), pp. 1–18.</w:t>
      </w:r>
      <w:r w:rsidR="00AE7DCC">
        <w:rPr>
          <w:rFonts w:asciiTheme="minorHAnsi" w:hAnsiTheme="minorHAnsi"/>
        </w:rPr>
        <w:t xml:space="preserve"> </w:t>
      </w:r>
      <w:r w:rsidR="00AE7DCC">
        <w:rPr>
          <w:rFonts w:asciiTheme="minorHAnsi" w:hAnsiTheme="minorHAnsi"/>
        </w:rPr>
        <w:t>(Accessed 28/08/2026)</w:t>
      </w:r>
    </w:p>
    <w:p w14:paraId="5189828A" w14:textId="3EB21DFC" w:rsidR="00AE6AAB" w:rsidRPr="00AE6AAB" w:rsidRDefault="00AE6AAB" w:rsidP="00AE6AAB">
      <w:pPr>
        <w:pStyle w:val="NormalWeb"/>
        <w:rPr>
          <w:rFonts w:asciiTheme="minorHAnsi" w:hAnsiTheme="minorHAnsi"/>
        </w:rPr>
      </w:pPr>
      <w:r w:rsidRPr="00AE6AAB">
        <w:rPr>
          <w:rFonts w:asciiTheme="minorHAnsi" w:hAnsiTheme="minorHAnsi"/>
        </w:rPr>
        <w:t xml:space="preserve">Cairney, J., Dudley, D., Kwan, M., </w:t>
      </w:r>
      <w:proofErr w:type="spellStart"/>
      <w:r w:rsidRPr="00AE6AAB">
        <w:rPr>
          <w:rFonts w:asciiTheme="minorHAnsi" w:hAnsiTheme="minorHAnsi"/>
        </w:rPr>
        <w:t>Bulten</w:t>
      </w:r>
      <w:proofErr w:type="spellEnd"/>
      <w:r w:rsidRPr="00AE6AAB">
        <w:rPr>
          <w:rFonts w:asciiTheme="minorHAnsi" w:hAnsiTheme="minorHAnsi"/>
        </w:rPr>
        <w:t xml:space="preserve">, R. and </w:t>
      </w:r>
      <w:proofErr w:type="spellStart"/>
      <w:r w:rsidRPr="00AE6AAB">
        <w:rPr>
          <w:rFonts w:asciiTheme="minorHAnsi" w:hAnsiTheme="minorHAnsi"/>
        </w:rPr>
        <w:t>Kriellaars</w:t>
      </w:r>
      <w:proofErr w:type="spellEnd"/>
      <w:r w:rsidRPr="00AE6AAB">
        <w:rPr>
          <w:rFonts w:asciiTheme="minorHAnsi" w:hAnsiTheme="minorHAnsi"/>
        </w:rPr>
        <w:t xml:space="preserve">, D. (2022) ‘Physical literacy, physical activity and health: Toward an evidence-informed conceptual model’, </w:t>
      </w:r>
      <w:r w:rsidRPr="00AE6AAB">
        <w:rPr>
          <w:rStyle w:val="Emphasis"/>
          <w:rFonts w:asciiTheme="minorHAnsi" w:hAnsiTheme="minorHAnsi"/>
        </w:rPr>
        <w:t>Journal of Teaching in Physical Education</w:t>
      </w:r>
      <w:r w:rsidRPr="00AE6AAB">
        <w:rPr>
          <w:rFonts w:asciiTheme="minorHAnsi" w:hAnsiTheme="minorHAnsi"/>
        </w:rPr>
        <w:t>, 41(3), pp. 435–455.</w:t>
      </w:r>
      <w:r w:rsidR="00AE7DCC">
        <w:rPr>
          <w:rFonts w:asciiTheme="minorHAnsi" w:hAnsiTheme="minorHAnsi"/>
        </w:rPr>
        <w:t xml:space="preserve"> </w:t>
      </w:r>
      <w:r w:rsidR="00AE7DCC">
        <w:rPr>
          <w:rFonts w:asciiTheme="minorHAnsi" w:hAnsiTheme="minorHAnsi"/>
        </w:rPr>
        <w:t>(Accessed 28/08/2026)</w:t>
      </w:r>
    </w:p>
    <w:p w14:paraId="2361D7A1" w14:textId="3E91DBEC" w:rsidR="00AE6AAB" w:rsidRPr="00AE6AAB" w:rsidRDefault="00AE6AAB" w:rsidP="00AE6AAB">
      <w:pPr>
        <w:pStyle w:val="NormalWeb"/>
        <w:rPr>
          <w:rFonts w:asciiTheme="minorHAnsi" w:hAnsiTheme="minorHAnsi"/>
        </w:rPr>
      </w:pPr>
      <w:r w:rsidRPr="00AE6AAB">
        <w:rPr>
          <w:rFonts w:asciiTheme="minorHAnsi" w:hAnsiTheme="minorHAnsi"/>
        </w:rPr>
        <w:t xml:space="preserve">DfE (2023) </w:t>
      </w:r>
      <w:r w:rsidRPr="00AE6AAB">
        <w:rPr>
          <w:rStyle w:val="Emphasis"/>
          <w:rFonts w:asciiTheme="minorHAnsi" w:hAnsiTheme="minorHAnsi"/>
        </w:rPr>
        <w:t xml:space="preserve">Statutory framework for the early </w:t>
      </w:r>
      <w:proofErr w:type="gramStart"/>
      <w:r w:rsidRPr="00AE6AAB">
        <w:rPr>
          <w:rStyle w:val="Emphasis"/>
          <w:rFonts w:asciiTheme="minorHAnsi" w:hAnsiTheme="minorHAnsi"/>
        </w:rPr>
        <w:t>years</w:t>
      </w:r>
      <w:proofErr w:type="gramEnd"/>
      <w:r w:rsidRPr="00AE6AAB">
        <w:rPr>
          <w:rStyle w:val="Emphasis"/>
          <w:rFonts w:asciiTheme="minorHAnsi" w:hAnsiTheme="minorHAnsi"/>
        </w:rPr>
        <w:t xml:space="preserve"> foundation stage</w:t>
      </w:r>
      <w:r w:rsidRPr="00AE6AAB">
        <w:rPr>
          <w:rFonts w:asciiTheme="minorHAnsi" w:hAnsiTheme="minorHAnsi"/>
        </w:rPr>
        <w:t>. Department for Education.</w:t>
      </w:r>
      <w:r w:rsidR="00AE7DCC">
        <w:rPr>
          <w:rFonts w:asciiTheme="minorHAnsi" w:hAnsiTheme="minorHAnsi"/>
        </w:rPr>
        <w:t xml:space="preserve"> Available at:  </w:t>
      </w:r>
      <w:hyperlink r:id="rId7" w:history="1">
        <w:r w:rsidR="00AE7DCC">
          <w:rPr>
            <w:rStyle w:val="Hyperlink"/>
          </w:rPr>
          <w:t>Department for Education - GOV.UK</w:t>
        </w:r>
      </w:hyperlink>
      <w:r w:rsidR="00AE7DCC">
        <w:t xml:space="preserve"> (Accessed 28/08/2026)</w:t>
      </w:r>
    </w:p>
    <w:p w14:paraId="7B99F9C0" w14:textId="1E195AD8" w:rsidR="00AE6AAB" w:rsidRPr="00AE6AAB" w:rsidRDefault="00AE6AAB" w:rsidP="00AE6AAB">
      <w:pPr>
        <w:pStyle w:val="NormalWeb"/>
        <w:rPr>
          <w:rFonts w:asciiTheme="minorHAnsi" w:hAnsiTheme="minorHAnsi"/>
        </w:rPr>
      </w:pPr>
      <w:r w:rsidRPr="00AE6AAB">
        <w:rPr>
          <w:rFonts w:asciiTheme="minorHAnsi" w:hAnsiTheme="minorHAnsi"/>
        </w:rPr>
        <w:t xml:space="preserve">Early Years Alliance (2026) </w:t>
      </w:r>
      <w:r w:rsidRPr="00AE6AAB">
        <w:rPr>
          <w:rStyle w:val="Emphasis"/>
          <w:rFonts w:asciiTheme="minorHAnsi" w:hAnsiTheme="minorHAnsi"/>
        </w:rPr>
        <w:t>The importance of physical activity in the early years</w:t>
      </w:r>
      <w:r w:rsidRPr="00AE6AAB">
        <w:rPr>
          <w:rFonts w:asciiTheme="minorHAnsi" w:hAnsiTheme="minorHAnsi"/>
        </w:rPr>
        <w:t>. Early Years Alliance.</w:t>
      </w:r>
      <w:r w:rsidR="00AE7DCC">
        <w:rPr>
          <w:rFonts w:asciiTheme="minorHAnsi" w:hAnsiTheme="minorHAnsi"/>
        </w:rPr>
        <w:t xml:space="preserve"> Available at: </w:t>
      </w:r>
      <w:hyperlink r:id="rId8" w:history="1">
        <w:r w:rsidR="00AE7DCC">
          <w:rPr>
            <w:rStyle w:val="Hyperlink"/>
          </w:rPr>
          <w:t>Home | Early Years Alliance</w:t>
        </w:r>
      </w:hyperlink>
      <w:r w:rsidR="00AE7DCC">
        <w:t xml:space="preserve"> (Accessed 28/08/2026)</w:t>
      </w:r>
    </w:p>
    <w:p w14:paraId="5D0F38C7" w14:textId="73DF94CA" w:rsidR="00AE6AAB" w:rsidRPr="00AE6AAB" w:rsidRDefault="00AE6AAB" w:rsidP="00AE6AAB">
      <w:pPr>
        <w:pStyle w:val="NormalWeb"/>
        <w:rPr>
          <w:rFonts w:asciiTheme="minorHAnsi" w:hAnsiTheme="minorHAnsi"/>
        </w:rPr>
      </w:pPr>
      <w:r w:rsidRPr="00AE6AAB">
        <w:rPr>
          <w:rFonts w:asciiTheme="minorHAnsi" w:hAnsiTheme="minorHAnsi"/>
        </w:rPr>
        <w:t xml:space="preserve">Flewitt, R. and Clark, A. (2020) ‘Understanding children’s communication: Observing and interpreting meaning’, </w:t>
      </w:r>
      <w:r w:rsidRPr="00AE6AAB">
        <w:rPr>
          <w:rStyle w:val="Emphasis"/>
          <w:rFonts w:asciiTheme="minorHAnsi" w:hAnsiTheme="minorHAnsi"/>
        </w:rPr>
        <w:t>Early Years</w:t>
      </w:r>
      <w:r w:rsidRPr="00AE6AAB">
        <w:rPr>
          <w:rFonts w:asciiTheme="minorHAnsi" w:hAnsiTheme="minorHAnsi"/>
        </w:rPr>
        <w:t>, 40(2), pp. 107–121.</w:t>
      </w:r>
      <w:r w:rsidR="00AE7DCC" w:rsidRPr="00AE7DCC">
        <w:t xml:space="preserve"> </w:t>
      </w:r>
      <w:r w:rsidR="00AE7DCC">
        <w:t>(Accessed 28/08/2026)</w:t>
      </w:r>
    </w:p>
    <w:p w14:paraId="2C021837" w14:textId="564B2DE5" w:rsidR="00AE6AAB" w:rsidRPr="00AE6AAB" w:rsidRDefault="00AE6AAB" w:rsidP="00AE6AAB">
      <w:pPr>
        <w:pStyle w:val="NormalWeb"/>
        <w:rPr>
          <w:rFonts w:asciiTheme="minorHAnsi" w:hAnsiTheme="minorHAnsi"/>
        </w:rPr>
      </w:pPr>
      <w:r w:rsidRPr="00AE6AAB">
        <w:rPr>
          <w:rFonts w:asciiTheme="minorHAnsi" w:hAnsiTheme="minorHAnsi"/>
        </w:rPr>
        <w:t xml:space="preserve">Gill, T. (2007) </w:t>
      </w:r>
      <w:r w:rsidRPr="00AE6AAB">
        <w:rPr>
          <w:rStyle w:val="Emphasis"/>
          <w:rFonts w:asciiTheme="minorHAnsi" w:hAnsiTheme="minorHAnsi"/>
        </w:rPr>
        <w:t>No fear: Growing up in a risk</w:t>
      </w:r>
      <w:r w:rsidRPr="00AE6AAB">
        <w:rPr>
          <w:rStyle w:val="Emphasis"/>
          <w:rFonts w:asciiTheme="minorHAnsi" w:hAnsiTheme="minorHAnsi"/>
        </w:rPr>
        <w:noBreakHyphen/>
        <w:t>averse society</w:t>
      </w:r>
      <w:r w:rsidRPr="00AE6AAB">
        <w:rPr>
          <w:rFonts w:asciiTheme="minorHAnsi" w:hAnsiTheme="minorHAnsi"/>
        </w:rPr>
        <w:t>. London: Calouste Gulbenkian Foundation.</w:t>
      </w:r>
      <w:r w:rsidR="00AE7DCC">
        <w:rPr>
          <w:rFonts w:asciiTheme="minorHAnsi" w:hAnsiTheme="minorHAnsi"/>
        </w:rPr>
        <w:t xml:space="preserve"> </w:t>
      </w:r>
      <w:r w:rsidR="00AE7DCC">
        <w:t>(Accessed 28/08/2026)</w:t>
      </w:r>
    </w:p>
    <w:p w14:paraId="6767BB5D" w14:textId="139CEABE" w:rsidR="00AE6AAB" w:rsidRPr="00AE6AAB" w:rsidRDefault="00AE6AAB" w:rsidP="00AE6AAB">
      <w:pPr>
        <w:pStyle w:val="NormalWeb"/>
        <w:rPr>
          <w:rFonts w:asciiTheme="minorHAnsi" w:hAnsiTheme="minorHAnsi"/>
        </w:rPr>
      </w:pPr>
      <w:r w:rsidRPr="00AE6AAB">
        <w:rPr>
          <w:rFonts w:asciiTheme="minorHAnsi" w:hAnsiTheme="minorHAnsi"/>
        </w:rPr>
        <w:t>Gray, C., Gibbons, R., Larouche, R. and Tremblay, M. (2022) ‘Outdoor play improves moderate</w:t>
      </w:r>
      <w:r w:rsidRPr="00AE6AAB">
        <w:rPr>
          <w:rFonts w:asciiTheme="minorHAnsi" w:hAnsiTheme="minorHAnsi"/>
        </w:rPr>
        <w:noBreakHyphen/>
        <w:t>to</w:t>
      </w:r>
      <w:r w:rsidRPr="00AE6AAB">
        <w:rPr>
          <w:rFonts w:asciiTheme="minorHAnsi" w:hAnsiTheme="minorHAnsi"/>
        </w:rPr>
        <w:noBreakHyphen/>
        <w:t xml:space="preserve">vigorous physical activity in early childhood’, </w:t>
      </w:r>
      <w:r w:rsidRPr="00AE6AAB">
        <w:rPr>
          <w:rStyle w:val="Emphasis"/>
          <w:rFonts w:asciiTheme="minorHAnsi" w:hAnsiTheme="minorHAnsi"/>
        </w:rPr>
        <w:t>Health Promotion and Chronic Disease Prevention in Canada</w:t>
      </w:r>
      <w:r w:rsidRPr="00AE6AAB">
        <w:rPr>
          <w:rFonts w:asciiTheme="minorHAnsi" w:hAnsiTheme="minorHAnsi"/>
        </w:rPr>
        <w:t>, 42(3), pp. 123–131.</w:t>
      </w:r>
      <w:r w:rsidR="00AE7DCC" w:rsidRPr="00AE7DCC">
        <w:t xml:space="preserve"> </w:t>
      </w:r>
      <w:r w:rsidR="00AE7DCC">
        <w:t>(Accessed 28/08/2026)</w:t>
      </w:r>
      <w:r w:rsidR="00AE7DCC">
        <w:rPr>
          <w:rFonts w:asciiTheme="minorHAnsi" w:hAnsiTheme="minorHAnsi"/>
        </w:rPr>
        <w:t xml:space="preserve"> </w:t>
      </w:r>
    </w:p>
    <w:p w14:paraId="118BC045" w14:textId="77D99DBF" w:rsidR="00AE6AAB" w:rsidRPr="00AE6AAB" w:rsidRDefault="00AE6AAB" w:rsidP="00AE6AAB">
      <w:pPr>
        <w:pStyle w:val="NormalWeb"/>
        <w:rPr>
          <w:rFonts w:asciiTheme="minorHAnsi" w:hAnsiTheme="minorHAnsi"/>
        </w:rPr>
      </w:pPr>
      <w:r w:rsidRPr="00AE6AAB">
        <w:rPr>
          <w:rFonts w:asciiTheme="minorHAnsi" w:hAnsiTheme="minorHAnsi"/>
        </w:rPr>
        <w:t xml:space="preserve">Hassan, M. (2024) </w:t>
      </w:r>
      <w:r w:rsidRPr="00AE6AAB">
        <w:rPr>
          <w:rStyle w:val="Emphasis"/>
          <w:rFonts w:asciiTheme="minorHAnsi" w:hAnsiTheme="minorHAnsi"/>
        </w:rPr>
        <w:t>Qualitative research methods: An introduction</w:t>
      </w:r>
      <w:r w:rsidRPr="00AE6AAB">
        <w:rPr>
          <w:rFonts w:asciiTheme="minorHAnsi" w:hAnsiTheme="minorHAnsi"/>
        </w:rPr>
        <w:t>. London: Sage.</w:t>
      </w:r>
      <w:r w:rsidR="00AE7DCC">
        <w:rPr>
          <w:rFonts w:asciiTheme="minorHAnsi" w:hAnsiTheme="minorHAnsi"/>
        </w:rPr>
        <w:t xml:space="preserve"> </w:t>
      </w:r>
      <w:r w:rsidR="00AE7DCC">
        <w:t>(Accessed 28/08/2026)</w:t>
      </w:r>
      <w:r w:rsidR="00AE7DCC">
        <w:t xml:space="preserve"> </w:t>
      </w:r>
    </w:p>
    <w:p w14:paraId="395BD69B" w14:textId="61850549" w:rsidR="00AE6AAB" w:rsidRPr="00AE6AAB" w:rsidRDefault="00AE6AAB" w:rsidP="00AE6AAB">
      <w:pPr>
        <w:pStyle w:val="NormalWeb"/>
        <w:rPr>
          <w:rFonts w:asciiTheme="minorHAnsi" w:hAnsiTheme="minorHAnsi"/>
        </w:rPr>
      </w:pPr>
      <w:r w:rsidRPr="00AE6AAB">
        <w:rPr>
          <w:rFonts w:asciiTheme="minorHAnsi" w:hAnsiTheme="minorHAnsi"/>
        </w:rPr>
        <w:t xml:space="preserve">Lambert, A., Vlaar, J., Herrington, S. and </w:t>
      </w:r>
      <w:proofErr w:type="spellStart"/>
      <w:r w:rsidRPr="00AE6AAB">
        <w:rPr>
          <w:rFonts w:asciiTheme="minorHAnsi" w:hAnsiTheme="minorHAnsi"/>
        </w:rPr>
        <w:t>Brussoni</w:t>
      </w:r>
      <w:proofErr w:type="spellEnd"/>
      <w:r w:rsidRPr="00AE6AAB">
        <w:rPr>
          <w:rFonts w:asciiTheme="minorHAnsi" w:hAnsiTheme="minorHAnsi"/>
        </w:rPr>
        <w:t xml:space="preserve">, M. (2022) ‘What influences outdoor play? A systematic review examining barriers and facilitators’, </w:t>
      </w:r>
      <w:r w:rsidRPr="00AE6AAB">
        <w:rPr>
          <w:rStyle w:val="Emphasis"/>
          <w:rFonts w:asciiTheme="minorHAnsi" w:hAnsiTheme="minorHAnsi"/>
        </w:rPr>
        <w:t>Journal of Physical Activity and Health</w:t>
      </w:r>
      <w:r w:rsidRPr="00AE6AAB">
        <w:rPr>
          <w:rFonts w:asciiTheme="minorHAnsi" w:hAnsiTheme="minorHAnsi"/>
        </w:rPr>
        <w:t>, 19(3), pp. 205–217.</w:t>
      </w:r>
      <w:r w:rsidR="00AE7DCC">
        <w:rPr>
          <w:rFonts w:asciiTheme="minorHAnsi" w:hAnsiTheme="minorHAnsi"/>
        </w:rPr>
        <w:t xml:space="preserve"> </w:t>
      </w:r>
      <w:r w:rsidR="00AE7DCC">
        <w:t>(Accessed 28/08/2026)</w:t>
      </w:r>
    </w:p>
    <w:p w14:paraId="1344D359" w14:textId="7C7B02FA" w:rsidR="00AE6AAB" w:rsidRPr="00AE6AAB" w:rsidRDefault="00AE6AAB" w:rsidP="00AE6AAB">
      <w:pPr>
        <w:pStyle w:val="NormalWeb"/>
        <w:rPr>
          <w:rFonts w:asciiTheme="minorHAnsi" w:hAnsiTheme="minorHAnsi"/>
        </w:rPr>
      </w:pPr>
      <w:r w:rsidRPr="00AE6AAB">
        <w:rPr>
          <w:rFonts w:asciiTheme="minorHAnsi" w:hAnsiTheme="minorHAnsi"/>
        </w:rPr>
        <w:lastRenderedPageBreak/>
        <w:t xml:space="preserve">Lester, S. and Russell, W. (2010) </w:t>
      </w:r>
      <w:r w:rsidRPr="00AE6AAB">
        <w:rPr>
          <w:rStyle w:val="Emphasis"/>
          <w:rFonts w:asciiTheme="minorHAnsi" w:hAnsiTheme="minorHAnsi"/>
        </w:rPr>
        <w:t>Children’s right to play: An examination of the importance of play in the lives of children worldwide</w:t>
      </w:r>
      <w:r w:rsidRPr="00AE6AAB">
        <w:rPr>
          <w:rFonts w:asciiTheme="minorHAnsi" w:hAnsiTheme="minorHAnsi"/>
        </w:rPr>
        <w:t>. Bernard van Leer Foundation.</w:t>
      </w:r>
      <w:r w:rsidR="00AE7DCC">
        <w:rPr>
          <w:rFonts w:asciiTheme="minorHAnsi" w:hAnsiTheme="minorHAnsi"/>
        </w:rPr>
        <w:t xml:space="preserve"> </w:t>
      </w:r>
      <w:r w:rsidR="00AE7DCC">
        <w:t>(Accessed 28/08/2026)</w:t>
      </w:r>
    </w:p>
    <w:p w14:paraId="526CCB68" w14:textId="6B84D8E6" w:rsidR="00AE6AAB" w:rsidRPr="00AE6AAB" w:rsidRDefault="00AE6AAB" w:rsidP="00AE6AAB">
      <w:pPr>
        <w:pStyle w:val="NormalWeb"/>
        <w:rPr>
          <w:rFonts w:asciiTheme="minorHAnsi" w:hAnsiTheme="minorHAnsi"/>
        </w:rPr>
      </w:pPr>
      <w:r w:rsidRPr="00AE6AAB">
        <w:rPr>
          <w:rFonts w:asciiTheme="minorHAnsi" w:hAnsiTheme="minorHAnsi"/>
        </w:rPr>
        <w:t xml:space="preserve">Little, H. and </w:t>
      </w:r>
      <w:proofErr w:type="spellStart"/>
      <w:r w:rsidRPr="00AE6AAB">
        <w:rPr>
          <w:rFonts w:asciiTheme="minorHAnsi" w:hAnsiTheme="minorHAnsi"/>
        </w:rPr>
        <w:t>Wyver</w:t>
      </w:r>
      <w:proofErr w:type="spellEnd"/>
      <w:r w:rsidRPr="00AE6AAB">
        <w:rPr>
          <w:rFonts w:asciiTheme="minorHAnsi" w:hAnsiTheme="minorHAnsi"/>
        </w:rPr>
        <w:t xml:space="preserve">, S. (2008) ‘Outdoor play and learning: Policy and practice’, </w:t>
      </w:r>
      <w:r w:rsidRPr="00AE6AAB">
        <w:rPr>
          <w:rStyle w:val="Emphasis"/>
          <w:rFonts w:asciiTheme="minorHAnsi" w:hAnsiTheme="minorHAnsi"/>
        </w:rPr>
        <w:t>European Early Childhood Education Research Journal</w:t>
      </w:r>
      <w:r w:rsidRPr="00AE6AAB">
        <w:rPr>
          <w:rFonts w:asciiTheme="minorHAnsi" w:hAnsiTheme="minorHAnsi"/>
        </w:rPr>
        <w:t>, 16(2), pp. 187–204.</w:t>
      </w:r>
      <w:r w:rsidR="00AE7DCC">
        <w:rPr>
          <w:rFonts w:asciiTheme="minorHAnsi" w:hAnsiTheme="minorHAnsi"/>
        </w:rPr>
        <w:t xml:space="preserve"> </w:t>
      </w:r>
      <w:r w:rsidR="00AE7DCC">
        <w:t>(Accessed 28/08/2026)</w:t>
      </w:r>
    </w:p>
    <w:p w14:paraId="32C438F6" w14:textId="4E1C4415" w:rsidR="00AE6AAB" w:rsidRPr="00AE6AAB" w:rsidRDefault="00AE6AAB" w:rsidP="00AE6AAB">
      <w:pPr>
        <w:pStyle w:val="NormalWeb"/>
        <w:rPr>
          <w:rFonts w:asciiTheme="minorHAnsi" w:hAnsiTheme="minorHAnsi"/>
        </w:rPr>
      </w:pPr>
      <w:r w:rsidRPr="00AE6AAB">
        <w:rPr>
          <w:rFonts w:asciiTheme="minorHAnsi" w:hAnsiTheme="minorHAnsi"/>
        </w:rPr>
        <w:t xml:space="preserve">Mygind, L., </w:t>
      </w:r>
      <w:proofErr w:type="spellStart"/>
      <w:r w:rsidRPr="00AE6AAB">
        <w:rPr>
          <w:rFonts w:asciiTheme="minorHAnsi" w:hAnsiTheme="minorHAnsi"/>
        </w:rPr>
        <w:t>Kjeldsted</w:t>
      </w:r>
      <w:proofErr w:type="spellEnd"/>
      <w:r w:rsidRPr="00AE6AAB">
        <w:rPr>
          <w:rFonts w:asciiTheme="minorHAnsi" w:hAnsiTheme="minorHAnsi"/>
        </w:rPr>
        <w:t>, E., Hartmeyer, R., Mygind, E., Stevenson, M. and Bentsen, P. (2023) ‘Nature</w:t>
      </w:r>
      <w:r w:rsidRPr="00AE6AAB">
        <w:rPr>
          <w:rFonts w:asciiTheme="minorHAnsi" w:hAnsiTheme="minorHAnsi"/>
        </w:rPr>
        <w:noBreakHyphen/>
        <w:t xml:space="preserve">based learning and wellbeing: A systematic review of outdoor education outcomes’, </w:t>
      </w:r>
      <w:r w:rsidRPr="00AE6AAB">
        <w:rPr>
          <w:rStyle w:val="Emphasis"/>
          <w:rFonts w:asciiTheme="minorHAnsi" w:hAnsiTheme="minorHAnsi"/>
        </w:rPr>
        <w:t>Frontiers in Psychology</w:t>
      </w:r>
      <w:r w:rsidRPr="00AE6AAB">
        <w:rPr>
          <w:rFonts w:asciiTheme="minorHAnsi" w:hAnsiTheme="minorHAnsi"/>
        </w:rPr>
        <w:t>, 14, pp. 1–18.</w:t>
      </w:r>
      <w:r w:rsidR="00AE7DCC">
        <w:rPr>
          <w:rFonts w:asciiTheme="minorHAnsi" w:hAnsiTheme="minorHAnsi"/>
        </w:rPr>
        <w:t xml:space="preserve"> </w:t>
      </w:r>
      <w:r w:rsidR="00AE7DCC">
        <w:t>(Accessed 28/08/2026)</w:t>
      </w:r>
    </w:p>
    <w:p w14:paraId="2CCA0997" w14:textId="68D740CE" w:rsidR="00AE6AAB" w:rsidRPr="00AE6AAB" w:rsidRDefault="00AE6AAB" w:rsidP="00AE6AAB">
      <w:pPr>
        <w:pStyle w:val="NormalWeb"/>
        <w:rPr>
          <w:rFonts w:asciiTheme="minorHAnsi" w:hAnsiTheme="minorHAnsi"/>
        </w:rPr>
      </w:pPr>
      <w:r w:rsidRPr="00AE6AAB">
        <w:rPr>
          <w:rFonts w:asciiTheme="minorHAnsi" w:hAnsiTheme="minorHAnsi"/>
        </w:rPr>
        <w:t xml:space="preserve">Psychology Notes HQ Editorial Staff (2026) </w:t>
      </w:r>
      <w:r w:rsidRPr="00AE6AAB">
        <w:rPr>
          <w:rStyle w:val="Emphasis"/>
          <w:rFonts w:asciiTheme="minorHAnsi" w:hAnsiTheme="minorHAnsi"/>
        </w:rPr>
        <w:t>Piaget’s theory of cognitive development</w:t>
      </w:r>
      <w:r w:rsidRPr="00AE6AAB">
        <w:rPr>
          <w:rFonts w:asciiTheme="minorHAnsi" w:hAnsiTheme="minorHAnsi"/>
        </w:rPr>
        <w:t>. Psychology Notes HQ.</w:t>
      </w:r>
      <w:r w:rsidR="00AE7DCC">
        <w:rPr>
          <w:rFonts w:asciiTheme="minorHAnsi" w:hAnsiTheme="minorHAnsi"/>
        </w:rPr>
        <w:t xml:space="preserve"> </w:t>
      </w:r>
      <w:r w:rsidR="00AE7DCC">
        <w:t>(Accessed 28/08/2026)</w:t>
      </w:r>
    </w:p>
    <w:p w14:paraId="5DDE9FA0" w14:textId="18788257" w:rsidR="00AE6AAB" w:rsidRPr="00AE6AAB" w:rsidRDefault="00AE6AAB" w:rsidP="00AE6AAB">
      <w:pPr>
        <w:pStyle w:val="NormalWeb"/>
        <w:rPr>
          <w:rFonts w:asciiTheme="minorHAnsi" w:hAnsiTheme="minorHAnsi"/>
        </w:rPr>
      </w:pPr>
      <w:r w:rsidRPr="00AE6AAB">
        <w:rPr>
          <w:rFonts w:asciiTheme="minorHAnsi" w:hAnsiTheme="minorHAnsi"/>
        </w:rPr>
        <w:t xml:space="preserve">Robson, C. and McCartan, K. (2016) </w:t>
      </w:r>
      <w:r w:rsidRPr="00AE6AAB">
        <w:rPr>
          <w:rStyle w:val="Emphasis"/>
          <w:rFonts w:asciiTheme="minorHAnsi" w:hAnsiTheme="minorHAnsi"/>
        </w:rPr>
        <w:t>Real world research</w:t>
      </w:r>
      <w:r w:rsidRPr="00AE6AAB">
        <w:rPr>
          <w:rFonts w:asciiTheme="minorHAnsi" w:hAnsiTheme="minorHAnsi"/>
        </w:rPr>
        <w:t xml:space="preserve">. 4th </w:t>
      </w:r>
      <w:proofErr w:type="spellStart"/>
      <w:r w:rsidRPr="00AE6AAB">
        <w:rPr>
          <w:rFonts w:asciiTheme="minorHAnsi" w:hAnsiTheme="minorHAnsi"/>
        </w:rPr>
        <w:t>edn</w:t>
      </w:r>
      <w:proofErr w:type="spellEnd"/>
      <w:r w:rsidRPr="00AE6AAB">
        <w:rPr>
          <w:rFonts w:asciiTheme="minorHAnsi" w:hAnsiTheme="minorHAnsi"/>
        </w:rPr>
        <w:t>. London: Wiley.</w:t>
      </w:r>
      <w:r w:rsidR="00AE7DCC">
        <w:rPr>
          <w:rFonts w:asciiTheme="minorHAnsi" w:hAnsiTheme="minorHAnsi"/>
        </w:rPr>
        <w:t xml:space="preserve"> </w:t>
      </w:r>
      <w:r w:rsidR="00AE7DCC">
        <w:t>(Accessed 28/08/2026)</w:t>
      </w:r>
    </w:p>
    <w:p w14:paraId="409E98B0" w14:textId="57A73FDD" w:rsidR="00AE6AAB" w:rsidRPr="00AE6AAB" w:rsidRDefault="00AE6AAB" w:rsidP="00AE6AAB">
      <w:pPr>
        <w:pStyle w:val="NormalWeb"/>
        <w:rPr>
          <w:rFonts w:asciiTheme="minorHAnsi" w:hAnsiTheme="minorHAnsi"/>
        </w:rPr>
      </w:pPr>
      <w:r w:rsidRPr="00AE6AAB">
        <w:rPr>
          <w:rFonts w:asciiTheme="minorHAnsi" w:hAnsiTheme="minorHAnsi"/>
        </w:rPr>
        <w:t xml:space="preserve">Rosen, L., Lim, A. and Felt, L. (2023) ‘Screen time displacement of physical activity in early childhood’, </w:t>
      </w:r>
      <w:r w:rsidRPr="00AE6AAB">
        <w:rPr>
          <w:rStyle w:val="Emphasis"/>
          <w:rFonts w:asciiTheme="minorHAnsi" w:hAnsiTheme="minorHAnsi"/>
        </w:rPr>
        <w:t>Journal of Child Health and Development</w:t>
      </w:r>
      <w:r w:rsidRPr="00AE6AAB">
        <w:rPr>
          <w:rFonts w:asciiTheme="minorHAnsi" w:hAnsiTheme="minorHAnsi"/>
        </w:rPr>
        <w:t>, 10(1), pp. 45–59.</w:t>
      </w:r>
      <w:r w:rsidR="00AE7DCC">
        <w:rPr>
          <w:rFonts w:asciiTheme="minorHAnsi" w:hAnsiTheme="minorHAnsi"/>
        </w:rPr>
        <w:t xml:space="preserve"> </w:t>
      </w:r>
      <w:r w:rsidR="00AE7DCC">
        <w:t>(Accessed 28/08/2026)</w:t>
      </w:r>
    </w:p>
    <w:p w14:paraId="1F54706E" w14:textId="402098F0" w:rsidR="00AE6AAB" w:rsidRPr="00AE6AAB" w:rsidRDefault="00AE6AAB" w:rsidP="00AE6AAB">
      <w:pPr>
        <w:pStyle w:val="NormalWeb"/>
        <w:rPr>
          <w:rFonts w:asciiTheme="minorHAnsi" w:hAnsiTheme="minorHAnsi"/>
        </w:rPr>
      </w:pPr>
      <w:r w:rsidRPr="00AE6AAB">
        <w:rPr>
          <w:rFonts w:asciiTheme="minorHAnsi" w:hAnsiTheme="minorHAnsi"/>
        </w:rPr>
        <w:t xml:space="preserve">Smith, K., Page, A. and Thorpe, K. (2021) ‘Access to outdoor play in disadvantaged communities’, </w:t>
      </w:r>
      <w:r w:rsidRPr="00AE6AAB">
        <w:rPr>
          <w:rStyle w:val="Emphasis"/>
          <w:rFonts w:asciiTheme="minorHAnsi" w:hAnsiTheme="minorHAnsi"/>
        </w:rPr>
        <w:t>Children’s Geographies</w:t>
      </w:r>
      <w:r w:rsidRPr="00AE6AAB">
        <w:rPr>
          <w:rFonts w:asciiTheme="minorHAnsi" w:hAnsiTheme="minorHAnsi"/>
        </w:rPr>
        <w:t>, 19(4), pp. 389–404.</w:t>
      </w:r>
      <w:r w:rsidR="00AE7DCC">
        <w:rPr>
          <w:rFonts w:asciiTheme="minorHAnsi" w:hAnsiTheme="minorHAnsi"/>
        </w:rPr>
        <w:t xml:space="preserve"> </w:t>
      </w:r>
      <w:r w:rsidR="00AE7DCC">
        <w:t>(Accessed 28/08/2026)</w:t>
      </w:r>
    </w:p>
    <w:p w14:paraId="0569F34C" w14:textId="1E4C6759" w:rsidR="00AE6AAB" w:rsidRPr="00AE6AAB" w:rsidRDefault="00AE6AAB" w:rsidP="00AE6AAB">
      <w:pPr>
        <w:pStyle w:val="NormalWeb"/>
        <w:rPr>
          <w:rFonts w:asciiTheme="minorHAnsi" w:hAnsiTheme="minorHAnsi"/>
        </w:rPr>
      </w:pPr>
      <w:r w:rsidRPr="00AE6AAB">
        <w:rPr>
          <w:rFonts w:asciiTheme="minorHAnsi" w:hAnsiTheme="minorHAnsi"/>
        </w:rPr>
        <w:t xml:space="preserve">Soares, C. and </w:t>
      </w:r>
      <w:proofErr w:type="spellStart"/>
      <w:r w:rsidRPr="00AE6AAB">
        <w:rPr>
          <w:rFonts w:asciiTheme="minorHAnsi" w:hAnsiTheme="minorHAnsi"/>
        </w:rPr>
        <w:t>Dumville</w:t>
      </w:r>
      <w:proofErr w:type="spellEnd"/>
      <w:r w:rsidRPr="00AE6AAB">
        <w:rPr>
          <w:rFonts w:asciiTheme="minorHAnsi" w:hAnsiTheme="minorHAnsi"/>
        </w:rPr>
        <w:t xml:space="preserve">, J. (2008) ‘Triangulation in research: Understanding its use in qualitative studies’, </w:t>
      </w:r>
      <w:r w:rsidRPr="00AE6AAB">
        <w:rPr>
          <w:rStyle w:val="Emphasis"/>
          <w:rFonts w:asciiTheme="minorHAnsi" w:hAnsiTheme="minorHAnsi"/>
        </w:rPr>
        <w:t>Nursing Standard</w:t>
      </w:r>
      <w:r w:rsidRPr="00AE6AAB">
        <w:rPr>
          <w:rFonts w:asciiTheme="minorHAnsi" w:hAnsiTheme="minorHAnsi"/>
        </w:rPr>
        <w:t>, 22(45), pp. 45–50.</w:t>
      </w:r>
      <w:r w:rsidR="00AE7DCC">
        <w:rPr>
          <w:rFonts w:asciiTheme="minorHAnsi" w:hAnsiTheme="minorHAnsi"/>
        </w:rPr>
        <w:t xml:space="preserve"> </w:t>
      </w:r>
      <w:r w:rsidR="00AE7DCC">
        <w:t>(Accessed 28/08/2026)</w:t>
      </w:r>
    </w:p>
    <w:p w14:paraId="4CA75B16" w14:textId="024BF25C" w:rsidR="00AE6AAB" w:rsidRPr="00AE6AAB" w:rsidRDefault="00AE6AAB" w:rsidP="00AE6AAB">
      <w:pPr>
        <w:pStyle w:val="NormalWeb"/>
        <w:rPr>
          <w:rFonts w:asciiTheme="minorHAnsi" w:hAnsiTheme="minorHAnsi"/>
        </w:rPr>
      </w:pPr>
      <w:r w:rsidRPr="00AE6AAB">
        <w:rPr>
          <w:rFonts w:asciiTheme="minorHAnsi" w:hAnsiTheme="minorHAnsi"/>
        </w:rPr>
        <w:t xml:space="preserve">Sreekumar, A. (2023) </w:t>
      </w:r>
      <w:r w:rsidRPr="00AE6AAB">
        <w:rPr>
          <w:rStyle w:val="Emphasis"/>
          <w:rFonts w:asciiTheme="minorHAnsi" w:hAnsiTheme="minorHAnsi"/>
        </w:rPr>
        <w:t>Quantitative research in education: Methods and applications</w:t>
      </w:r>
      <w:r w:rsidRPr="00AE6AAB">
        <w:rPr>
          <w:rFonts w:asciiTheme="minorHAnsi" w:hAnsiTheme="minorHAnsi"/>
        </w:rPr>
        <w:t>. New Delhi: Academic Press.</w:t>
      </w:r>
      <w:r w:rsidR="00AE7DCC">
        <w:rPr>
          <w:rFonts w:asciiTheme="minorHAnsi" w:hAnsiTheme="minorHAnsi"/>
        </w:rPr>
        <w:t xml:space="preserve"> </w:t>
      </w:r>
      <w:r w:rsidR="00AE7DCC">
        <w:t>(Accessed 28/08/2026)</w:t>
      </w:r>
    </w:p>
    <w:p w14:paraId="4B5E48D6" w14:textId="5002B169" w:rsidR="00AE6AAB" w:rsidRPr="00AE6AAB" w:rsidRDefault="00AE6AAB" w:rsidP="00AE6AAB">
      <w:pPr>
        <w:pStyle w:val="NormalWeb"/>
        <w:rPr>
          <w:rFonts w:asciiTheme="minorHAnsi" w:hAnsiTheme="minorHAnsi"/>
        </w:rPr>
      </w:pPr>
      <w:r w:rsidRPr="00AE6AAB">
        <w:rPr>
          <w:rFonts w:asciiTheme="minorHAnsi" w:hAnsiTheme="minorHAnsi"/>
        </w:rPr>
        <w:t xml:space="preserve">Tremblay, M., Gray, C., </w:t>
      </w:r>
      <w:proofErr w:type="spellStart"/>
      <w:r w:rsidRPr="00AE6AAB">
        <w:rPr>
          <w:rFonts w:asciiTheme="minorHAnsi" w:hAnsiTheme="minorHAnsi"/>
        </w:rPr>
        <w:t>Akinroye</w:t>
      </w:r>
      <w:proofErr w:type="spellEnd"/>
      <w:r w:rsidRPr="00AE6AAB">
        <w:rPr>
          <w:rFonts w:asciiTheme="minorHAnsi" w:hAnsiTheme="minorHAnsi"/>
        </w:rPr>
        <w:t xml:space="preserve">, K., et al. (2021) ‘Global matrix 4.0: Physical activity of children and youth’, </w:t>
      </w:r>
      <w:r w:rsidRPr="00AE6AAB">
        <w:rPr>
          <w:rStyle w:val="Emphasis"/>
          <w:rFonts w:asciiTheme="minorHAnsi" w:hAnsiTheme="minorHAnsi"/>
        </w:rPr>
        <w:t>Journal of Physical Activity and Health</w:t>
      </w:r>
      <w:r w:rsidRPr="00AE6AAB">
        <w:rPr>
          <w:rFonts w:asciiTheme="minorHAnsi" w:hAnsiTheme="minorHAnsi"/>
        </w:rPr>
        <w:t>, 18(11), pp. 1428–1440.</w:t>
      </w:r>
      <w:r w:rsidR="00AE7DCC">
        <w:rPr>
          <w:rFonts w:asciiTheme="minorHAnsi" w:hAnsiTheme="minorHAnsi"/>
        </w:rPr>
        <w:t xml:space="preserve"> </w:t>
      </w:r>
      <w:r w:rsidR="00AE7DCC">
        <w:t>(Accessed 28/08/2026)</w:t>
      </w:r>
    </w:p>
    <w:p w14:paraId="7B1D1E84" w14:textId="0F127F84" w:rsidR="00AE6AAB" w:rsidRPr="00AE6AAB" w:rsidRDefault="00AE6AAB" w:rsidP="00AE6AAB">
      <w:pPr>
        <w:pStyle w:val="NormalWeb"/>
        <w:rPr>
          <w:rFonts w:asciiTheme="minorHAnsi" w:hAnsiTheme="minorHAnsi"/>
        </w:rPr>
      </w:pPr>
      <w:r w:rsidRPr="00AE6AAB">
        <w:rPr>
          <w:rFonts w:asciiTheme="minorHAnsi" w:hAnsiTheme="minorHAnsi"/>
        </w:rPr>
        <w:t xml:space="preserve">Vygotsky, L. (1978) </w:t>
      </w:r>
      <w:r w:rsidRPr="00AE6AAB">
        <w:rPr>
          <w:rStyle w:val="Emphasis"/>
          <w:rFonts w:asciiTheme="minorHAnsi" w:hAnsiTheme="minorHAnsi"/>
        </w:rPr>
        <w:t>Mind in society: The development of higher psychological processes</w:t>
      </w:r>
      <w:r w:rsidRPr="00AE6AAB">
        <w:rPr>
          <w:rFonts w:asciiTheme="minorHAnsi" w:hAnsiTheme="minorHAnsi"/>
        </w:rPr>
        <w:t>. Cambridge, MA: Harvard University Press.</w:t>
      </w:r>
      <w:r w:rsidR="00AE7DCC">
        <w:rPr>
          <w:rFonts w:asciiTheme="minorHAnsi" w:hAnsiTheme="minorHAnsi"/>
        </w:rPr>
        <w:t xml:space="preserve"> </w:t>
      </w:r>
      <w:r w:rsidR="00AE7DCC">
        <w:t>(Accessed 28/08/2026)</w:t>
      </w:r>
    </w:p>
    <w:p w14:paraId="2728B9EC" w14:textId="5132BB8B" w:rsidR="00AE6AAB" w:rsidRPr="00AE6AAB" w:rsidRDefault="00AE6AAB" w:rsidP="00AE6AAB">
      <w:pPr>
        <w:pStyle w:val="NormalWeb"/>
        <w:rPr>
          <w:rFonts w:asciiTheme="minorHAnsi" w:hAnsiTheme="minorHAnsi"/>
        </w:rPr>
      </w:pPr>
      <w:r w:rsidRPr="00AE6AAB">
        <w:rPr>
          <w:rFonts w:asciiTheme="minorHAnsi" w:hAnsiTheme="minorHAnsi"/>
        </w:rPr>
        <w:t xml:space="preserve">Waite, S., Pratt, N. and </w:t>
      </w:r>
      <w:proofErr w:type="spellStart"/>
      <w:r w:rsidRPr="00AE6AAB">
        <w:rPr>
          <w:rFonts w:asciiTheme="minorHAnsi" w:hAnsiTheme="minorHAnsi"/>
        </w:rPr>
        <w:t>Scarnà</w:t>
      </w:r>
      <w:proofErr w:type="spellEnd"/>
      <w:r w:rsidRPr="00AE6AAB">
        <w:rPr>
          <w:rFonts w:asciiTheme="minorHAnsi" w:hAnsiTheme="minorHAnsi"/>
        </w:rPr>
        <w:t xml:space="preserve">, F. (2021) ‘Outdoor learning as a context for wellbeing and engagement’, </w:t>
      </w:r>
      <w:r w:rsidRPr="00AE6AAB">
        <w:rPr>
          <w:rStyle w:val="Emphasis"/>
          <w:rFonts w:asciiTheme="minorHAnsi" w:hAnsiTheme="minorHAnsi"/>
        </w:rPr>
        <w:t>Education 3–13</w:t>
      </w:r>
      <w:r w:rsidRPr="00AE6AAB">
        <w:rPr>
          <w:rFonts w:asciiTheme="minorHAnsi" w:hAnsiTheme="minorHAnsi"/>
        </w:rPr>
        <w:t>, 49(7), pp. 897–910.</w:t>
      </w:r>
      <w:r w:rsidR="00AE7DCC">
        <w:rPr>
          <w:rFonts w:asciiTheme="minorHAnsi" w:hAnsiTheme="minorHAnsi"/>
        </w:rPr>
        <w:t xml:space="preserve"> </w:t>
      </w:r>
      <w:r w:rsidR="00AE7DCC">
        <w:t>(Accessed 28/08/2026)</w:t>
      </w:r>
    </w:p>
    <w:p w14:paraId="607151E6" w14:textId="32BCBF02" w:rsidR="00AE6AAB" w:rsidRPr="00AE6AAB" w:rsidRDefault="00AE6AAB" w:rsidP="00AE6AAB">
      <w:pPr>
        <w:pStyle w:val="NormalWeb"/>
        <w:rPr>
          <w:rFonts w:asciiTheme="minorHAnsi" w:hAnsiTheme="minorHAnsi"/>
        </w:rPr>
      </w:pPr>
      <w:r w:rsidRPr="00AE6AAB">
        <w:rPr>
          <w:rFonts w:asciiTheme="minorHAnsi" w:hAnsiTheme="minorHAnsi"/>
        </w:rPr>
        <w:t xml:space="preserve">White, J. (2019) </w:t>
      </w:r>
      <w:r w:rsidRPr="00AE6AAB">
        <w:rPr>
          <w:rStyle w:val="Emphasis"/>
          <w:rFonts w:asciiTheme="minorHAnsi" w:hAnsiTheme="minorHAnsi"/>
        </w:rPr>
        <w:t>Playing and learning outdoors: Making provision for high</w:t>
      </w:r>
      <w:r w:rsidRPr="00AE6AAB">
        <w:rPr>
          <w:rStyle w:val="Emphasis"/>
          <w:rFonts w:asciiTheme="minorHAnsi" w:hAnsiTheme="minorHAnsi"/>
        </w:rPr>
        <w:noBreakHyphen/>
        <w:t>quality experiences in the outdoor environment</w:t>
      </w:r>
      <w:r w:rsidRPr="00AE6AAB">
        <w:rPr>
          <w:rFonts w:asciiTheme="minorHAnsi" w:hAnsiTheme="minorHAnsi"/>
        </w:rPr>
        <w:t>. London: Routledge.</w:t>
      </w:r>
      <w:r w:rsidR="00AE7DCC">
        <w:rPr>
          <w:rFonts w:asciiTheme="minorHAnsi" w:hAnsiTheme="minorHAnsi"/>
        </w:rPr>
        <w:t xml:space="preserve"> </w:t>
      </w:r>
      <w:r w:rsidR="00AE7DCC">
        <w:t>(Accessed 28/08/2026)</w:t>
      </w:r>
    </w:p>
    <w:p w14:paraId="5D737112" w14:textId="77777777" w:rsidR="00AE6AAB" w:rsidRPr="00AE6AAB" w:rsidRDefault="00AE6AAB" w:rsidP="00AE6AAB">
      <w:pPr>
        <w:pStyle w:val="NormalWeb"/>
        <w:rPr>
          <w:rFonts w:asciiTheme="minorHAnsi" w:hAnsiTheme="minorHAnsi"/>
          <w:u w:val="single"/>
        </w:rPr>
      </w:pPr>
    </w:p>
    <w:p w14:paraId="26E2D424" w14:textId="77777777" w:rsidR="00AE6AAB" w:rsidRPr="00AE6AAB" w:rsidRDefault="00AE6AAB" w:rsidP="00AE6AAB">
      <w:pPr>
        <w:pStyle w:val="NormalWeb"/>
        <w:rPr>
          <w:rFonts w:asciiTheme="minorHAnsi" w:hAnsiTheme="minorHAnsi"/>
        </w:rPr>
      </w:pPr>
    </w:p>
    <w:p w14:paraId="2714F906" w14:textId="77777777" w:rsidR="00DB00AE" w:rsidRPr="00DB00AE" w:rsidRDefault="00DB00AE" w:rsidP="00DB00AE">
      <w:pPr>
        <w:pStyle w:val="NormalWeb"/>
        <w:rPr>
          <w:rFonts w:asciiTheme="minorHAnsi" w:hAnsiTheme="minorHAnsi"/>
        </w:rPr>
      </w:pPr>
    </w:p>
    <w:p w14:paraId="15DC4851" w14:textId="77777777" w:rsidR="00DB00AE" w:rsidRPr="00DB00AE" w:rsidRDefault="00DB00AE" w:rsidP="00DB00AE">
      <w:pPr>
        <w:pStyle w:val="NormalWeb"/>
        <w:rPr>
          <w:rFonts w:asciiTheme="minorHAnsi" w:hAnsiTheme="minorHAnsi"/>
        </w:rPr>
      </w:pPr>
    </w:p>
    <w:p w14:paraId="6D400835" w14:textId="77777777" w:rsidR="00DB00AE" w:rsidRDefault="00DB00AE" w:rsidP="00FA03DB">
      <w:pPr>
        <w:pStyle w:val="NormalWeb"/>
        <w:rPr>
          <w:rFonts w:asciiTheme="minorHAnsi" w:hAnsiTheme="minorHAnsi"/>
        </w:rPr>
      </w:pPr>
    </w:p>
    <w:p w14:paraId="60CC4F8D" w14:textId="77777777" w:rsidR="00FA03DB" w:rsidRPr="00FA03DB" w:rsidRDefault="00FA03DB" w:rsidP="00FA03DB">
      <w:pPr>
        <w:pStyle w:val="NormalWeb"/>
        <w:rPr>
          <w:rFonts w:asciiTheme="minorHAnsi" w:hAnsiTheme="minorHAnsi"/>
        </w:rPr>
      </w:pPr>
    </w:p>
    <w:p w14:paraId="71531A98" w14:textId="77777777" w:rsidR="00FA03DB" w:rsidRPr="00FA03DB" w:rsidRDefault="00FA03DB" w:rsidP="008D1657">
      <w:pPr>
        <w:pStyle w:val="NormalWeb"/>
        <w:rPr>
          <w:rFonts w:asciiTheme="minorHAnsi" w:hAnsiTheme="minorHAnsi"/>
        </w:rPr>
      </w:pPr>
    </w:p>
    <w:p w14:paraId="5DAE7D16" w14:textId="77777777" w:rsidR="008D1657" w:rsidRPr="008D1657" w:rsidRDefault="008D1657" w:rsidP="008D1657">
      <w:pPr>
        <w:pStyle w:val="NormalWeb"/>
        <w:rPr>
          <w:rFonts w:asciiTheme="minorHAnsi" w:hAnsiTheme="minorHAnsi"/>
        </w:rPr>
      </w:pPr>
    </w:p>
    <w:p w14:paraId="0BA33A05" w14:textId="77777777" w:rsidR="008D1657" w:rsidRDefault="008D1657" w:rsidP="008D1657">
      <w:pPr>
        <w:pStyle w:val="NormalWeb"/>
        <w:rPr>
          <w:rFonts w:asciiTheme="minorHAnsi" w:hAnsiTheme="minorHAnsi"/>
        </w:rPr>
      </w:pPr>
    </w:p>
    <w:p w14:paraId="70BBB372" w14:textId="77777777" w:rsidR="008D1657" w:rsidRPr="008D1657" w:rsidRDefault="008D1657" w:rsidP="008D1657">
      <w:pPr>
        <w:pStyle w:val="NormalWeb"/>
        <w:rPr>
          <w:rFonts w:asciiTheme="minorHAnsi" w:hAnsiTheme="minorHAnsi"/>
        </w:rPr>
      </w:pPr>
    </w:p>
    <w:p w14:paraId="35B87000" w14:textId="77777777" w:rsidR="008D1657" w:rsidRDefault="008D1657" w:rsidP="008D1657">
      <w:pPr>
        <w:spacing w:before="100" w:beforeAutospacing="1" w:after="100" w:afterAutospacing="1" w:line="240" w:lineRule="auto"/>
        <w:rPr>
          <w:rFonts w:eastAsia="Times New Roman" w:cs="Times New Roman"/>
          <w:kern w:val="0"/>
          <w:lang w:eastAsia="en-GB"/>
          <w14:ligatures w14:val="none"/>
        </w:rPr>
      </w:pPr>
    </w:p>
    <w:p w14:paraId="45587E5D" w14:textId="77777777" w:rsidR="008D1657" w:rsidRPr="008D1657" w:rsidRDefault="008D1657" w:rsidP="008D1657">
      <w:pPr>
        <w:spacing w:before="100" w:beforeAutospacing="1" w:after="100" w:afterAutospacing="1" w:line="240" w:lineRule="auto"/>
        <w:rPr>
          <w:rFonts w:eastAsia="Times New Roman" w:cs="Times New Roman"/>
          <w:kern w:val="0"/>
          <w:lang w:eastAsia="en-GB"/>
          <w14:ligatures w14:val="none"/>
        </w:rPr>
      </w:pPr>
    </w:p>
    <w:p w14:paraId="64C72E65" w14:textId="77777777" w:rsidR="008D1657" w:rsidRPr="008D1657" w:rsidRDefault="008D1657" w:rsidP="008D1657">
      <w:pPr>
        <w:spacing w:before="100" w:beforeAutospacing="1" w:after="100" w:afterAutospacing="1" w:line="240" w:lineRule="auto"/>
        <w:rPr>
          <w:rFonts w:eastAsia="Times New Roman" w:cs="Times New Roman"/>
          <w:kern w:val="0"/>
          <w:lang w:eastAsia="en-GB"/>
          <w14:ligatures w14:val="none"/>
        </w:rPr>
      </w:pPr>
    </w:p>
    <w:p w14:paraId="111AF50C" w14:textId="77777777" w:rsidR="008D1657" w:rsidRDefault="008D1657"/>
    <w:sectPr w:rsidR="008D1657">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7DAEBD" w14:textId="77777777" w:rsidR="00171C86" w:rsidRDefault="00171C86" w:rsidP="00AE7DCC">
      <w:pPr>
        <w:spacing w:after="0" w:line="240" w:lineRule="auto"/>
      </w:pPr>
      <w:r>
        <w:separator/>
      </w:r>
    </w:p>
  </w:endnote>
  <w:endnote w:type="continuationSeparator" w:id="0">
    <w:p w14:paraId="0D4D73D7" w14:textId="77777777" w:rsidR="00171C86" w:rsidRDefault="00171C86" w:rsidP="00AE7D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8F2E27" w14:textId="77777777" w:rsidR="00171C86" w:rsidRDefault="00171C86" w:rsidP="00AE7DCC">
      <w:pPr>
        <w:spacing w:after="0" w:line="240" w:lineRule="auto"/>
      </w:pPr>
      <w:r>
        <w:separator/>
      </w:r>
    </w:p>
  </w:footnote>
  <w:footnote w:type="continuationSeparator" w:id="0">
    <w:p w14:paraId="68EF77AC" w14:textId="77777777" w:rsidR="00171C86" w:rsidRDefault="00171C86" w:rsidP="00AE7D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376AF" w14:textId="122F7594" w:rsidR="00AE7DCC" w:rsidRPr="00AE7DCC" w:rsidRDefault="00AE7DCC">
    <w:pPr>
      <w:pStyle w:val="Header"/>
    </w:pPr>
    <w:r w:rsidRPr="00AE7DCC">
      <w:rPr>
        <w:color w:val="000000"/>
      </w:rPr>
      <w:t xml:space="preserve">Student number: 2515368 </w:t>
    </w:r>
    <w:r>
      <w:rPr>
        <w:color w:val="000000"/>
      </w:rPr>
      <w:t xml:space="preserve">             </w:t>
    </w:r>
    <w:r w:rsidRPr="00AE7DCC">
      <w:rPr>
        <w:color w:val="000000"/>
      </w:rPr>
      <w:t>Module code: ECEY5010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AE6FD7"/>
    <w:multiLevelType w:val="multilevel"/>
    <w:tmpl w:val="C62AF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7412EA0"/>
    <w:multiLevelType w:val="multilevel"/>
    <w:tmpl w:val="C964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02208BB"/>
    <w:multiLevelType w:val="multilevel"/>
    <w:tmpl w:val="61127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8BA5009"/>
    <w:multiLevelType w:val="multilevel"/>
    <w:tmpl w:val="5304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89433263">
    <w:abstractNumId w:val="0"/>
  </w:num>
  <w:num w:numId="2" w16cid:durableId="1889876518">
    <w:abstractNumId w:val="1"/>
  </w:num>
  <w:num w:numId="3" w16cid:durableId="737754555">
    <w:abstractNumId w:val="2"/>
  </w:num>
  <w:num w:numId="4" w16cid:durableId="120235366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1657"/>
    <w:rsid w:val="00171C86"/>
    <w:rsid w:val="008D1657"/>
    <w:rsid w:val="00A64885"/>
    <w:rsid w:val="00AE6AAB"/>
    <w:rsid w:val="00AE7DCC"/>
    <w:rsid w:val="00DB00AE"/>
    <w:rsid w:val="00E05160"/>
    <w:rsid w:val="00FA0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0DC63"/>
  <w15:chartTrackingRefBased/>
  <w15:docId w15:val="{396DEF49-490C-4D2A-A5DC-ADEBB1CBF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16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D16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D16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D16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D16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D16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16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16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16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16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D16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D16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D16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D16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D16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16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16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1657"/>
    <w:rPr>
      <w:rFonts w:eastAsiaTheme="majorEastAsia" w:cstheme="majorBidi"/>
      <w:color w:val="272727" w:themeColor="text1" w:themeTint="D8"/>
    </w:rPr>
  </w:style>
  <w:style w:type="paragraph" w:styleId="Title">
    <w:name w:val="Title"/>
    <w:basedOn w:val="Normal"/>
    <w:next w:val="Normal"/>
    <w:link w:val="TitleChar"/>
    <w:uiPriority w:val="10"/>
    <w:qFormat/>
    <w:rsid w:val="008D16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16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16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16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D1657"/>
    <w:pPr>
      <w:spacing w:before="160"/>
      <w:jc w:val="center"/>
    </w:pPr>
    <w:rPr>
      <w:i/>
      <w:iCs/>
      <w:color w:val="404040" w:themeColor="text1" w:themeTint="BF"/>
    </w:rPr>
  </w:style>
  <w:style w:type="character" w:customStyle="1" w:styleId="QuoteChar">
    <w:name w:val="Quote Char"/>
    <w:basedOn w:val="DefaultParagraphFont"/>
    <w:link w:val="Quote"/>
    <w:uiPriority w:val="29"/>
    <w:rsid w:val="008D1657"/>
    <w:rPr>
      <w:i/>
      <w:iCs/>
      <w:color w:val="404040" w:themeColor="text1" w:themeTint="BF"/>
    </w:rPr>
  </w:style>
  <w:style w:type="paragraph" w:styleId="ListParagraph">
    <w:name w:val="List Paragraph"/>
    <w:basedOn w:val="Normal"/>
    <w:uiPriority w:val="34"/>
    <w:qFormat/>
    <w:rsid w:val="008D1657"/>
    <w:pPr>
      <w:ind w:left="720"/>
      <w:contextualSpacing/>
    </w:pPr>
  </w:style>
  <w:style w:type="character" w:styleId="IntenseEmphasis">
    <w:name w:val="Intense Emphasis"/>
    <w:basedOn w:val="DefaultParagraphFont"/>
    <w:uiPriority w:val="21"/>
    <w:qFormat/>
    <w:rsid w:val="008D1657"/>
    <w:rPr>
      <w:i/>
      <w:iCs/>
      <w:color w:val="0F4761" w:themeColor="accent1" w:themeShade="BF"/>
    </w:rPr>
  </w:style>
  <w:style w:type="paragraph" w:styleId="IntenseQuote">
    <w:name w:val="Intense Quote"/>
    <w:basedOn w:val="Normal"/>
    <w:next w:val="Normal"/>
    <w:link w:val="IntenseQuoteChar"/>
    <w:uiPriority w:val="30"/>
    <w:qFormat/>
    <w:rsid w:val="008D16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D1657"/>
    <w:rPr>
      <w:i/>
      <w:iCs/>
      <w:color w:val="0F4761" w:themeColor="accent1" w:themeShade="BF"/>
    </w:rPr>
  </w:style>
  <w:style w:type="character" w:styleId="IntenseReference">
    <w:name w:val="Intense Reference"/>
    <w:basedOn w:val="DefaultParagraphFont"/>
    <w:uiPriority w:val="32"/>
    <w:qFormat/>
    <w:rsid w:val="008D1657"/>
    <w:rPr>
      <w:b/>
      <w:bCs/>
      <w:smallCaps/>
      <w:color w:val="0F4761" w:themeColor="accent1" w:themeShade="BF"/>
      <w:spacing w:val="5"/>
    </w:rPr>
  </w:style>
  <w:style w:type="paragraph" w:styleId="NormalWeb">
    <w:name w:val="Normal (Web)"/>
    <w:basedOn w:val="Normal"/>
    <w:uiPriority w:val="99"/>
    <w:unhideWhenUsed/>
    <w:rsid w:val="008D165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8D1657"/>
    <w:rPr>
      <w:b/>
      <w:bCs/>
    </w:rPr>
  </w:style>
  <w:style w:type="character" w:styleId="Emphasis">
    <w:name w:val="Emphasis"/>
    <w:basedOn w:val="DefaultParagraphFont"/>
    <w:uiPriority w:val="20"/>
    <w:qFormat/>
    <w:rsid w:val="00FA03DB"/>
    <w:rPr>
      <w:i/>
      <w:iCs/>
    </w:rPr>
  </w:style>
  <w:style w:type="character" w:styleId="Hyperlink">
    <w:name w:val="Hyperlink"/>
    <w:basedOn w:val="DefaultParagraphFont"/>
    <w:uiPriority w:val="99"/>
    <w:semiHidden/>
    <w:unhideWhenUsed/>
    <w:rsid w:val="00AE7DCC"/>
    <w:rPr>
      <w:color w:val="0000FF"/>
      <w:u w:val="single"/>
    </w:rPr>
  </w:style>
  <w:style w:type="paragraph" w:styleId="Header">
    <w:name w:val="header"/>
    <w:basedOn w:val="Normal"/>
    <w:link w:val="HeaderChar"/>
    <w:uiPriority w:val="99"/>
    <w:unhideWhenUsed/>
    <w:rsid w:val="00AE7D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7DCC"/>
  </w:style>
  <w:style w:type="paragraph" w:styleId="Footer">
    <w:name w:val="footer"/>
    <w:basedOn w:val="Normal"/>
    <w:link w:val="FooterChar"/>
    <w:uiPriority w:val="99"/>
    <w:unhideWhenUsed/>
    <w:rsid w:val="00AE7D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7D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yalliance.org.uk/" TargetMode="External"/><Relationship Id="rId3" Type="http://schemas.openxmlformats.org/officeDocument/2006/relationships/settings" Target="settings.xml"/><Relationship Id="rId7" Type="http://schemas.openxmlformats.org/officeDocument/2006/relationships/hyperlink" Target="https://www.gov.uk/government/organisations/department-for-educatio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53</TotalTime>
  <Pages>8</Pages>
  <Words>2187</Words>
  <Characters>12471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smharding62@gmail.com</dc:creator>
  <cp:keywords/>
  <dc:description/>
  <cp:lastModifiedBy>smharding62@gmail.com</cp:lastModifiedBy>
  <cp:revision>1</cp:revision>
  <dcterms:created xsi:type="dcterms:W3CDTF">2026-08-30T17:42:00Z</dcterms:created>
  <dcterms:modified xsi:type="dcterms:W3CDTF">2026-08-30T18:35:00Z</dcterms:modified>
</cp:coreProperties>
</file>