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g"/>
  <Default Extension="jpeg" ContentType="image/jpeg"/>
  <Default Extension="png" ContentType="image/png"/>
  <Override PartName="/word/settings.xml" ContentType="application/vnd.openxmlformats-officedocument.wordprocessingml.settings+xml"/>
  <Override PartName="/word/header1.xml" ContentType="application/vnd.openxmlformats-officedocument.wordprocessingml.head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 Id="rId5"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sdt>
      <w:sdtPr>
        <w:rPr>
          <w:rFonts w:ascii="Aptos" w:hAnsi="Aptos"/>
          <w:bCs/>
          <w:i/>
        </w:rPr>
        <w:id w:val="-51114704"/>
        <w:docPartObj>
          <w:docPartGallery/>
          <w:docPartUnique/>
        </w:docPartObj>
      </w:sdtPr>
      <w:sdtEndPr/>
      <w:sdtContent>
        <w:p>
          <w:pPr>
            <w:jc w:val="center"/>
            <w:rPr>
              <w:bCs/>
              <w:i/>
            </w:rPr>
          </w:pPr>
          <w:r>
            <w:rPr>
              <w:bCs/>
            </w:rPr>
            <w:t>Table of Contents</w:t>
          </w:r>
        </w:p>
      </w:sdtContent>
    </w:sdt>
    <w:p>
      <w:pPr>
        <w:pStyle w:val="31"/>
        <w:tabs>
          <w:tab w:val="left" w:pos="440"/>
          <w:tab w:val="right" w:leader="dot" w:pos="9350"/>
        </w:tabs>
        <w:rPr>
          <w:rFonts w:ascii="Aptos" w:eastAsia="等线" w:hAnsi="Aptos"/>
          <w:kern w:val="0"/>
          <w:sz w:val="22"/>
        </w:rPr>
      </w:pPr>
      <w:r>
        <w:rPr>
          <w:rFonts w:cs="Times New Roman"/>
          <w:bCs/>
          <w:szCs w:val="24"/>
        </w:rPr>
        <w:fldChar w:fldCharType="begin"/>
      </w:r>
      <w:r>
        <w:rPr>
          <w:rFonts w:cs="Times New Roman"/>
          <w:bCs/>
          <w:szCs w:val="24"/>
        </w:rPr>
        <w:instrText xml:space="preserve"> TOC \o "1-3" \h \z \u </w:instrText>
      </w:r>
      <w:r>
        <w:rPr>
          <w:rFonts w:cs="Times New Roman"/>
          <w:bCs/>
          <w:szCs w:val="24"/>
        </w:rPr>
        <w:fldChar w:fldCharType="separate"/>
      </w:r>
      <w:r>
        <w:fldChar w:fldCharType="begin"/>
      </w:r>
      <w:r>
        <w:instrText>Hyperlink \l "_Toc191114838"</w:instrText>
      </w:r>
      <w:r>
        <w:fldChar w:fldCharType="separate"/>
      </w:r>
      <w:r>
        <w:rPr>
          <w:rFonts w:eastAsia="Times New Roman"/>
          <w:lang w:val="en-GB" w:eastAsia="en-GB"/>
        </w:rPr>
        <w:t>1</w:t>
      </w:r>
      <w:r>
        <w:rPr>
          <w:rFonts w:ascii="Aptos" w:eastAsia="等线" w:hAnsi="Aptos"/>
          <w:kern w:val="0"/>
          <w:sz w:val="22"/>
        </w:rPr>
        <w:tab/>
      </w:r>
      <w:r>
        <w:t>Introduction</w:t>
        <w:tab/>
      </w:r>
      <w:r>
        <w:fldChar w:fldCharType="begin"/>
      </w:r>
      <w:r>
        <w:instrText xml:space="preserve"> PAGEREF _Toc191114838 \h </w:instrText>
      </w:r>
      <w:r>
        <w:fldChar w:fldCharType="separate"/>
      </w:r>
      <w:r>
        <w:t>8</w:t>
      </w:r>
      <w:r>
        <w:fldChar w:fldCharType="end"/>
      </w:r>
      <w:r>
        <w:fldChar w:fldCharType="end"/>
      </w:r>
    </w:p>
    <w:p>
      <w:pPr>
        <w:pStyle w:val="31"/>
        <w:tabs>
          <w:tab w:val="left" w:pos="440"/>
          <w:tab w:val="right" w:leader="dot" w:pos="9350"/>
        </w:tabs>
        <w:rPr>
          <w:rFonts w:ascii="Aptos" w:eastAsia="等线" w:hAnsi="Aptos"/>
          <w:kern w:val="0"/>
          <w:sz w:val="22"/>
        </w:rPr>
      </w:pPr>
      <w:r>
        <w:fldChar w:fldCharType="begin"/>
      </w:r>
      <w:r>
        <w:instrText>Hyperlink \l "_Toc191114839"</w:instrText>
      </w:r>
      <w:r>
        <w:fldChar w:fldCharType="separate"/>
      </w:r>
      <w:r>
        <w:t>2</w:t>
      </w:r>
      <w:r>
        <w:rPr>
          <w:rFonts w:ascii="Aptos" w:eastAsia="等线" w:hAnsi="Aptos"/>
          <w:kern w:val="0"/>
          <w:sz w:val="22"/>
        </w:rPr>
        <w:tab/>
      </w:r>
      <w:r>
        <w:t>Analysis</w:t>
        <w:tab/>
      </w:r>
      <w:r>
        <w:fldChar w:fldCharType="begin"/>
      </w:r>
      <w:r>
        <w:instrText xml:space="preserve"> PAGEREF _Toc191114839 \h </w:instrText>
      </w:r>
      <w:r>
        <w:fldChar w:fldCharType="separate"/>
      </w:r>
      <w:r>
        <w:t>10</w:t>
      </w:r>
      <w:r>
        <w:fldChar w:fldCharType="end"/>
      </w:r>
      <w:r>
        <w:fldChar w:fldCharType="end"/>
      </w:r>
    </w:p>
    <w:p>
      <w:pPr>
        <w:pStyle w:val="32"/>
        <w:tabs>
          <w:tab w:val="left" w:pos="960"/>
          <w:tab w:val="right" w:leader="dot" w:pos="9350"/>
        </w:tabs>
        <w:rPr>
          <w:rFonts w:ascii="Aptos" w:eastAsia="等线" w:cs="Arial" w:hAnsi="Aptos"/>
          <w:b w:val="0"/>
          <w:bCs w:val="0"/>
          <w:kern w:val="0"/>
          <w:sz w:val="22"/>
          <w:lang w:val="en-US" w:eastAsia="en-US"/>
        </w:rPr>
      </w:pPr>
      <w:r>
        <w:fldChar w:fldCharType="begin"/>
      </w:r>
      <w:r>
        <w:instrText>Hyperlink \l "_Toc191114840"</w:instrText>
      </w:r>
      <w:r>
        <w:fldChar w:fldCharType="separate"/>
      </w:r>
      <w:r>
        <w:rPr>
          <w:b w:val="0"/>
          <w:bCs w:val="0"/>
        </w:rPr>
        <w:t>2.1</w:t>
      </w:r>
      <w:r>
        <w:rPr>
          <w:rFonts w:ascii="Aptos" w:eastAsia="等线" w:cs="Arial" w:hAnsi="Aptos"/>
          <w:b w:val="0"/>
          <w:bCs w:val="0"/>
          <w:kern w:val="0"/>
          <w:sz w:val="22"/>
          <w:lang w:val="en-US" w:eastAsia="en-US"/>
        </w:rPr>
        <w:tab/>
      </w:r>
      <w:r>
        <w:rPr>
          <w:b w:val="0"/>
          <w:bCs w:val="0"/>
        </w:rPr>
        <w:t>Identification of the issue</w:t>
        <w:tab/>
      </w:r>
      <w:r>
        <w:rPr>
          <w:b w:val="0"/>
          <w:bCs w:val="0"/>
        </w:rPr>
        <w:fldChar w:fldCharType="begin"/>
      </w:r>
      <w:r>
        <w:rPr>
          <w:b w:val="0"/>
          <w:bCs w:val="0"/>
        </w:rPr>
        <w:instrText xml:space="preserve"> PAGEREF _Toc191114840 \h </w:instrText>
      </w:r>
      <w:r>
        <w:rPr>
          <w:b w:val="0"/>
          <w:bCs w:val="0"/>
        </w:rPr>
        <w:fldChar w:fldCharType="separate"/>
      </w:r>
      <w:r>
        <w:rPr>
          <w:b w:val="0"/>
          <w:bCs w:val="0"/>
        </w:rPr>
        <w:t>10</w:t>
      </w:r>
      <w:r>
        <w:rPr>
          <w:b w:val="0"/>
          <w:bCs w:val="0"/>
        </w:rPr>
        <w:fldChar w:fldCharType="end"/>
      </w:r>
      <w:r>
        <w:fldChar w:fldCharType="end"/>
      </w:r>
    </w:p>
    <w:p>
      <w:pPr>
        <w:pStyle w:val="32"/>
        <w:tabs>
          <w:tab w:val="left" w:pos="960"/>
          <w:tab w:val="right" w:leader="dot" w:pos="9350"/>
        </w:tabs>
        <w:rPr>
          <w:rFonts w:ascii="Aptos" w:eastAsia="等线" w:cs="Arial" w:hAnsi="Aptos"/>
          <w:b w:val="0"/>
          <w:bCs w:val="0"/>
          <w:kern w:val="0"/>
          <w:sz w:val="22"/>
          <w:lang w:val="en-US" w:eastAsia="en-US"/>
        </w:rPr>
      </w:pPr>
      <w:r>
        <w:fldChar w:fldCharType="begin"/>
      </w:r>
      <w:r>
        <w:instrText>Hyperlink \l "_Toc191114841"</w:instrText>
      </w:r>
      <w:r>
        <w:fldChar w:fldCharType="separate"/>
      </w:r>
      <w:r>
        <w:rPr>
          <w:b w:val="0"/>
          <w:bCs w:val="0"/>
        </w:rPr>
        <w:t>2.2</w:t>
      </w:r>
      <w:r>
        <w:rPr>
          <w:rFonts w:ascii="Aptos" w:eastAsia="等线" w:cs="Arial" w:hAnsi="Aptos"/>
          <w:b w:val="0"/>
          <w:bCs w:val="0"/>
          <w:kern w:val="0"/>
          <w:sz w:val="22"/>
          <w:lang w:val="en-US" w:eastAsia="en-US"/>
        </w:rPr>
        <w:tab/>
      </w:r>
      <w:r>
        <w:rPr>
          <w:b w:val="0"/>
          <w:bCs w:val="0"/>
        </w:rPr>
        <w:t>PESTLE Analysis (External Factors Impacting the Hotel)</w:t>
        <w:tab/>
      </w:r>
      <w:r>
        <w:rPr>
          <w:b w:val="0"/>
          <w:bCs w:val="0"/>
        </w:rPr>
        <w:fldChar w:fldCharType="begin"/>
      </w:r>
      <w:r>
        <w:rPr>
          <w:b w:val="0"/>
          <w:bCs w:val="0"/>
        </w:rPr>
        <w:instrText xml:space="preserve"> PAGEREF _Toc191114841 \h </w:instrText>
      </w:r>
      <w:r>
        <w:rPr>
          <w:b w:val="0"/>
          <w:bCs w:val="0"/>
        </w:rPr>
        <w:fldChar w:fldCharType="separate"/>
      </w:r>
      <w:r>
        <w:rPr>
          <w:b w:val="0"/>
          <w:bCs w:val="0"/>
        </w:rPr>
        <w:t>11</w:t>
      </w:r>
      <w:r>
        <w:rPr>
          <w:b w:val="0"/>
          <w:bCs w:val="0"/>
        </w:rPr>
        <w:fldChar w:fldCharType="end"/>
      </w:r>
      <w:r>
        <w:fldChar w:fldCharType="end"/>
      </w:r>
    </w:p>
    <w:p>
      <w:pPr>
        <w:pStyle w:val="33"/>
        <w:tabs>
          <w:tab w:val="left" w:pos="1320"/>
          <w:tab w:val="right" w:leader="dot" w:pos="9350"/>
        </w:tabs>
        <w:rPr>
          <w:rFonts w:ascii="Aptos" w:eastAsia="等线" w:hAnsi="Aptos"/>
          <w:kern w:val="0"/>
          <w:sz w:val="22"/>
        </w:rPr>
      </w:pPr>
      <w:r>
        <w:fldChar w:fldCharType="begin"/>
      </w:r>
      <w:r>
        <w:instrText>Hyperlink \l "_Toc191114842"</w:instrText>
      </w:r>
      <w:r>
        <w:fldChar w:fldCharType="separate"/>
      </w:r>
      <w:r>
        <w:rPr>
          <w:rFonts w:eastAsia="Times New Roman"/>
        </w:rPr>
        <w:t>2.2.1</w:t>
      </w:r>
      <w:r>
        <w:rPr>
          <w:rFonts w:ascii="Aptos" w:eastAsia="等线" w:hAnsi="Aptos"/>
          <w:kern w:val="0"/>
          <w:sz w:val="22"/>
        </w:rPr>
        <w:tab/>
      </w:r>
      <w:r>
        <w:rPr>
          <w:rFonts w:eastAsia="Times New Roman"/>
        </w:rPr>
        <w:t>Political Factors</w:t>
      </w:r>
      <w:r>
        <w:tab/>
      </w:r>
      <w:r>
        <w:fldChar w:fldCharType="begin"/>
      </w:r>
      <w:r>
        <w:instrText xml:space="preserve"> PAGEREF _Toc191114842 \h </w:instrText>
      </w:r>
      <w:r>
        <w:fldChar w:fldCharType="separate"/>
      </w:r>
      <w:r>
        <w:t>11</w:t>
      </w:r>
      <w:r>
        <w:fldChar w:fldCharType="end"/>
      </w:r>
      <w:r>
        <w:fldChar w:fldCharType="end"/>
      </w:r>
    </w:p>
    <w:p>
      <w:pPr>
        <w:pStyle w:val="33"/>
        <w:tabs>
          <w:tab w:val="left" w:pos="1320"/>
          <w:tab w:val="right" w:leader="dot" w:pos="9350"/>
        </w:tabs>
        <w:rPr>
          <w:rFonts w:ascii="Aptos" w:eastAsia="等线" w:hAnsi="Aptos"/>
          <w:kern w:val="0"/>
          <w:sz w:val="22"/>
        </w:rPr>
      </w:pPr>
      <w:r>
        <w:fldChar w:fldCharType="begin"/>
      </w:r>
      <w:r>
        <w:instrText>Hyperlink \l "_Toc191114843"</w:instrText>
      </w:r>
      <w:r>
        <w:fldChar w:fldCharType="separate"/>
      </w:r>
      <w:r>
        <w:rPr>
          <w:rFonts w:eastAsia="Times New Roman"/>
        </w:rPr>
        <w:t>2.2.2</w:t>
      </w:r>
      <w:r>
        <w:rPr>
          <w:rFonts w:ascii="Aptos" w:eastAsia="等线" w:hAnsi="Aptos"/>
          <w:kern w:val="0"/>
          <w:sz w:val="22"/>
        </w:rPr>
        <w:tab/>
      </w:r>
      <w:r>
        <w:rPr>
          <w:rFonts w:eastAsia="Times New Roman"/>
        </w:rPr>
        <w:t>Economic Factors</w:t>
      </w:r>
      <w:r>
        <w:tab/>
      </w:r>
      <w:r>
        <w:fldChar w:fldCharType="begin"/>
      </w:r>
      <w:r>
        <w:instrText xml:space="preserve"> PAGEREF _Toc191114843 \h </w:instrText>
      </w:r>
      <w:r>
        <w:fldChar w:fldCharType="separate"/>
      </w:r>
      <w:r>
        <w:t>11</w:t>
      </w:r>
      <w:r>
        <w:fldChar w:fldCharType="end"/>
      </w:r>
      <w:r>
        <w:fldChar w:fldCharType="end"/>
      </w:r>
    </w:p>
    <w:p>
      <w:pPr>
        <w:pStyle w:val="33"/>
        <w:tabs>
          <w:tab w:val="left" w:pos="1320"/>
          <w:tab w:val="right" w:leader="dot" w:pos="9350"/>
        </w:tabs>
        <w:rPr>
          <w:rFonts w:ascii="Aptos" w:eastAsia="等线" w:hAnsi="Aptos"/>
          <w:kern w:val="0"/>
          <w:sz w:val="22"/>
        </w:rPr>
      </w:pPr>
      <w:r>
        <w:fldChar w:fldCharType="begin"/>
      </w:r>
      <w:r>
        <w:instrText>Hyperlink \l "_Toc191114844"</w:instrText>
      </w:r>
      <w:r>
        <w:fldChar w:fldCharType="separate"/>
      </w:r>
      <w:r>
        <w:rPr>
          <w:rFonts w:eastAsia="Times New Roman"/>
        </w:rPr>
        <w:t>2.2.3</w:t>
      </w:r>
      <w:r>
        <w:rPr>
          <w:rFonts w:ascii="Aptos" w:eastAsia="等线" w:hAnsi="Aptos"/>
          <w:kern w:val="0"/>
          <w:sz w:val="22"/>
        </w:rPr>
        <w:tab/>
      </w:r>
      <w:r>
        <w:rPr>
          <w:rFonts w:eastAsia="Times New Roman"/>
        </w:rPr>
        <w:t>Social Factors</w:t>
      </w:r>
      <w:r>
        <w:tab/>
      </w:r>
      <w:r>
        <w:fldChar w:fldCharType="begin"/>
      </w:r>
      <w:r>
        <w:instrText xml:space="preserve"> PAGEREF _Toc191114844 \h </w:instrText>
      </w:r>
      <w:r>
        <w:fldChar w:fldCharType="separate"/>
      </w:r>
      <w:r>
        <w:t>12</w:t>
      </w:r>
      <w:r>
        <w:fldChar w:fldCharType="end"/>
      </w:r>
      <w:r>
        <w:fldChar w:fldCharType="end"/>
      </w:r>
    </w:p>
    <w:p>
      <w:pPr>
        <w:pStyle w:val="33"/>
        <w:tabs>
          <w:tab w:val="left" w:pos="1320"/>
          <w:tab w:val="right" w:leader="dot" w:pos="9350"/>
        </w:tabs>
        <w:rPr>
          <w:rFonts w:ascii="Aptos" w:eastAsia="等线" w:hAnsi="Aptos"/>
          <w:kern w:val="0"/>
          <w:sz w:val="22"/>
        </w:rPr>
      </w:pPr>
      <w:r>
        <w:fldChar w:fldCharType="begin"/>
      </w:r>
      <w:r>
        <w:instrText>Hyperlink \l "_Toc191114845"</w:instrText>
      </w:r>
      <w:r>
        <w:fldChar w:fldCharType="separate"/>
      </w:r>
      <w:r>
        <w:rPr>
          <w:rFonts w:eastAsia="Times New Roman"/>
        </w:rPr>
        <w:t>2.2.4</w:t>
      </w:r>
      <w:r>
        <w:rPr>
          <w:rFonts w:ascii="Aptos" w:eastAsia="等线" w:hAnsi="Aptos"/>
          <w:kern w:val="0"/>
          <w:sz w:val="22"/>
        </w:rPr>
        <w:tab/>
      </w:r>
      <w:r>
        <w:rPr>
          <w:rFonts w:eastAsia="Times New Roman"/>
        </w:rPr>
        <w:t>Technological Factors</w:t>
      </w:r>
      <w:r>
        <w:tab/>
      </w:r>
      <w:r>
        <w:fldChar w:fldCharType="begin"/>
      </w:r>
      <w:r>
        <w:instrText xml:space="preserve"> PAGEREF _Toc191114845 \h </w:instrText>
      </w:r>
      <w:r>
        <w:fldChar w:fldCharType="separate"/>
      </w:r>
      <w:r>
        <w:t>13</w:t>
      </w:r>
      <w:r>
        <w:fldChar w:fldCharType="end"/>
      </w:r>
      <w:r>
        <w:fldChar w:fldCharType="end"/>
      </w:r>
    </w:p>
    <w:p>
      <w:pPr>
        <w:pStyle w:val="33"/>
        <w:tabs>
          <w:tab w:val="left" w:pos="1320"/>
          <w:tab w:val="right" w:leader="dot" w:pos="9350"/>
        </w:tabs>
        <w:rPr>
          <w:rFonts w:ascii="Aptos" w:eastAsia="等线" w:hAnsi="Aptos"/>
          <w:kern w:val="0"/>
          <w:sz w:val="22"/>
        </w:rPr>
      </w:pPr>
      <w:r>
        <w:fldChar w:fldCharType="begin"/>
      </w:r>
      <w:r>
        <w:instrText>Hyperlink \l "_Toc191114846"</w:instrText>
      </w:r>
      <w:r>
        <w:fldChar w:fldCharType="separate"/>
      </w:r>
      <w:r>
        <w:rPr>
          <w:rFonts w:eastAsia="Times New Roman"/>
        </w:rPr>
        <w:t>2.2.5</w:t>
      </w:r>
      <w:r>
        <w:rPr>
          <w:rFonts w:ascii="Aptos" w:eastAsia="等线" w:hAnsi="Aptos"/>
          <w:kern w:val="0"/>
          <w:sz w:val="22"/>
        </w:rPr>
        <w:tab/>
      </w:r>
      <w:r>
        <w:rPr>
          <w:rFonts w:eastAsia="Times New Roman"/>
        </w:rPr>
        <w:t>Environmental Factors</w:t>
      </w:r>
      <w:r>
        <w:tab/>
      </w:r>
      <w:r>
        <w:fldChar w:fldCharType="begin"/>
      </w:r>
      <w:r>
        <w:instrText xml:space="preserve"> PAGEREF _Toc191114846 \h </w:instrText>
      </w:r>
      <w:r>
        <w:fldChar w:fldCharType="separate"/>
      </w:r>
      <w:r>
        <w:t>13</w:t>
      </w:r>
      <w:r>
        <w:fldChar w:fldCharType="end"/>
      </w:r>
      <w:r>
        <w:fldChar w:fldCharType="end"/>
      </w:r>
    </w:p>
    <w:p>
      <w:pPr>
        <w:pStyle w:val="33"/>
        <w:tabs>
          <w:tab w:val="left" w:pos="1320"/>
          <w:tab w:val="right" w:leader="dot" w:pos="9350"/>
        </w:tabs>
        <w:rPr>
          <w:rFonts w:ascii="Aptos" w:eastAsia="等线" w:hAnsi="Aptos"/>
          <w:kern w:val="0"/>
          <w:sz w:val="22"/>
        </w:rPr>
      </w:pPr>
      <w:r>
        <w:fldChar w:fldCharType="begin"/>
      </w:r>
      <w:r>
        <w:instrText>Hyperlink \l "_Toc191114847"</w:instrText>
      </w:r>
      <w:r>
        <w:fldChar w:fldCharType="separate"/>
      </w:r>
      <w:r>
        <w:rPr>
          <w:rFonts w:eastAsia="Times New Roman"/>
        </w:rPr>
        <w:t>2.2.6</w:t>
      </w:r>
      <w:r>
        <w:rPr>
          <w:rFonts w:ascii="Aptos" w:eastAsia="等线" w:hAnsi="Aptos"/>
          <w:kern w:val="0"/>
          <w:sz w:val="22"/>
        </w:rPr>
        <w:tab/>
      </w:r>
      <w:r>
        <w:rPr>
          <w:rFonts w:eastAsia="Times New Roman"/>
        </w:rPr>
        <w:t>Legal Factors</w:t>
      </w:r>
      <w:r>
        <w:tab/>
      </w:r>
      <w:r>
        <w:fldChar w:fldCharType="begin"/>
      </w:r>
      <w:r>
        <w:instrText xml:space="preserve"> PAGEREF _Toc191114847 \h </w:instrText>
      </w:r>
      <w:r>
        <w:fldChar w:fldCharType="separate"/>
      </w:r>
      <w:r>
        <w:t>13</w:t>
      </w:r>
      <w:r>
        <w:fldChar w:fldCharType="end"/>
      </w:r>
      <w:r>
        <w:fldChar w:fldCharType="end"/>
      </w:r>
    </w:p>
    <w:p>
      <w:pPr>
        <w:pStyle w:val="32"/>
        <w:tabs>
          <w:tab w:val="left" w:pos="960"/>
          <w:tab w:val="right" w:leader="dot" w:pos="9350"/>
        </w:tabs>
        <w:rPr>
          <w:rFonts w:ascii="Aptos" w:eastAsia="等线" w:cs="Arial" w:hAnsi="Aptos"/>
          <w:b w:val="0"/>
          <w:bCs w:val="0"/>
          <w:kern w:val="0"/>
          <w:sz w:val="22"/>
          <w:lang w:val="en-US" w:eastAsia="en-US"/>
        </w:rPr>
      </w:pPr>
      <w:r>
        <w:fldChar w:fldCharType="begin"/>
      </w:r>
      <w:r>
        <w:instrText>Hyperlink \l "_Toc191114848"</w:instrText>
      </w:r>
      <w:r>
        <w:fldChar w:fldCharType="separate"/>
      </w:r>
      <w:r>
        <w:rPr>
          <w:b w:val="0"/>
          <w:bCs w:val="0"/>
        </w:rPr>
        <w:t>2.3</w:t>
      </w:r>
      <w:r>
        <w:rPr>
          <w:rFonts w:ascii="Aptos" w:eastAsia="等线" w:cs="Arial" w:hAnsi="Aptos"/>
          <w:b w:val="0"/>
          <w:bCs w:val="0"/>
          <w:kern w:val="0"/>
          <w:sz w:val="22"/>
          <w:lang w:val="en-US" w:eastAsia="en-US"/>
        </w:rPr>
        <w:tab/>
      </w:r>
      <w:r>
        <w:rPr>
          <w:b w:val="0"/>
          <w:bCs w:val="0"/>
        </w:rPr>
        <w:t>SWOT Analysis</w:t>
        <w:tab/>
      </w:r>
      <w:r>
        <w:rPr>
          <w:b w:val="0"/>
          <w:bCs w:val="0"/>
        </w:rPr>
        <w:fldChar w:fldCharType="begin"/>
      </w:r>
      <w:r>
        <w:rPr>
          <w:b w:val="0"/>
          <w:bCs w:val="0"/>
        </w:rPr>
        <w:instrText xml:space="preserve"> PAGEREF _Toc191114848 \h </w:instrText>
      </w:r>
      <w:r>
        <w:rPr>
          <w:b w:val="0"/>
          <w:bCs w:val="0"/>
        </w:rPr>
        <w:fldChar w:fldCharType="separate"/>
      </w:r>
      <w:r>
        <w:rPr>
          <w:b w:val="0"/>
          <w:bCs w:val="0"/>
        </w:rPr>
        <w:t>14</w:t>
      </w:r>
      <w:r>
        <w:rPr>
          <w:b w:val="0"/>
          <w:bCs w:val="0"/>
        </w:rPr>
        <w:fldChar w:fldCharType="end"/>
      </w:r>
      <w:r>
        <w:fldChar w:fldCharType="end"/>
      </w:r>
    </w:p>
    <w:p>
      <w:pPr>
        <w:pStyle w:val="32"/>
        <w:tabs>
          <w:tab w:val="left" w:pos="960"/>
          <w:tab w:val="right" w:leader="dot" w:pos="9350"/>
        </w:tabs>
        <w:rPr>
          <w:rFonts w:ascii="Aptos" w:eastAsia="等线" w:cs="Arial" w:hAnsi="Aptos"/>
          <w:b w:val="0"/>
          <w:bCs w:val="0"/>
          <w:kern w:val="0"/>
          <w:sz w:val="22"/>
          <w:lang w:val="en-US" w:eastAsia="en-US"/>
        </w:rPr>
      </w:pPr>
      <w:r>
        <w:fldChar w:fldCharType="begin"/>
      </w:r>
      <w:r>
        <w:instrText>Hyperlink \l "_Toc191114849"</w:instrText>
      </w:r>
      <w:r>
        <w:fldChar w:fldCharType="separate"/>
      </w:r>
      <w:r>
        <w:rPr>
          <w:b w:val="0"/>
          <w:bCs w:val="0"/>
        </w:rPr>
        <w:t>2.4</w:t>
      </w:r>
      <w:r>
        <w:rPr>
          <w:rFonts w:ascii="Aptos" w:eastAsia="等线" w:cs="Arial" w:hAnsi="Aptos"/>
          <w:b w:val="0"/>
          <w:bCs w:val="0"/>
          <w:kern w:val="0"/>
          <w:sz w:val="22"/>
          <w:lang w:val="en-US" w:eastAsia="en-US"/>
        </w:rPr>
        <w:tab/>
      </w:r>
      <w:r>
        <w:rPr>
          <w:b w:val="0"/>
          <w:bCs w:val="0"/>
        </w:rPr>
        <w:t>Strengths</w:t>
        <w:tab/>
      </w:r>
      <w:r>
        <w:rPr>
          <w:b w:val="0"/>
          <w:bCs w:val="0"/>
        </w:rPr>
        <w:fldChar w:fldCharType="begin"/>
      </w:r>
      <w:r>
        <w:rPr>
          <w:b w:val="0"/>
          <w:bCs w:val="0"/>
        </w:rPr>
        <w:instrText xml:space="preserve"> PAGEREF _Toc191114849 \h </w:instrText>
      </w:r>
      <w:r>
        <w:rPr>
          <w:b w:val="0"/>
          <w:bCs w:val="0"/>
        </w:rPr>
        <w:fldChar w:fldCharType="separate"/>
      </w:r>
      <w:r>
        <w:rPr>
          <w:b w:val="0"/>
          <w:bCs w:val="0"/>
        </w:rPr>
        <w:t>14</w:t>
      </w:r>
      <w:r>
        <w:rPr>
          <w:b w:val="0"/>
          <w:bCs w:val="0"/>
        </w:rPr>
        <w:fldChar w:fldCharType="end"/>
      </w:r>
      <w:r>
        <w:fldChar w:fldCharType="end"/>
      </w:r>
    </w:p>
    <w:p>
      <w:pPr>
        <w:pStyle w:val="32"/>
        <w:tabs>
          <w:tab w:val="left" w:pos="960"/>
          <w:tab w:val="right" w:leader="dot" w:pos="9350"/>
        </w:tabs>
        <w:rPr>
          <w:rFonts w:ascii="Aptos" w:eastAsia="等线" w:cs="Arial" w:hAnsi="Aptos"/>
          <w:b w:val="0"/>
          <w:bCs w:val="0"/>
          <w:kern w:val="0"/>
          <w:sz w:val="22"/>
          <w:lang w:val="en-US" w:eastAsia="en-US"/>
        </w:rPr>
      </w:pPr>
      <w:r>
        <w:fldChar w:fldCharType="begin"/>
      </w:r>
      <w:r>
        <w:instrText>Hyperlink \l "_Toc191114850"</w:instrText>
      </w:r>
      <w:r>
        <w:fldChar w:fldCharType="separate"/>
      </w:r>
      <w:r>
        <w:rPr>
          <w:b w:val="0"/>
          <w:bCs w:val="0"/>
        </w:rPr>
        <w:t>2.5</w:t>
      </w:r>
      <w:r>
        <w:rPr>
          <w:rFonts w:ascii="Aptos" w:eastAsia="等线" w:cs="Arial" w:hAnsi="Aptos"/>
          <w:b w:val="0"/>
          <w:bCs w:val="0"/>
          <w:kern w:val="0"/>
          <w:sz w:val="22"/>
          <w:lang w:val="en-US" w:eastAsia="en-US"/>
        </w:rPr>
        <w:tab/>
      </w:r>
      <w:r>
        <w:rPr>
          <w:b w:val="0"/>
          <w:bCs w:val="0"/>
        </w:rPr>
        <w:t>Weaknesses</w:t>
        <w:tab/>
      </w:r>
      <w:r>
        <w:rPr>
          <w:b w:val="0"/>
          <w:bCs w:val="0"/>
        </w:rPr>
        <w:fldChar w:fldCharType="begin"/>
      </w:r>
      <w:r>
        <w:rPr>
          <w:b w:val="0"/>
          <w:bCs w:val="0"/>
        </w:rPr>
        <w:instrText xml:space="preserve"> PAGEREF _Toc191114850 \h </w:instrText>
      </w:r>
      <w:r>
        <w:rPr>
          <w:b w:val="0"/>
          <w:bCs w:val="0"/>
        </w:rPr>
        <w:fldChar w:fldCharType="separate"/>
      </w:r>
      <w:r>
        <w:rPr>
          <w:b w:val="0"/>
          <w:bCs w:val="0"/>
        </w:rPr>
        <w:t>15</w:t>
      </w:r>
      <w:r>
        <w:rPr>
          <w:b w:val="0"/>
          <w:bCs w:val="0"/>
        </w:rPr>
        <w:fldChar w:fldCharType="end"/>
      </w:r>
      <w:r>
        <w:fldChar w:fldCharType="end"/>
      </w:r>
    </w:p>
    <w:p>
      <w:pPr>
        <w:pStyle w:val="32"/>
        <w:tabs>
          <w:tab w:val="left" w:pos="960"/>
          <w:tab w:val="right" w:leader="dot" w:pos="9350"/>
        </w:tabs>
        <w:rPr>
          <w:rFonts w:ascii="Aptos" w:eastAsia="等线" w:cs="Arial" w:hAnsi="Aptos"/>
          <w:b w:val="0"/>
          <w:bCs w:val="0"/>
          <w:kern w:val="0"/>
          <w:sz w:val="22"/>
          <w:lang w:val="en-US" w:eastAsia="en-US"/>
        </w:rPr>
      </w:pPr>
      <w:r>
        <w:fldChar w:fldCharType="begin"/>
      </w:r>
      <w:r>
        <w:instrText>Hyperlink \l "_Toc191114851"</w:instrText>
      </w:r>
      <w:r>
        <w:fldChar w:fldCharType="separate"/>
      </w:r>
      <w:r>
        <w:rPr>
          <w:b w:val="0"/>
          <w:bCs w:val="0"/>
        </w:rPr>
        <w:t>2.6</w:t>
      </w:r>
      <w:r>
        <w:rPr>
          <w:rFonts w:ascii="Aptos" w:eastAsia="等线" w:cs="Arial" w:hAnsi="Aptos"/>
          <w:b w:val="0"/>
          <w:bCs w:val="0"/>
          <w:kern w:val="0"/>
          <w:sz w:val="22"/>
          <w:lang w:val="en-US" w:eastAsia="en-US"/>
        </w:rPr>
        <w:tab/>
      </w:r>
      <w:r>
        <w:rPr>
          <w:b w:val="0"/>
          <w:bCs w:val="0"/>
        </w:rPr>
        <w:t>Opportunities</w:t>
        <w:tab/>
      </w:r>
      <w:r>
        <w:rPr>
          <w:b w:val="0"/>
          <w:bCs w:val="0"/>
        </w:rPr>
        <w:fldChar w:fldCharType="begin"/>
      </w:r>
      <w:r>
        <w:rPr>
          <w:b w:val="0"/>
          <w:bCs w:val="0"/>
        </w:rPr>
        <w:instrText xml:space="preserve"> PAGEREF _Toc191114851 \h </w:instrText>
      </w:r>
      <w:r>
        <w:rPr>
          <w:b w:val="0"/>
          <w:bCs w:val="0"/>
        </w:rPr>
        <w:fldChar w:fldCharType="separate"/>
      </w:r>
      <w:r>
        <w:rPr>
          <w:b w:val="0"/>
          <w:bCs w:val="0"/>
        </w:rPr>
        <w:t>15</w:t>
      </w:r>
      <w:r>
        <w:rPr>
          <w:b w:val="0"/>
          <w:bCs w:val="0"/>
        </w:rPr>
        <w:fldChar w:fldCharType="end"/>
      </w:r>
      <w:r>
        <w:fldChar w:fldCharType="end"/>
      </w:r>
    </w:p>
    <w:p>
      <w:pPr>
        <w:pStyle w:val="32"/>
        <w:tabs>
          <w:tab w:val="left" w:pos="960"/>
          <w:tab w:val="right" w:leader="dot" w:pos="9350"/>
        </w:tabs>
        <w:rPr>
          <w:rFonts w:ascii="Aptos" w:eastAsia="等线" w:cs="Arial" w:hAnsi="Aptos"/>
          <w:b w:val="0"/>
          <w:bCs w:val="0"/>
          <w:kern w:val="0"/>
          <w:sz w:val="22"/>
          <w:lang w:val="en-US" w:eastAsia="en-US"/>
        </w:rPr>
      </w:pPr>
      <w:r>
        <w:fldChar w:fldCharType="begin"/>
      </w:r>
      <w:r>
        <w:instrText>Hyperlink \l "_Toc191114852"</w:instrText>
      </w:r>
      <w:r>
        <w:fldChar w:fldCharType="separate"/>
      </w:r>
      <w:r>
        <w:rPr>
          <w:b w:val="0"/>
          <w:bCs w:val="0"/>
        </w:rPr>
        <w:t>2.7</w:t>
      </w:r>
      <w:r>
        <w:rPr>
          <w:rFonts w:ascii="Aptos" w:eastAsia="等线" w:cs="Arial" w:hAnsi="Aptos"/>
          <w:b w:val="0"/>
          <w:bCs w:val="0"/>
          <w:kern w:val="0"/>
          <w:sz w:val="22"/>
          <w:lang w:val="en-US" w:eastAsia="en-US"/>
        </w:rPr>
        <w:tab/>
      </w:r>
      <w:r>
        <w:rPr>
          <w:b w:val="0"/>
          <w:bCs w:val="0"/>
        </w:rPr>
        <w:t>Threats</w:t>
        <w:tab/>
      </w:r>
      <w:r>
        <w:rPr>
          <w:b w:val="0"/>
          <w:bCs w:val="0"/>
        </w:rPr>
        <w:fldChar w:fldCharType="begin"/>
      </w:r>
      <w:r>
        <w:rPr>
          <w:b w:val="0"/>
          <w:bCs w:val="0"/>
        </w:rPr>
        <w:instrText xml:space="preserve"> PAGEREF _Toc191114852 \h </w:instrText>
      </w:r>
      <w:r>
        <w:rPr>
          <w:b w:val="0"/>
          <w:bCs w:val="0"/>
        </w:rPr>
        <w:fldChar w:fldCharType="separate"/>
      </w:r>
      <w:r>
        <w:rPr>
          <w:b w:val="0"/>
          <w:bCs w:val="0"/>
        </w:rPr>
        <w:t>16</w:t>
      </w:r>
      <w:r>
        <w:rPr>
          <w:b w:val="0"/>
          <w:bCs w:val="0"/>
        </w:rPr>
        <w:fldChar w:fldCharType="end"/>
      </w:r>
      <w:r>
        <w:fldChar w:fldCharType="end"/>
      </w:r>
    </w:p>
    <w:p>
      <w:pPr>
        <w:pStyle w:val="32"/>
        <w:tabs>
          <w:tab w:val="left" w:pos="960"/>
          <w:tab w:val="right" w:leader="dot" w:pos="9350"/>
        </w:tabs>
        <w:rPr>
          <w:rFonts w:ascii="Aptos" w:eastAsia="等线" w:cs="Arial" w:hAnsi="Aptos"/>
          <w:b w:val="0"/>
          <w:bCs w:val="0"/>
          <w:kern w:val="0"/>
          <w:sz w:val="22"/>
          <w:lang w:val="en-US" w:eastAsia="en-US"/>
        </w:rPr>
      </w:pPr>
      <w:r>
        <w:fldChar w:fldCharType="begin"/>
      </w:r>
      <w:r>
        <w:instrText>Hyperlink \l "_Toc191114853"</w:instrText>
      </w:r>
      <w:r>
        <w:fldChar w:fldCharType="separate"/>
      </w:r>
      <w:r>
        <w:rPr>
          <w:b w:val="0"/>
          <w:bCs w:val="0"/>
        </w:rPr>
        <w:t>2.8</w:t>
      </w:r>
      <w:r>
        <w:rPr>
          <w:rFonts w:ascii="Aptos" w:eastAsia="等线" w:cs="Arial" w:hAnsi="Aptos"/>
          <w:b w:val="0"/>
          <w:bCs w:val="0"/>
          <w:kern w:val="0"/>
          <w:sz w:val="22"/>
          <w:lang w:val="en-US" w:eastAsia="en-US"/>
        </w:rPr>
        <w:tab/>
      </w:r>
      <w:r>
        <w:rPr>
          <w:b w:val="0"/>
          <w:bCs w:val="0"/>
        </w:rPr>
        <w:t>TOWS Analysis for Hotel de Rome, Berlin: Reducing Water and Energy Waste</w:t>
        <w:tab/>
      </w:r>
      <w:r>
        <w:rPr>
          <w:b w:val="0"/>
          <w:bCs w:val="0"/>
        </w:rPr>
        <w:fldChar w:fldCharType="begin"/>
      </w:r>
      <w:r>
        <w:rPr>
          <w:b w:val="0"/>
          <w:bCs w:val="0"/>
        </w:rPr>
        <w:instrText xml:space="preserve"> PAGEREF _Toc191114853 \h </w:instrText>
      </w:r>
      <w:r>
        <w:rPr>
          <w:b w:val="0"/>
          <w:bCs w:val="0"/>
        </w:rPr>
        <w:fldChar w:fldCharType="separate"/>
      </w:r>
      <w:r>
        <w:rPr>
          <w:b w:val="0"/>
          <w:bCs w:val="0"/>
        </w:rPr>
        <w:t>16</w:t>
      </w:r>
      <w:r>
        <w:rPr>
          <w:b w:val="0"/>
          <w:bCs w:val="0"/>
        </w:rPr>
        <w:fldChar w:fldCharType="end"/>
      </w:r>
      <w:r>
        <w:fldChar w:fldCharType="end"/>
      </w:r>
    </w:p>
    <w:p>
      <w:pPr>
        <w:pStyle w:val="31"/>
        <w:tabs>
          <w:tab w:val="left" w:pos="440"/>
          <w:tab w:val="right" w:leader="dot" w:pos="9350"/>
        </w:tabs>
        <w:rPr>
          <w:rFonts w:ascii="Aptos" w:eastAsia="等线" w:hAnsi="Aptos"/>
          <w:kern w:val="0"/>
          <w:sz w:val="22"/>
        </w:rPr>
      </w:pPr>
      <w:r>
        <w:fldChar w:fldCharType="begin"/>
      </w:r>
      <w:r>
        <w:instrText>Hyperlink \l "_Toc191114854"</w:instrText>
      </w:r>
      <w:r>
        <w:fldChar w:fldCharType="separate"/>
      </w:r>
      <w:r>
        <w:rPr>
          <w:rFonts w:eastAsia="Times New Roman"/>
          <w:lang w:val="en-GB"/>
        </w:rPr>
        <w:t>3</w:t>
      </w:r>
      <w:r>
        <w:rPr>
          <w:rFonts w:ascii="Aptos" w:eastAsia="等线" w:hAnsi="Aptos"/>
          <w:kern w:val="0"/>
          <w:sz w:val="22"/>
        </w:rPr>
        <w:tab/>
      </w:r>
      <w:r>
        <w:rPr>
          <w:rFonts w:eastAsia="Times New Roman"/>
          <w:lang w:val="en-GB"/>
        </w:rPr>
        <w:t>Recommendations&amp;Change Management</w:t>
      </w:r>
      <w:r>
        <w:tab/>
      </w:r>
      <w:r>
        <w:fldChar w:fldCharType="begin"/>
      </w:r>
      <w:r>
        <w:instrText xml:space="preserve"> PAGEREF _Toc191114854 \h </w:instrText>
      </w:r>
      <w:r>
        <w:fldChar w:fldCharType="separate"/>
      </w:r>
      <w:r>
        <w:t>17</w:t>
      </w:r>
      <w:r>
        <w:fldChar w:fldCharType="end"/>
      </w:r>
      <w:r>
        <w:fldChar w:fldCharType="end"/>
      </w:r>
    </w:p>
    <w:p>
      <w:pPr>
        <w:pStyle w:val="32"/>
        <w:tabs>
          <w:tab w:val="left" w:pos="960"/>
          <w:tab w:val="right" w:leader="dot" w:pos="9350"/>
        </w:tabs>
        <w:rPr>
          <w:rFonts w:ascii="Aptos" w:eastAsia="等线" w:cs="Arial" w:hAnsi="Aptos"/>
          <w:b w:val="0"/>
          <w:bCs w:val="0"/>
          <w:kern w:val="0"/>
          <w:sz w:val="22"/>
          <w:lang w:val="en-US" w:eastAsia="en-US"/>
        </w:rPr>
      </w:pPr>
      <w:r>
        <w:fldChar w:fldCharType="begin"/>
      </w:r>
      <w:r>
        <w:instrText>Hyperlink \l "_Toc191114855"</w:instrText>
      </w:r>
      <w:r>
        <w:fldChar w:fldCharType="separate"/>
      </w:r>
      <w:r>
        <w:rPr>
          <w:b w:val="0"/>
          <w:bCs w:val="0"/>
        </w:rPr>
        <w:t>3.1</w:t>
      </w:r>
      <w:r>
        <w:rPr>
          <w:rFonts w:ascii="Aptos" w:eastAsia="等线" w:cs="Arial" w:hAnsi="Aptos"/>
          <w:b w:val="0"/>
          <w:bCs w:val="0"/>
          <w:kern w:val="0"/>
          <w:sz w:val="22"/>
          <w:lang w:val="en-US" w:eastAsia="en-US"/>
        </w:rPr>
        <w:tab/>
      </w:r>
      <w:r>
        <w:rPr>
          <w:b w:val="0"/>
          <w:bCs w:val="0"/>
        </w:rPr>
        <w:t>Strategic Recommendations</w:t>
        <w:tab/>
      </w:r>
      <w:r>
        <w:rPr>
          <w:b w:val="0"/>
          <w:bCs w:val="0"/>
        </w:rPr>
        <w:fldChar w:fldCharType="begin"/>
      </w:r>
      <w:r>
        <w:rPr>
          <w:b w:val="0"/>
          <w:bCs w:val="0"/>
        </w:rPr>
        <w:instrText xml:space="preserve"> PAGEREF _Toc191114855 \h </w:instrText>
      </w:r>
      <w:r>
        <w:rPr>
          <w:b w:val="0"/>
          <w:bCs w:val="0"/>
        </w:rPr>
        <w:fldChar w:fldCharType="separate"/>
      </w:r>
      <w:r>
        <w:rPr>
          <w:b w:val="0"/>
          <w:bCs w:val="0"/>
        </w:rPr>
        <w:t>17</w:t>
      </w:r>
      <w:r>
        <w:rPr>
          <w:b w:val="0"/>
          <w:bCs w:val="0"/>
        </w:rPr>
        <w:fldChar w:fldCharType="end"/>
      </w:r>
      <w:r>
        <w:fldChar w:fldCharType="end"/>
      </w:r>
    </w:p>
    <w:p>
      <w:pPr>
        <w:pStyle w:val="33"/>
        <w:tabs>
          <w:tab w:val="left" w:pos="1320"/>
          <w:tab w:val="right" w:leader="dot" w:pos="9350"/>
        </w:tabs>
        <w:rPr>
          <w:rFonts w:ascii="Aptos" w:eastAsia="等线" w:hAnsi="Aptos"/>
          <w:kern w:val="0"/>
          <w:sz w:val="22"/>
        </w:rPr>
      </w:pPr>
      <w:r>
        <w:fldChar w:fldCharType="begin"/>
      </w:r>
      <w:r>
        <w:instrText>Hyperlink \l "_Toc191114856"</w:instrText>
      </w:r>
      <w:r>
        <w:fldChar w:fldCharType="separate"/>
      </w:r>
      <w:r>
        <w:rPr>
          <w:rFonts w:eastAsia="Times New Roman"/>
        </w:rPr>
        <w:t>3.1.1</w:t>
      </w:r>
      <w:r>
        <w:rPr>
          <w:rFonts w:ascii="Aptos" w:eastAsia="等线" w:hAnsi="Aptos"/>
          <w:kern w:val="0"/>
          <w:sz w:val="22"/>
        </w:rPr>
        <w:tab/>
      </w:r>
      <w:r>
        <w:rPr>
          <w:rFonts w:eastAsia="Times New Roman"/>
        </w:rPr>
        <w:t>Implementation of Smart Water Management Systems</w:t>
      </w:r>
      <w:r>
        <w:tab/>
      </w:r>
      <w:r>
        <w:fldChar w:fldCharType="begin"/>
      </w:r>
      <w:r>
        <w:instrText xml:space="preserve"> PAGEREF _Toc191114856 \h </w:instrText>
      </w:r>
      <w:r>
        <w:fldChar w:fldCharType="separate"/>
      </w:r>
      <w:r>
        <w:t>17</w:t>
      </w:r>
      <w:r>
        <w:fldChar w:fldCharType="end"/>
      </w:r>
      <w:r>
        <w:fldChar w:fldCharType="end"/>
      </w:r>
    </w:p>
    <w:p>
      <w:pPr>
        <w:pStyle w:val="33"/>
        <w:tabs>
          <w:tab w:val="left" w:pos="1320"/>
          <w:tab w:val="right" w:leader="dot" w:pos="9350"/>
        </w:tabs>
        <w:rPr>
          <w:rFonts w:ascii="Aptos" w:eastAsia="等线" w:hAnsi="Aptos"/>
          <w:kern w:val="0"/>
          <w:sz w:val="22"/>
        </w:rPr>
      </w:pPr>
      <w:r>
        <w:fldChar w:fldCharType="begin"/>
      </w:r>
      <w:r>
        <w:instrText>Hyperlink \l "_Toc191114857"</w:instrText>
      </w:r>
      <w:r>
        <w:fldChar w:fldCharType="separate"/>
      </w:r>
      <w:r>
        <w:rPr>
          <w:rFonts w:eastAsia="Times New Roman"/>
        </w:rPr>
        <w:t>3.1.2</w:t>
      </w:r>
      <w:r>
        <w:rPr>
          <w:rFonts w:ascii="Aptos" w:eastAsia="等线" w:hAnsi="Aptos"/>
          <w:kern w:val="0"/>
          <w:sz w:val="22"/>
        </w:rPr>
        <w:tab/>
      </w:r>
      <w:r>
        <w:rPr>
          <w:rFonts w:eastAsia="Times New Roman"/>
        </w:rPr>
        <w:t>Upgrading Housekeeping Practices to Reduce Water and Energy Waste</w:t>
      </w:r>
      <w:r>
        <w:tab/>
      </w:r>
      <w:r>
        <w:fldChar w:fldCharType="begin"/>
      </w:r>
      <w:r>
        <w:instrText xml:space="preserve"> PAGEREF _Toc191114857 \h </w:instrText>
      </w:r>
      <w:r>
        <w:fldChar w:fldCharType="separate"/>
      </w:r>
      <w:r>
        <w:t>18</w:t>
      </w:r>
      <w:r>
        <w:fldChar w:fldCharType="end"/>
      </w:r>
      <w:r>
        <w:fldChar w:fldCharType="end"/>
      </w:r>
    </w:p>
    <w:p>
      <w:pPr>
        <w:pStyle w:val="33"/>
        <w:tabs>
          <w:tab w:val="left" w:pos="1320"/>
          <w:tab w:val="right" w:leader="dot" w:pos="9350"/>
        </w:tabs>
        <w:rPr>
          <w:rFonts w:ascii="Aptos" w:eastAsia="等线" w:hAnsi="Aptos"/>
          <w:kern w:val="0"/>
          <w:sz w:val="22"/>
        </w:rPr>
      </w:pPr>
      <w:r>
        <w:fldChar w:fldCharType="begin"/>
      </w:r>
      <w:r>
        <w:instrText>Hyperlink \l "_Toc191114858"</w:instrText>
      </w:r>
      <w:r>
        <w:fldChar w:fldCharType="separate"/>
      </w:r>
      <w:r>
        <w:rPr>
          <w:rFonts w:eastAsia="Times New Roman"/>
        </w:rPr>
        <w:t>3.1.3</w:t>
      </w:r>
      <w:r>
        <w:rPr>
          <w:rFonts w:ascii="Aptos" w:eastAsia="等线" w:hAnsi="Aptos"/>
          <w:kern w:val="0"/>
          <w:sz w:val="22"/>
        </w:rPr>
        <w:tab/>
      </w:r>
      <w:r>
        <w:rPr>
          <w:rFonts w:eastAsia="Times New Roman"/>
        </w:rPr>
        <w:t>Adoption of Energy-Efficient Heating, Ventilation, and Air Conditioning (HVAC) Systems</w:t>
      </w:r>
      <w:r>
        <w:tab/>
      </w:r>
      <w:r>
        <w:fldChar w:fldCharType="begin"/>
      </w:r>
      <w:r>
        <w:instrText xml:space="preserve"> PAGEREF _Toc191114858 \h </w:instrText>
      </w:r>
      <w:r>
        <w:fldChar w:fldCharType="separate"/>
      </w:r>
      <w:r>
        <w:t>18</w:t>
      </w:r>
      <w:r>
        <w:fldChar w:fldCharType="end"/>
      </w:r>
      <w:r>
        <w:fldChar w:fldCharType="end"/>
      </w:r>
    </w:p>
    <w:p>
      <w:pPr>
        <w:pStyle w:val="33"/>
        <w:tabs>
          <w:tab w:val="left" w:pos="1320"/>
          <w:tab w:val="right" w:leader="dot" w:pos="9350"/>
        </w:tabs>
        <w:rPr>
          <w:rFonts w:ascii="Aptos" w:eastAsia="等线" w:hAnsi="Aptos"/>
          <w:kern w:val="0"/>
          <w:sz w:val="22"/>
        </w:rPr>
      </w:pPr>
      <w:r>
        <w:fldChar w:fldCharType="begin"/>
      </w:r>
      <w:r>
        <w:instrText>Hyperlink \l "_Toc191114859"</w:instrText>
      </w:r>
      <w:r>
        <w:fldChar w:fldCharType="separate"/>
      </w:r>
      <w:r>
        <w:rPr>
          <w:rFonts w:eastAsia="Times New Roman"/>
        </w:rPr>
        <w:t>3.1.4</w:t>
      </w:r>
      <w:r>
        <w:rPr>
          <w:rFonts w:ascii="Aptos" w:eastAsia="等线" w:hAnsi="Aptos"/>
          <w:kern w:val="0"/>
          <w:sz w:val="22"/>
        </w:rPr>
        <w:tab/>
      </w:r>
      <w:r>
        <w:rPr>
          <w:rFonts w:eastAsia="Times New Roman"/>
        </w:rPr>
        <w:t>Integration of Renewable Energy Solutions</w:t>
      </w:r>
      <w:r>
        <w:tab/>
      </w:r>
      <w:r>
        <w:fldChar w:fldCharType="begin"/>
      </w:r>
      <w:r>
        <w:instrText xml:space="preserve"> PAGEREF _Toc191114859 \h </w:instrText>
      </w:r>
      <w:r>
        <w:fldChar w:fldCharType="separate"/>
      </w:r>
      <w:r>
        <w:t>19</w:t>
      </w:r>
      <w:r>
        <w:fldChar w:fldCharType="end"/>
      </w:r>
      <w:r>
        <w:fldChar w:fldCharType="end"/>
      </w:r>
    </w:p>
    <w:p>
      <w:pPr>
        <w:pStyle w:val="33"/>
        <w:tabs>
          <w:tab w:val="left" w:pos="1320"/>
          <w:tab w:val="right" w:leader="dot" w:pos="9350"/>
        </w:tabs>
        <w:rPr>
          <w:rFonts w:ascii="Aptos" w:eastAsia="等线" w:hAnsi="Aptos"/>
          <w:kern w:val="0"/>
          <w:sz w:val="22"/>
        </w:rPr>
      </w:pPr>
      <w:r>
        <w:fldChar w:fldCharType="begin"/>
      </w:r>
      <w:r>
        <w:instrText>Hyperlink \l "_Toc191114860"</w:instrText>
      </w:r>
      <w:r>
        <w:fldChar w:fldCharType="separate"/>
      </w:r>
      <w:r>
        <w:rPr>
          <w:rFonts w:eastAsia="Times New Roman"/>
        </w:rPr>
        <w:t>3.1.5</w:t>
      </w:r>
      <w:r>
        <w:rPr>
          <w:rFonts w:ascii="Aptos" w:eastAsia="等线" w:hAnsi="Aptos"/>
          <w:kern w:val="0"/>
          <w:sz w:val="22"/>
        </w:rPr>
        <w:tab/>
      </w:r>
      <w:r>
        <w:rPr>
          <w:rFonts w:eastAsia="Times New Roman"/>
        </w:rPr>
        <w:t>Digital Energy Monitoring and Smart Grid Integration</w:t>
      </w:r>
      <w:r>
        <w:tab/>
      </w:r>
      <w:r>
        <w:fldChar w:fldCharType="begin"/>
      </w:r>
      <w:r>
        <w:instrText xml:space="preserve"> PAGEREF _Toc191114860 \h </w:instrText>
      </w:r>
      <w:r>
        <w:fldChar w:fldCharType="separate"/>
      </w:r>
      <w:r>
        <w:t>20</w:t>
      </w:r>
      <w:r>
        <w:fldChar w:fldCharType="end"/>
      </w:r>
      <w:r>
        <w:fldChar w:fldCharType="end"/>
      </w:r>
    </w:p>
    <w:p>
      <w:pPr>
        <w:pStyle w:val="33"/>
        <w:tabs>
          <w:tab w:val="left" w:pos="1320"/>
          <w:tab w:val="right" w:leader="dot" w:pos="9350"/>
        </w:tabs>
        <w:rPr>
          <w:rFonts w:ascii="Aptos" w:eastAsia="等线" w:hAnsi="Aptos"/>
          <w:kern w:val="0"/>
          <w:sz w:val="22"/>
        </w:rPr>
      </w:pPr>
      <w:r>
        <w:fldChar w:fldCharType="begin"/>
      </w:r>
      <w:r>
        <w:instrText>Hyperlink \l "_Toc191114861"</w:instrText>
      </w:r>
      <w:r>
        <w:fldChar w:fldCharType="separate"/>
      </w:r>
      <w:r>
        <w:rPr>
          <w:rFonts w:eastAsia="Times New Roman"/>
        </w:rPr>
        <w:t>3.1.6</w:t>
      </w:r>
      <w:r>
        <w:rPr>
          <w:rFonts w:ascii="Aptos" w:eastAsia="等线" w:hAnsi="Aptos"/>
          <w:kern w:val="0"/>
          <w:sz w:val="22"/>
        </w:rPr>
        <w:tab/>
      </w:r>
      <w:r>
        <w:rPr>
          <w:rFonts w:eastAsia="Times New Roman"/>
        </w:rPr>
        <w:t>Staff Training and Behavioral Change Programs</w:t>
      </w:r>
      <w:r>
        <w:tab/>
      </w:r>
      <w:r>
        <w:fldChar w:fldCharType="begin"/>
      </w:r>
      <w:r>
        <w:instrText xml:space="preserve"> PAGEREF _Toc191114861 \h </w:instrText>
      </w:r>
      <w:r>
        <w:fldChar w:fldCharType="separate"/>
      </w:r>
      <w:r>
        <w:t>21</w:t>
      </w:r>
      <w:r>
        <w:fldChar w:fldCharType="end"/>
      </w:r>
      <w:r>
        <w:fldChar w:fldCharType="end"/>
      </w:r>
    </w:p>
    <w:p>
      <w:pPr>
        <w:pStyle w:val="32"/>
        <w:tabs>
          <w:tab w:val="left" w:pos="960"/>
          <w:tab w:val="right" w:leader="dot" w:pos="9350"/>
        </w:tabs>
        <w:rPr>
          <w:rFonts w:ascii="Aptos" w:eastAsia="等线" w:cs="Arial" w:hAnsi="Aptos"/>
          <w:b w:val="0"/>
          <w:bCs w:val="0"/>
          <w:kern w:val="0"/>
          <w:sz w:val="22"/>
          <w:lang w:val="en-US" w:eastAsia="en-US"/>
        </w:rPr>
      </w:pPr>
      <w:r>
        <w:fldChar w:fldCharType="begin"/>
      </w:r>
      <w:r>
        <w:instrText>Hyperlink \l "_Toc191114862"</w:instrText>
      </w:r>
      <w:r>
        <w:fldChar w:fldCharType="separate"/>
      </w:r>
      <w:r>
        <w:rPr>
          <w:b w:val="0"/>
          <w:bCs w:val="0"/>
        </w:rPr>
        <w:t>3.2</w:t>
      </w:r>
      <w:r>
        <w:rPr>
          <w:rFonts w:ascii="Aptos" w:eastAsia="等线" w:cs="Arial" w:hAnsi="Aptos"/>
          <w:b w:val="0"/>
          <w:bCs w:val="0"/>
          <w:kern w:val="0"/>
          <w:sz w:val="22"/>
          <w:lang w:val="en-US" w:eastAsia="en-US"/>
        </w:rPr>
        <w:tab/>
      </w:r>
      <w:r>
        <w:rPr>
          <w:b w:val="0"/>
          <w:bCs w:val="0"/>
        </w:rPr>
        <w:t>Implementation of Change Management Strategies</w:t>
        <w:tab/>
      </w:r>
      <w:r>
        <w:rPr>
          <w:b w:val="0"/>
          <w:bCs w:val="0"/>
        </w:rPr>
        <w:fldChar w:fldCharType="begin"/>
      </w:r>
      <w:r>
        <w:rPr>
          <w:b w:val="0"/>
          <w:bCs w:val="0"/>
        </w:rPr>
        <w:instrText xml:space="preserve"> PAGEREF _Toc191114862 \h </w:instrText>
      </w:r>
      <w:r>
        <w:rPr>
          <w:b w:val="0"/>
          <w:bCs w:val="0"/>
        </w:rPr>
        <w:fldChar w:fldCharType="separate"/>
      </w:r>
      <w:r>
        <w:rPr>
          <w:b w:val="0"/>
          <w:bCs w:val="0"/>
        </w:rPr>
        <w:t>21</w:t>
      </w:r>
      <w:r>
        <w:rPr>
          <w:b w:val="0"/>
          <w:bCs w:val="0"/>
        </w:rPr>
        <w:fldChar w:fldCharType="end"/>
      </w:r>
      <w:r>
        <w:fldChar w:fldCharType="end"/>
      </w:r>
    </w:p>
    <w:p>
      <w:pPr>
        <w:pStyle w:val="33"/>
        <w:tabs>
          <w:tab w:val="left" w:pos="1320"/>
          <w:tab w:val="right" w:leader="dot" w:pos="9350"/>
        </w:tabs>
        <w:rPr>
          <w:rFonts w:ascii="Aptos" w:eastAsia="等线" w:hAnsi="Aptos"/>
          <w:kern w:val="0"/>
          <w:sz w:val="22"/>
        </w:rPr>
      </w:pPr>
      <w:r>
        <w:fldChar w:fldCharType="begin"/>
      </w:r>
      <w:r>
        <w:instrText>Hyperlink \l "_Toc191114863"</w:instrText>
      </w:r>
      <w:r>
        <w:fldChar w:fldCharType="separate"/>
      </w:r>
      <w:r>
        <w:t>3.2.1</w:t>
      </w:r>
      <w:r>
        <w:rPr>
          <w:rFonts w:ascii="Aptos" w:eastAsia="等线" w:hAnsi="Aptos"/>
          <w:kern w:val="0"/>
          <w:sz w:val="22"/>
        </w:rPr>
        <w:tab/>
      </w:r>
      <w:r>
        <w:t>Creating a Sense of Urgency</w:t>
        <w:tab/>
      </w:r>
      <w:r>
        <w:fldChar w:fldCharType="begin"/>
      </w:r>
      <w:r>
        <w:instrText xml:space="preserve"> PAGEREF _Toc191114863 \h </w:instrText>
      </w:r>
      <w:r>
        <w:fldChar w:fldCharType="separate"/>
      </w:r>
      <w:r>
        <w:t>22</w:t>
      </w:r>
      <w:r>
        <w:fldChar w:fldCharType="end"/>
      </w:r>
      <w:r>
        <w:fldChar w:fldCharType="end"/>
      </w:r>
    </w:p>
    <w:p>
      <w:pPr>
        <w:pStyle w:val="33"/>
        <w:tabs>
          <w:tab w:val="left" w:pos="1320"/>
          <w:tab w:val="right" w:leader="dot" w:pos="9350"/>
        </w:tabs>
        <w:rPr>
          <w:rFonts w:ascii="Aptos" w:eastAsia="等线" w:hAnsi="Aptos"/>
          <w:kern w:val="0"/>
          <w:sz w:val="22"/>
        </w:rPr>
      </w:pPr>
      <w:r>
        <w:fldChar w:fldCharType="begin"/>
      </w:r>
      <w:r>
        <w:instrText>Hyperlink \l "_Toc191114864"</w:instrText>
      </w:r>
      <w:r>
        <w:fldChar w:fldCharType="separate"/>
      </w:r>
      <w:r>
        <w:t>3.2.2</w:t>
      </w:r>
      <w:r>
        <w:rPr>
          <w:rFonts w:ascii="Aptos" w:eastAsia="等线" w:hAnsi="Aptos"/>
          <w:kern w:val="0"/>
          <w:sz w:val="22"/>
        </w:rPr>
        <w:tab/>
      </w:r>
      <w:r>
        <w:t>Establishing a Guiding Coalition</w:t>
        <w:tab/>
      </w:r>
      <w:r>
        <w:fldChar w:fldCharType="begin"/>
      </w:r>
      <w:r>
        <w:instrText xml:space="preserve"> PAGEREF _Toc191114864 \h </w:instrText>
      </w:r>
      <w:r>
        <w:fldChar w:fldCharType="separate"/>
      </w:r>
      <w:r>
        <w:t>23</w:t>
      </w:r>
      <w:r>
        <w:fldChar w:fldCharType="end"/>
      </w:r>
      <w:r>
        <w:fldChar w:fldCharType="end"/>
      </w:r>
    </w:p>
    <w:p>
      <w:pPr>
        <w:pStyle w:val="33"/>
        <w:tabs>
          <w:tab w:val="left" w:pos="1320"/>
          <w:tab w:val="right" w:leader="dot" w:pos="9350"/>
        </w:tabs>
        <w:rPr>
          <w:rFonts w:ascii="Aptos" w:eastAsia="等线" w:hAnsi="Aptos"/>
          <w:kern w:val="0"/>
          <w:sz w:val="22"/>
        </w:rPr>
      </w:pPr>
      <w:r>
        <w:fldChar w:fldCharType="begin"/>
      </w:r>
      <w:r>
        <w:instrText>Hyperlink \l "_Toc191114865"</w:instrText>
      </w:r>
      <w:r>
        <w:fldChar w:fldCharType="separate"/>
      </w:r>
      <w:r>
        <w:t>3.2.3</w:t>
      </w:r>
      <w:r>
        <w:rPr>
          <w:rFonts w:ascii="Aptos" w:eastAsia="等线" w:hAnsi="Aptos"/>
          <w:kern w:val="0"/>
          <w:sz w:val="22"/>
        </w:rPr>
        <w:tab/>
      </w:r>
      <w:r>
        <w:t>Developing a Vision and Strategy</w:t>
        <w:tab/>
      </w:r>
      <w:r>
        <w:fldChar w:fldCharType="begin"/>
      </w:r>
      <w:r>
        <w:instrText xml:space="preserve"> PAGEREF _Toc191114865 \h </w:instrText>
      </w:r>
      <w:r>
        <w:fldChar w:fldCharType="separate"/>
      </w:r>
      <w:r>
        <w:t>23</w:t>
      </w:r>
      <w:r>
        <w:fldChar w:fldCharType="end"/>
      </w:r>
      <w:r>
        <w:fldChar w:fldCharType="end"/>
      </w:r>
    </w:p>
    <w:p>
      <w:pPr>
        <w:pStyle w:val="33"/>
        <w:tabs>
          <w:tab w:val="left" w:pos="1320"/>
          <w:tab w:val="right" w:leader="dot" w:pos="9350"/>
        </w:tabs>
        <w:rPr>
          <w:rFonts w:ascii="Aptos" w:eastAsia="等线" w:hAnsi="Aptos"/>
          <w:kern w:val="0"/>
          <w:sz w:val="22"/>
        </w:rPr>
      </w:pPr>
      <w:r>
        <w:fldChar w:fldCharType="begin"/>
      </w:r>
      <w:r>
        <w:instrText>Hyperlink \l "_Toc191114866"</w:instrText>
      </w:r>
      <w:r>
        <w:fldChar w:fldCharType="separate"/>
      </w:r>
      <w:r>
        <w:t>3.2.4</w:t>
      </w:r>
      <w:r>
        <w:rPr>
          <w:rFonts w:ascii="Aptos" w:eastAsia="等线" w:hAnsi="Aptos"/>
          <w:kern w:val="0"/>
          <w:sz w:val="22"/>
        </w:rPr>
        <w:tab/>
      </w:r>
      <w:r>
        <w:t>Communicating the Change Vision</w:t>
        <w:tab/>
      </w:r>
      <w:r>
        <w:fldChar w:fldCharType="begin"/>
      </w:r>
      <w:r>
        <w:instrText xml:space="preserve"> PAGEREF _Toc191114866 \h </w:instrText>
      </w:r>
      <w:r>
        <w:fldChar w:fldCharType="separate"/>
      </w:r>
      <w:r>
        <w:t>23</w:t>
      </w:r>
      <w:r>
        <w:fldChar w:fldCharType="end"/>
      </w:r>
      <w:r>
        <w:fldChar w:fldCharType="end"/>
      </w:r>
    </w:p>
    <w:p>
      <w:pPr>
        <w:pStyle w:val="33"/>
        <w:tabs>
          <w:tab w:val="left" w:pos="1320"/>
          <w:tab w:val="right" w:leader="dot" w:pos="9350"/>
        </w:tabs>
        <w:rPr>
          <w:rFonts w:ascii="Aptos" w:eastAsia="等线" w:hAnsi="Aptos"/>
          <w:kern w:val="0"/>
          <w:sz w:val="22"/>
        </w:rPr>
      </w:pPr>
      <w:r>
        <w:fldChar w:fldCharType="begin"/>
      </w:r>
      <w:r>
        <w:instrText>Hyperlink \l "_Toc191114867"</w:instrText>
      </w:r>
      <w:r>
        <w:fldChar w:fldCharType="separate"/>
      </w:r>
      <w:r>
        <w:t>3.2.5</w:t>
      </w:r>
      <w:r>
        <w:rPr>
          <w:rFonts w:ascii="Aptos" w:eastAsia="等线" w:hAnsi="Aptos"/>
          <w:kern w:val="0"/>
          <w:sz w:val="22"/>
        </w:rPr>
        <w:tab/>
      </w:r>
      <w:r>
        <w:t>Empowering Employees for Action</w:t>
        <w:tab/>
      </w:r>
      <w:r>
        <w:fldChar w:fldCharType="begin"/>
      </w:r>
      <w:r>
        <w:instrText xml:space="preserve"> PAGEREF _Toc191114867 \h </w:instrText>
      </w:r>
      <w:r>
        <w:fldChar w:fldCharType="separate"/>
      </w:r>
      <w:r>
        <w:t>24</w:t>
      </w:r>
      <w:r>
        <w:fldChar w:fldCharType="end"/>
      </w:r>
      <w:r>
        <w:fldChar w:fldCharType="end"/>
      </w:r>
    </w:p>
    <w:p>
      <w:pPr>
        <w:pStyle w:val="32"/>
        <w:tabs>
          <w:tab w:val="left" w:pos="960"/>
          <w:tab w:val="right" w:leader="dot" w:pos="9350"/>
        </w:tabs>
        <w:rPr>
          <w:rFonts w:ascii="Aptos" w:eastAsia="等线" w:cs="Arial" w:hAnsi="Aptos"/>
          <w:b w:val="0"/>
          <w:bCs w:val="0"/>
          <w:kern w:val="0"/>
          <w:sz w:val="22"/>
          <w:lang w:val="en-US" w:eastAsia="en-US"/>
        </w:rPr>
      </w:pPr>
      <w:r>
        <w:fldChar w:fldCharType="begin"/>
      </w:r>
      <w:r>
        <w:instrText>Hyperlink \l "_Toc191114868"</w:instrText>
      </w:r>
      <w:r>
        <w:fldChar w:fldCharType="separate"/>
      </w:r>
      <w:r>
        <w:rPr>
          <w:b w:val="0"/>
          <w:bCs w:val="0"/>
        </w:rPr>
        <w:t>3.3</w:t>
      </w:r>
      <w:r>
        <w:rPr>
          <w:rFonts w:ascii="Aptos" w:eastAsia="等线" w:cs="Arial" w:hAnsi="Aptos"/>
          <w:b w:val="0"/>
          <w:bCs w:val="0"/>
          <w:kern w:val="0"/>
          <w:sz w:val="22"/>
          <w:lang w:val="en-US" w:eastAsia="en-US"/>
        </w:rPr>
        <w:tab/>
      </w:r>
      <w:r>
        <w:rPr>
          <w:b w:val="0"/>
          <w:bCs w:val="0"/>
        </w:rPr>
        <w:t>Success Measurement and Evaluation</w:t>
        <w:tab/>
      </w:r>
      <w:r>
        <w:rPr>
          <w:b w:val="0"/>
          <w:bCs w:val="0"/>
        </w:rPr>
        <w:fldChar w:fldCharType="begin"/>
      </w:r>
      <w:r>
        <w:rPr>
          <w:b w:val="0"/>
          <w:bCs w:val="0"/>
        </w:rPr>
        <w:instrText xml:space="preserve"> PAGEREF _Toc191114868 \h </w:instrText>
      </w:r>
      <w:r>
        <w:rPr>
          <w:b w:val="0"/>
          <w:bCs w:val="0"/>
        </w:rPr>
        <w:fldChar w:fldCharType="separate"/>
      </w:r>
      <w:r>
        <w:rPr>
          <w:b w:val="0"/>
          <w:bCs w:val="0"/>
        </w:rPr>
        <w:t>24</w:t>
      </w:r>
      <w:r>
        <w:rPr>
          <w:b w:val="0"/>
          <w:bCs w:val="0"/>
        </w:rPr>
        <w:fldChar w:fldCharType="end"/>
      </w:r>
      <w:r>
        <w:fldChar w:fldCharType="end"/>
      </w:r>
    </w:p>
    <w:p>
      <w:pPr>
        <w:pStyle w:val="32"/>
        <w:tabs>
          <w:tab w:val="left" w:pos="960"/>
          <w:tab w:val="right" w:leader="dot" w:pos="9350"/>
        </w:tabs>
        <w:rPr>
          <w:rFonts w:ascii="Aptos" w:eastAsia="等线" w:cs="Arial" w:hAnsi="Aptos"/>
          <w:b w:val="0"/>
          <w:bCs w:val="0"/>
          <w:kern w:val="0"/>
          <w:sz w:val="22"/>
          <w:lang w:val="en-US" w:eastAsia="en-US"/>
        </w:rPr>
      </w:pPr>
      <w:r>
        <w:fldChar w:fldCharType="begin"/>
      </w:r>
      <w:r>
        <w:instrText>Hyperlink \l "_Toc191114869"</w:instrText>
      </w:r>
      <w:r>
        <w:fldChar w:fldCharType="separate"/>
      </w:r>
      <w:r>
        <w:rPr>
          <w:b w:val="0"/>
          <w:bCs w:val="0"/>
        </w:rPr>
        <w:t>3.4</w:t>
      </w:r>
      <w:r>
        <w:rPr>
          <w:rFonts w:ascii="Aptos" w:eastAsia="等线" w:cs="Arial" w:hAnsi="Aptos"/>
          <w:b w:val="0"/>
          <w:bCs w:val="0"/>
          <w:kern w:val="0"/>
          <w:sz w:val="22"/>
          <w:lang w:val="en-US" w:eastAsia="en-US"/>
        </w:rPr>
        <w:tab/>
      </w:r>
      <w:r>
        <w:rPr>
          <w:b w:val="0"/>
          <w:bCs w:val="0"/>
        </w:rPr>
        <w:t>Cost Considerations and Feasibility</w:t>
        <w:tab/>
      </w:r>
      <w:r>
        <w:rPr>
          <w:b w:val="0"/>
          <w:bCs w:val="0"/>
        </w:rPr>
        <w:fldChar w:fldCharType="begin"/>
      </w:r>
      <w:r>
        <w:rPr>
          <w:b w:val="0"/>
          <w:bCs w:val="0"/>
        </w:rPr>
        <w:instrText xml:space="preserve"> PAGEREF _Toc191114869 \h </w:instrText>
      </w:r>
      <w:r>
        <w:rPr>
          <w:b w:val="0"/>
          <w:bCs w:val="0"/>
        </w:rPr>
        <w:fldChar w:fldCharType="separate"/>
      </w:r>
      <w:r>
        <w:rPr>
          <w:b w:val="0"/>
          <w:bCs w:val="0"/>
        </w:rPr>
        <w:t>25</w:t>
      </w:r>
      <w:r>
        <w:rPr>
          <w:b w:val="0"/>
          <w:bCs w:val="0"/>
        </w:rPr>
        <w:fldChar w:fldCharType="end"/>
      </w:r>
      <w:r>
        <w:fldChar w:fldCharType="end"/>
      </w:r>
    </w:p>
    <w:p>
      <w:pPr>
        <w:pStyle w:val="31"/>
        <w:tabs>
          <w:tab w:val="left" w:pos="440"/>
          <w:tab w:val="right" w:leader="dot" w:pos="9350"/>
        </w:tabs>
        <w:rPr>
          <w:rFonts w:ascii="Aptos" w:eastAsia="等线" w:hAnsi="Aptos"/>
          <w:kern w:val="0"/>
          <w:sz w:val="22"/>
        </w:rPr>
      </w:pPr>
      <w:r>
        <w:fldChar w:fldCharType="begin"/>
      </w:r>
      <w:r>
        <w:instrText>Hyperlink \l "_Toc191114870"</w:instrText>
      </w:r>
      <w:r>
        <w:fldChar w:fldCharType="separate"/>
      </w:r>
      <w:r>
        <w:rPr>
          <w:rFonts w:eastAsia="Times New Roman"/>
          <w:lang w:val="en-GB" w:eastAsia="en-GB"/>
        </w:rPr>
        <w:t>4</w:t>
      </w:r>
      <w:r>
        <w:rPr>
          <w:rFonts w:ascii="Aptos" w:eastAsia="等线" w:hAnsi="Aptos"/>
          <w:kern w:val="0"/>
          <w:sz w:val="22"/>
        </w:rPr>
        <w:tab/>
      </w:r>
      <w:r>
        <w:rPr>
          <w:rFonts w:eastAsia="Times New Roman"/>
          <w:lang w:val="en-GB" w:eastAsia="en-GB"/>
        </w:rPr>
        <w:t>Action Plan</w:t>
      </w:r>
      <w:r>
        <w:tab/>
      </w:r>
      <w:r>
        <w:fldChar w:fldCharType="begin"/>
      </w:r>
      <w:r>
        <w:instrText xml:space="preserve"> PAGEREF _Toc191114870 \h </w:instrText>
      </w:r>
      <w:r>
        <w:fldChar w:fldCharType="separate"/>
      </w:r>
      <w:r>
        <w:t>26</w:t>
      </w:r>
      <w:r>
        <w:fldChar w:fldCharType="end"/>
      </w:r>
      <w:r>
        <w:fldChar w:fldCharType="end"/>
      </w:r>
    </w:p>
    <w:p>
      <w:pPr>
        <w:pStyle w:val="31"/>
        <w:tabs>
          <w:tab w:val="left" w:pos="440"/>
          <w:tab w:val="right" w:leader="dot" w:pos="9350"/>
        </w:tabs>
        <w:rPr>
          <w:rFonts w:ascii="Aptos" w:eastAsia="等线" w:hAnsi="Aptos"/>
          <w:kern w:val="0"/>
          <w:sz w:val="22"/>
        </w:rPr>
      </w:pPr>
      <w:r>
        <w:fldChar w:fldCharType="begin"/>
      </w:r>
      <w:r>
        <w:instrText>Hyperlink \l "_Toc191114871"</w:instrText>
      </w:r>
      <w:r>
        <w:fldChar w:fldCharType="separate"/>
      </w:r>
      <w:r>
        <w:rPr>
          <w:rFonts w:eastAsia="Times New Roman"/>
          <w:lang w:val="en-GB" w:eastAsia="en-GB"/>
        </w:rPr>
        <w:t>5</w:t>
      </w:r>
      <w:r>
        <w:rPr>
          <w:rFonts w:ascii="Aptos" w:eastAsia="等线" w:hAnsi="Aptos"/>
          <w:kern w:val="0"/>
          <w:sz w:val="22"/>
        </w:rPr>
        <w:tab/>
      </w:r>
      <w:r>
        <w:rPr>
          <w:rFonts w:eastAsia="Times New Roman"/>
          <w:lang w:val="en-GB" w:eastAsia="en-GB"/>
        </w:rPr>
        <w:t>Conclusion</w:t>
      </w:r>
      <w:r>
        <w:tab/>
      </w:r>
      <w:r>
        <w:fldChar w:fldCharType="begin"/>
      </w:r>
      <w:r>
        <w:instrText xml:space="preserve"> PAGEREF _Toc191114871 \h </w:instrText>
      </w:r>
      <w:r>
        <w:fldChar w:fldCharType="separate"/>
      </w:r>
      <w:r>
        <w:t>28</w:t>
      </w:r>
      <w:r>
        <w:fldChar w:fldCharType="end"/>
      </w:r>
      <w:r>
        <w:fldChar w:fldCharType="end"/>
      </w:r>
    </w:p>
    <w:p>
      <w:pPr>
        <w:pStyle w:val="31"/>
        <w:tabs>
          <w:tab w:val="left" w:pos="440"/>
          <w:tab w:val="right" w:leader="dot" w:pos="9350"/>
        </w:tabs>
        <w:rPr>
          <w:rFonts w:ascii="Aptos" w:eastAsia="等线" w:hAnsi="Aptos"/>
          <w:kern w:val="0"/>
          <w:sz w:val="22"/>
        </w:rPr>
      </w:pPr>
      <w:r>
        <w:fldChar w:fldCharType="begin"/>
      </w:r>
      <w:r>
        <w:instrText>Hyperlink \l "_Toc191114872"</w:instrText>
      </w:r>
      <w:r>
        <w:fldChar w:fldCharType="separate"/>
      </w:r>
      <w:r>
        <w:t>6</w:t>
      </w:r>
      <w:r>
        <w:rPr>
          <w:rFonts w:ascii="Aptos" w:eastAsia="等线" w:hAnsi="Aptos"/>
          <w:kern w:val="0"/>
          <w:sz w:val="22"/>
        </w:rPr>
        <w:tab/>
      </w:r>
      <w:r>
        <w:t>References</w:t>
        <w:tab/>
      </w:r>
      <w:r>
        <w:fldChar w:fldCharType="begin"/>
      </w:r>
      <w:r>
        <w:instrText xml:space="preserve"> PAGEREF _Toc191114872 \h </w:instrText>
      </w:r>
      <w:r>
        <w:fldChar w:fldCharType="separate"/>
      </w:r>
      <w:r>
        <w:t>30</w:t>
      </w:r>
      <w:r>
        <w:fldChar w:fldCharType="end"/>
      </w:r>
      <w:r>
        <w:fldChar w:fldCharType="end"/>
      </w:r>
    </w:p>
    <w:p>
      <w:pPr>
        <w:rPr>
          <w:rFonts w:cs="Times New Roman"/>
          <w:bCs/>
          <w:szCs w:val="24"/>
        </w:rPr>
      </w:pPr>
      <w:r>
        <w:rPr>
          <w:rFonts w:cs="Times New Roman"/>
          <w:bCs/>
          <w:szCs w:val="24"/>
        </w:rPr>
        <w:fldChar w:fldCharType="end"/>
      </w:r>
    </w:p>
    <w:p>
      <w:pPr>
        <w:rPr>
          <w:lang w:val="en-GB" w:eastAsia="en-GB"/>
        </w:rPr>
      </w:pPr>
    </w:p>
    <w:p>
      <w:pPr>
        <w:spacing w:before="0" w:line="259" w:lineRule="auto"/>
        <w:jc w:val="left"/>
        <w:rPr>
          <w:rFonts w:eastAsia="等线 Light" w:cs="Times New Roman"/>
          <w:b/>
          <w:i/>
          <w:color w:val="000000"/>
          <w:szCs w:val="40"/>
        </w:rPr>
      </w:pPr>
      <w:r>
        <w:br w:type="page"/>
      </w:r>
    </w:p>
    <w:p>
      <w:pPr>
        <w:pStyle w:val="1"/>
        <w:rPr>
          <w:rFonts w:eastAsia="Times New Roman"/>
          <w:lang w:val="en-GB" w:eastAsia="en-GB"/>
        </w:rPr>
      </w:pPr>
      <w:bookmarkStart w:id="1" w:name="_Toc191114838"/>
      <w:r>
        <w:t>Introduction</w:t>
      </w:r>
      <w:bookmarkEnd w:id="1"/>
      <w:r>
        <w:rPr>
          <w:rFonts w:eastAsia="Times New Roman"/>
          <w:lang w:val="en-GB" w:eastAsia="en-GB"/>
        </w:rPr>
        <w:t xml:space="preserve"> </w:t>
      </w:r>
    </w:p>
    <w:p>
      <w:r>
        <w:t>The hospitality sector is increasingly stressed to embrace sustainable practices to reduce environmental effects and enhance operational effectiveness. Luxury hotels, like Hotel de Rome in Berlin, are presented with unique challenges in balancing sustainability with their premium services (Rocco Forte Hotels, 2024). This report finds enhancing sustainability in hotel housekeeping, particularly focusing on reducing water and energy wastage (Abdalla Eltoum et al., 2024). The report has a designed approach for sustainability initiatives utilizing designed business models.</w:t>
      </w:r>
    </w:p>
    <w:p>
      <w:r>
        <w:t>Hotel de Rome, located in the heart of Berlin, is a five-star luxury hotel recognized for its mixture of historic architecture and contemporary elegance. First built as a bank in the late 19th century, it was distorted into a hotel in 2006 (Fukey and Rajaram, 2024). The hotel offers 145 rooms and suites, a rooftop terrace with panoramic city views, a luxurious spa, an indoor swimming pool, and fine dining options. In place of part of the Rocco Forte Hotels group, it supports high standards in guest experience and operational excellence (Paliś and Siwek, 2024). On the other hand, with growing regulatory pressures and sustainability expectations from guests, the hotel must implement eco-friendly housekeeping approaches to uphold its competitive edge.</w:t>
      </w:r>
    </w:p>
    <w:p>
      <w:r>
        <w:t>The implementation of sustainable performs in hotel operations is not only ambitious by the environmental authoritative but also by the rising demand for eco-friendly accommodations (</w:t>
      </w:r>
      <w:r>
        <w:rPr>
          <w:color w:val="222222"/>
          <w:shd w:val="clear" w:color="auto" w:fill="FFFFFF"/>
        </w:rPr>
        <w:t>Selvamuthukumaran, 2024). </w:t>
      </w:r>
      <w:r>
        <w:t>Consumers are flattering more environmentally conscious, and many now choose hotels with strong sustainability commitments (Otegui Carles, 2024).  As part of this commitment, Hotel de Rome must address the important environmental footmark of its housekeeping department. The housekeeping department is one of the greatest resource-intensive segments of a hotel, with water and energy being two of the largest operational costs.</w:t>
      </w:r>
    </w:p>
    <w:p>
      <w:r>
        <w:t>McKinsey, a worldwide management consulting firm famous for its know-how in strategy, operations, and sustainability, has been betrothed to measure water and energy consumption disorganizations in the housekeeping department and indorse actionable sustainability strategies (Dasgupta and Jamader, 2024). McKinsey’s involvement will confirm a data-driven, industry-benchmarking method to the growth of a sustainable roadmap for Hotel de Rome.</w:t>
      </w:r>
    </w:p>
    <w:p>
      <w:r>
        <w:t>Towards discourse of these challenges, this report will put on three planned frameworks to examine and decide the sustainability challenges and the Pestle analysis investigative external factors manipulating the hotel’s sustainability efforts. SOAR analysis that are classifying Strengths, Opportunities, Aspirations, and Results to bring into line sustainable creativities with business goal (</w:t>
      </w:r>
      <w:r>
        <w:rPr>
          <w:color w:val="222222"/>
          <w:shd w:val="clear" w:color="auto" w:fill="FFFFFF"/>
        </w:rPr>
        <w:t xml:space="preserve">Lesar and Weaver, 2024). </w:t>
      </w:r>
      <w:r>
        <w:t>TOWS Analysis that are developing strategic responses by planning internal strengths and weaknesses contrary to external opportunities and threats. This report emphases on the exact issues of water and energy waste within the housekeeping operations of Hotel de Rome (</w:t>
      </w:r>
      <w:r>
        <w:rPr>
          <w:color w:val="222222"/>
          <w:shd w:val="clear" w:color="auto" w:fill="FFFFFF"/>
        </w:rPr>
        <w:t>Giousmpasoglou and Marinakou, 2024). </w:t>
      </w:r>
      <w:r>
        <w:t>Through classifying these inefficiencies, Hotel de Rome can decrease operational costs, improve its reputation as a sustainable luxury brand, and fulfill with progressively severe environmental regulations.</w:t>
      </w:r>
    </w:p>
    <w:p>
      <w:pPr>
        <w:keepNext/>
        <w:ind w:left="360"/>
        <w:jc w:val="center"/>
        <w:rPr>
          <w:rFonts w:cs="Times New Roman"/>
          <w:szCs w:val="24"/>
        </w:rPr>
      </w:pPr>
      <w:r>
        <w:rPr>
          <w:rFonts w:cs="Times New Roman"/>
          <w:szCs w:val="24"/>
        </w:rPr>
        <w:drawing>
          <wp:inline distT="0" distB="0" distL="0" distR="0">
            <wp:extent cx="4752661" cy="3170582"/>
            <wp:effectExtent l="0" t="0" r="0" b="0"/>
            <wp:docPr id="4" name="Image 4" descr="https://static.wixstatic.com/media/ff9b69_73b9ab213b6243f68b56d4e4518e9946~mv2.jpg/v1/fill/w_740,h_493,al_c,q_85,usm_0.66_1.00_0.01,enc_auto/ff9b69_73b9ab213b6243f68b56d4e4518e9946~mv2.jpg"/>
            <wp:cNvGraphicFramePr>
              <a:graphicFrameLocks noChangeAspect="1"/>
            </wp:cNvGraphicFramePr>
            <a:graphic>
              <a:graphicData uri="http://schemas.openxmlformats.org/drawingml/2006/picture">
                <pic:pic>
                  <pic:nvPicPr>
                    <pic:cNvPr id="6" name="Image 6"/>
                    <pic:cNvPicPr/>
                  </pic:nvPicPr>
                  <pic:blipFill>
                    <a:blip r:embed="rId4"/>
                    <a:stretch>
                      <a:fillRect/>
                    </a:stretch>
                  </pic:blipFill>
                  <pic:spPr>
                    <a:xfrm rot="0">
                      <a:off x="0" y="0"/>
                      <a:ext cx="4752661" cy="3170582"/>
                    </a:xfrm>
                    <a:prstGeom prst="rect"/>
                    <a:noFill/>
                    <a:ln w="12700" cmpd="sng" cap="flat">
                      <a:noFill/>
                      <a:prstDash val="solid"/>
                      <a:round/>
                    </a:ln>
                  </pic:spPr>
                </pic:pic>
              </a:graphicData>
            </a:graphic>
          </wp:inline>
        </w:drawing>
      </w:r>
    </w:p>
    <w:p>
      <w:pPr>
        <w:pStyle w:val="26"/>
        <w:spacing w:line="360" w:lineRule="auto"/>
        <w:jc w:val="center"/>
        <w:rPr>
          <w:rFonts w:cs="Times New Roman"/>
          <w:i w:val="0"/>
          <w:color w:val="auto"/>
          <w:sz w:val="24"/>
          <w:szCs w:val="24"/>
        </w:rPr>
      </w:pPr>
      <w:r>
        <w:rPr>
          <w:rFonts w:cs="Times New Roman"/>
          <w:i w:val="0"/>
          <w:color w:val="auto"/>
          <w:sz w:val="24"/>
          <w:szCs w:val="24"/>
        </w:rPr>
        <w:t xml:space="preserve">Figure </w:t>
      </w:r>
      <w:r>
        <w:rPr>
          <w:rFonts w:cs="Times New Roman"/>
          <w:i w:val="0"/>
          <w:color w:val="auto"/>
          <w:sz w:val="24"/>
          <w:szCs w:val="24"/>
        </w:rPr>
        <w:fldChar w:fldCharType="begin"/>
      </w:r>
      <w:r>
        <w:rPr>
          <w:rFonts w:cs="Times New Roman"/>
          <w:i w:val="0"/>
          <w:color w:val="auto"/>
          <w:sz w:val="24"/>
          <w:szCs w:val="24"/>
        </w:rPr>
        <w:instrText xml:space="preserve"> SEQ Figure \* ARABIC </w:instrText>
      </w:r>
      <w:r>
        <w:rPr>
          <w:rFonts w:cs="Times New Roman"/>
          <w:i w:val="0"/>
          <w:color w:val="auto"/>
          <w:sz w:val="24"/>
          <w:szCs w:val="24"/>
        </w:rPr>
        <w:fldChar w:fldCharType="separate"/>
      </w:r>
      <w:r>
        <w:rPr>
          <w:rFonts w:cs="Times New Roman"/>
          <w:i w:val="0"/>
          <w:color w:val="auto"/>
          <w:sz w:val="24"/>
          <w:szCs w:val="24"/>
        </w:rPr>
        <w:t>1</w:t>
      </w:r>
      <w:r>
        <w:rPr>
          <w:rFonts w:cs="Times New Roman"/>
          <w:i w:val="0"/>
          <w:color w:val="auto"/>
          <w:sz w:val="24"/>
          <w:szCs w:val="24"/>
        </w:rPr>
        <w:fldChar w:fldCharType="end"/>
      </w:r>
      <w:r>
        <w:rPr>
          <w:rFonts w:cs="Times New Roman"/>
          <w:i w:val="0"/>
          <w:color w:val="auto"/>
          <w:sz w:val="24"/>
          <w:szCs w:val="24"/>
        </w:rPr>
        <w:t xml:space="preserve"> hotel de Rome in berlin</w:t>
      </w:r>
    </w:p>
    <w:p>
      <w:pPr>
        <w:ind w:left="360"/>
        <w:jc w:val="center"/>
        <w:rPr>
          <w:rFonts w:cs="Times New Roman"/>
          <w:szCs w:val="24"/>
        </w:rPr>
      </w:pPr>
      <w:r>
        <w:rPr>
          <w:rFonts w:cs="Times New Roman"/>
          <w:szCs w:val="24"/>
        </w:rPr>
        <w:t xml:space="preserve">(Source: </w:t>
      </w:r>
      <w:r>
        <w:rPr>
          <w:rFonts w:cs="Times New Roman"/>
          <w:color w:val="000000"/>
          <w:szCs w:val="24"/>
          <w:shd w:val="clear" w:color="auto" w:fill="FFFFFF"/>
        </w:rPr>
        <w:t>Geyer, 2024)</w:t>
      </w:r>
    </w:p>
    <w:p>
      <w:pPr>
        <w:rPr>
          <w:rFonts w:cs="Times New Roman"/>
          <w:szCs w:val="24"/>
          <w:lang w:val="en-GB" w:eastAsia="en-GB"/>
        </w:rPr>
      </w:pPr>
    </w:p>
    <w:p>
      <w:pPr>
        <w:pStyle w:val="1"/>
      </w:pPr>
      <w:bookmarkStart w:id="2" w:name="_Toc191114839"/>
      <w:r>
        <w:t>Analysis</w:t>
      </w:r>
      <w:bookmarkEnd w:id="2"/>
      <w:r>
        <w:t xml:space="preserve"> </w:t>
      </w:r>
    </w:p>
    <w:p>
      <w:pPr>
        <w:pStyle w:val="2"/>
        <w:rPr>
          <w:rFonts w:eastAsia="Times New Roman"/>
          <w:lang w:val="en-GB" w:eastAsia="en-GB"/>
        </w:rPr>
      </w:pPr>
      <w:bookmarkStart w:id="3" w:name="_Toc191114840"/>
      <w:r>
        <w:rPr>
          <w:rFonts w:eastAsia="Times New Roman"/>
          <w:lang w:val="en-GB" w:eastAsia="en-GB"/>
        </w:rPr>
        <w:t>Identification of the issue</w:t>
      </w:r>
    </w:p>
    <w:p>
      <w:pPr>
        <w:rPr>
          <w:color w:val="222222"/>
          <w:shd w:val="clear" w:color="auto" w:fill="FFFFFF"/>
        </w:rPr>
      </w:pPr>
      <w:r>
        <w:t>At Hotel de Rome, Sustainability challenges in hotel housekeeping mostly rise from incompetent resource usage, giving to high operational costs and environmental deprivation. The main issues recognized is Water Waste of the Hotel de Rome practices important quantities of water for laundry, which includes bed linens, towels, guest clothing services, and room cleaning operations (</w:t>
      </w:r>
      <w:r>
        <w:rPr>
          <w:color w:val="222222"/>
          <w:shd w:val="clear" w:color="auto" w:fill="FFFFFF"/>
        </w:rPr>
        <w:t xml:space="preserve">Chandrappa and Das, 2024). </w:t>
      </w:r>
      <w:r>
        <w:t xml:space="preserve"> The practice of changing towels and bed linens daily, even when not required by guests, developments water usage unnecessarily. This is a communal recurrence in many luxury hotels, but it means a casual reduction (</w:t>
      </w:r>
      <w:r>
        <w:rPr>
          <w:color w:val="222222"/>
          <w:shd w:val="clear" w:color="auto" w:fill="FFFFFF"/>
        </w:rPr>
        <w:t>Jasińska, 2023).</w:t>
      </w:r>
      <w:r>
        <w:t xml:space="preserve"> In-house laundry processes exploit older washing machines that are a smaller amount efficient, irresistible more water per cycle (</w:t>
      </w:r>
      <w:r>
        <w:rPr>
          <w:color w:val="222222"/>
          <w:shd w:val="clear" w:color="auto" w:fill="FFFFFF"/>
        </w:rPr>
        <w:t xml:space="preserve">Procházková and Máša, 2022). </w:t>
      </w:r>
    </w:p>
    <w:p>
      <w:r>
        <w:t>Energy waste housekeeping procedures rest on on energy-intensive equipment, such as vacuum cleaners, industrial washers, and dryers, which consume large amounts of electricity. Incompetent lighting systems in hallways and guest rooms frequently donate to needless energy consumption (</w:t>
      </w:r>
      <w:r>
        <w:rPr>
          <w:color w:val="222222"/>
          <w:shd w:val="clear" w:color="auto" w:fill="FFFFFF"/>
        </w:rPr>
        <w:t>Chandrappa and Das, 2024)</w:t>
      </w:r>
      <w:r>
        <w:t>. HVAC (heating, ventilation, and air conditioning) systems in guest rooms may be left successively when rooms are vacant, important to unnecessary energy use, the higher energy and water consumption in a straight line upsurge utility bills, which affects profitability (</w:t>
      </w:r>
      <w:r>
        <w:rPr>
          <w:color w:val="222222"/>
          <w:shd w:val="clear" w:color="auto" w:fill="FFFFFF"/>
        </w:rPr>
        <w:t xml:space="preserve">Sudheshna et al., 2022). </w:t>
      </w:r>
      <w:r>
        <w:t xml:space="preserve"> Inefficient practices result in wasted resources and excessive workloads for housekeeping staff, moving productivity. </w:t>
      </w:r>
    </w:p>
    <w:p>
      <w:r>
        <w:t>In addition to this, guests are progressively disturbed with the sustainability practices of the hotels they choose to stay in. A lack of obligation to sustainability may deter eco-conscious travelers (Bellini, 2022).  The German government applies stringent energy efficiency and water conservation regulations for the hospitality sector. Non-compliance with these regulations can outcome in penalties. Secondary data high spot the severity of these issues. Industry benchmarks suggest that hotels account for up to 15% of total building energy consumption. A study by the International Tourism Partnership found that energy-efficient hotels can save between 20% and 30% on operational costs (</w:t>
      </w:r>
      <w:r>
        <w:rPr>
          <w:shd w:val="clear" w:color="auto" w:fill="FFFFFF"/>
        </w:rPr>
        <w:t>Thommandru et al., 2023)</w:t>
      </w:r>
      <w:r>
        <w:t>.  This underlines the position of removing water and energy-saving approaches in housekeeping processes.</w:t>
      </w:r>
    </w:p>
    <w:p>
      <w:r>
        <w:t xml:space="preserve"> A PESTEL analysis of Hotel de Rome, Berlin, evaluates the external factors that influence the hotel’s operations, strategic decisions, and competitive positioning. This analysis covers political, economic, social, technological, environmental, and legal factors in detail, highlighting their potential impacts on the hotel’s business.</w:t>
      </w:r>
    </w:p>
    <w:p>
      <w:pPr>
        <w:pStyle w:val="2"/>
      </w:pPr>
      <w:bookmarkStart w:id="4" w:name="_Toc191114841"/>
      <w:r>
        <w:t>PESTLE Analysis (External Factors Impacting the Hotel)</w:t>
      </w:r>
    </w:p>
    <w:p>
      <w:pPr>
        <w:pStyle w:val="3"/>
        <w:rPr>
          <w:rFonts w:eastAsia="Times New Roman"/>
        </w:rPr>
      </w:pPr>
      <w:bookmarkStart w:id="5" w:name="_Toc191114842"/>
      <w:r>
        <w:rPr>
          <w:rFonts w:eastAsia="Times New Roman"/>
        </w:rPr>
        <w:t>Political Factors</w:t>
      </w:r>
      <w:bookmarkEnd w:id="5"/>
      <w:r>
        <w:rPr>
          <w:rFonts w:eastAsia="Times New Roman"/>
        </w:rPr>
        <w:t xml:space="preserve"> </w:t>
      </w:r>
    </w:p>
    <w:p>
      <w:pPr>
        <w:pStyle w:val="18"/>
        <w:numPr>
          <w:ilvl w:val="0"/>
          <w:numId w:val="1"/>
        </w:numPr>
        <w:spacing w:before="100" w:beforeAutospacing="1" w:after="100" w:afterAutospacing="1"/>
        <w:rPr>
          <w:rFonts w:eastAsia="Times New Roman" w:cs="Times New Roman"/>
          <w:szCs w:val="24"/>
        </w:rPr>
      </w:pPr>
      <w:r>
        <w:rPr>
          <w:rFonts w:eastAsia="Times New Roman" w:cs="Times New Roman"/>
          <w:szCs w:val="24"/>
        </w:rPr>
        <w:t>The political landscape in Germany, counting the stability of the government and the regulatory outline, plays an important role in the hotel’s operations (</w:t>
      </w:r>
      <w:r>
        <w:rPr>
          <w:rFonts w:cs="Times New Roman"/>
          <w:szCs w:val="24"/>
        </w:rPr>
        <w:t xml:space="preserve">Kühne and Weber, 2022). </w:t>
      </w:r>
      <w:r>
        <w:rPr>
          <w:rFonts w:eastAsia="Times New Roman" w:cs="Times New Roman"/>
          <w:szCs w:val="24"/>
        </w:rPr>
        <w:t xml:space="preserve"> Hotel de Rome must direct various regulations, counting those related to tourism, tax policies, and labor laws (</w:t>
      </w:r>
      <w:r>
        <w:rPr>
          <w:rFonts w:cs="Times New Roman"/>
          <w:szCs w:val="24"/>
        </w:rPr>
        <w:t xml:space="preserve">Ma and Su, 2024). </w:t>
      </w:r>
      <w:r>
        <w:rPr>
          <w:rFonts w:eastAsia="Times New Roman" w:cs="Times New Roman"/>
          <w:szCs w:val="24"/>
        </w:rPr>
        <w:t xml:space="preserve"> Berlin, as the capital, has a solid political influence, which can initiative tourism initiatives and infrastructure development. </w:t>
      </w:r>
    </w:p>
    <w:p>
      <w:pPr>
        <w:pStyle w:val="18"/>
        <w:numPr>
          <w:ilvl w:val="0"/>
          <w:numId w:val="1"/>
        </w:numPr>
        <w:spacing w:before="100" w:beforeAutospacing="1" w:after="100" w:afterAutospacing="1"/>
        <w:rPr>
          <w:rFonts w:eastAsia="Times New Roman" w:cs="Times New Roman"/>
          <w:szCs w:val="24"/>
        </w:rPr>
      </w:pPr>
      <w:r>
        <w:rPr>
          <w:rFonts w:eastAsia="Times New Roman" w:cs="Times New Roman"/>
          <w:szCs w:val="24"/>
        </w:rPr>
        <w:t>Political stability certifies a promising environment for business, but the hotel must stay conversant of any changes, mainly those connected to the tourism sector, as these can directly influence occupancy rates and demand for services (</w:t>
      </w:r>
      <w:r>
        <w:rPr>
          <w:rFonts w:cs="Times New Roman"/>
          <w:szCs w:val="24"/>
        </w:rPr>
        <w:t xml:space="preserve">Ivanov, 2023). </w:t>
      </w:r>
    </w:p>
    <w:p>
      <w:pPr>
        <w:pStyle w:val="18"/>
        <w:numPr>
          <w:ilvl w:val="0"/>
          <w:numId w:val="1"/>
        </w:numPr>
        <w:spacing w:before="100" w:beforeAutospacing="1" w:after="100" w:afterAutospacing="1"/>
        <w:rPr>
          <w:rFonts w:eastAsia="Times New Roman" w:cs="Times New Roman"/>
          <w:szCs w:val="24"/>
        </w:rPr>
      </w:pPr>
      <w:r>
        <w:rPr>
          <w:rFonts w:eastAsia="Times New Roman" w:cs="Times New Roman"/>
          <w:szCs w:val="24"/>
        </w:rPr>
        <w:t>Moreover, any changes in government policies concerning international relations or trade agreements can affect the number of international visitors, especially post-Brexit, moving the hotel’s international custom (</w:t>
      </w:r>
      <w:r>
        <w:rPr>
          <w:rFonts w:cs="Times New Roman"/>
          <w:szCs w:val="24"/>
        </w:rPr>
        <w:t xml:space="preserve">Ndaguba et al., 2024). </w:t>
      </w:r>
    </w:p>
    <w:p>
      <w:pPr>
        <w:pStyle w:val="3"/>
        <w:rPr>
          <w:rFonts w:eastAsia="Times New Roman"/>
        </w:rPr>
      </w:pPr>
      <w:bookmarkStart w:id="6" w:name="_Toc191114843"/>
      <w:r>
        <w:rPr>
          <w:rFonts w:eastAsia="Times New Roman"/>
        </w:rPr>
        <w:t>Economic Factors</w:t>
      </w:r>
    </w:p>
    <w:p>
      <w:pPr>
        <w:pStyle w:val="18"/>
        <w:numPr>
          <w:ilvl w:val="0"/>
          <w:numId w:val="2"/>
        </w:numPr>
        <w:spacing w:before="100" w:beforeAutospacing="1" w:after="100" w:afterAutospacing="1"/>
        <w:rPr>
          <w:rFonts w:eastAsia="Times New Roman" w:cs="Times New Roman"/>
          <w:szCs w:val="24"/>
        </w:rPr>
      </w:pPr>
      <w:r>
        <w:rPr>
          <w:rFonts w:eastAsia="Times New Roman" w:cs="Times New Roman"/>
          <w:szCs w:val="24"/>
        </w:rPr>
        <w:t>Economic conditions, both locally and internationally, right affect consumer outgoings and tourism tendencies (</w:t>
      </w:r>
      <w:r>
        <w:rPr>
          <w:rFonts w:cs="Times New Roman"/>
          <w:color w:val="222222"/>
          <w:szCs w:val="24"/>
          <w:shd w:val="clear" w:color="auto" w:fill="FFFFFF"/>
        </w:rPr>
        <w:t>Malizia et al., 2021). </w:t>
      </w:r>
      <w:r>
        <w:rPr>
          <w:rFonts w:eastAsia="Times New Roman" w:cs="Times New Roman"/>
          <w:szCs w:val="24"/>
        </w:rPr>
        <w:t xml:space="preserve">Hotel’s status as a main European city with solid economic growth chains a strong hospitality industry. </w:t>
      </w:r>
    </w:p>
    <w:p>
      <w:pPr>
        <w:pStyle w:val="18"/>
        <w:numPr>
          <w:ilvl w:val="0"/>
          <w:numId w:val="2"/>
        </w:numPr>
        <w:spacing w:before="100" w:beforeAutospacing="1" w:after="100" w:afterAutospacing="1"/>
        <w:rPr>
          <w:rFonts w:eastAsia="Times New Roman" w:cs="Times New Roman"/>
          <w:szCs w:val="24"/>
        </w:rPr>
      </w:pPr>
      <w:r>
        <w:rPr>
          <w:rFonts w:eastAsia="Times New Roman" w:cs="Times New Roman"/>
          <w:szCs w:val="24"/>
        </w:rPr>
        <w:t>On the other hand, the hotel can continue careful of economic downturns or inflationary pressures that can decrease throwaway income and, consequently, travel budgets (</w:t>
      </w:r>
      <w:r>
        <w:rPr>
          <w:rFonts w:cs="Times New Roman"/>
          <w:color w:val="222222"/>
          <w:szCs w:val="24"/>
          <w:shd w:val="clear" w:color="auto" w:fill="FFFFFF"/>
        </w:rPr>
        <w:t xml:space="preserve">Rasul et al., 2021). </w:t>
      </w:r>
    </w:p>
    <w:p>
      <w:pPr>
        <w:pStyle w:val="18"/>
        <w:numPr>
          <w:ilvl w:val="0"/>
          <w:numId w:val="2"/>
        </w:numPr>
        <w:spacing w:before="100" w:beforeAutospacing="1" w:after="100" w:afterAutospacing="1"/>
        <w:rPr>
          <w:rFonts w:eastAsia="Times New Roman" w:cs="Times New Roman"/>
          <w:szCs w:val="24"/>
        </w:rPr>
      </w:pPr>
      <w:r>
        <w:rPr>
          <w:rFonts w:eastAsia="Times New Roman" w:cs="Times New Roman"/>
          <w:szCs w:val="24"/>
        </w:rPr>
        <w:t>The worldwide economic climate, counting exchange rates, also effects international tourists’ readiness to visit Berlin (</w:t>
      </w:r>
      <w:r>
        <w:rPr>
          <w:rFonts w:cs="Times New Roman"/>
          <w:color w:val="222222"/>
          <w:szCs w:val="24"/>
          <w:shd w:val="clear" w:color="auto" w:fill="FFFFFF"/>
        </w:rPr>
        <w:t xml:space="preserve">Niewiadomski, 2023). </w:t>
      </w:r>
    </w:p>
    <w:p>
      <w:pPr>
        <w:pStyle w:val="18"/>
        <w:numPr>
          <w:ilvl w:val="0"/>
          <w:numId w:val="2"/>
        </w:numPr>
        <w:spacing w:before="100" w:beforeAutospacing="1" w:after="100" w:afterAutospacing="1"/>
        <w:rPr>
          <w:rFonts w:eastAsia="Times New Roman" w:cs="Times New Roman"/>
          <w:szCs w:val="24"/>
        </w:rPr>
      </w:pPr>
      <w:r>
        <w:rPr>
          <w:rFonts w:eastAsia="Times New Roman" w:cs="Times New Roman"/>
          <w:szCs w:val="24"/>
        </w:rPr>
        <w:t>Economic challenges, by way of the recent impacts of the COVID-19 pandemic, can lead to changes in the request for luxury accommodations. (</w:t>
      </w:r>
      <w:r>
        <w:rPr>
          <w:rFonts w:cs="Times New Roman"/>
          <w:color w:val="222222"/>
          <w:szCs w:val="24"/>
          <w:shd w:val="clear" w:color="auto" w:fill="FFFFFF"/>
        </w:rPr>
        <w:t xml:space="preserve">Thommandru et al., 2023). </w:t>
      </w:r>
      <w:r>
        <w:rPr>
          <w:rFonts w:eastAsia="Times New Roman" w:cs="Times New Roman"/>
          <w:szCs w:val="24"/>
        </w:rPr>
        <w:t>Hotel need to regulate its valuing strategy or promotional offers to uphold tenancy throughout periods of economic uncertainty.</w:t>
      </w:r>
    </w:p>
    <w:p>
      <w:pPr>
        <w:pStyle w:val="18"/>
        <w:spacing w:before="100" w:beforeAutospacing="1" w:after="100" w:afterAutospacing="1"/>
        <w:ind w:left="0"/>
        <w:jc w:val="center"/>
        <w:rPr>
          <w:rFonts w:eastAsia="Times New Roman" w:cs="Times New Roman"/>
          <w:szCs w:val="24"/>
        </w:rPr>
      </w:pPr>
      <w:r>
        <w:rPr>
          <w:rFonts w:cs="Times New Roman"/>
          <w:szCs w:val="24"/>
        </w:rPr>
        <w:drawing>
          <wp:inline distT="0" distB="0" distL="0" distR="0">
            <wp:extent cx="5120640" cy="3200400"/>
            <wp:effectExtent l="0" t="0" r="0" b="0"/>
            <wp:docPr id="7" name="Image 7"/>
            <wp:cNvGraphicFramePr>
              <a:graphicFrameLocks noChangeAspect="1"/>
            </wp:cNvGraphicFramePr>
            <a:graphic>
              <a:graphicData uri="http://schemas.openxmlformats.org/drawingml/2006/picture">
                <pic:pic>
                  <pic:nvPicPr>
                    <pic:cNvPr id="9" name="Image 9"/>
                    <pic:cNvPicPr/>
                  </pic:nvPicPr>
                  <pic:blipFill>
                    <a:blip r:embed="rId5"/>
                    <a:stretch>
                      <a:fillRect/>
                    </a:stretch>
                  </pic:blipFill>
                  <pic:spPr>
                    <a:xfrm rot="0">
                      <a:off x="0" y="0"/>
                      <a:ext cx="5120640" cy="3200400"/>
                    </a:xfrm>
                    <a:prstGeom prst="rect"/>
                    <a:noFill/>
                    <a:ln w="12700" cmpd="sng" cap="flat">
                      <a:noFill/>
                      <a:prstDash val="solid"/>
                      <a:round/>
                    </a:ln>
                  </pic:spPr>
                </pic:pic>
              </a:graphicData>
            </a:graphic>
          </wp:inline>
        </w:drawing>
      </w:r>
    </w:p>
    <w:p>
      <w:pPr>
        <w:jc w:val="center"/>
        <w:rPr>
          <w:rFonts w:cs="Times New Roman"/>
          <w:szCs w:val="24"/>
        </w:rPr>
      </w:pPr>
      <w:r>
        <w:rPr>
          <w:rFonts w:cs="Times New Roman"/>
          <w:szCs w:val="24"/>
        </w:rPr>
        <w:t>Figure 1: UK hotel industry market size 2013-2024</w:t>
      </w:r>
    </w:p>
    <w:p>
      <w:pPr>
        <w:jc w:val="center"/>
        <w:rPr>
          <w:rFonts w:cs="Times New Roman"/>
          <w:color w:val="455F7C"/>
          <w:szCs w:val="24"/>
        </w:rPr>
      </w:pPr>
      <w:r>
        <w:rPr>
          <w:rFonts w:cs="Times New Roman"/>
          <w:szCs w:val="24"/>
        </w:rPr>
        <w:t xml:space="preserve">(Source: </w:t>
      </w:r>
      <w:r>
        <w:rPr>
          <w:rFonts w:cs="Times New Roman"/>
          <w:color w:val="000000"/>
          <w:szCs w:val="24"/>
        </w:rPr>
        <w:t>Statista, 2024</w:t>
      </w:r>
      <w:r>
        <w:rPr>
          <w:rFonts w:cs="Times New Roman"/>
          <w:szCs w:val="24"/>
        </w:rPr>
        <w:t>)</w:t>
      </w:r>
    </w:p>
    <w:p>
      <w:pPr>
        <w:pStyle w:val="3"/>
        <w:rPr>
          <w:rFonts w:eastAsia="Times New Roman"/>
        </w:rPr>
      </w:pPr>
      <w:bookmarkStart w:id="7" w:name="_Toc191114844"/>
      <w:r>
        <w:rPr>
          <w:rFonts w:eastAsia="Times New Roman"/>
        </w:rPr>
        <w:t>Social Factors</w:t>
      </w:r>
      <w:bookmarkEnd w:id="7"/>
      <w:r>
        <w:rPr>
          <w:rFonts w:eastAsia="Times New Roman"/>
        </w:rPr>
        <w:t xml:space="preserve"> </w:t>
      </w:r>
    </w:p>
    <w:p>
      <w:pPr>
        <w:pStyle w:val="18"/>
        <w:numPr>
          <w:ilvl w:val="0"/>
          <w:numId w:val="3"/>
        </w:numPr>
        <w:spacing w:before="100" w:beforeAutospacing="1" w:after="100" w:afterAutospacing="1"/>
        <w:rPr>
          <w:rFonts w:eastAsia="Times New Roman" w:cs="Times New Roman"/>
          <w:szCs w:val="24"/>
        </w:rPr>
      </w:pPr>
      <w:r>
        <w:rPr>
          <w:rFonts w:eastAsia="Times New Roman" w:cs="Times New Roman"/>
          <w:szCs w:val="24"/>
        </w:rPr>
        <w:t>Social trends and cultural changes form the preferences and expectations of hotel guests (</w:t>
      </w:r>
      <w:r>
        <w:rPr>
          <w:rFonts w:cs="Times New Roman"/>
          <w:color w:val="222222"/>
          <w:szCs w:val="24"/>
          <w:shd w:val="clear" w:color="auto" w:fill="FFFFFF"/>
        </w:rPr>
        <w:t xml:space="preserve">Bardukova, 2023). </w:t>
      </w:r>
      <w:r>
        <w:rPr>
          <w:rFonts w:eastAsia="Times New Roman" w:cs="Times New Roman"/>
          <w:szCs w:val="24"/>
        </w:rPr>
        <w:t xml:space="preserve"> Hotel can provide to a varied demographic, from international tourists to business travelers and locals. </w:t>
      </w:r>
    </w:p>
    <w:p>
      <w:pPr>
        <w:pStyle w:val="18"/>
        <w:numPr>
          <w:ilvl w:val="0"/>
          <w:numId w:val="3"/>
        </w:numPr>
        <w:spacing w:before="100" w:beforeAutospacing="1" w:after="100" w:afterAutospacing="1"/>
        <w:rPr>
          <w:rFonts w:eastAsia="Times New Roman" w:cs="Times New Roman"/>
          <w:szCs w:val="24"/>
        </w:rPr>
      </w:pPr>
      <w:r>
        <w:rPr>
          <w:rFonts w:eastAsia="Times New Roman" w:cs="Times New Roman"/>
          <w:szCs w:val="24"/>
        </w:rPr>
        <w:t>Shifts in consumer preferences near sustainability, local experiences, and wellness services mean that the hotel needs to familiarize to these expectations (</w:t>
      </w:r>
      <w:r>
        <w:rPr>
          <w:rFonts w:cs="Times New Roman"/>
          <w:color w:val="222222"/>
          <w:szCs w:val="24"/>
          <w:shd w:val="clear" w:color="auto" w:fill="FFFFFF"/>
        </w:rPr>
        <w:t xml:space="preserve">Bočkus et al., 2024). </w:t>
      </w:r>
    </w:p>
    <w:p>
      <w:pPr>
        <w:pStyle w:val="18"/>
        <w:numPr>
          <w:ilvl w:val="0"/>
          <w:numId w:val="3"/>
        </w:numPr>
        <w:spacing w:before="100" w:beforeAutospacing="1" w:after="100" w:afterAutospacing="1"/>
        <w:rPr>
          <w:rFonts w:eastAsia="Times New Roman" w:cs="Times New Roman"/>
          <w:szCs w:val="24"/>
        </w:rPr>
      </w:pPr>
      <w:r>
        <w:rPr>
          <w:rFonts w:eastAsia="Times New Roman" w:cs="Times New Roman"/>
          <w:szCs w:val="24"/>
        </w:rPr>
        <w:t>The collective demand for personalized services, health-conscious amenities, and eco-friendly practices means that Hotel that can continually revolutionize to encounter guest needs (</w:t>
      </w:r>
      <w:r>
        <w:rPr>
          <w:rFonts w:cs="Times New Roman"/>
          <w:color w:val="222222"/>
          <w:szCs w:val="24"/>
          <w:shd w:val="clear" w:color="auto" w:fill="FFFFFF"/>
        </w:rPr>
        <w:t xml:space="preserve">Lubowiecki-Viku et al., 2021). </w:t>
      </w:r>
      <w:r>
        <w:rPr>
          <w:rFonts w:eastAsia="Times New Roman" w:cs="Times New Roman"/>
          <w:szCs w:val="24"/>
        </w:rPr>
        <w:t>Also, Berlin’s lively cultural scene entices guests with an interest in art, history, and the city’s multicultural lifestyle, so the hotel must bring into line its donations with these cultural preferences to uphold its competitive edge.</w:t>
      </w:r>
    </w:p>
    <w:p>
      <w:pPr>
        <w:pStyle w:val="3"/>
        <w:rPr>
          <w:rFonts w:eastAsia="Times New Roman"/>
        </w:rPr>
      </w:pPr>
      <w:bookmarkStart w:id="8" w:name="_Toc191114845"/>
      <w:r>
        <w:rPr>
          <w:rFonts w:eastAsia="Times New Roman"/>
        </w:rPr>
        <w:t>Technological Factors</w:t>
      </w:r>
    </w:p>
    <w:p>
      <w:pPr>
        <w:pStyle w:val="18"/>
        <w:numPr>
          <w:ilvl w:val="0"/>
          <w:numId w:val="4"/>
        </w:numPr>
        <w:spacing w:before="100" w:beforeAutospacing="1" w:after="100" w:afterAutospacing="1"/>
        <w:rPr>
          <w:rFonts w:eastAsia="Times New Roman" w:cs="Times New Roman"/>
          <w:szCs w:val="24"/>
        </w:rPr>
      </w:pPr>
      <w:r>
        <w:rPr>
          <w:rFonts w:eastAsia="Times New Roman" w:cs="Times New Roman"/>
          <w:szCs w:val="24"/>
        </w:rPr>
        <w:t>Technological advancements meaningfully influence the hospitality industry, and it can influence modern technology to improve guest experiences and operational efficiency (</w:t>
      </w:r>
      <w:r>
        <w:rPr>
          <w:rFonts w:cs="Times New Roman"/>
          <w:color w:val="222222"/>
          <w:szCs w:val="24"/>
          <w:shd w:val="clear" w:color="auto" w:fill="FFFFFF"/>
        </w:rPr>
        <w:t xml:space="preserve">Das, 2023). </w:t>
      </w:r>
    </w:p>
    <w:p>
      <w:pPr>
        <w:pStyle w:val="18"/>
        <w:numPr>
          <w:ilvl w:val="0"/>
          <w:numId w:val="4"/>
        </w:numPr>
        <w:spacing w:before="100" w:beforeAutospacing="1" w:after="100" w:afterAutospacing="1"/>
        <w:rPr>
          <w:rFonts w:eastAsia="Times New Roman" w:cs="Times New Roman"/>
          <w:szCs w:val="24"/>
        </w:rPr>
      </w:pPr>
      <w:r>
        <w:rPr>
          <w:rFonts w:eastAsia="Times New Roman" w:cs="Times New Roman"/>
          <w:szCs w:val="24"/>
        </w:rPr>
        <w:t>The rise of digital platforms for booking, guest reviews, and social media means the hotel must uphold a solid online presence and familiarize its digital marketing strategies (</w:t>
      </w:r>
      <w:r>
        <w:rPr>
          <w:rFonts w:cs="Times New Roman"/>
          <w:color w:val="222222"/>
          <w:szCs w:val="24"/>
          <w:shd w:val="clear" w:color="auto" w:fill="FFFFFF"/>
        </w:rPr>
        <w:t xml:space="preserve">Bilgihan and Ricci, 2024). </w:t>
      </w:r>
      <w:r>
        <w:rPr>
          <w:rFonts w:eastAsia="Times New Roman" w:cs="Times New Roman"/>
          <w:szCs w:val="24"/>
        </w:rPr>
        <w:t xml:space="preserve"> </w:t>
      </w:r>
    </w:p>
    <w:p>
      <w:pPr>
        <w:pStyle w:val="18"/>
        <w:numPr>
          <w:ilvl w:val="0"/>
          <w:numId w:val="4"/>
        </w:numPr>
        <w:spacing w:before="100" w:beforeAutospacing="1" w:after="100" w:afterAutospacing="1"/>
        <w:rPr>
          <w:rFonts w:eastAsia="Times New Roman" w:cs="Times New Roman"/>
          <w:szCs w:val="24"/>
        </w:rPr>
      </w:pPr>
      <w:r>
        <w:rPr>
          <w:rFonts w:eastAsia="Times New Roman" w:cs="Times New Roman"/>
          <w:szCs w:val="24"/>
        </w:rPr>
        <w:t>Moreover, innovations in AI, smart rooms, and automated check-in/check-out systems can deliver improved guest services and rationalize operations.</w:t>
      </w:r>
    </w:p>
    <w:p>
      <w:pPr>
        <w:pStyle w:val="18"/>
        <w:numPr>
          <w:ilvl w:val="0"/>
          <w:numId w:val="4"/>
        </w:numPr>
        <w:spacing w:before="100" w:beforeAutospacing="1" w:after="100" w:afterAutospacing="1"/>
        <w:rPr>
          <w:rFonts w:eastAsia="Times New Roman" w:cs="Times New Roman"/>
          <w:szCs w:val="24"/>
        </w:rPr>
      </w:pPr>
      <w:r>
        <w:rPr>
          <w:rFonts w:eastAsia="Times New Roman" w:cs="Times New Roman"/>
          <w:szCs w:val="24"/>
        </w:rPr>
        <w:t xml:space="preserve"> The addition of sustainable technologies, by way of energy-efficient lighting and waste management systems, is progressively significant to encounter environmental expectations and recover operational sustainability. </w:t>
      </w:r>
    </w:p>
    <w:p>
      <w:pPr>
        <w:pStyle w:val="3"/>
        <w:rPr>
          <w:rFonts w:eastAsia="Times New Roman"/>
        </w:rPr>
      </w:pPr>
      <w:bookmarkStart w:id="9" w:name="_Toc191114846"/>
      <w:r>
        <w:rPr>
          <w:rFonts w:eastAsia="Times New Roman"/>
        </w:rPr>
        <w:t>Environmental Factors</w:t>
      </w:r>
    </w:p>
    <w:p>
      <w:pPr>
        <w:pStyle w:val="18"/>
        <w:numPr>
          <w:ilvl w:val="0"/>
          <w:numId w:val="5"/>
        </w:numPr>
        <w:spacing w:before="100" w:beforeAutospacing="1" w:after="100" w:afterAutospacing="1"/>
        <w:rPr>
          <w:rFonts w:eastAsia="Times New Roman" w:cs="Times New Roman"/>
          <w:b/>
          <w:bCs/>
          <w:szCs w:val="24"/>
        </w:rPr>
      </w:pPr>
      <w:r>
        <w:rPr>
          <w:rFonts w:eastAsia="Times New Roman" w:cs="Times New Roman"/>
          <w:szCs w:val="24"/>
        </w:rPr>
        <w:t>Environmental sustainability is pleasurable an important apprehension for the hospitality sector, and Hotel that can bring into line with green initiatives to break competitive (</w:t>
      </w:r>
      <w:r>
        <w:rPr>
          <w:rFonts w:cs="Times New Roman"/>
          <w:color w:val="222222"/>
          <w:szCs w:val="24"/>
          <w:shd w:val="clear" w:color="auto" w:fill="FFFFFF"/>
        </w:rPr>
        <w:t xml:space="preserve">Lagun, 2023). </w:t>
      </w:r>
      <w:r>
        <w:rPr>
          <w:rFonts w:eastAsia="Times New Roman" w:cs="Times New Roman"/>
          <w:szCs w:val="24"/>
        </w:rPr>
        <w:t xml:space="preserve"> </w:t>
      </w:r>
    </w:p>
    <w:p>
      <w:pPr>
        <w:pStyle w:val="18"/>
        <w:numPr>
          <w:ilvl w:val="0"/>
          <w:numId w:val="5"/>
        </w:numPr>
        <w:spacing w:before="100" w:beforeAutospacing="1" w:after="100" w:afterAutospacing="1"/>
        <w:rPr>
          <w:rFonts w:eastAsia="Times New Roman" w:cs="Times New Roman"/>
          <w:b/>
          <w:bCs/>
          <w:szCs w:val="24"/>
        </w:rPr>
      </w:pPr>
      <w:r>
        <w:rPr>
          <w:rFonts w:eastAsia="Times New Roman" w:cs="Times New Roman"/>
          <w:szCs w:val="24"/>
        </w:rPr>
        <w:t>Guests are progressively looking for eco-friendly accommodations, and hotels that implement energy-efficient systems, waste reduction strategies, and sustainable obtaining for food and facilities are observed more positively (</w:t>
      </w:r>
      <w:r>
        <w:rPr>
          <w:rFonts w:cs="Times New Roman"/>
          <w:color w:val="222222"/>
          <w:szCs w:val="24"/>
          <w:shd w:val="clear" w:color="auto" w:fill="FFFFFF"/>
        </w:rPr>
        <w:t xml:space="preserve">Kanwal et al., 2024). </w:t>
      </w:r>
    </w:p>
    <w:p>
      <w:pPr>
        <w:pStyle w:val="18"/>
        <w:numPr>
          <w:ilvl w:val="0"/>
          <w:numId w:val="5"/>
        </w:numPr>
        <w:spacing w:before="100" w:beforeAutospacing="1" w:after="100" w:afterAutospacing="1"/>
        <w:rPr>
          <w:rFonts w:eastAsia="Times New Roman" w:cs="Times New Roman"/>
          <w:b/>
          <w:bCs/>
          <w:szCs w:val="24"/>
        </w:rPr>
      </w:pPr>
      <w:r>
        <w:rPr>
          <w:rFonts w:eastAsia="Times New Roman" w:cs="Times New Roman"/>
          <w:szCs w:val="24"/>
        </w:rPr>
        <w:t xml:space="preserve"> Hotel has a chance to exploit on this tendency by capitalizing in sustainable practices, such as dipping its carbon footmark, implementing water-saving measures, and supporting local, eco-conscious suppliers. </w:t>
      </w:r>
    </w:p>
    <w:p>
      <w:pPr>
        <w:pStyle w:val="3"/>
        <w:rPr>
          <w:rFonts w:eastAsia="Times New Roman"/>
        </w:rPr>
      </w:pPr>
      <w:bookmarkStart w:id="10" w:name="_Toc191114847"/>
      <w:r>
        <w:rPr>
          <w:rFonts w:eastAsia="Times New Roman"/>
        </w:rPr>
        <w:t>Legal Factors</w:t>
      </w:r>
    </w:p>
    <w:p>
      <w:pPr>
        <w:pStyle w:val="18"/>
        <w:numPr>
          <w:ilvl w:val="0"/>
          <w:numId w:val="6"/>
        </w:numPr>
        <w:spacing w:before="100" w:beforeAutospacing="1" w:after="100" w:afterAutospacing="1"/>
        <w:rPr>
          <w:rFonts w:eastAsia="Times New Roman" w:cs="Times New Roman"/>
          <w:b/>
          <w:bCs/>
          <w:szCs w:val="24"/>
        </w:rPr>
      </w:pPr>
      <w:r>
        <w:rPr>
          <w:rFonts w:eastAsia="Times New Roman" w:cs="Times New Roman"/>
          <w:szCs w:val="24"/>
        </w:rPr>
        <w:t>Hotel can obey with an extensive variety of local and international laws that affect its operations (</w:t>
      </w:r>
      <w:r>
        <w:rPr>
          <w:rFonts w:cs="Times New Roman"/>
          <w:color w:val="222222"/>
          <w:szCs w:val="24"/>
          <w:shd w:val="clear" w:color="auto" w:fill="FFFFFF"/>
        </w:rPr>
        <w:t xml:space="preserve">Menegaki, 2024). </w:t>
      </w:r>
      <w:r>
        <w:rPr>
          <w:rFonts w:eastAsia="Times New Roman" w:cs="Times New Roman"/>
          <w:szCs w:val="24"/>
        </w:rPr>
        <w:t xml:space="preserve">These comprise health and safety regulations, labour laws, data protection laws (such as GDPR), and consumer protection laws. </w:t>
      </w:r>
    </w:p>
    <w:p>
      <w:pPr>
        <w:pStyle w:val="18"/>
        <w:numPr>
          <w:ilvl w:val="0"/>
          <w:numId w:val="6"/>
        </w:numPr>
        <w:spacing w:before="100" w:beforeAutospacing="1" w:after="100" w:afterAutospacing="1"/>
        <w:rPr>
          <w:rFonts w:eastAsia="Times New Roman" w:cs="Times New Roman"/>
          <w:b/>
          <w:bCs/>
          <w:szCs w:val="24"/>
        </w:rPr>
      </w:pPr>
      <w:r>
        <w:rPr>
          <w:rFonts w:eastAsia="Times New Roman" w:cs="Times New Roman"/>
          <w:szCs w:val="24"/>
        </w:rPr>
        <w:t xml:space="preserve">The hotel industry is extremely controlled, particularly in areas by way of employee rights, customer privacy, and food safety. </w:t>
      </w:r>
    </w:p>
    <w:p>
      <w:pPr>
        <w:pStyle w:val="18"/>
        <w:numPr>
          <w:ilvl w:val="0"/>
          <w:numId w:val="6"/>
        </w:numPr>
        <w:spacing w:before="100" w:beforeAutospacing="1" w:after="100" w:afterAutospacing="1"/>
        <w:rPr>
          <w:rFonts w:eastAsia="Times New Roman" w:cs="Times New Roman"/>
          <w:b/>
          <w:bCs/>
          <w:szCs w:val="24"/>
        </w:rPr>
      </w:pPr>
      <w:r>
        <w:rPr>
          <w:rFonts w:eastAsia="Times New Roman" w:cs="Times New Roman"/>
          <w:szCs w:val="24"/>
        </w:rPr>
        <w:t>Non-compliance with these laws can consequence in legal disputes, reputational damage, or financial penalties (</w:t>
      </w:r>
      <w:r>
        <w:rPr>
          <w:rFonts w:cs="Times New Roman"/>
          <w:color w:val="222222"/>
          <w:szCs w:val="24"/>
          <w:shd w:val="clear" w:color="auto" w:fill="FFFFFF"/>
        </w:rPr>
        <w:t xml:space="preserve">Das, 2023). </w:t>
      </w:r>
      <w:r>
        <w:rPr>
          <w:rFonts w:cs="Times New Roman"/>
          <w:szCs w:val="24"/>
        </w:rPr>
        <w:t xml:space="preserve">This comprises following to laws and regulations connected to convenience for people with disabilities, by way of wheelchair access, and as long as services that cater to varied wants. </w:t>
      </w:r>
    </w:p>
    <w:p>
      <w:pPr>
        <w:pStyle w:val="18"/>
        <w:numPr>
          <w:ilvl w:val="0"/>
          <w:numId w:val="6"/>
        </w:numPr>
        <w:spacing w:before="100" w:beforeAutospacing="1" w:after="100" w:afterAutospacing="1"/>
        <w:rPr>
          <w:rFonts w:eastAsia="Times New Roman" w:cs="Times New Roman"/>
          <w:b/>
          <w:bCs/>
          <w:szCs w:val="24"/>
        </w:rPr>
      </w:pPr>
      <w:r>
        <w:rPr>
          <w:rFonts w:cs="Times New Roman"/>
          <w:szCs w:val="24"/>
        </w:rPr>
        <w:t>Through meeting these requirements, the hotel proves its commitment to contribution equal chances for all guests, strengthening its name as an accountable and comprehensive establishment (</w:t>
      </w:r>
      <w:r>
        <w:rPr>
          <w:rFonts w:cs="Times New Roman"/>
          <w:color w:val="222222"/>
          <w:szCs w:val="24"/>
          <w:shd w:val="clear" w:color="auto" w:fill="FFFFFF"/>
        </w:rPr>
        <w:t xml:space="preserve">Singh et al., 2024). </w:t>
      </w:r>
      <w:r>
        <w:rPr>
          <w:rFonts w:cs="Times New Roman"/>
          <w:szCs w:val="24"/>
        </w:rPr>
        <w:t xml:space="preserve"> This emphasis on inclusivity not only achieves permitted responsibilities but also improves the overall guest experience, donating to customer satisfaction and loyalty.</w:t>
      </w:r>
    </w:p>
    <w:p>
      <w:pPr>
        <w:pStyle w:val="18"/>
        <w:numPr>
          <w:ilvl w:val="0"/>
          <w:numId w:val="6"/>
        </w:numPr>
        <w:spacing w:before="100" w:beforeAutospacing="1" w:after="100" w:afterAutospacing="1"/>
        <w:rPr>
          <w:rFonts w:eastAsia="Times New Roman" w:cs="Times New Roman"/>
          <w:b/>
          <w:bCs/>
          <w:szCs w:val="24"/>
        </w:rPr>
      </w:pPr>
      <w:r>
        <w:rPr>
          <w:rFonts w:eastAsia="Times New Roman" w:cs="Times New Roman"/>
          <w:szCs w:val="24"/>
        </w:rPr>
        <w:t>Furthermore, as a luxury hotel, Hotel de Rome must make sure that it encounters all requirements for accessibility and inclusivity, certifying that all guests have an innocent and welcoming experience (</w:t>
      </w:r>
      <w:r>
        <w:rPr>
          <w:rFonts w:cs="Times New Roman"/>
          <w:color w:val="222222"/>
          <w:szCs w:val="24"/>
          <w:shd w:val="clear" w:color="auto" w:fill="FFFFFF"/>
        </w:rPr>
        <w:t xml:space="preserve">Lagun, 2023). </w:t>
      </w:r>
    </w:p>
    <w:p>
      <w:pPr>
        <w:pStyle w:val="2"/>
      </w:pPr>
      <w:bookmarkStart w:id="11" w:name="_Toc191114848"/>
      <w:r>
        <w:t>SWOT Analysis</w:t>
      </w:r>
      <w:bookmarkEnd w:id="11"/>
      <w:r>
        <w:t xml:space="preserve"> </w:t>
      </w:r>
    </w:p>
    <w:p>
      <w:pPr>
        <w:pStyle w:val="26"/>
        <w:keepNext/>
        <w:spacing w:line="360" w:lineRule="auto"/>
        <w:jc w:val="center"/>
        <w:rPr>
          <w:rFonts w:cs="Times New Roman"/>
          <w:i w:val="0"/>
          <w:color w:val="auto"/>
          <w:sz w:val="24"/>
          <w:szCs w:val="24"/>
        </w:rPr>
      </w:pPr>
      <w:r>
        <w:rPr>
          <w:rFonts w:cs="Times New Roman"/>
          <w:i w:val="0"/>
          <w:color w:val="auto"/>
          <w:sz w:val="24"/>
          <w:szCs w:val="24"/>
        </w:rPr>
        <w:t xml:space="preserve">Table </w:t>
      </w:r>
      <w:r>
        <w:rPr>
          <w:rFonts w:cs="Times New Roman"/>
          <w:i w:val="0"/>
          <w:color w:val="auto"/>
          <w:sz w:val="24"/>
          <w:szCs w:val="24"/>
        </w:rPr>
        <w:fldChar w:fldCharType="begin"/>
      </w:r>
      <w:r>
        <w:rPr>
          <w:rFonts w:cs="Times New Roman"/>
          <w:i w:val="0"/>
          <w:color w:val="auto"/>
          <w:sz w:val="24"/>
          <w:szCs w:val="24"/>
        </w:rPr>
        <w:instrText xml:space="preserve"> SEQ Table \* ARABIC </w:instrText>
      </w:r>
      <w:r>
        <w:rPr>
          <w:rFonts w:cs="Times New Roman"/>
          <w:i w:val="0"/>
          <w:color w:val="auto"/>
          <w:sz w:val="24"/>
          <w:szCs w:val="24"/>
        </w:rPr>
        <w:fldChar w:fldCharType="separate"/>
      </w:r>
      <w:r>
        <w:rPr>
          <w:rFonts w:cs="Times New Roman"/>
          <w:i w:val="0"/>
          <w:color w:val="auto"/>
          <w:sz w:val="24"/>
          <w:szCs w:val="24"/>
        </w:rPr>
        <w:t>1</w:t>
      </w:r>
      <w:r>
        <w:rPr>
          <w:rFonts w:cs="Times New Roman"/>
          <w:i w:val="0"/>
          <w:color w:val="auto"/>
          <w:sz w:val="24"/>
          <w:szCs w:val="24"/>
        </w:rPr>
        <w:fldChar w:fldCharType="end"/>
      </w:r>
      <w:r>
        <w:rPr>
          <w:rFonts w:cs="Times New Roman"/>
          <w:i w:val="0"/>
          <w:color w:val="auto"/>
          <w:sz w:val="24"/>
          <w:szCs w:val="24"/>
        </w:rPr>
        <w:t>: SWOT Analysis of Hotel de Rome</w:t>
      </w:r>
    </w:p>
    <w:p>
      <w:pPr>
        <w:pStyle w:val="2"/>
      </w:pPr>
      <w:bookmarkStart w:id="12" w:name="_Toc191114849"/>
      <w:r>
        <w:t>Strengths</w:t>
      </w:r>
    </w:p>
    <w:p>
      <w:pPr>
        <w:pStyle w:val="18"/>
        <w:numPr>
          <w:ilvl w:val="0"/>
          <w:numId w:val="7"/>
        </w:numPr>
        <w:rPr>
          <w:lang w:val="en-GB"/>
        </w:rPr>
      </w:pPr>
      <w:r>
        <w:rPr>
          <w:b/>
          <w:bCs/>
          <w:lang w:val="en-GB"/>
        </w:rPr>
        <w:t>Reputation for Luxury and Excellence</w:t>
      </w:r>
      <w:r>
        <w:rPr>
          <w:lang w:val="en-GB"/>
        </w:rPr>
        <w:t>: Hotel de Rome is a prestigious five-star hotel known for high-quality service, which gives it a strong brand image and customer loyalty (</w:t>
      </w:r>
      <w:r>
        <w:t>Hotel De Rome, 2025</w:t>
      </w:r>
      <w:r>
        <w:rPr>
          <w:lang w:val="en-GB"/>
        </w:rPr>
        <w:t>).</w:t>
      </w:r>
    </w:p>
    <w:p>
      <w:pPr>
        <w:pStyle w:val="18"/>
        <w:numPr>
          <w:ilvl w:val="0"/>
          <w:numId w:val="7"/>
        </w:numPr>
      </w:pPr>
      <w:r>
        <w:rPr>
          <w:b/>
          <w:bCs/>
        </w:rPr>
        <w:t>Commitment to Sustainability:</w:t>
      </w:r>
      <w:r>
        <w:t xml:space="preserve"> The hotel has started implementing green initiatives, such as reducing plastic waste and energy-efficient lighting (Ramirez and George, 2019).</w:t>
      </w:r>
    </w:p>
    <w:p>
      <w:pPr>
        <w:pStyle w:val="18"/>
        <w:numPr>
          <w:ilvl w:val="0"/>
          <w:numId w:val="7"/>
        </w:numPr>
        <w:rPr>
          <w:lang w:val="en-GB"/>
        </w:rPr>
      </w:pPr>
      <w:r>
        <w:rPr>
          <w:b/>
          <w:bCs/>
          <w:lang w:val="en-GB"/>
        </w:rPr>
        <w:t>Use of Eco-Friendly Cleaning Products</w:t>
      </w:r>
      <w:r>
        <w:rPr>
          <w:lang w:val="en-GB"/>
        </w:rPr>
        <w:t>: The hotel has integrated non-toxic, biodegradable cleaning agents, reducing environmental impact (</w:t>
      </w:r>
      <w:r>
        <w:t>Lagun, 2023</w:t>
      </w:r>
      <w:r>
        <w:rPr>
          <w:lang w:val="en-GB"/>
        </w:rPr>
        <w:t>).</w:t>
      </w:r>
    </w:p>
    <w:p>
      <w:pPr>
        <w:pStyle w:val="18"/>
        <w:numPr>
          <w:ilvl w:val="0"/>
          <w:numId w:val="7"/>
        </w:numPr>
        <w:rPr>
          <w:lang w:val="en-GB"/>
        </w:rPr>
      </w:pPr>
      <w:r>
        <w:rPr>
          <w:b/>
          <w:bCs/>
          <w:lang w:val="en-GB"/>
        </w:rPr>
        <w:t>Strong Financial Backing</w:t>
      </w:r>
      <w:r>
        <w:rPr>
          <w:lang w:val="en-GB"/>
        </w:rPr>
        <w:t>: As part of the Rocco Forte Hotels group, Hotel de Rome has the financial ability to invest in sustainable housekeeping solutions (</w:t>
      </w:r>
      <w:r>
        <w:t>Hotel De Rome, 2025</w:t>
      </w:r>
      <w:r>
        <w:rPr>
          <w:lang w:val="en-GB"/>
        </w:rPr>
        <w:t>).</w:t>
      </w:r>
    </w:p>
    <w:p>
      <w:pPr>
        <w:pStyle w:val="18"/>
        <w:numPr>
          <w:ilvl w:val="0"/>
          <w:numId w:val="7"/>
        </w:numPr>
        <w:rPr>
          <w:lang w:val="en-GB"/>
        </w:rPr>
      </w:pPr>
      <w:r>
        <w:rPr>
          <w:b/>
          <w:bCs/>
          <w:lang w:val="en-GB"/>
        </w:rPr>
        <w:t>Guest Engagement Initiatives</w:t>
      </w:r>
      <w:r>
        <w:rPr>
          <w:lang w:val="en-GB"/>
        </w:rPr>
        <w:t>: The hotel encourages guests to reuse towels and linens, reducing water and detergent usage (</w:t>
      </w:r>
      <w:r>
        <w:t>Chan et al., 2024</w:t>
      </w:r>
      <w:r>
        <w:rPr>
          <w:lang w:val="en-GB"/>
        </w:rPr>
        <w:t>).</w:t>
      </w:r>
    </w:p>
    <w:p>
      <w:pPr>
        <w:pStyle w:val="2"/>
        <w:rPr>
          <w:lang w:val="en-GB"/>
        </w:rPr>
      </w:pPr>
      <w:bookmarkStart w:id="13" w:name="_Toc191114850"/>
      <w:r>
        <w:rPr>
          <w:lang w:val="en-GB"/>
        </w:rPr>
        <w:t>Weaknesses</w:t>
      </w:r>
    </w:p>
    <w:p>
      <w:pPr>
        <w:pStyle w:val="18"/>
        <w:numPr>
          <w:ilvl w:val="0"/>
          <w:numId w:val="8"/>
        </w:numPr>
        <w:rPr>
          <w:lang w:val="en-GB"/>
        </w:rPr>
      </w:pPr>
      <w:r>
        <w:rPr>
          <w:b/>
          <w:bCs/>
          <w:lang w:val="en-GB"/>
        </w:rPr>
        <w:t>High Operational Costs</w:t>
      </w:r>
      <w:r>
        <w:rPr>
          <w:lang w:val="en-GB"/>
        </w:rPr>
        <w:t>: Implementing sustainable housekeeping initiatives (e.g., eco-friendly cleaning products, water-efficient laundry) can initially be expensive (</w:t>
      </w:r>
      <w:r>
        <w:t>Menegaki, 2025</w:t>
      </w:r>
      <w:r>
        <w:rPr>
          <w:lang w:val="en-GB"/>
        </w:rPr>
        <w:t>).</w:t>
      </w:r>
    </w:p>
    <w:p>
      <w:pPr>
        <w:pStyle w:val="18"/>
        <w:numPr>
          <w:ilvl w:val="0"/>
          <w:numId w:val="8"/>
        </w:numPr>
        <w:rPr>
          <w:lang w:val="en-GB"/>
        </w:rPr>
      </w:pPr>
      <w:r>
        <w:rPr>
          <w:b/>
          <w:bCs/>
          <w:lang w:val="en-GB"/>
        </w:rPr>
        <w:t>Guest Expectations for Luxury</w:t>
      </w:r>
      <w:r>
        <w:rPr>
          <w:lang w:val="en-GB"/>
        </w:rPr>
        <w:t>: Many guests expect original conditions, which can lead to high water and energy consumption in housekeeping (</w:t>
      </w:r>
      <w:r>
        <w:t>Dasgupta and Jamader, 2024</w:t>
      </w:r>
      <w:r>
        <w:rPr>
          <w:lang w:val="en-GB"/>
        </w:rPr>
        <w:t>).</w:t>
      </w:r>
    </w:p>
    <w:p>
      <w:pPr>
        <w:pStyle w:val="18"/>
        <w:numPr>
          <w:ilvl w:val="0"/>
          <w:numId w:val="8"/>
        </w:numPr>
        <w:rPr>
          <w:lang w:val="en-GB"/>
        </w:rPr>
      </w:pPr>
      <w:r>
        <w:rPr>
          <w:b/>
          <w:bCs/>
          <w:lang w:val="en-GB"/>
        </w:rPr>
        <w:t>Lack of Staff Awareness and Training</w:t>
      </w:r>
      <w:r>
        <w:rPr>
          <w:lang w:val="en-GB"/>
        </w:rPr>
        <w:t>: Some housekeeping staff may not be fully trained on sustainability practices, leading to inconsistent implementation (</w:t>
      </w:r>
      <w:r>
        <w:t>Khalil et al., 2024</w:t>
      </w:r>
      <w:r>
        <w:rPr>
          <w:lang w:val="en-GB"/>
        </w:rPr>
        <w:t>).</w:t>
      </w:r>
    </w:p>
    <w:p>
      <w:pPr>
        <w:pStyle w:val="18"/>
        <w:numPr>
          <w:ilvl w:val="0"/>
          <w:numId w:val="8"/>
        </w:numPr>
        <w:rPr>
          <w:lang w:val="en-GB"/>
        </w:rPr>
      </w:pPr>
      <w:r>
        <w:rPr>
          <w:b/>
          <w:bCs/>
          <w:lang w:val="en-GB"/>
        </w:rPr>
        <w:t>Dependence on Outsourced Laundry Services</w:t>
      </w:r>
      <w:r>
        <w:rPr>
          <w:lang w:val="en-GB"/>
        </w:rPr>
        <w:t>: External vendors may not align with the hotel’s sustainability goals, increasing carbon footprint.</w:t>
      </w:r>
    </w:p>
    <w:p>
      <w:pPr>
        <w:pStyle w:val="18"/>
        <w:numPr>
          <w:ilvl w:val="0"/>
          <w:numId w:val="8"/>
        </w:numPr>
        <w:rPr>
          <w:lang w:val="en-GB"/>
        </w:rPr>
      </w:pPr>
      <w:r>
        <w:rPr>
          <w:b/>
          <w:bCs/>
          <w:lang w:val="en-GB"/>
        </w:rPr>
        <w:t>Waste Management Challenges</w:t>
      </w:r>
      <w:r>
        <w:rPr>
          <w:lang w:val="en-GB"/>
        </w:rPr>
        <w:t>: Proper disposal and recycling of waste from guest rooms and housekeeping operations need improvement (</w:t>
      </w:r>
      <w:r>
        <w:t>Dasgupta and Jamader, 2024</w:t>
      </w:r>
      <w:r>
        <w:rPr>
          <w:lang w:val="en-GB"/>
        </w:rPr>
        <w:t>).</w:t>
      </w:r>
    </w:p>
    <w:p>
      <w:pPr>
        <w:pStyle w:val="2"/>
        <w:rPr>
          <w:lang w:val="en-GB"/>
        </w:rPr>
      </w:pPr>
      <w:bookmarkStart w:id="14" w:name="_Toc191114851"/>
      <w:r>
        <w:rPr>
          <w:lang w:val="en-GB"/>
        </w:rPr>
        <w:t>Opportunities</w:t>
      </w:r>
    </w:p>
    <w:p>
      <w:pPr>
        <w:pStyle w:val="18"/>
        <w:numPr>
          <w:ilvl w:val="0"/>
          <w:numId w:val="9"/>
        </w:numPr>
        <w:rPr>
          <w:lang w:val="en-GB"/>
        </w:rPr>
      </w:pPr>
      <w:r>
        <w:rPr>
          <w:b/>
          <w:bCs/>
          <w:lang w:val="en-GB"/>
        </w:rPr>
        <w:t>Green Certifications</w:t>
      </w:r>
      <w:r>
        <w:rPr>
          <w:lang w:val="en-GB"/>
        </w:rPr>
        <w:t>: Obtaining sustainability certifications (e.g., Green Key, EarthCheck) can enhance the hotel’s reputation and attract eco-conscious travellers (</w:t>
      </w:r>
      <w:r>
        <w:t>Velaoras et al., 2025</w:t>
      </w:r>
      <w:r>
        <w:rPr>
          <w:lang w:val="en-GB"/>
        </w:rPr>
        <w:t>).</w:t>
      </w:r>
    </w:p>
    <w:p>
      <w:pPr>
        <w:pStyle w:val="18"/>
        <w:numPr>
          <w:ilvl w:val="0"/>
          <w:numId w:val="9"/>
        </w:numPr>
        <w:rPr>
          <w:lang w:val="en-GB"/>
        </w:rPr>
      </w:pPr>
      <w:r>
        <w:rPr>
          <w:b/>
          <w:bCs/>
          <w:lang w:val="en-GB"/>
        </w:rPr>
        <w:t>Advanced Water and Energy Management Systems</w:t>
      </w:r>
      <w:r>
        <w:rPr>
          <w:lang w:val="en-GB"/>
        </w:rPr>
        <w:t>: Investing in automated water-saving devices and energy-efficient housekeeping equipment can reduce costs in the long term (</w:t>
      </w:r>
      <w:r>
        <w:t>Menegaki, 2024</w:t>
      </w:r>
      <w:r>
        <w:rPr>
          <w:lang w:val="en-GB"/>
        </w:rPr>
        <w:t>).</w:t>
      </w:r>
    </w:p>
    <w:p>
      <w:pPr>
        <w:pStyle w:val="18"/>
        <w:numPr>
          <w:ilvl w:val="0"/>
          <w:numId w:val="9"/>
        </w:numPr>
      </w:pPr>
      <w:r>
        <w:rPr>
          <w:b/>
          <w:bCs/>
          <w:lang w:val="en-GB"/>
        </w:rPr>
        <w:t>Sustainable Supplier Partnerships</w:t>
      </w:r>
      <w:r>
        <w:rPr>
          <w:lang w:val="en-GB"/>
        </w:rPr>
        <w:t>: Partnering with eco-friendly laundry services and suppliers can improve sustainability efforts (</w:t>
      </w:r>
      <w:r>
        <w:t>Menegaki, 2025</w:t>
      </w:r>
      <w:r>
        <w:rPr>
          <w:lang w:val="en-GB"/>
        </w:rPr>
        <w:t>).</w:t>
      </w:r>
    </w:p>
    <w:p>
      <w:pPr>
        <w:pStyle w:val="18"/>
        <w:numPr>
          <w:ilvl w:val="0"/>
          <w:numId w:val="9"/>
        </w:numPr>
      </w:pPr>
      <w:r>
        <w:rPr>
          <w:b/>
          <w:bCs/>
          <w:lang w:val="en-GB"/>
        </w:rPr>
        <w:t>Increased Consumer Demand for Eco-Friendly Hotels</w:t>
      </w:r>
      <w:r>
        <w:rPr>
          <w:lang w:val="en-GB"/>
        </w:rPr>
        <w:t>: More travelers prioritise sustainability, creating a market advantage for hotels that implement green housekeeping strategies (</w:t>
      </w:r>
      <w:r>
        <w:t>Abdou et al., 2020</w:t>
      </w:r>
      <w:r>
        <w:rPr>
          <w:lang w:val="en-GB"/>
        </w:rPr>
        <w:t>).</w:t>
      </w:r>
    </w:p>
    <w:p>
      <w:pPr>
        <w:pStyle w:val="18"/>
        <w:numPr>
          <w:ilvl w:val="0"/>
          <w:numId w:val="9"/>
        </w:numPr>
      </w:pPr>
      <w:r>
        <w:rPr>
          <w:b/>
          <w:bCs/>
          <w:lang w:val="en-GB"/>
        </w:rPr>
        <w:t>Technology Integration in Housekeeping</w:t>
      </w:r>
      <w:r>
        <w:rPr>
          <w:lang w:val="en-GB"/>
        </w:rPr>
        <w:t>: AI-driven housekeeping scheduling and smart sensors for cleaning efficiency can optimise resource use and reduce waste.</w:t>
      </w:r>
    </w:p>
    <w:p>
      <w:pPr>
        <w:pStyle w:val="2"/>
      </w:pPr>
      <w:bookmarkStart w:id="15" w:name="_Toc191114852"/>
      <w:r>
        <w:t>Threats</w:t>
      </w:r>
      <w:bookmarkEnd w:id="15"/>
      <w:r>
        <w:t xml:space="preserve"> </w:t>
      </w:r>
    </w:p>
    <w:p>
      <w:pPr>
        <w:pStyle w:val="18"/>
        <w:numPr>
          <w:ilvl w:val="0"/>
          <w:numId w:val="10"/>
        </w:numPr>
        <w:rPr>
          <w:lang w:val="en-GB"/>
        </w:rPr>
      </w:pPr>
      <w:r>
        <w:rPr>
          <w:b/>
          <w:bCs/>
          <w:lang w:val="en-GB"/>
        </w:rPr>
        <w:t>Strict Environmental Regulations</w:t>
      </w:r>
      <w:r>
        <w:rPr>
          <w:lang w:val="en-GB"/>
        </w:rPr>
        <w:t>: The hotel must comply with evolving sustainability laws, which could require costly adjustments to operations (</w:t>
      </w:r>
      <w:r>
        <w:t>Ramirez and George, 2019</w:t>
      </w:r>
      <w:r>
        <w:rPr>
          <w:lang w:val="en-GB"/>
        </w:rPr>
        <w:t>).</w:t>
      </w:r>
    </w:p>
    <w:p>
      <w:pPr>
        <w:pStyle w:val="18"/>
        <w:numPr>
          <w:ilvl w:val="0"/>
          <w:numId w:val="10"/>
        </w:numPr>
        <w:rPr>
          <w:lang w:val="en-GB"/>
        </w:rPr>
      </w:pPr>
      <w:r>
        <w:rPr>
          <w:b/>
          <w:bCs/>
          <w:lang w:val="en-GB"/>
        </w:rPr>
        <w:t>Rising Utility Costs</w:t>
      </w:r>
      <w:r>
        <w:rPr>
          <w:lang w:val="en-GB"/>
        </w:rPr>
        <w:t>: Increasing costs for water, electricity, and waste disposal may impact the hotel’s operational expenses (</w:t>
      </w:r>
      <w:r>
        <w:t>Lagun, 2023</w:t>
      </w:r>
      <w:r>
        <w:rPr>
          <w:lang w:val="en-GB"/>
        </w:rPr>
        <w:t>).</w:t>
      </w:r>
    </w:p>
    <w:p>
      <w:pPr>
        <w:pStyle w:val="18"/>
        <w:numPr>
          <w:ilvl w:val="0"/>
          <w:numId w:val="10"/>
        </w:numPr>
        <w:rPr>
          <w:lang w:val="en-GB"/>
        </w:rPr>
      </w:pPr>
      <w:r>
        <w:rPr>
          <w:b/>
          <w:bCs/>
          <w:lang w:val="en-GB"/>
        </w:rPr>
        <w:t>Competition from More Sustainable Hotels</w:t>
      </w:r>
      <w:r>
        <w:rPr>
          <w:lang w:val="en-GB"/>
        </w:rPr>
        <w:t>: Rivals that adopt sustainability practices more effectively may attract environmentally conscious guests.</w:t>
      </w:r>
    </w:p>
    <w:p>
      <w:pPr>
        <w:pStyle w:val="18"/>
        <w:numPr>
          <w:ilvl w:val="0"/>
          <w:numId w:val="10"/>
        </w:numPr>
        <w:rPr>
          <w:lang w:val="en-GB"/>
        </w:rPr>
      </w:pPr>
      <w:r>
        <w:rPr>
          <w:b/>
          <w:bCs/>
          <w:lang w:val="en-GB"/>
        </w:rPr>
        <w:t>Potential Negative Guest Feedback</w:t>
      </w:r>
      <w:r>
        <w:rPr>
          <w:lang w:val="en-GB"/>
        </w:rPr>
        <w:t>: Some guests may perceive sustainability initiatives (e.g., reduced linen changes) as a decline in service quality (</w:t>
      </w:r>
      <w:r>
        <w:t>Santana-Gallego, 2025</w:t>
      </w:r>
      <w:r>
        <w:rPr>
          <w:lang w:val="en-GB"/>
        </w:rPr>
        <w:t>).</w:t>
      </w:r>
    </w:p>
    <w:p>
      <w:pPr>
        <w:pStyle w:val="18"/>
        <w:numPr>
          <w:ilvl w:val="0"/>
          <w:numId w:val="10"/>
        </w:numPr>
      </w:pPr>
      <w:r>
        <w:rPr>
          <w:b/>
          <w:bCs/>
          <w:lang w:val="en-GB"/>
        </w:rPr>
        <w:t>Economic Downturn Impacting Travel Industry</w:t>
      </w:r>
      <w:r>
        <w:rPr>
          <w:lang w:val="en-GB"/>
        </w:rPr>
        <w:t>: Reduced occupancy rates due to economic instability can slow investment in sustainability initiatives (</w:t>
      </w:r>
      <w:r>
        <w:t>Jackson and Orr, 2021</w:t>
      </w:r>
      <w:r>
        <w:rPr>
          <w:lang w:val="en-GB"/>
        </w:rPr>
        <w:t>).</w:t>
      </w:r>
    </w:p>
    <w:p>
      <w:pPr>
        <w:pStyle w:val="2"/>
        <w:rPr>
          <w:rFonts w:eastAsia="Times New Roman"/>
        </w:rPr>
      </w:pPr>
      <w:bookmarkStart w:id="16" w:name="_Toc189584188"/>
      <w:bookmarkStart w:id="17" w:name="_Toc191114853"/>
      <w:r>
        <w:rPr>
          <w:rFonts w:eastAsia="Times New Roman"/>
        </w:rPr>
        <w:t>TOWS Analysis for Hotel de Rome, Berlin: Reducing Water and Energy Waste</w:t>
      </w:r>
    </w:p>
    <w:p>
      <w:pPr>
        <w:pStyle w:val="26"/>
        <w:keepNext/>
      </w:pPr>
      <w:r>
        <w:t xml:space="preserve">Table </w:t>
      </w:r>
      <w:r>
        <w:fldChar w:fldCharType="begin"/>
      </w:r>
      <w:r>
        <w:instrText xml:space="preserve"> SEQ Table \* ARABIC </w:instrText>
      </w:r>
      <w:r>
        <w:fldChar w:fldCharType="separate"/>
      </w:r>
      <w:r>
        <w:t>2</w:t>
      </w:r>
      <w:r>
        <w:fldChar w:fldCharType="end"/>
      </w:r>
      <w:r>
        <w:t xml:space="preserve"> TOWS Matrix</w:t>
      </w:r>
    </w:p>
    <w:tbl>
      <w:tblPr>
        <w:jc w:val="left"/>
        <w:tblInd w:w="0" w:type="dxa"/>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CellMar>
          <w:top w:w="0" w:type="dxa"/>
          <w:left w:w="108" w:type="dxa"/>
          <w:bottom w:w="0" w:type="dxa"/>
          <w:right w:w="108" w:type="dxa"/>
        </w:tblCellMar>
      </w:tblPr>
      <w:tblGrid>
        <w:gridCol w:w="1606"/>
        <w:gridCol w:w="3834"/>
        <w:gridCol w:w="4136"/>
      </w:tblGrid>
      <w:tr>
        <w:tc>
          <w:tcPr>
            <w:tcBorders>
              <w:top w:val="single" w:sz="4" w:space="0" w:color="auto"/>
              <w:left w:val="nil"/>
              <w:bottom w:val="single" w:sz="4" w:space="0" w:color="9CC2E5"/>
              <w:right w:val="nil"/>
            </w:tcBorders>
            <w:shd w:val="clear" w:color="auto" w:fill="FFFFFF"/>
          </w:tcPr>
          <w:p>
            <w:pPr>
              <w:jc w:val="center"/>
              <w:rPr>
                <w:rFonts w:eastAsia="Times New Roman" w:cs="Times New Roman"/>
                <w:szCs w:val="24"/>
              </w:rPr>
            </w:pPr>
            <w:r>
              <w:rPr>
                <w:rFonts w:eastAsia="Times New Roman" w:cs="Times New Roman"/>
                <w:szCs w:val="24"/>
              </w:rPr>
              <w:t>TOWS MATRIX</w:t>
            </w:r>
          </w:p>
        </w:tc>
        <w:tc>
          <w:tcPr>
            <w:tcW w:w="3834" w:type="dxa"/>
            <w:tcBorders>
              <w:top w:val="single" w:sz="4" w:space="0" w:color="auto"/>
              <w:left w:val="nil"/>
              <w:right w:val="nil"/>
            </w:tcBorders>
            <w:shd w:val="clear" w:color="auto" w:fill="FFFFFF"/>
          </w:tcPr>
          <w:p>
            <w:pPr>
              <w:jc w:val="center"/>
              <w:rPr>
                <w:rFonts w:eastAsia="Times New Roman" w:cs="Times New Roman"/>
                <w:szCs w:val="24"/>
              </w:rPr>
            </w:pPr>
            <w:r>
              <w:rPr>
                <w:rFonts w:eastAsia="Times New Roman" w:cs="Times New Roman"/>
                <w:szCs w:val="24"/>
              </w:rPr>
              <w:t xml:space="preserve">Opportunities (O) </w:t>
            </w:r>
          </w:p>
        </w:tc>
        <w:tc>
          <w:tcPr>
            <w:tcW w:w="4136" w:type="dxa"/>
            <w:tcBorders>
              <w:top w:val="single" w:sz="4" w:space="0" w:color="auto"/>
              <w:left w:val="nil"/>
              <w:right w:val="nil"/>
            </w:tcBorders>
            <w:shd w:val="clear" w:color="auto" w:fill="FFFFFF"/>
          </w:tcPr>
          <w:p>
            <w:pPr>
              <w:jc w:val="center"/>
              <w:rPr>
                <w:rFonts w:eastAsia="Times New Roman" w:cs="Times New Roman"/>
                <w:szCs w:val="24"/>
              </w:rPr>
            </w:pPr>
            <w:r>
              <w:rPr>
                <w:rFonts w:eastAsia="Times New Roman" w:cs="Times New Roman"/>
                <w:szCs w:val="24"/>
              </w:rPr>
              <w:t>Threats (T)</w:t>
            </w:r>
          </w:p>
        </w:tc>
      </w:tr>
      <w:tr>
        <w:tc>
          <w:tcPr>
            <w:tcBorders>
              <w:top w:val="nil"/>
              <w:left w:val="nil"/>
              <w:bottom w:val="nil"/>
            </w:tcBorders>
            <w:shd w:val="clear" w:color="auto" w:fill="FFFFFF"/>
          </w:tcPr>
          <w:p>
            <w:pPr>
              <w:rPr>
                <w:rFonts w:eastAsia="Times New Roman" w:cs="Times New Roman"/>
                <w:b/>
                <w:bCs/>
                <w:szCs w:val="24"/>
              </w:rPr>
            </w:pPr>
            <w:r>
              <w:rPr>
                <w:rFonts w:eastAsia="Times New Roman" w:cs="Times New Roman"/>
                <w:b/>
                <w:bCs/>
                <w:szCs w:val="24"/>
              </w:rPr>
              <w:t xml:space="preserve">Strengths (S) </w:t>
            </w:r>
          </w:p>
        </w:tc>
        <w:tc>
          <w:tcPr>
            <w:tcW w:w="3834" w:type="dxa"/>
            <w:shd w:val="clear" w:color="auto" w:fill="DEEAF6"/>
          </w:tcPr>
          <w:p>
            <w:pPr>
              <w:jc w:val="left"/>
              <w:rPr>
                <w:rFonts w:cs="Times New Roman"/>
              </w:rPr>
            </w:pPr>
            <w:r>
              <w:rPr>
                <w:rFonts w:eastAsia="Times New Roman" w:cs="Times New Roman"/>
                <w:szCs w:val="24"/>
              </w:rPr>
              <w:t xml:space="preserve">- </w:t>
            </w:r>
            <w:r>
              <w:rPr>
                <w:rFonts w:cs="Times New Roman"/>
              </w:rPr>
              <w:t xml:space="preserve">Invest in smart water and energy management systems to qualify for government incentives </w:t>
            </w:r>
          </w:p>
          <w:p>
            <w:pPr>
              <w:jc w:val="left"/>
              <w:rPr>
                <w:rFonts w:cs="Times New Roman"/>
              </w:rPr>
            </w:pPr>
            <w:r>
              <w:rPr>
                <w:rFonts w:cs="Times New Roman"/>
              </w:rPr>
              <w:t xml:space="preserve">- Market itself as an eco-luxury hotel to attract environmentally conscious travellers </w:t>
            </w:r>
          </w:p>
          <w:p>
            <w:pPr>
              <w:jc w:val="left"/>
              <w:rPr>
                <w:rFonts w:cs="Times New Roman"/>
              </w:rPr>
            </w:pPr>
            <w:r>
              <w:rPr>
                <w:rFonts w:cs="Times New Roman"/>
              </w:rPr>
              <w:t xml:space="preserve">- Implement rainwater harvesting systems to reduce water consumption by 30% </w:t>
            </w:r>
          </w:p>
          <w:p>
            <w:pPr>
              <w:jc w:val="left"/>
              <w:rPr>
                <w:rFonts w:eastAsia="Times New Roman" w:cs="Times New Roman"/>
                <w:szCs w:val="24"/>
              </w:rPr>
            </w:pPr>
            <w:r>
              <w:rPr>
                <w:rFonts w:cs="Times New Roman"/>
              </w:rPr>
              <w:t xml:space="preserve">- Utilize solar thermal heating to reduce energy demand by 40% </w:t>
            </w:r>
          </w:p>
        </w:tc>
        <w:tc>
          <w:tcPr>
            <w:tcW w:w="4136" w:type="dxa"/>
            <w:shd w:val="clear" w:color="auto" w:fill="DEEAF6"/>
          </w:tcPr>
          <w:p>
            <w:pPr>
              <w:jc w:val="left"/>
              <w:rPr>
                <w:rFonts w:cs="Times New Roman"/>
              </w:rPr>
            </w:pPr>
            <w:r>
              <w:rPr>
                <w:rFonts w:cs="Times New Roman"/>
              </w:rPr>
              <w:t xml:space="preserve">- Invest in high-efficiency heat pumps to reduce CO₂ emissions by 50% per room per year and avoid carbon taxes </w:t>
            </w:r>
          </w:p>
          <w:p>
            <w:pPr>
              <w:jc w:val="left"/>
              <w:rPr>
                <w:rFonts w:cs="Times New Roman"/>
              </w:rPr>
            </w:pPr>
            <w:r>
              <w:rPr>
                <w:rFonts w:cs="Times New Roman"/>
              </w:rPr>
              <w:t xml:space="preserve">- Upgrade to LED lighting and motion-sensor HVAC systems to reduce energy waste by 35% </w:t>
            </w:r>
          </w:p>
          <w:p>
            <w:pPr>
              <w:jc w:val="left"/>
              <w:rPr>
                <w:rFonts w:cs="Times New Roman"/>
              </w:rPr>
            </w:pPr>
            <w:r>
              <w:rPr>
                <w:rFonts w:cs="Times New Roman"/>
              </w:rPr>
              <w:t xml:space="preserve">- Implement low-flow fixtures in housekeeping to minimise exposure to rising water costs </w:t>
            </w:r>
          </w:p>
        </w:tc>
      </w:tr>
      <w:tr>
        <w:tc>
          <w:tcPr>
            <w:tcBorders>
              <w:top w:val="nil"/>
              <w:left w:val="nil"/>
              <w:bottom w:val="nil"/>
            </w:tcBorders>
            <w:shd w:val="clear" w:color="auto" w:fill="FFFFFF"/>
          </w:tcPr>
          <w:p>
            <w:pPr>
              <w:rPr>
                <w:rFonts w:eastAsia="Times New Roman" w:cs="Times New Roman"/>
                <w:b/>
                <w:bCs/>
                <w:szCs w:val="24"/>
              </w:rPr>
            </w:pPr>
            <w:r>
              <w:rPr>
                <w:rFonts w:eastAsia="Times New Roman" w:cs="Times New Roman"/>
                <w:b/>
                <w:bCs/>
                <w:szCs w:val="24"/>
              </w:rPr>
              <w:t xml:space="preserve">Weaknesses (W) </w:t>
            </w:r>
          </w:p>
        </w:tc>
        <w:tc>
          <w:tcPr>
            <w:tcW w:w="3834" w:type="dxa"/>
          </w:tcPr>
          <w:p>
            <w:pPr>
              <w:jc w:val="left"/>
              <w:rPr>
                <w:rFonts w:cs="Times New Roman"/>
              </w:rPr>
            </w:pPr>
            <w:r>
              <w:rPr>
                <w:rFonts w:eastAsia="Times New Roman" w:cs="Times New Roman"/>
                <w:szCs w:val="24"/>
              </w:rPr>
              <w:t xml:space="preserve">- </w:t>
            </w:r>
            <w:r>
              <w:rPr>
                <w:rFonts w:cs="Times New Roman"/>
              </w:rPr>
              <w:t xml:space="preserve">Apply for green building retrofit programs to upgrade insulation and heating systems </w:t>
            </w:r>
          </w:p>
          <w:p>
            <w:pPr>
              <w:jc w:val="left"/>
              <w:rPr>
                <w:rFonts w:cs="Times New Roman"/>
              </w:rPr>
            </w:pPr>
            <w:r>
              <w:rPr>
                <w:rFonts w:cs="Times New Roman"/>
              </w:rPr>
              <w:t xml:space="preserve">- Integrate AI-driven energy monitoring to track and optimise electricity and water usage </w:t>
            </w:r>
          </w:p>
          <w:p>
            <w:pPr>
              <w:jc w:val="left"/>
              <w:rPr>
                <w:rFonts w:eastAsia="Times New Roman" w:cs="Times New Roman"/>
                <w:szCs w:val="24"/>
              </w:rPr>
            </w:pPr>
            <w:r>
              <w:rPr>
                <w:rFonts w:cs="Times New Roman"/>
              </w:rPr>
              <w:t xml:space="preserve">- Offer guest sustainability incentives (e.g., discounts for reducing in-room water/electricity usage) </w:t>
            </w:r>
          </w:p>
        </w:tc>
        <w:tc>
          <w:tcPr>
            <w:tcW w:w="4136" w:type="dxa"/>
          </w:tcPr>
          <w:p>
            <w:pPr>
              <w:jc w:val="left"/>
              <w:rPr>
                <w:rFonts w:cs="Times New Roman"/>
              </w:rPr>
            </w:pPr>
            <w:r>
              <w:rPr>
                <w:rFonts w:cs="Times New Roman"/>
              </w:rPr>
              <w:t xml:space="preserve">- To counteract rising electricity costs instal low energy HVAC systems. </w:t>
            </w:r>
          </w:p>
          <w:p>
            <w:pPr>
              <w:jc w:val="left"/>
              <w:rPr>
                <w:rFonts w:cs="Times New Roman"/>
              </w:rPr>
            </w:pPr>
            <w:r>
              <w:rPr>
                <w:rFonts w:cs="Times New Roman"/>
              </w:rPr>
              <w:t xml:space="preserve">- Upgrade laundry systems to reduce excessive water waste and minimise operational costs </w:t>
            </w:r>
          </w:p>
          <w:p>
            <w:pPr>
              <w:jc w:val="left"/>
              <w:rPr>
                <w:rFonts w:cs="Times New Roman"/>
              </w:rPr>
            </w:pPr>
            <w:r>
              <w:rPr>
                <w:rFonts w:cs="Times New Roman"/>
              </w:rPr>
              <w:t>- Designate staff training programmes on sustainable housekeeping practises.</w:t>
            </w:r>
          </w:p>
        </w:tc>
      </w:tr>
    </w:tbl>
    <w:p>
      <w:pPr>
        <w:rPr>
          <w:lang w:val="en-GB" w:eastAsia="en-GB"/>
        </w:rPr>
      </w:pPr>
    </w:p>
    <w:p>
      <w:pPr>
        <w:pStyle w:val="1"/>
        <w:rPr>
          <w:rFonts w:eastAsia="Times New Roman"/>
          <w:lang w:val="en-GB"/>
        </w:rPr>
      </w:pPr>
      <w:bookmarkStart w:id="18" w:name="_Toc191114854"/>
      <w:bookmarkStart w:id="19" w:name="_Toc189584189"/>
      <w:r>
        <w:rPr>
          <w:rFonts w:eastAsia="Times New Roman"/>
          <w:lang w:val="en-GB"/>
        </w:rPr>
        <w:t>Recommendations&amp;Change Management</w:t>
      </w:r>
      <w:bookmarkEnd w:id="18"/>
      <w:r>
        <w:rPr>
          <w:rFonts w:eastAsia="Times New Roman"/>
          <w:lang w:val="en-GB"/>
        </w:rPr>
        <w:t xml:space="preserve"> </w:t>
      </w:r>
    </w:p>
    <w:p>
      <w:pPr>
        <w:pStyle w:val="2"/>
        <w:rPr>
          <w:rFonts w:eastAsia="Times New Roman"/>
          <w:lang w:val="en-GB"/>
        </w:rPr>
      </w:pPr>
      <w:bookmarkStart w:id="20" w:name="_Toc189584190"/>
      <w:bookmarkStart w:id="21" w:name="_Toc191114855"/>
      <w:r>
        <w:rPr>
          <w:rFonts w:eastAsia="Times New Roman"/>
          <w:lang w:val="en-GB" w:eastAsia="en-GB"/>
        </w:rPr>
        <w:t>Strategic Recommendations</w:t>
      </w:r>
    </w:p>
    <w:p>
      <w:pPr>
        <w:spacing w:line="480" w:lineRule="auto"/>
        <w:contextualSpacing/>
        <w:rPr>
          <w:rFonts w:eastAsia="Calibri" w:cs="Times New Roman"/>
          <w:kern w:val="0"/>
          <w:szCs w:val="24"/>
        </w:rPr>
      </w:pPr>
      <w:r>
        <w:rPr>
          <w:rFonts w:eastAsia="Calibri" w:cs="Times New Roman"/>
          <w:kern w:val="0"/>
          <w:szCs w:val="24"/>
          <w:lang w:val="en-GB"/>
        </w:rPr>
        <w:t>Usmani et al. (2022) research indicates that water and energy waste at Hotel de Rome, Berlin needs to be dealt with within a well thought of sustainability strategy with industry best practises, regulatory requirements and cost efficiency. This section is leveraged with factors such as empirical data, industry benchmarks and sustainable hospitality trends to present strategic recommendation at the empirical data level.</w:t>
      </w:r>
    </w:p>
    <w:p>
      <w:pPr>
        <w:pStyle w:val="3"/>
        <w:rPr>
          <w:rFonts w:eastAsia="Times New Roman"/>
        </w:rPr>
      </w:pPr>
      <w:bookmarkStart w:id="22" w:name="_Toc189584191"/>
      <w:bookmarkStart w:id="23" w:name="_Toc191114856"/>
      <w:r>
        <w:rPr>
          <w:rFonts w:eastAsia="Times New Roman"/>
        </w:rPr>
        <w:t>Implementation of Smart Water Management Systems</w:t>
      </w:r>
    </w:p>
    <w:p>
      <w:pPr>
        <w:spacing w:line="480" w:lineRule="auto"/>
        <w:contextualSpacing/>
        <w:rPr>
          <w:rFonts w:eastAsia="Calibri" w:cs="Times New Roman"/>
          <w:kern w:val="0"/>
          <w:szCs w:val="24"/>
        </w:rPr>
      </w:pPr>
      <w:r>
        <w:rPr>
          <w:rFonts w:eastAsia="Calibri" w:cs="Times New Roman"/>
          <w:kern w:val="0"/>
          <w:szCs w:val="24"/>
        </w:rPr>
        <w:t>Water waste in hotels is an area of environmental and economic importance: hospitality establishments use without, in fact, 1.500 – 3.000 litres per room per day (Lagioia et al., 2024). The Hotel de Rome has 145 rooms, so its water consumption (amidst a large housekeeping department) is probably on the high end of this spectre. Apart from this, as per Sahoo et al. (2024), installing smart water management systems (e.g., IoT leak detection sensors and auto water flow regulator) may turn off the unnecessary consumption by up to 30%.</w:t>
      </w:r>
    </w:p>
    <w:p>
      <w:pPr>
        <w:keepNext/>
        <w:spacing w:line="480" w:lineRule="auto"/>
        <w:contextualSpacing/>
        <w:jc w:val="center"/>
        <w:rPr>
          <w:rFonts w:eastAsia="Calibri" w:cs="Times New Roman"/>
          <w:kern w:val="0"/>
          <w:lang w:val="en-GB"/>
        </w:rPr>
      </w:pPr>
      <w:r>
        <w:rPr>
          <w:rFonts w:eastAsia="Calibri" w:cs="Times New Roman"/>
          <w:kern w:val="0"/>
        </w:rPr>
        <w:drawing>
          <wp:inline distT="0" distB="0" distL="0" distR="0">
            <wp:extent cx="4635795" cy="2252521"/>
            <wp:effectExtent l="0" t="0" r="0" b="0"/>
            <wp:docPr id="10" name="Image 10" descr="Applications of Smart Water Management Systems: A Literature Review"/>
            <wp:cNvGraphicFramePr>
              <a:graphicFrameLocks noChangeAspect="1"/>
            </wp:cNvGraphicFramePr>
            <a:graphic>
              <a:graphicData uri="http://schemas.openxmlformats.org/drawingml/2006/picture">
                <pic:pic>
                  <pic:nvPicPr>
                    <pic:cNvPr id="12" name="Image 12"/>
                    <pic:cNvPicPr/>
                  </pic:nvPicPr>
                  <pic:blipFill>
                    <a:blip r:embed="rId6"/>
                    <a:stretch>
                      <a:fillRect/>
                    </a:stretch>
                  </pic:blipFill>
                  <pic:spPr>
                    <a:xfrm rot="0">
                      <a:off x="0" y="0"/>
                      <a:ext cx="4635795" cy="2252521"/>
                    </a:xfrm>
                    <a:prstGeom prst="rect"/>
                    <a:noFill/>
                    <a:ln w="12700" cmpd="sng" cap="flat">
                      <a:noFill/>
                      <a:prstDash val="solid"/>
                      <a:round/>
                    </a:ln>
                  </pic:spPr>
                </pic:pic>
              </a:graphicData>
            </a:graphic>
          </wp:inline>
        </w:drawing>
      </w:r>
    </w:p>
    <w:p>
      <w:pPr>
        <w:spacing w:after="200" w:line="240" w:lineRule="auto"/>
        <w:contextualSpacing/>
        <w:jc w:val="center"/>
        <w:rPr>
          <w:rFonts w:eastAsia="Calibri" w:cs="Times New Roman"/>
          <w:iCs/>
          <w:color w:val="000000"/>
          <w:kern w:val="0"/>
          <w:szCs w:val="18"/>
          <w:lang w:val="en-GB"/>
        </w:rPr>
      </w:pPr>
      <w:r>
        <w:rPr>
          <w:rFonts w:eastAsia="Calibri" w:cs="Times New Roman"/>
          <w:iCs/>
          <w:color w:val="000000"/>
          <w:kern w:val="0"/>
          <w:szCs w:val="18"/>
          <w:lang w:val="en-GB"/>
        </w:rPr>
        <w:t xml:space="preserve">Figure </w:t>
      </w:r>
      <w:r>
        <w:rPr>
          <w:rFonts w:eastAsia="Calibri" w:cs="Times New Roman"/>
          <w:iCs/>
          <w:color w:val="000000"/>
          <w:kern w:val="0"/>
          <w:szCs w:val="18"/>
          <w:lang w:val="en-GB"/>
        </w:rPr>
        <w:fldChar w:fldCharType="begin"/>
      </w:r>
      <w:r>
        <w:rPr>
          <w:rFonts w:eastAsia="Calibri" w:cs="Times New Roman"/>
          <w:iCs/>
          <w:color w:val="000000"/>
          <w:kern w:val="0"/>
          <w:szCs w:val="18"/>
          <w:lang w:val="en-GB"/>
        </w:rPr>
        <w:instrText xml:space="preserve"> SEQ Figure \* ARABIC </w:instrText>
      </w:r>
      <w:r>
        <w:rPr>
          <w:rFonts w:eastAsia="Calibri" w:cs="Times New Roman"/>
          <w:iCs/>
          <w:color w:val="000000"/>
          <w:kern w:val="0"/>
          <w:szCs w:val="18"/>
          <w:lang w:val="en-GB"/>
        </w:rPr>
        <w:fldChar w:fldCharType="separate"/>
      </w:r>
      <w:r>
        <w:rPr>
          <w:rFonts w:eastAsia="Calibri" w:cs="Times New Roman"/>
          <w:iCs/>
          <w:color w:val="000000"/>
          <w:kern w:val="0"/>
          <w:szCs w:val="18"/>
          <w:lang w:val="en-GB"/>
        </w:rPr>
        <w:t>2</w:t>
      </w:r>
      <w:r>
        <w:rPr>
          <w:rFonts w:eastAsia="Calibri" w:cs="Times New Roman"/>
          <w:iCs/>
          <w:color w:val="000000"/>
          <w:kern w:val="0"/>
          <w:szCs w:val="18"/>
          <w:lang w:val="en-GB"/>
        </w:rPr>
        <w:fldChar w:fldCharType="end"/>
      </w:r>
      <w:r>
        <w:rPr>
          <w:rFonts w:eastAsia="Calibri" w:cs="Times New Roman"/>
          <w:iCs/>
          <w:color w:val="000000"/>
          <w:kern w:val="0"/>
          <w:szCs w:val="18"/>
          <w:lang w:val="en-GB"/>
        </w:rPr>
        <w:t xml:space="preserve"> Applications of Smart Water Management Systems </w:t>
      </w:r>
    </w:p>
    <w:p>
      <w:pPr>
        <w:spacing w:after="200" w:line="240" w:lineRule="auto"/>
        <w:contextualSpacing/>
        <w:jc w:val="center"/>
        <w:rPr>
          <w:rFonts w:eastAsia="Calibri" w:cs="Times New Roman"/>
          <w:i/>
          <w:iCs/>
          <w:color w:val="000000"/>
          <w:kern w:val="0"/>
          <w:sz w:val="18"/>
          <w:szCs w:val="24"/>
        </w:rPr>
      </w:pPr>
      <w:r>
        <w:rPr>
          <w:rFonts w:eastAsia="Calibri" w:cs="Times New Roman"/>
          <w:iCs/>
          <w:color w:val="000000"/>
          <w:kern w:val="0"/>
          <w:szCs w:val="18"/>
          <w:lang w:val="en-GB"/>
        </w:rPr>
        <w:t>(Source: Ascenção et al., 2023)</w:t>
      </w:r>
    </w:p>
    <w:p>
      <w:pPr>
        <w:pStyle w:val="3"/>
        <w:rPr>
          <w:rFonts w:eastAsia="Times New Roman"/>
        </w:rPr>
      </w:pPr>
      <w:bookmarkStart w:id="24" w:name="_Toc189584192"/>
      <w:bookmarkStart w:id="25" w:name="_Toc191114857"/>
      <w:r>
        <w:rPr>
          <w:rFonts w:eastAsia="Times New Roman"/>
        </w:rPr>
        <w:t>Upgrading Housekeeping Practices to Reduce Water and Energy Waste</w:t>
      </w:r>
    </w:p>
    <w:p>
      <w:pPr>
        <w:spacing w:line="480" w:lineRule="auto"/>
        <w:contextualSpacing/>
        <w:rPr>
          <w:rFonts w:eastAsia="Calibri" w:cs="Times New Roman"/>
          <w:kern w:val="0"/>
          <w:szCs w:val="24"/>
        </w:rPr>
      </w:pPr>
      <w:r>
        <w:rPr>
          <w:rFonts w:eastAsia="Calibri" w:cs="Times New Roman"/>
          <w:kern w:val="0"/>
          <w:szCs w:val="24"/>
        </w:rPr>
        <w:t>Laundry operations are responsible for a large 16% of the total hotel water consumption, and housekeeping, despite not exhausting much water itself, is the main contributing factor in the usage of water and energy. According to Rezaei Kalvani and Celico (2023), eco-friendly technologies for laundry systems, including ozone-based laundry systems, can decrease water usage by 50% and energy use by 35%. The oxidation processes these systems utilise enable fabrics to be cleaned more efficiently at lower temperatures and with fewer chemical detergents. An additional opportunity for conservation is offered through linen and towel reuse programmes, but guest participation rates are still rather low, at around 20–25% (Kılkış et al., 2023).</w:t>
      </w:r>
    </w:p>
    <w:p>
      <w:pPr>
        <w:pStyle w:val="3"/>
        <w:rPr>
          <w:rFonts w:eastAsia="Times New Roman"/>
        </w:rPr>
      </w:pPr>
      <w:bookmarkStart w:id="26" w:name="_Toc189584193"/>
      <w:bookmarkStart w:id="27" w:name="_Toc191114858"/>
      <w:r>
        <w:rPr>
          <w:rFonts w:eastAsia="Times New Roman"/>
        </w:rPr>
        <w:t>Adoption of Energy-Efficient Heating, Ventilation, and Air Conditioning (HVAC) Systems</w:t>
      </w:r>
    </w:p>
    <w:p>
      <w:pPr>
        <w:spacing w:line="480" w:lineRule="auto"/>
        <w:contextualSpacing/>
        <w:rPr>
          <w:rFonts w:eastAsia="Calibri" w:cs="Times New Roman"/>
          <w:kern w:val="0"/>
          <w:szCs w:val="24"/>
        </w:rPr>
      </w:pPr>
      <w:r>
        <w:rPr>
          <w:rFonts w:eastAsia="Calibri" w:cs="Times New Roman"/>
          <w:kern w:val="0"/>
          <w:szCs w:val="24"/>
        </w:rPr>
        <w:t xml:space="preserve">This research, per Lin et al. (2023), has stated that HVAC systems account for 50 per cent of hotel energy use, using 30 per cent of total carbon emissions for heating and cooling. Having the insulation inefficiencies associated with historical buildings such as Hotel de Rome, the upgrade to high-efficiency heat pumps will lower CO₂ emissions by 50% per room per year. Thus, these systems operate on lower energy inputs with optimum heating and cooling performance. Besides, variable refrigerant flow (VRF) HVAC systems can be installed, further improving energy efficiency, with energy consumption reduced by up to 40% in comparison with conventional systems (Di Vaio et al., 2022). </w:t>
      </w:r>
    </w:p>
    <w:p>
      <w:pPr>
        <w:pStyle w:val="3"/>
        <w:rPr>
          <w:rFonts w:eastAsia="Times New Roman"/>
        </w:rPr>
      </w:pPr>
      <w:r>
        <w:rPr>
          <w:rFonts w:eastAsia="Times New Roman"/>
        </w:rPr>
        <w:t xml:space="preserve"> </w:t>
      </w:r>
      <w:bookmarkStart w:id="28" w:name="_Toc189584194"/>
      <w:bookmarkStart w:id="29" w:name="_Toc191114859"/>
      <w:r>
        <w:rPr>
          <w:rFonts w:eastAsia="Times New Roman"/>
        </w:rPr>
        <w:t>Integration of Renewable Energy Solutions</w:t>
      </w:r>
    </w:p>
    <w:p>
      <w:pPr>
        <w:spacing w:line="480" w:lineRule="auto"/>
        <w:contextualSpacing/>
        <w:rPr>
          <w:rFonts w:eastAsia="Calibri" w:cs="Times New Roman"/>
          <w:kern w:val="0"/>
          <w:szCs w:val="24"/>
        </w:rPr>
      </w:pPr>
      <w:r>
        <w:rPr>
          <w:rFonts w:eastAsia="Calibri" w:cs="Times New Roman"/>
          <w:kern w:val="0"/>
          <w:szCs w:val="24"/>
        </w:rPr>
        <w:t>As energy costs in Berlin are on the rise by 7.9% per year, Hotel de Rome has to think about generating renewable energy on-site. Solar thermal heating systems are ideal, especially for hot water (25–30% of the hotel’s total energy use) (Aydin et al., 2023). Additionally, Usmani et al. (2022) further highlight in their study that securing 100% renewable energy contracts from green energy suppliers in Berlin guarantees price stability and aligns with Germany’s target for 80% of energy to be produced from renewable energy by 2030. Hotels that have switched to long-term green energy contracts have successfully reduced the hit to their pocket despite electricity price fluctuations through a significant reduction in carbon footprint (Lagioia et al., 2024).</w:t>
      </w:r>
    </w:p>
    <w:p>
      <w:pPr>
        <w:keepNext/>
        <w:spacing w:line="480" w:lineRule="auto"/>
        <w:contextualSpacing/>
        <w:jc w:val="center"/>
        <w:rPr>
          <w:rFonts w:eastAsia="Calibri" w:cs="Times New Roman"/>
          <w:kern w:val="0"/>
          <w:lang w:val="en-GB"/>
        </w:rPr>
      </w:pPr>
      <w:r>
        <w:rPr>
          <w:rFonts w:eastAsia="Calibri" w:cs="Times New Roman"/>
          <w:kern w:val="0"/>
          <w:szCs w:val="24"/>
        </w:rPr>
        <w:drawing>
          <wp:inline distT="0" distB="0" distL="0" distR="0">
            <wp:extent cx="4203405" cy="3760077"/>
            <wp:effectExtent l="0" t="0" r="0" b="0"/>
            <wp:docPr id="13" name="Image 13"/>
            <wp:cNvGraphicFramePr>
              <a:graphicFrameLocks noChangeAspect="1"/>
            </wp:cNvGraphicFramePr>
            <a:graphic>
              <a:graphicData uri="http://schemas.openxmlformats.org/drawingml/2006/picture">
                <pic:pic>
                  <pic:nvPicPr>
                    <pic:cNvPr id="15" name="Image 15"/>
                    <pic:cNvPicPr/>
                  </pic:nvPicPr>
                  <pic:blipFill>
                    <a:blip r:embed="rId7"/>
                    <a:stretch>
                      <a:fillRect/>
                    </a:stretch>
                  </pic:blipFill>
                  <pic:spPr>
                    <a:xfrm rot="0">
                      <a:off x="0" y="0"/>
                      <a:ext cx="4203405" cy="3760077"/>
                    </a:xfrm>
                    <a:prstGeom prst="rect"/>
                    <a:noFill/>
                    <a:ln w="12700" cmpd="sng" cap="flat">
                      <a:noFill/>
                      <a:prstDash val="solid"/>
                      <a:miter/>
                    </a:ln>
                  </pic:spPr>
                </pic:pic>
              </a:graphicData>
            </a:graphic>
          </wp:inline>
        </w:drawing>
      </w:r>
    </w:p>
    <w:p>
      <w:pPr>
        <w:spacing w:after="200" w:line="240" w:lineRule="auto"/>
        <w:contextualSpacing/>
        <w:jc w:val="center"/>
        <w:rPr>
          <w:rFonts w:eastAsia="Calibri" w:cs="Times New Roman"/>
          <w:iCs/>
          <w:kern w:val="0"/>
          <w:szCs w:val="18"/>
          <w:lang w:val="en-GB"/>
        </w:rPr>
      </w:pPr>
      <w:r>
        <w:rPr>
          <w:rFonts w:eastAsia="Calibri" w:cs="Times New Roman"/>
          <w:iCs/>
          <w:kern w:val="0"/>
          <w:szCs w:val="18"/>
          <w:lang w:val="en-GB"/>
        </w:rPr>
        <w:t xml:space="preserve">Figure </w:t>
      </w:r>
      <w:r>
        <w:rPr>
          <w:rFonts w:eastAsia="Calibri" w:cs="Times New Roman"/>
          <w:iCs/>
          <w:kern w:val="0"/>
          <w:szCs w:val="18"/>
          <w:lang w:val="en-GB"/>
        </w:rPr>
        <w:fldChar w:fldCharType="begin"/>
      </w:r>
      <w:r>
        <w:rPr>
          <w:rFonts w:eastAsia="Calibri" w:cs="Times New Roman"/>
          <w:iCs/>
          <w:kern w:val="0"/>
          <w:szCs w:val="18"/>
          <w:lang w:val="en-GB"/>
        </w:rPr>
        <w:instrText xml:space="preserve"> SEQ Figure \* ARABIC </w:instrText>
      </w:r>
      <w:r>
        <w:rPr>
          <w:rFonts w:eastAsia="Calibri" w:cs="Times New Roman"/>
          <w:iCs/>
          <w:kern w:val="0"/>
          <w:szCs w:val="18"/>
          <w:lang w:val="en-GB"/>
        </w:rPr>
        <w:fldChar w:fldCharType="separate"/>
      </w:r>
      <w:r>
        <w:rPr>
          <w:rFonts w:eastAsia="Calibri" w:cs="Times New Roman"/>
          <w:iCs/>
          <w:kern w:val="0"/>
          <w:szCs w:val="18"/>
          <w:lang w:val="en-GB"/>
        </w:rPr>
        <w:t>3</w:t>
      </w:r>
      <w:r>
        <w:rPr>
          <w:rFonts w:eastAsia="Calibri" w:cs="Times New Roman"/>
          <w:iCs/>
          <w:kern w:val="0"/>
          <w:szCs w:val="18"/>
          <w:lang w:val="en-GB"/>
        </w:rPr>
        <w:fldChar w:fldCharType="end"/>
      </w:r>
      <w:r>
        <w:rPr>
          <w:rFonts w:eastAsia="Calibri" w:cs="Times New Roman"/>
          <w:iCs/>
          <w:kern w:val="0"/>
          <w:szCs w:val="18"/>
          <w:lang w:val="en-GB"/>
        </w:rPr>
        <w:t xml:space="preserve"> The Future of Renewable Energy </w:t>
      </w:r>
    </w:p>
    <w:p>
      <w:pPr>
        <w:spacing w:after="200" w:line="240" w:lineRule="auto"/>
        <w:contextualSpacing/>
        <w:jc w:val="center"/>
        <w:rPr>
          <w:rFonts w:eastAsia="Calibri" w:cs="Times New Roman"/>
          <w:iCs/>
          <w:kern w:val="0"/>
          <w:szCs w:val="24"/>
        </w:rPr>
      </w:pPr>
      <w:r>
        <w:rPr>
          <w:rFonts w:eastAsia="Calibri" w:cs="Times New Roman"/>
          <w:iCs/>
          <w:kern w:val="0"/>
          <w:szCs w:val="18"/>
          <w:lang w:val="en-GB"/>
        </w:rPr>
        <w:t>(Source: Infopulse, 2022)</w:t>
      </w:r>
    </w:p>
    <w:p>
      <w:pPr>
        <w:pStyle w:val="3"/>
        <w:rPr>
          <w:rFonts w:eastAsia="Times New Roman"/>
        </w:rPr>
      </w:pPr>
      <w:bookmarkStart w:id="30" w:name="_Toc189584195"/>
      <w:bookmarkStart w:id="31" w:name="_Toc191114860"/>
      <w:r>
        <w:rPr>
          <w:rFonts w:eastAsia="Times New Roman"/>
        </w:rPr>
        <w:t>Digital Energy Monitoring and Smart Grid Integration</w:t>
      </w:r>
    </w:p>
    <w:p>
      <w:pPr>
        <w:spacing w:line="480" w:lineRule="auto"/>
        <w:contextualSpacing/>
        <w:rPr>
          <w:rFonts w:eastAsia="Calibri" w:cs="Times New Roman"/>
          <w:kern w:val="0"/>
        </w:rPr>
      </w:pPr>
      <w:r>
        <w:rPr>
          <w:rFonts w:eastAsia="Calibri" w:cs="Times New Roman"/>
          <w:kern w:val="0"/>
        </w:rPr>
        <w:t>Energy monitoring systems in real time are important in order to detect inefficiencies and optimise consumption patterns (Kılkış et al., 2023). The usage trends can be analysed by AI-driven energy management platforms, anomalies are detected, energy-saving measures can be automated, and the hotel’s overall energy consumption can be reduced by 20-25%. Hotel de Rome would also be able to integrate with Berlin’s smart grid infrastructure and adjust energy consumption according to peak and off-peak demand to optimise operational efficiency. Nelson (2025) also support this statement, as they have pointed out that the hotels that have adopted the smart grid technology have stated that they have reduced their electricity bills by approximately 15% per year as they use strategic energy allocation and rely less on the expensive energy times.</w:t>
      </w:r>
    </w:p>
    <w:p>
      <w:pPr>
        <w:pStyle w:val="3"/>
        <w:rPr>
          <w:rFonts w:eastAsia="Times New Roman"/>
        </w:rPr>
      </w:pPr>
      <w:bookmarkStart w:id="32" w:name="_Toc189584196"/>
      <w:bookmarkStart w:id="33" w:name="_Toc191114861"/>
      <w:r>
        <w:rPr>
          <w:rFonts w:eastAsia="Times New Roman"/>
        </w:rPr>
        <w:t>Staff Training and Behavioral Change Programs</w:t>
      </w:r>
    </w:p>
    <w:p>
      <w:pPr>
        <w:spacing w:line="480" w:lineRule="auto"/>
        <w:contextualSpacing/>
        <w:rPr>
          <w:rFonts w:eastAsia="Calibri" w:cs="Times New Roman"/>
          <w:kern w:val="0"/>
          <w:lang w:val="en-GB"/>
        </w:rPr>
      </w:pPr>
      <w:r>
        <w:rPr>
          <w:rFonts w:eastAsia="Calibri" w:cs="Times New Roman"/>
          <w:kern w:val="0"/>
          <w:lang w:val="en-GB"/>
        </w:rPr>
        <w:t>Rezaei Kalvani and Celico (2023) suggest that one of the best ways to reach sustainability targets is by changing the behaviour of hotel staff. Training initiatives should concentrate on best practices in water conservation, optimum energy-efficient appliance use, and spill examination. To further enhance the staff’s engagement, a Green Performance Incentive Programme could be introduced (Aydin et al., 2023). Those hotels that provide financial or non-financial incentives for implementing sustainable practices have achieved up to 10% reduction in operational energy costs. For example, Lin et al. (2023) suggest that housekeeping teams following water-saving protocols, e.g., low water usage cleaning methods, can enhance other energy and water conservation efforts.</w:t>
      </w:r>
    </w:p>
    <w:p>
      <w:pPr>
        <w:keepNext/>
        <w:spacing w:line="480" w:lineRule="auto"/>
        <w:contextualSpacing/>
        <w:jc w:val="center"/>
      </w:pPr>
      <w:r>
        <w:drawing>
          <wp:inline distT="0" distB="0" distL="0" distR="0">
            <wp:extent cx="3632822" cy="3051615"/>
            <wp:effectExtent l="0" t="0" r="0" b="0"/>
            <wp:docPr id="16" name="Image 16" descr="Training and Development in the Workplace: Research &amp; Statistics 2022"/>
            <wp:cNvGraphicFramePr>
              <a:graphicFrameLocks noChangeAspect="1"/>
            </wp:cNvGraphicFramePr>
            <a:graphic>
              <a:graphicData uri="http://schemas.openxmlformats.org/drawingml/2006/picture">
                <pic:pic>
                  <pic:nvPicPr>
                    <pic:cNvPr id="18" name="Image 18"/>
                    <pic:cNvPicPr/>
                  </pic:nvPicPr>
                  <pic:blipFill>
                    <a:blip r:embed="rId8"/>
                    <a:srcRect t="16879" b="9425" l="5918" r="6734"/>
                    <a:stretch>
                      <a:fillRect/>
                    </a:stretch>
                  </pic:blipFill>
                  <pic:spPr>
                    <a:xfrm rot="0">
                      <a:off x="0" y="0"/>
                      <a:ext cx="3632822" cy="3051615"/>
                    </a:xfrm>
                    <a:prstGeom prst="rect"/>
                    <a:noFill/>
                    <a:ln w="12700" cmpd="sng" cap="flat">
                      <a:noFill/>
                      <a:prstDash val="solid"/>
                      <a:round/>
                    </a:ln>
                  </pic:spPr>
                </pic:pic>
              </a:graphicData>
            </a:graphic>
          </wp:inline>
        </w:drawing>
      </w:r>
    </w:p>
    <w:p>
      <w:pPr>
        <w:pStyle w:val="26"/>
        <w:jc w:val="center"/>
        <w:rPr>
          <w:i w:val="0"/>
          <w:iCs w:val="0"/>
          <w:color w:val="000000"/>
          <w:sz w:val="24"/>
          <w:szCs w:val="24"/>
        </w:rPr>
      </w:pPr>
      <w:r>
        <w:rPr>
          <w:i w:val="0"/>
          <w:iCs w:val="0"/>
          <w:color w:val="000000"/>
          <w:sz w:val="24"/>
          <w:szCs w:val="24"/>
        </w:rPr>
        <w:t xml:space="preserve">Figure </w:t>
      </w:r>
      <w:r>
        <w:rPr>
          <w:i w:val="0"/>
          <w:iCs w:val="0"/>
          <w:color w:val="000000"/>
          <w:sz w:val="24"/>
          <w:szCs w:val="24"/>
        </w:rPr>
        <w:fldChar w:fldCharType="begin"/>
      </w:r>
      <w:r>
        <w:rPr>
          <w:i w:val="0"/>
          <w:iCs w:val="0"/>
          <w:color w:val="000000"/>
          <w:sz w:val="24"/>
          <w:szCs w:val="24"/>
        </w:rPr>
        <w:instrText xml:space="preserve"> SEQ Figure \* ARABIC </w:instrText>
      </w:r>
      <w:r>
        <w:rPr>
          <w:i w:val="0"/>
          <w:iCs w:val="0"/>
          <w:color w:val="000000"/>
          <w:sz w:val="24"/>
          <w:szCs w:val="24"/>
        </w:rPr>
        <w:fldChar w:fldCharType="separate"/>
      </w:r>
      <w:r>
        <w:rPr>
          <w:i w:val="0"/>
          <w:iCs w:val="0"/>
          <w:color w:val="000000"/>
          <w:sz w:val="24"/>
          <w:szCs w:val="24"/>
        </w:rPr>
        <w:t>4</w:t>
      </w:r>
      <w:r>
        <w:rPr>
          <w:i w:val="0"/>
          <w:iCs w:val="0"/>
          <w:color w:val="000000"/>
          <w:sz w:val="24"/>
          <w:szCs w:val="24"/>
        </w:rPr>
        <w:fldChar w:fldCharType="end"/>
      </w:r>
      <w:r>
        <w:rPr>
          <w:i w:val="0"/>
          <w:iCs w:val="0"/>
          <w:color w:val="000000"/>
          <w:sz w:val="24"/>
          <w:szCs w:val="24"/>
        </w:rPr>
        <w:t xml:space="preserve"> Training and Development in the Workplace </w:t>
      </w:r>
    </w:p>
    <w:p>
      <w:pPr>
        <w:pStyle w:val="26"/>
        <w:jc w:val="center"/>
        <w:rPr>
          <w:rFonts w:eastAsia="Calibri" w:cs="Times New Roman"/>
          <w:i w:val="0"/>
          <w:iCs w:val="0"/>
          <w:color w:val="000000"/>
          <w:kern w:val="0"/>
          <w:sz w:val="24"/>
          <w:szCs w:val="24"/>
          <w:lang w:val="en-GB"/>
        </w:rPr>
      </w:pPr>
      <w:r>
        <w:rPr>
          <w:i w:val="0"/>
          <w:iCs w:val="0"/>
          <w:color w:val="000000"/>
          <w:sz w:val="24"/>
          <w:szCs w:val="24"/>
        </w:rPr>
        <w:t>(Source: TalentLMS, 2022)</w:t>
      </w:r>
    </w:p>
    <w:p>
      <w:pPr>
        <w:pStyle w:val="2"/>
        <w:rPr>
          <w:rFonts w:eastAsia="Times New Roman"/>
          <w:lang w:val="en-GB" w:eastAsia="en-GB"/>
        </w:rPr>
      </w:pPr>
      <w:bookmarkStart w:id="34" w:name="_Toc191114862"/>
      <w:r>
        <w:rPr>
          <w:rFonts w:eastAsia="Times New Roman"/>
          <w:lang w:val="en-GB" w:eastAsia="en-GB"/>
        </w:rPr>
        <w:t>Implementation of Change Management Strategies</w:t>
      </w:r>
    </w:p>
    <w:p>
      <w:r>
        <w:t>The successful implementation of sustainability initiatives in the housekeeping department of Hotel de Rome, Berlin, requires an effective change management strategy. Moreover, it has been discussed in the research of Hotel De Rome (2025) that implementing eco-friendly practices such as reducing water and energy waste necessitates a structured approach that ensures employee engagement, seamless integration with daily operations, and alignment with broader organizational sustainability goals. Change management theories, particularly Kotter’s Eight-Step Model and Lewin’s Change Management Framework, provide a structured method for guiding Hotel de Rome’s transition to a more sustainable housekeeping model (Velaoras et al., 2025).</w:t>
      </w:r>
    </w:p>
    <w:p>
      <w:pPr>
        <w:keepNext/>
        <w:jc w:val="center"/>
      </w:pPr>
      <w:r>
        <w:drawing>
          <wp:inline distT="0" distB="0" distL="0" distR="0">
            <wp:extent cx="4477211" cy="2297919"/>
            <wp:effectExtent l="0" t="0" r="0" b="0"/>
            <wp:docPr id="19" name="Image 19" descr="6.1 : The Graph of Change Management Opportunity Curve | Download  Scientific Diagram"/>
            <wp:cNvGraphicFramePr>
              <a:graphicFrameLocks noChangeAspect="1"/>
            </wp:cNvGraphicFramePr>
            <a:graphic>
              <a:graphicData uri="http://schemas.openxmlformats.org/drawingml/2006/picture">
                <pic:pic>
                  <pic:nvPicPr>
                    <pic:cNvPr id="21" name="Image 21"/>
                    <pic:cNvPicPr/>
                  </pic:nvPicPr>
                  <pic:blipFill>
                    <a:blip r:embed="rId9"/>
                    <a:stretch>
                      <a:fillRect/>
                    </a:stretch>
                  </pic:blipFill>
                  <pic:spPr>
                    <a:xfrm rot="0">
                      <a:off x="0" y="0"/>
                      <a:ext cx="4477211" cy="2297919"/>
                    </a:xfrm>
                    <a:prstGeom prst="rect"/>
                    <a:noFill/>
                    <a:ln w="12700" cmpd="sng" cap="flat">
                      <a:noFill/>
                      <a:prstDash val="solid"/>
                      <a:round/>
                    </a:ln>
                  </pic:spPr>
                </pic:pic>
              </a:graphicData>
            </a:graphic>
          </wp:inline>
        </w:drawing>
      </w:r>
    </w:p>
    <w:p>
      <w:pPr>
        <w:pStyle w:val="26"/>
        <w:jc w:val="center"/>
        <w:rPr>
          <w:i w:val="0"/>
          <w:iCs w:val="0"/>
          <w:color w:val="000000"/>
          <w:sz w:val="24"/>
          <w:szCs w:val="24"/>
        </w:rPr>
      </w:pPr>
      <w:r>
        <w:rPr>
          <w:i w:val="0"/>
          <w:iCs w:val="0"/>
          <w:color w:val="000000"/>
          <w:sz w:val="24"/>
          <w:szCs w:val="24"/>
        </w:rPr>
        <w:t xml:space="preserve">Figure </w:t>
      </w:r>
      <w:r>
        <w:rPr>
          <w:i w:val="0"/>
          <w:iCs w:val="0"/>
          <w:color w:val="000000"/>
          <w:sz w:val="24"/>
          <w:szCs w:val="24"/>
        </w:rPr>
        <w:fldChar w:fldCharType="begin"/>
      </w:r>
      <w:r>
        <w:rPr>
          <w:i w:val="0"/>
          <w:iCs w:val="0"/>
          <w:color w:val="000000"/>
          <w:sz w:val="24"/>
          <w:szCs w:val="24"/>
        </w:rPr>
        <w:instrText xml:space="preserve"> SEQ Figure \* ARABIC </w:instrText>
      </w:r>
      <w:r>
        <w:rPr>
          <w:i w:val="0"/>
          <w:iCs w:val="0"/>
          <w:color w:val="000000"/>
          <w:sz w:val="24"/>
          <w:szCs w:val="24"/>
        </w:rPr>
        <w:fldChar w:fldCharType="separate"/>
      </w:r>
      <w:r>
        <w:rPr>
          <w:i w:val="0"/>
          <w:iCs w:val="0"/>
          <w:color w:val="000000"/>
          <w:sz w:val="24"/>
          <w:szCs w:val="24"/>
        </w:rPr>
        <w:t>5</w:t>
      </w:r>
      <w:r>
        <w:rPr>
          <w:i w:val="0"/>
          <w:iCs w:val="0"/>
          <w:color w:val="000000"/>
          <w:sz w:val="24"/>
          <w:szCs w:val="24"/>
        </w:rPr>
        <w:fldChar w:fldCharType="end"/>
      </w:r>
      <w:r>
        <w:rPr>
          <w:i w:val="0"/>
          <w:iCs w:val="0"/>
          <w:color w:val="000000"/>
          <w:sz w:val="24"/>
          <w:szCs w:val="24"/>
        </w:rPr>
        <w:t xml:space="preserve"> The Graph of Change Management Opportunity Curve  </w:t>
      </w:r>
    </w:p>
    <w:p>
      <w:pPr>
        <w:pStyle w:val="26"/>
        <w:jc w:val="center"/>
        <w:rPr>
          <w:i w:val="0"/>
          <w:iCs w:val="0"/>
          <w:color w:val="000000"/>
          <w:sz w:val="24"/>
          <w:szCs w:val="24"/>
        </w:rPr>
      </w:pPr>
      <w:r>
        <w:rPr>
          <w:i w:val="0"/>
          <w:iCs w:val="0"/>
          <w:color w:val="000000"/>
          <w:sz w:val="24"/>
          <w:szCs w:val="24"/>
        </w:rPr>
        <w:t>(Source: Bertsch et al., 2009)</w:t>
      </w:r>
    </w:p>
    <w:p>
      <w:pPr>
        <w:pStyle w:val="3"/>
      </w:pPr>
      <w:bookmarkStart w:id="35" w:name="_Toc191114863"/>
      <w:r>
        <w:t>Creating a Sense of Urgency</w:t>
      </w:r>
    </w:p>
    <w:p>
      <w:r>
        <w:t>The first step in implementing change is establishing a compelling reason for sustainability improvements. The hospitality sector is responsible for approximately 15% of total building energy consumption, and inefficient hotel housekeeping operations contribute significantly to resource wastage (Frampton, 2022). Hotel de Rome uses an estimated 150–200 litres of water per room per day, translating to approximately 29,000 litres per day for its 145-room facility. According to Infopulse (2022), the hotel’s excessive water and energy use increases operational costs and places the establishment at risk of non-compliance with stringent German sustainability regulations, such as the Energy Efficiency Act, which mandates a minimum 30% reduction in energy consumption across the hospitality industry. Failure to act could result in regulatory penalties, loss of eco-conscious guests, and increased operational costs, making immediate action essential.</w:t>
      </w:r>
    </w:p>
    <w:p>
      <w:pPr>
        <w:pStyle w:val="3"/>
      </w:pPr>
      <w:bookmarkStart w:id="36" w:name="_Toc191114864"/>
      <w:r>
        <w:t>Establishing a Guiding Coalition</w:t>
      </w:r>
    </w:p>
    <w:p>
      <w:r>
        <w:t>Hotel de Rome must establish a Sustainability Task Force within the housekeeping department to ensure the successful implementation of sustainability initiatives (Loftin, 2021). This team should include housekeeping managers, senior executives, sustainability consultants, and operational staff to facilitate a top-down and bottom-up approach to change. Infopulse (2022) has discussed in his study that studies indicate that organisations with well-defined leadership teams are 33% more successful in implementing sustainability initiatives. The task force will set sustainability targets, monitor progress, and ensure staff compliance with new policies.</w:t>
      </w:r>
    </w:p>
    <w:p>
      <w:pPr>
        <w:pStyle w:val="3"/>
      </w:pPr>
      <w:bookmarkStart w:id="37" w:name="_Toc191114865"/>
      <w:r>
        <w:t>Developing a Vision and Strategy</w:t>
      </w:r>
    </w:p>
    <w:p>
      <w:r>
        <w:t>A clear and compelling vision is needed to involve stakeholders. In this sense, Hotel de Rome should set measurable sustainability goals such as reducing water usage by 25% and energy consumption by 30% within two years (Ma and Su, 2024). Upgrading laundry equipment to energy-efficient models, installing low-flow water fixtures and using automated housekeeping schedules to optimise energy use can be done to achieve this. Hotel de Rome can save €100,000 per year on utility bills by implementing smart water management systems, as hotels can save 15–25% of their utility bills, according to the International Tourism Partnership (2024). Digital energy monitoring tools and motion sensor-based lighting systems can be introduced to reduce energy wastage by 35% in hallways and unused rooms (Sahoo et al., 2024).</w:t>
      </w:r>
    </w:p>
    <w:p>
      <w:pPr>
        <w:pStyle w:val="3"/>
      </w:pPr>
      <w:bookmarkStart w:id="38" w:name="_Toc191114866"/>
      <w:r>
        <w:t>Communicating the Change Vision</w:t>
      </w:r>
    </w:p>
    <w:p>
      <w:r>
        <w:t>Poor communication is usually the cause of resistance to change. According to research, 70% of sustainability projects fail because of employee communication (Kotter, 2023). In order to overcome this, Hotel de Rome needs to develop a multichannel communication plan for staff meetings, digital newsletters, training workshops, and sustainability dashboards created in staff areas. Regular performance tracking reports were evaluated by Jackson and Orr (2021) to ensure that housekeeping staff members keep themselves abreast with their role in achieving sustainability goals.</w:t>
      </w:r>
    </w:p>
    <w:p>
      <w:pPr>
        <w:pStyle w:val="3"/>
      </w:pPr>
      <w:bookmarkStart w:id="39" w:name="_Toc191114867"/>
      <w:r>
        <w:t>Empowering Employees for Action</w:t>
      </w:r>
    </w:p>
    <w:p>
      <w:r>
        <w:t>Sustainability strategies rely heavily on housekeeping staff to carry them out. However, as per studies, 60 per cent of hotel employees have insufficient training on environmental sustainability practices (Bardukova, 2023). To correct this knowledge gap, the partner Hotel de Rome has to conduct mandatory training sessions for employees regarding water conservation, efficient linen service and eco-friendly cleaning protocol. Moreover, employees should be engaged in the decision-making process by participating in employee sustainability feedback forums that increase the adoption rates of green initiatives by 40% (Dasgupta &amp; Jamader, 2024).</w:t>
      </w:r>
    </w:p>
    <w:p>
      <w:pPr>
        <w:pStyle w:val="2"/>
        <w:rPr>
          <w:lang w:val="en-GB" w:eastAsia="en-GB"/>
        </w:rPr>
      </w:pPr>
      <w:bookmarkStart w:id="40" w:name="_Toc191114868"/>
      <w:r>
        <w:rPr>
          <w:lang w:val="en-GB" w:eastAsia="en-GB"/>
        </w:rPr>
        <w:t>Success Measurement and Evaluation</w:t>
      </w:r>
    </w:p>
    <w:p>
      <w:pPr>
        <w:rPr>
          <w:lang w:val="en-GB" w:eastAsia="en-GB"/>
        </w:rPr>
      </w:pPr>
      <w:r>
        <w:rPr>
          <w:lang w:val="en-GB" w:eastAsia="en-GB"/>
        </w:rPr>
        <w:t xml:space="preserve">In order to gauge the effectiveness of sustainability initiatives in hotel housekeeping, Hotel de Rome Berlin should conduct rigorous success measurement and evaluation. Setting up Key Performance Indicators (KPIs) is important to calculate the progress towards the lowering of water and energy waste (Niewiadomski, 2023). However, 15% of building energy consumption is accounted for by the hotel industry, and housekeeping operations can be quite inefficient, contributing to that percentage. </w:t>
      </w:r>
      <w:r>
        <w:rPr>
          <w:lang w:eastAsia="en-GB"/>
        </w:rPr>
        <w:t xml:space="preserve">As posted by Kanwal et al. (2024), </w:t>
      </w:r>
      <w:r>
        <w:rPr>
          <w:lang w:val="en-GB" w:eastAsia="en-GB"/>
        </w:rPr>
        <w:t>studies indicate that hotels using smart water meters and IoT-enabled leak detection sensors can reduce water wastage by up to 25%, saving €100,000 annually in operational costs. Similarly, installing motion-sensor lighting in hallways and guest rooms can cut electricity usage by 35%, leading to a 15% reduction in total energy expenses.</w:t>
      </w:r>
    </w:p>
    <w:p>
      <w:pPr>
        <w:rPr>
          <w:lang w:val="en-GB" w:eastAsia="en-GB"/>
        </w:rPr>
      </w:pPr>
      <w:r>
        <w:rPr>
          <w:lang w:eastAsia="en-GB"/>
        </w:rPr>
        <w:t xml:space="preserve">Furthermore, this statement has been supported by Lagioia et al. (2024) that </w:t>
      </w:r>
      <w:r>
        <w:rPr>
          <w:lang w:val="en-GB" w:eastAsia="en-GB"/>
        </w:rPr>
        <w:t xml:space="preserve">benchmarking against industry standards is essential to determine whether the implemented changes align with global sustainability goals. Research from Green Key Certified Hotels shows that hotels that adopt sustainable housekeeping practices can achieve a 30% reduction in energy consumption within two years. Hotel de Rome must compare its performance against these benchmarks, ensuring compliance with Germany’s Energy Efficiency Act, which mandates a 30% reduction in energy consumption for the hospitality sector </w:t>
      </w:r>
      <w:r>
        <w:rPr>
          <w:lang w:eastAsia="en-GB"/>
        </w:rPr>
        <w:t>(Otegui Carles, 2024)</w:t>
      </w:r>
      <w:r>
        <w:rPr>
          <w:lang w:val="en-GB" w:eastAsia="en-GB"/>
        </w:rPr>
        <w:t xml:space="preserve">. </w:t>
      </w:r>
    </w:p>
    <w:p>
      <w:pPr>
        <w:rPr>
          <w:lang w:val="en-GB" w:eastAsia="en-GB"/>
        </w:rPr>
      </w:pPr>
      <w:r>
        <w:rPr>
          <w:lang w:val="en-GB" w:eastAsia="en-GB"/>
        </w:rPr>
        <w:t xml:space="preserve">Furthermore, guest feedback surveys should be conducted quarterly to measure satisfaction with sustainability efforts, as 68% of travellers prefer eco-friendly hotels, and hotels with sustainability certifications see a 20% increase in occupancy rates. A quarterly sustainability audit should review energy and water usage trends and adjust strategies accordingly. Research suggests that hotels conducting regular sustainability assessments improve compliance rates by 30% and increase cost savings by 20% </w:t>
      </w:r>
      <w:r>
        <w:rPr>
          <w:lang w:eastAsia="en-GB"/>
        </w:rPr>
        <w:t>(Paliś and Siwek, 2024)</w:t>
      </w:r>
      <w:r>
        <w:rPr>
          <w:lang w:val="en-GB" w:eastAsia="en-GB"/>
        </w:rPr>
        <w:t>.</w:t>
      </w:r>
    </w:p>
    <w:p>
      <w:pPr>
        <w:pStyle w:val="2"/>
        <w:rPr>
          <w:rFonts w:eastAsia="Times New Roman"/>
          <w:lang w:val="en-GB" w:eastAsia="en-GB"/>
        </w:rPr>
      </w:pPr>
      <w:bookmarkStart w:id="41" w:name="_Toc191114869"/>
      <w:r>
        <w:rPr>
          <w:rFonts w:eastAsia="Times New Roman"/>
          <w:lang w:val="en-GB" w:eastAsia="en-GB"/>
        </w:rPr>
        <w:t>Cost Considerations and Feasibility</w:t>
      </w:r>
    </w:p>
    <w:p>
      <w:pPr>
        <w:rPr>
          <w:lang w:val="en-GB" w:eastAsia="en-GB"/>
        </w:rPr>
      </w:pPr>
      <w:r>
        <w:rPr>
          <w:lang w:val="en-GB" w:eastAsia="en-GB"/>
        </w:rPr>
        <w:t xml:space="preserve">For implementing sustainable housekeeping practises in Hotel de Rome, Berlin, careful cost analysis is required to be feasible and to have a return on investment. Based on this research by Abdalla Eltoum et al. (2024), it has been determined that the initial investment in energy-efficient laundry systems, smart water meters and automated HVAC controls can be significant, with estimates indicating that upgrading to energy-efficient washing machines could cost €50,000 and installation of IoT water leak detection systems falls between €20,000 and €30,000. Yet, such investments prove to be long-term cost-saving, as reports show that, for example, hotels that have implemented smart water management systems achieve up to 25% water reduction, which translates to €100,000 per year savings (Ramirez and George, 2019). </w:t>
      </w:r>
    </w:p>
    <w:p>
      <w:pPr>
        <w:keepNext/>
        <w:jc w:val="center"/>
      </w:pPr>
      <w:r>
        <w:drawing>
          <wp:inline distT="0" distB="0" distL="0" distR="0">
            <wp:extent cx="4900876" cy="2611706"/>
            <wp:effectExtent l="0" t="0" r="0" b="0"/>
            <wp:docPr id="22" name="Image 22" descr="Cost-to-Capacity Method: Applications and Considerations - evcValuation"/>
            <wp:cNvGraphicFramePr>
              <a:graphicFrameLocks noChangeAspect="1"/>
            </wp:cNvGraphicFramePr>
            <a:graphic>
              <a:graphicData uri="http://schemas.openxmlformats.org/drawingml/2006/picture">
                <pic:pic>
                  <pic:nvPicPr>
                    <pic:cNvPr id="24" name="Image 24"/>
                    <pic:cNvPicPr/>
                  </pic:nvPicPr>
                  <pic:blipFill>
                    <a:blip r:embed="rId10"/>
                    <a:stretch>
                      <a:fillRect/>
                    </a:stretch>
                  </pic:blipFill>
                  <pic:spPr>
                    <a:xfrm rot="0">
                      <a:off x="0" y="0"/>
                      <a:ext cx="4900876" cy="2611706"/>
                    </a:xfrm>
                    <a:prstGeom prst="rect"/>
                    <a:noFill/>
                    <a:ln w="12700" cmpd="sng" cap="flat">
                      <a:noFill/>
                      <a:prstDash val="solid"/>
                      <a:round/>
                    </a:ln>
                  </pic:spPr>
                </pic:pic>
              </a:graphicData>
            </a:graphic>
          </wp:inline>
        </w:drawing>
      </w:r>
    </w:p>
    <w:p>
      <w:pPr>
        <w:pStyle w:val="26"/>
        <w:jc w:val="center"/>
        <w:rPr>
          <w:i w:val="0"/>
          <w:iCs w:val="0"/>
          <w:color w:val="000000"/>
          <w:sz w:val="24"/>
          <w:szCs w:val="24"/>
        </w:rPr>
      </w:pPr>
      <w:r>
        <w:rPr>
          <w:i w:val="0"/>
          <w:iCs w:val="0"/>
          <w:color w:val="000000"/>
          <w:sz w:val="24"/>
          <w:szCs w:val="24"/>
        </w:rPr>
        <w:t xml:space="preserve">Figure </w:t>
      </w:r>
      <w:r>
        <w:rPr>
          <w:i w:val="0"/>
          <w:iCs w:val="0"/>
          <w:color w:val="000000"/>
          <w:sz w:val="24"/>
          <w:szCs w:val="24"/>
        </w:rPr>
        <w:fldChar w:fldCharType="begin"/>
      </w:r>
      <w:r>
        <w:rPr>
          <w:i w:val="0"/>
          <w:iCs w:val="0"/>
          <w:color w:val="000000"/>
          <w:sz w:val="24"/>
          <w:szCs w:val="24"/>
        </w:rPr>
        <w:instrText xml:space="preserve"> SEQ Figure \* ARABIC </w:instrText>
      </w:r>
      <w:r>
        <w:rPr>
          <w:i w:val="0"/>
          <w:iCs w:val="0"/>
          <w:color w:val="000000"/>
          <w:sz w:val="24"/>
          <w:szCs w:val="24"/>
        </w:rPr>
        <w:fldChar w:fldCharType="separate"/>
      </w:r>
      <w:r>
        <w:rPr>
          <w:i w:val="0"/>
          <w:iCs w:val="0"/>
          <w:color w:val="000000"/>
          <w:sz w:val="24"/>
          <w:szCs w:val="24"/>
        </w:rPr>
        <w:t>6</w:t>
      </w:r>
      <w:r>
        <w:rPr>
          <w:i w:val="0"/>
          <w:iCs w:val="0"/>
          <w:color w:val="000000"/>
          <w:sz w:val="24"/>
          <w:szCs w:val="24"/>
        </w:rPr>
        <w:fldChar w:fldCharType="end"/>
      </w:r>
      <w:r>
        <w:rPr>
          <w:i w:val="0"/>
          <w:iCs w:val="0"/>
          <w:color w:val="000000"/>
          <w:sz w:val="24"/>
          <w:szCs w:val="24"/>
        </w:rPr>
        <w:t xml:space="preserve"> Cost-to-Capacity Method </w:t>
      </w:r>
    </w:p>
    <w:p>
      <w:pPr>
        <w:pStyle w:val="26"/>
        <w:jc w:val="center"/>
        <w:rPr>
          <w:i w:val="0"/>
          <w:iCs w:val="0"/>
          <w:color w:val="000000"/>
          <w:sz w:val="24"/>
          <w:szCs w:val="24"/>
          <w:lang w:val="en-GB" w:eastAsia="en-GB"/>
        </w:rPr>
      </w:pPr>
      <w:r>
        <w:rPr>
          <w:i w:val="0"/>
          <w:iCs w:val="0"/>
          <w:color w:val="000000"/>
          <w:sz w:val="24"/>
          <w:szCs w:val="24"/>
        </w:rPr>
        <w:t>(Source: Baumann, 2018)</w:t>
      </w:r>
    </w:p>
    <w:p>
      <w:pPr>
        <w:rPr>
          <w:lang w:val="en-GB" w:eastAsia="en-GB"/>
        </w:rPr>
      </w:pPr>
      <w:r>
        <w:rPr>
          <w:lang w:val="en-GB" w:eastAsia="en-GB"/>
        </w:rPr>
        <w:t>Energy-efficient LED lighting and motion sensor-driven systems can save energy by 35%, and the ensuing reduction in utility bills will amount to €120,000 per year. Government incentives and sustainability grants in Germany (Sahoo et al., 2024) support the feasibility of these investments. The Energy Efficiency Act allows businesses to get tax reductions and financial subsidies up to 30% of the total cost of the green technologies it implements. Furthermore, in this research, Bardukova (2023) also claimed that hotels that obtain Green Key certification could experience a 20% net increase in occupancy rates, leading to revenue growth and recouping the costs of sustainability investments.</w:t>
      </w:r>
    </w:p>
    <w:p>
      <w:pPr>
        <w:pStyle w:val="1"/>
        <w:rPr>
          <w:rFonts w:eastAsia="Times New Roman"/>
          <w:lang w:val="en-GB" w:eastAsia="en-GB"/>
        </w:rPr>
      </w:pPr>
      <w:bookmarkStart w:id="42" w:name="_Toc191114870"/>
      <w:r>
        <w:rPr>
          <w:rFonts w:eastAsia="Times New Roman"/>
          <w:lang w:val="en-GB" w:eastAsia="en-GB"/>
        </w:rPr>
        <w:t>Action Plan</w:t>
      </w:r>
      <w:bookmarkEnd w:id="42"/>
      <w:r>
        <w:rPr>
          <w:rFonts w:eastAsia="Times New Roman"/>
          <w:lang w:val="en-GB" w:eastAsia="en-GB"/>
        </w:rPr>
        <w:t xml:space="preserve"> </w:t>
      </w:r>
    </w:p>
    <w:tbl>
      <w:tblPr>
        <w:jc w:val="left"/>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1045"/>
        <w:gridCol w:w="1633"/>
        <w:gridCol w:w="1815"/>
        <w:gridCol w:w="1633"/>
        <w:gridCol w:w="985"/>
        <w:gridCol w:w="1405"/>
        <w:gridCol w:w="1059"/>
      </w:tblGrid>
      <w:tr>
        <w:tc>
          <w:tcPr/>
          <w:p>
            <w:pPr>
              <w:spacing w:after="160"/>
              <w:rPr>
                <w:b/>
                <w:bCs/>
                <w:lang w:val="en-GB" w:eastAsia="en-GB"/>
              </w:rPr>
            </w:pPr>
            <w:r>
              <w:rPr>
                <w:b/>
                <w:bCs/>
                <w:lang w:val="en-GB" w:eastAsia="en-GB"/>
              </w:rPr>
              <w:t>Number</w:t>
            </w:r>
          </w:p>
        </w:tc>
        <w:tc>
          <w:tcPr/>
          <w:p>
            <w:pPr>
              <w:spacing w:after="160"/>
              <w:rPr>
                <w:b/>
                <w:bCs/>
                <w:lang w:val="en-GB" w:eastAsia="en-GB"/>
              </w:rPr>
            </w:pPr>
            <w:r>
              <w:rPr>
                <w:b/>
                <w:bCs/>
                <w:lang w:val="en-GB" w:eastAsia="en-GB"/>
              </w:rPr>
              <w:t>Problem</w:t>
            </w:r>
          </w:p>
        </w:tc>
        <w:tc>
          <w:tcPr/>
          <w:p>
            <w:pPr>
              <w:spacing w:after="160"/>
              <w:rPr>
                <w:b/>
                <w:bCs/>
                <w:lang w:val="en-GB" w:eastAsia="en-GB"/>
              </w:rPr>
            </w:pPr>
            <w:r>
              <w:rPr>
                <w:b/>
                <w:bCs/>
                <w:lang w:val="en-GB" w:eastAsia="en-GB"/>
              </w:rPr>
              <w:t>Solution</w:t>
            </w:r>
          </w:p>
        </w:tc>
        <w:tc>
          <w:tcPr/>
          <w:p>
            <w:pPr>
              <w:spacing w:after="160"/>
              <w:rPr>
                <w:b/>
                <w:bCs/>
                <w:lang w:val="en-GB" w:eastAsia="en-GB"/>
              </w:rPr>
            </w:pPr>
            <w:r>
              <w:rPr>
                <w:b/>
                <w:bCs/>
                <w:lang w:val="en-GB" w:eastAsia="en-GB"/>
              </w:rPr>
              <w:t>Desired Outcome</w:t>
            </w:r>
          </w:p>
        </w:tc>
        <w:tc>
          <w:tcPr/>
          <w:p>
            <w:pPr>
              <w:spacing w:after="160"/>
              <w:rPr>
                <w:b/>
                <w:bCs/>
                <w:lang w:val="en-GB" w:eastAsia="en-GB"/>
              </w:rPr>
            </w:pPr>
            <w:r>
              <w:rPr>
                <w:b/>
                <w:bCs/>
                <w:lang w:val="en-GB" w:eastAsia="en-GB"/>
              </w:rPr>
              <w:t>Time Scale</w:t>
            </w:r>
          </w:p>
        </w:tc>
        <w:tc>
          <w:tcPr/>
          <w:p>
            <w:pPr>
              <w:spacing w:after="160"/>
              <w:rPr>
                <w:b/>
                <w:bCs/>
                <w:lang w:val="en-GB" w:eastAsia="en-GB"/>
              </w:rPr>
            </w:pPr>
            <w:r>
              <w:rPr>
                <w:b/>
                <w:bCs/>
                <w:lang w:val="en-GB" w:eastAsia="en-GB"/>
              </w:rPr>
              <w:t>Completion Date</w:t>
            </w:r>
          </w:p>
        </w:tc>
        <w:tc>
          <w:tcPr/>
          <w:p>
            <w:pPr>
              <w:spacing w:after="160"/>
              <w:rPr>
                <w:b/>
                <w:bCs/>
                <w:lang w:val="en-GB" w:eastAsia="en-GB"/>
              </w:rPr>
            </w:pPr>
            <w:r>
              <w:rPr>
                <w:b/>
                <w:bCs/>
                <w:lang w:val="en-GB" w:eastAsia="en-GB"/>
              </w:rPr>
              <w:t>Planned Budget (€)</w:t>
            </w:r>
          </w:p>
        </w:tc>
      </w:tr>
      <w:tr>
        <w:tc>
          <w:tcPr/>
          <w:p>
            <w:pPr>
              <w:spacing w:after="160"/>
              <w:rPr>
                <w:lang w:val="en-GB" w:eastAsia="en-GB"/>
              </w:rPr>
            </w:pPr>
            <w:r>
              <w:rPr>
                <w:bCs/>
                <w:lang w:val="en-GB" w:eastAsia="en-GB"/>
              </w:rPr>
              <w:t>1</w:t>
            </w:r>
          </w:p>
        </w:tc>
        <w:tc>
          <w:tcPr/>
          <w:p>
            <w:pPr>
              <w:spacing w:after="160"/>
              <w:rPr>
                <w:lang w:val="en-GB" w:eastAsia="en-GB"/>
              </w:rPr>
            </w:pPr>
            <w:r>
              <w:rPr>
                <w:lang w:val="en-GB" w:eastAsia="en-GB"/>
              </w:rPr>
              <w:t>High water consumption in laundry operations due to inefficient machines and frequent linen/towel changes</w:t>
            </w:r>
          </w:p>
        </w:tc>
        <w:tc>
          <w:tcPr/>
          <w:p>
            <w:pPr>
              <w:spacing w:after="160"/>
              <w:rPr>
                <w:lang w:val="en-GB" w:eastAsia="en-GB"/>
              </w:rPr>
            </w:pPr>
            <w:r>
              <w:rPr>
                <w:lang w:val="en-GB" w:eastAsia="en-GB"/>
              </w:rPr>
              <w:t xml:space="preserve">Upgrade to </w:t>
            </w:r>
            <w:r>
              <w:rPr>
                <w:bCs/>
                <w:lang w:val="en-GB" w:eastAsia="en-GB"/>
              </w:rPr>
              <w:t>high-efficiency, low-water washing machines</w:t>
            </w:r>
            <w:r>
              <w:rPr>
                <w:lang w:val="en-GB" w:eastAsia="en-GB"/>
              </w:rPr>
              <w:t xml:space="preserve"> and implement </w:t>
            </w:r>
            <w:r>
              <w:rPr>
                <w:bCs/>
                <w:lang w:val="en-GB" w:eastAsia="en-GB"/>
              </w:rPr>
              <w:t>guest towel/linen reuse programs</w:t>
            </w:r>
          </w:p>
        </w:tc>
        <w:tc>
          <w:tcPr/>
          <w:p>
            <w:pPr>
              <w:spacing w:after="160"/>
              <w:rPr>
                <w:lang w:val="en-GB" w:eastAsia="en-GB"/>
              </w:rPr>
            </w:pPr>
            <w:r>
              <w:rPr>
                <w:lang w:val="en-GB" w:eastAsia="en-GB"/>
              </w:rPr>
              <w:t xml:space="preserve">Reduce laundry </w:t>
            </w:r>
            <w:r>
              <w:rPr>
                <w:bCs/>
                <w:lang w:val="en-GB" w:eastAsia="en-GB"/>
              </w:rPr>
              <w:t>water consumption by 30%</w:t>
            </w:r>
            <w:r>
              <w:rPr>
                <w:lang w:val="en-GB" w:eastAsia="en-GB"/>
              </w:rPr>
              <w:t xml:space="preserve">, saving approx. </w:t>
            </w:r>
            <w:r>
              <w:rPr>
                <w:bCs/>
                <w:lang w:val="en-GB" w:eastAsia="en-GB"/>
              </w:rPr>
              <w:t>€100,000 annually</w:t>
            </w:r>
          </w:p>
        </w:tc>
        <w:tc>
          <w:tcPr/>
          <w:p>
            <w:pPr>
              <w:spacing w:after="160"/>
              <w:rPr>
                <w:lang w:val="en-GB" w:eastAsia="en-GB"/>
              </w:rPr>
            </w:pPr>
            <w:r>
              <w:rPr>
                <w:lang w:val="en-GB" w:eastAsia="en-GB"/>
              </w:rPr>
              <w:t>6 months</w:t>
            </w:r>
          </w:p>
        </w:tc>
        <w:tc>
          <w:tcPr/>
          <w:p>
            <w:pPr>
              <w:spacing w:after="160"/>
              <w:rPr>
                <w:lang w:val="en-GB" w:eastAsia="en-GB"/>
              </w:rPr>
            </w:pPr>
            <w:r>
              <w:rPr>
                <w:bCs/>
                <w:lang w:val="en-GB" w:eastAsia="en-GB"/>
              </w:rPr>
              <w:t>August 2025</w:t>
            </w:r>
          </w:p>
        </w:tc>
        <w:tc>
          <w:tcPr/>
          <w:p>
            <w:pPr>
              <w:spacing w:after="160"/>
              <w:rPr>
                <w:lang w:val="en-GB" w:eastAsia="en-GB"/>
              </w:rPr>
            </w:pPr>
            <w:r>
              <w:rPr>
                <w:lang w:val="en-GB" w:eastAsia="en-GB"/>
              </w:rPr>
              <w:t>€50,000</w:t>
            </w:r>
          </w:p>
        </w:tc>
      </w:tr>
      <w:tr>
        <w:tc>
          <w:tcPr/>
          <w:p>
            <w:pPr>
              <w:spacing w:after="160"/>
              <w:rPr>
                <w:lang w:val="en-GB" w:eastAsia="en-GB"/>
              </w:rPr>
            </w:pPr>
            <w:r>
              <w:rPr>
                <w:bCs/>
                <w:lang w:val="en-GB" w:eastAsia="en-GB"/>
              </w:rPr>
              <w:t>2</w:t>
            </w:r>
          </w:p>
        </w:tc>
        <w:tc>
          <w:tcPr/>
          <w:p>
            <w:pPr>
              <w:spacing w:after="160"/>
              <w:rPr>
                <w:lang w:val="en-GB" w:eastAsia="en-GB"/>
              </w:rPr>
            </w:pPr>
            <w:r>
              <w:rPr>
                <w:lang w:val="en-GB" w:eastAsia="en-GB"/>
              </w:rPr>
              <w:t>Excessive energy use in housekeeping due to outdated lighting and HVAC systems</w:t>
            </w:r>
          </w:p>
        </w:tc>
        <w:tc>
          <w:tcPr/>
          <w:p>
            <w:pPr>
              <w:spacing w:after="160"/>
              <w:rPr>
                <w:lang w:val="en-GB" w:eastAsia="en-GB"/>
              </w:rPr>
            </w:pPr>
            <w:r>
              <w:rPr>
                <w:lang w:val="en-GB" w:eastAsia="en-GB"/>
              </w:rPr>
              <w:t xml:space="preserve">Install </w:t>
            </w:r>
            <w:r>
              <w:rPr>
                <w:bCs/>
                <w:lang w:val="en-GB" w:eastAsia="en-GB"/>
              </w:rPr>
              <w:t>LED motion-sensor lighting</w:t>
            </w:r>
            <w:r>
              <w:rPr>
                <w:lang w:val="en-GB" w:eastAsia="en-GB"/>
              </w:rPr>
              <w:t xml:space="preserve"> in hallways and guest rooms; integrate </w:t>
            </w:r>
            <w:r>
              <w:rPr>
                <w:bCs/>
                <w:lang w:val="en-GB" w:eastAsia="en-GB"/>
              </w:rPr>
              <w:t>smart HVAC controls</w:t>
            </w:r>
            <w:r>
              <w:rPr>
                <w:lang w:val="en-GB" w:eastAsia="en-GB"/>
              </w:rPr>
              <w:t xml:space="preserve"> to optimise heating/cooling</w:t>
            </w:r>
          </w:p>
        </w:tc>
        <w:tc>
          <w:tcPr/>
          <w:p>
            <w:pPr>
              <w:spacing w:after="160"/>
              <w:rPr>
                <w:lang w:val="en-GB" w:eastAsia="en-GB"/>
              </w:rPr>
            </w:pPr>
            <w:r>
              <w:rPr>
                <w:lang w:val="en-GB" w:eastAsia="en-GB"/>
              </w:rPr>
              <w:t xml:space="preserve">Decrease </w:t>
            </w:r>
            <w:r>
              <w:rPr>
                <w:bCs/>
                <w:lang w:val="en-GB" w:eastAsia="en-GB"/>
              </w:rPr>
              <w:t>energy waste by 35%</w:t>
            </w:r>
            <w:r>
              <w:rPr>
                <w:lang w:val="en-GB" w:eastAsia="en-GB"/>
              </w:rPr>
              <w:t xml:space="preserve">, reducing electricity costs by </w:t>
            </w:r>
            <w:r>
              <w:rPr>
                <w:bCs/>
                <w:lang w:val="en-GB" w:eastAsia="en-GB"/>
              </w:rPr>
              <w:t>€120,000 per year</w:t>
            </w:r>
          </w:p>
        </w:tc>
        <w:tc>
          <w:tcPr/>
          <w:p>
            <w:pPr>
              <w:spacing w:after="160"/>
              <w:rPr>
                <w:lang w:val="en-GB" w:eastAsia="en-GB"/>
              </w:rPr>
            </w:pPr>
            <w:r>
              <w:rPr>
                <w:lang w:val="en-GB" w:eastAsia="en-GB"/>
              </w:rPr>
              <w:t>9 months</w:t>
            </w:r>
          </w:p>
        </w:tc>
        <w:tc>
          <w:tcPr/>
          <w:p>
            <w:pPr>
              <w:spacing w:after="160"/>
              <w:rPr>
                <w:lang w:val="en-GB" w:eastAsia="en-GB"/>
              </w:rPr>
            </w:pPr>
            <w:r>
              <w:rPr>
                <w:bCs/>
                <w:lang w:val="en-GB" w:eastAsia="en-GB"/>
              </w:rPr>
              <w:t>December 2025</w:t>
            </w:r>
          </w:p>
        </w:tc>
        <w:tc>
          <w:tcPr/>
          <w:p>
            <w:pPr>
              <w:spacing w:after="160"/>
              <w:rPr>
                <w:lang w:val="en-GB" w:eastAsia="en-GB"/>
              </w:rPr>
            </w:pPr>
            <w:r>
              <w:rPr>
                <w:lang w:val="en-GB" w:eastAsia="en-GB"/>
              </w:rPr>
              <w:t>€80,000</w:t>
            </w:r>
          </w:p>
        </w:tc>
      </w:tr>
      <w:tr>
        <w:tc>
          <w:tcPr/>
          <w:p>
            <w:pPr>
              <w:spacing w:after="160"/>
              <w:rPr>
                <w:lang w:val="en-GB" w:eastAsia="en-GB"/>
              </w:rPr>
            </w:pPr>
            <w:r>
              <w:rPr>
                <w:bCs/>
                <w:lang w:val="en-GB" w:eastAsia="en-GB"/>
              </w:rPr>
              <w:t>3</w:t>
            </w:r>
          </w:p>
        </w:tc>
        <w:tc>
          <w:tcPr/>
          <w:p>
            <w:pPr>
              <w:spacing w:after="160"/>
              <w:rPr>
                <w:lang w:val="en-GB" w:eastAsia="en-GB"/>
              </w:rPr>
            </w:pPr>
            <w:r>
              <w:rPr>
                <w:lang w:val="en-GB" w:eastAsia="en-GB"/>
              </w:rPr>
              <w:t>Water leaks and inefficient usage in guest rooms and housekeeping areas</w:t>
            </w:r>
          </w:p>
        </w:tc>
        <w:tc>
          <w:tcPr/>
          <w:p>
            <w:pPr>
              <w:spacing w:after="160"/>
              <w:rPr>
                <w:lang w:val="en-GB" w:eastAsia="en-GB"/>
              </w:rPr>
            </w:pPr>
            <w:r>
              <w:rPr>
                <w:lang w:val="en-GB" w:eastAsia="en-GB"/>
              </w:rPr>
              <w:t xml:space="preserve">Install </w:t>
            </w:r>
            <w:r>
              <w:rPr>
                <w:bCs/>
                <w:lang w:val="en-GB" w:eastAsia="en-GB"/>
              </w:rPr>
              <w:t>IoT-enabled water leak detection systems</w:t>
            </w:r>
            <w:r>
              <w:rPr>
                <w:lang w:val="en-GB" w:eastAsia="en-GB"/>
              </w:rPr>
              <w:t xml:space="preserve"> and </w:t>
            </w:r>
            <w:r>
              <w:rPr>
                <w:bCs/>
                <w:lang w:val="en-GB" w:eastAsia="en-GB"/>
              </w:rPr>
              <w:t>low-flow water fixtures</w:t>
            </w:r>
            <w:r>
              <w:rPr>
                <w:lang w:val="en-GB" w:eastAsia="en-GB"/>
              </w:rPr>
              <w:t xml:space="preserve"> in guest rooms and laundry areas</w:t>
            </w:r>
          </w:p>
        </w:tc>
        <w:tc>
          <w:tcPr/>
          <w:p>
            <w:pPr>
              <w:spacing w:after="160"/>
              <w:rPr>
                <w:lang w:val="en-GB" w:eastAsia="en-GB"/>
              </w:rPr>
            </w:pPr>
            <w:r>
              <w:rPr>
                <w:lang w:val="en-GB" w:eastAsia="en-GB"/>
              </w:rPr>
              <w:t xml:space="preserve">Reduce </w:t>
            </w:r>
            <w:r>
              <w:rPr>
                <w:bCs/>
                <w:lang w:val="en-GB" w:eastAsia="en-GB"/>
              </w:rPr>
              <w:t>water waste by 25%</w:t>
            </w:r>
            <w:r>
              <w:rPr>
                <w:lang w:val="en-GB" w:eastAsia="en-GB"/>
              </w:rPr>
              <w:t xml:space="preserve">, improving compliance with </w:t>
            </w:r>
            <w:r>
              <w:rPr>
                <w:bCs/>
                <w:lang w:val="en-GB" w:eastAsia="en-GB"/>
              </w:rPr>
              <w:t>Germany’s Energy Efficiency Act (2023)</w:t>
            </w:r>
          </w:p>
        </w:tc>
        <w:tc>
          <w:tcPr/>
          <w:p>
            <w:pPr>
              <w:spacing w:after="160"/>
              <w:rPr>
                <w:lang w:val="en-GB" w:eastAsia="en-GB"/>
              </w:rPr>
            </w:pPr>
            <w:r>
              <w:rPr>
                <w:lang w:val="en-GB" w:eastAsia="en-GB"/>
              </w:rPr>
              <w:t>8 months</w:t>
            </w:r>
          </w:p>
        </w:tc>
        <w:tc>
          <w:tcPr/>
          <w:p>
            <w:pPr>
              <w:spacing w:after="160"/>
              <w:rPr>
                <w:lang w:val="en-GB" w:eastAsia="en-GB"/>
              </w:rPr>
            </w:pPr>
            <w:r>
              <w:rPr>
                <w:bCs/>
                <w:lang w:val="en-GB" w:eastAsia="en-GB"/>
              </w:rPr>
              <w:t>November 2025</w:t>
            </w:r>
          </w:p>
        </w:tc>
        <w:tc>
          <w:tcPr/>
          <w:p>
            <w:pPr>
              <w:spacing w:after="160"/>
              <w:rPr>
                <w:lang w:val="en-GB" w:eastAsia="en-GB"/>
              </w:rPr>
            </w:pPr>
            <w:r>
              <w:rPr>
                <w:lang w:val="en-GB" w:eastAsia="en-GB"/>
              </w:rPr>
              <w:t>€30,000</w:t>
            </w:r>
          </w:p>
        </w:tc>
      </w:tr>
      <w:tr>
        <w:tc>
          <w:tcPr/>
          <w:p>
            <w:pPr>
              <w:spacing w:after="160"/>
              <w:rPr>
                <w:lang w:val="en-GB" w:eastAsia="en-GB"/>
              </w:rPr>
            </w:pPr>
            <w:r>
              <w:rPr>
                <w:bCs/>
                <w:lang w:val="en-GB" w:eastAsia="en-GB"/>
              </w:rPr>
              <w:t>4</w:t>
            </w:r>
          </w:p>
        </w:tc>
        <w:tc>
          <w:tcPr/>
          <w:p>
            <w:pPr>
              <w:spacing w:after="160"/>
              <w:rPr>
                <w:lang w:val="en-GB" w:eastAsia="en-GB"/>
              </w:rPr>
            </w:pPr>
            <w:r>
              <w:rPr>
                <w:lang w:val="en-GB" w:eastAsia="en-GB"/>
              </w:rPr>
              <w:t>Lack of staff awareness and inconsistent application of sustainability practices</w:t>
            </w:r>
          </w:p>
        </w:tc>
        <w:tc>
          <w:tcPr/>
          <w:p>
            <w:pPr>
              <w:spacing w:after="160"/>
              <w:rPr>
                <w:lang w:val="en-GB" w:eastAsia="en-GB"/>
              </w:rPr>
            </w:pPr>
            <w:r>
              <w:rPr>
                <w:lang w:val="en-GB" w:eastAsia="en-GB"/>
              </w:rPr>
              <w:t xml:space="preserve">Develop and conduct </w:t>
            </w:r>
            <w:r>
              <w:rPr>
                <w:bCs/>
                <w:lang w:val="en-GB" w:eastAsia="en-GB"/>
              </w:rPr>
              <w:t>mandatory sustainability training sessions</w:t>
            </w:r>
            <w:r>
              <w:rPr>
                <w:lang w:val="en-GB" w:eastAsia="en-GB"/>
              </w:rPr>
              <w:t xml:space="preserve"> for housekeeping staff; introduce the </w:t>
            </w:r>
            <w:r>
              <w:rPr>
                <w:bCs/>
                <w:lang w:val="en-GB" w:eastAsia="en-GB"/>
              </w:rPr>
              <w:t>Green Performance Incentive Program</w:t>
            </w:r>
          </w:p>
        </w:tc>
        <w:tc>
          <w:tcPr/>
          <w:p>
            <w:pPr>
              <w:spacing w:after="160"/>
              <w:rPr>
                <w:lang w:val="en-GB" w:eastAsia="en-GB"/>
              </w:rPr>
            </w:pPr>
            <w:r>
              <w:rPr>
                <w:lang w:val="en-GB" w:eastAsia="en-GB"/>
              </w:rPr>
              <w:t xml:space="preserve">Increase </w:t>
            </w:r>
            <w:r>
              <w:rPr>
                <w:bCs/>
                <w:lang w:val="en-GB" w:eastAsia="en-GB"/>
              </w:rPr>
              <w:t>staff compliance by 40%</w:t>
            </w:r>
            <w:r>
              <w:rPr>
                <w:lang w:val="en-GB" w:eastAsia="en-GB"/>
              </w:rPr>
              <w:t>; reduce operational inefficiencies</w:t>
            </w:r>
          </w:p>
        </w:tc>
        <w:tc>
          <w:tcPr/>
          <w:p>
            <w:pPr>
              <w:spacing w:after="160"/>
              <w:rPr>
                <w:lang w:val="en-GB" w:eastAsia="en-GB"/>
              </w:rPr>
            </w:pPr>
            <w:r>
              <w:rPr>
                <w:lang w:val="en-GB" w:eastAsia="en-GB"/>
              </w:rPr>
              <w:t>3 months</w:t>
            </w:r>
          </w:p>
        </w:tc>
        <w:tc>
          <w:tcPr/>
          <w:p>
            <w:pPr>
              <w:spacing w:after="160"/>
              <w:rPr>
                <w:lang w:val="en-GB" w:eastAsia="en-GB"/>
              </w:rPr>
            </w:pPr>
            <w:r>
              <w:rPr>
                <w:bCs/>
                <w:lang w:val="en-GB" w:eastAsia="en-GB"/>
              </w:rPr>
              <w:t>June 2025</w:t>
            </w:r>
          </w:p>
        </w:tc>
        <w:tc>
          <w:tcPr/>
          <w:p>
            <w:pPr>
              <w:spacing w:after="160"/>
              <w:rPr>
                <w:lang w:val="en-GB" w:eastAsia="en-GB"/>
              </w:rPr>
            </w:pPr>
            <w:r>
              <w:rPr>
                <w:lang w:val="en-GB" w:eastAsia="en-GB"/>
              </w:rPr>
              <w:t>€15,000</w:t>
            </w:r>
          </w:p>
        </w:tc>
      </w:tr>
      <w:tr>
        <w:tc>
          <w:tcPr/>
          <w:p>
            <w:pPr>
              <w:spacing w:after="160"/>
              <w:rPr>
                <w:lang w:val="en-GB" w:eastAsia="en-GB"/>
              </w:rPr>
            </w:pPr>
            <w:r>
              <w:rPr>
                <w:bCs/>
                <w:lang w:val="en-GB" w:eastAsia="en-GB"/>
              </w:rPr>
              <w:t>5</w:t>
            </w:r>
          </w:p>
        </w:tc>
        <w:tc>
          <w:tcPr/>
          <w:p>
            <w:pPr>
              <w:spacing w:after="160"/>
              <w:rPr>
                <w:lang w:val="en-GB" w:eastAsia="en-GB"/>
              </w:rPr>
            </w:pPr>
            <w:r>
              <w:rPr>
                <w:lang w:val="en-GB" w:eastAsia="en-GB"/>
              </w:rPr>
              <w:t>High operational costs due to excessive electricity usage by industrial cleaning equipment</w:t>
            </w:r>
          </w:p>
        </w:tc>
        <w:tc>
          <w:tcPr/>
          <w:p>
            <w:pPr>
              <w:spacing w:after="160"/>
              <w:rPr>
                <w:lang w:val="en-GB" w:eastAsia="en-GB"/>
              </w:rPr>
            </w:pPr>
            <w:r>
              <w:rPr>
                <w:lang w:val="en-GB" w:eastAsia="en-GB"/>
              </w:rPr>
              <w:t xml:space="preserve">Upgrade to </w:t>
            </w:r>
            <w:r>
              <w:rPr>
                <w:bCs/>
                <w:lang w:val="en-GB" w:eastAsia="en-GB"/>
              </w:rPr>
              <w:t>energy-efficient vacuum cleaners and eco-friendly cleaning tools</w:t>
            </w:r>
          </w:p>
        </w:tc>
        <w:tc>
          <w:tcPr/>
          <w:p>
            <w:pPr>
              <w:spacing w:after="160"/>
              <w:rPr>
                <w:lang w:val="en-GB" w:eastAsia="en-GB"/>
              </w:rPr>
            </w:pPr>
            <w:r>
              <w:rPr>
                <w:lang w:val="en-GB" w:eastAsia="en-GB"/>
              </w:rPr>
              <w:t xml:space="preserve">Lower housekeeping </w:t>
            </w:r>
            <w:r>
              <w:rPr>
                <w:bCs/>
                <w:lang w:val="en-GB" w:eastAsia="en-GB"/>
              </w:rPr>
              <w:t>energy consumption by 20%</w:t>
            </w:r>
            <w:r>
              <w:rPr>
                <w:lang w:val="en-GB" w:eastAsia="en-GB"/>
              </w:rPr>
              <w:t xml:space="preserve">, reducing annual electricity costs by </w:t>
            </w:r>
            <w:r>
              <w:rPr>
                <w:bCs/>
                <w:lang w:val="en-GB" w:eastAsia="en-GB"/>
              </w:rPr>
              <w:t>€50,000</w:t>
            </w:r>
          </w:p>
        </w:tc>
        <w:tc>
          <w:tcPr/>
          <w:p>
            <w:pPr>
              <w:spacing w:after="160"/>
              <w:rPr>
                <w:lang w:val="en-GB" w:eastAsia="en-GB"/>
              </w:rPr>
            </w:pPr>
            <w:r>
              <w:rPr>
                <w:lang w:val="en-GB" w:eastAsia="en-GB"/>
              </w:rPr>
              <w:t>5 months</w:t>
            </w:r>
          </w:p>
        </w:tc>
        <w:tc>
          <w:tcPr/>
          <w:p>
            <w:pPr>
              <w:spacing w:after="160"/>
              <w:rPr>
                <w:lang w:val="en-GB" w:eastAsia="en-GB"/>
              </w:rPr>
            </w:pPr>
            <w:r>
              <w:rPr>
                <w:bCs/>
                <w:lang w:val="en-GB" w:eastAsia="en-GB"/>
              </w:rPr>
              <w:t>September 2025</w:t>
            </w:r>
          </w:p>
        </w:tc>
        <w:tc>
          <w:tcPr/>
          <w:p>
            <w:pPr>
              <w:spacing w:after="160"/>
              <w:rPr>
                <w:lang w:val="en-GB" w:eastAsia="en-GB"/>
              </w:rPr>
            </w:pPr>
            <w:r>
              <w:rPr>
                <w:lang w:val="en-GB" w:eastAsia="en-GB"/>
              </w:rPr>
              <w:t>€40,000</w:t>
            </w:r>
          </w:p>
        </w:tc>
      </w:tr>
      <w:tr>
        <w:tc>
          <w:tcPr/>
          <w:p>
            <w:pPr>
              <w:spacing w:after="160"/>
              <w:rPr>
                <w:lang w:val="en-GB" w:eastAsia="en-GB"/>
              </w:rPr>
            </w:pPr>
            <w:r>
              <w:rPr>
                <w:bCs/>
                <w:lang w:val="en-GB" w:eastAsia="en-GB"/>
              </w:rPr>
              <w:t>6</w:t>
            </w:r>
          </w:p>
        </w:tc>
        <w:tc>
          <w:tcPr/>
          <w:p>
            <w:pPr>
              <w:spacing w:after="160"/>
              <w:rPr>
                <w:lang w:val="en-GB" w:eastAsia="en-GB"/>
              </w:rPr>
            </w:pPr>
            <w:r>
              <w:rPr>
                <w:lang w:val="en-GB" w:eastAsia="en-GB"/>
              </w:rPr>
              <w:t>Lack of tracking and monitoring of sustainability progress</w:t>
            </w:r>
          </w:p>
        </w:tc>
        <w:tc>
          <w:tcPr/>
          <w:p>
            <w:pPr>
              <w:spacing w:after="160"/>
              <w:rPr>
                <w:lang w:val="en-GB" w:eastAsia="en-GB"/>
              </w:rPr>
            </w:pPr>
            <w:r>
              <w:rPr>
                <w:lang w:val="en-GB" w:eastAsia="en-GB"/>
              </w:rPr>
              <w:t xml:space="preserve">Implement </w:t>
            </w:r>
            <w:r>
              <w:rPr>
                <w:bCs/>
                <w:lang w:val="en-GB" w:eastAsia="en-GB"/>
              </w:rPr>
              <w:t>real-time energy and water monitoring systems</w:t>
            </w:r>
            <w:r>
              <w:rPr>
                <w:lang w:val="en-GB" w:eastAsia="en-GB"/>
              </w:rPr>
              <w:t xml:space="preserve"> with AI analytics</w:t>
            </w:r>
          </w:p>
        </w:tc>
        <w:tc>
          <w:tcPr/>
          <w:p>
            <w:pPr>
              <w:spacing w:after="160"/>
              <w:rPr>
                <w:lang w:val="en-GB" w:eastAsia="en-GB"/>
              </w:rPr>
            </w:pPr>
            <w:r>
              <w:rPr>
                <w:lang w:val="en-GB" w:eastAsia="en-GB"/>
              </w:rPr>
              <w:t xml:space="preserve">Improve tracking and optimisation, ensuring </w:t>
            </w:r>
            <w:r>
              <w:rPr>
                <w:bCs/>
                <w:lang w:val="en-GB" w:eastAsia="en-GB"/>
              </w:rPr>
              <w:t>30% efficiency gains</w:t>
            </w:r>
            <w:r>
              <w:rPr>
                <w:lang w:val="en-GB" w:eastAsia="en-GB"/>
              </w:rPr>
              <w:t xml:space="preserve"> over 2 years</w:t>
            </w:r>
          </w:p>
        </w:tc>
        <w:tc>
          <w:tcPr/>
          <w:p>
            <w:pPr>
              <w:spacing w:after="160"/>
              <w:rPr>
                <w:lang w:val="en-GB" w:eastAsia="en-GB"/>
              </w:rPr>
            </w:pPr>
            <w:r>
              <w:rPr>
                <w:lang w:val="en-GB" w:eastAsia="en-GB"/>
              </w:rPr>
              <w:t>7 months</w:t>
            </w:r>
          </w:p>
        </w:tc>
        <w:tc>
          <w:tcPr/>
          <w:p>
            <w:pPr>
              <w:spacing w:after="160"/>
              <w:rPr>
                <w:lang w:val="en-GB" w:eastAsia="en-GB"/>
              </w:rPr>
            </w:pPr>
            <w:r>
              <w:rPr>
                <w:bCs/>
                <w:lang w:val="en-GB" w:eastAsia="en-GB"/>
              </w:rPr>
              <w:t>October 2025</w:t>
            </w:r>
          </w:p>
        </w:tc>
        <w:tc>
          <w:tcPr/>
          <w:p>
            <w:pPr>
              <w:spacing w:after="160"/>
              <w:rPr>
                <w:lang w:val="en-GB" w:eastAsia="en-GB"/>
              </w:rPr>
            </w:pPr>
            <w:r>
              <w:rPr>
                <w:lang w:val="en-GB" w:eastAsia="en-GB"/>
              </w:rPr>
              <w:t>€45,000</w:t>
            </w:r>
          </w:p>
        </w:tc>
      </w:tr>
    </w:tbl>
    <w:p>
      <w:pPr>
        <w:rPr>
          <w:lang w:val="en-GB" w:eastAsia="en-GB"/>
        </w:rPr>
      </w:pPr>
    </w:p>
    <w:p>
      <w:pPr>
        <w:pStyle w:val="1"/>
        <w:rPr>
          <w:rFonts w:eastAsia="Times New Roman"/>
          <w:lang w:val="en-GB" w:eastAsia="en-GB"/>
        </w:rPr>
      </w:pPr>
      <w:bookmarkStart w:id="43" w:name="_Toc191114871"/>
      <w:r>
        <w:rPr>
          <w:rFonts w:eastAsia="Times New Roman"/>
          <w:lang w:val="en-GB" w:eastAsia="en-GB"/>
        </w:rPr>
        <w:t>Conclusion</w:t>
      </w:r>
    </w:p>
    <w:p>
      <w:pPr>
        <w:rPr>
          <w:lang w:val="en-GB" w:eastAsia="en-GB"/>
        </w:rPr>
      </w:pPr>
      <w:r>
        <w:rPr>
          <w:lang w:val="en-GB" w:eastAsia="en-GB"/>
        </w:rPr>
        <w:t xml:space="preserve">It is concluded that the housekeeping department, a part of Hotel de Rome, Berlin, is analysed in this consultancy report regarding the sustainability challenges of reducing water and energy waste. Hotel de Rome is a prestigious five-star hotel, so the pressure to incorporate eco-friendly practices whilst maintaining luxury service is growing. This report has evaluated PESTLE, SWOT and TOWS using detailed evaluations to identify the key drivers for sustainability improvements, such as regulatory requirements, operational efficiency and change in consumer expectations. One of the main findings of this report is that a large portion of excessive resource use comes from inefficiencies in laundry operations, HVAC systems and lighting. Today, the Hotel de Rome uses around 150–200 litres of water per room per day, that is, around 29,000 litres per day for its 145 rooms. </w:t>
      </w:r>
    </w:p>
    <w:p>
      <w:pPr>
        <w:rPr>
          <w:lang w:val="en-GB" w:eastAsia="en-GB"/>
        </w:rPr>
      </w:pPr>
      <w:r>
        <w:rPr>
          <w:lang w:val="en-GB" w:eastAsia="en-GB"/>
        </w:rPr>
        <w:t>Unless measures are taken, these inefficiencies will continue to escalate operational costs, which are already mounting because of Berlin’s annual energy price increase of 7.9%. This report presents a change management strategy to systematically introduce sustainability initiatives in the housekeeping department. The report also describes the use of Kotter’s Eight-Step Model, which states the need to create a sense of urgency, form a guiding coalition, enable employees, and reinforce new behaviours. According to studies, enterprises with structured leadership teams have much more success in implementing sustainability initiatives, at 33%.</w:t>
      </w:r>
    </w:p>
    <w:p>
      <w:pPr>
        <w:rPr>
          <w:lang w:val="en-GB" w:eastAsia="en-GB"/>
        </w:rPr>
      </w:pPr>
      <w:r>
        <w:rPr>
          <w:lang w:val="en-GB" w:eastAsia="en-GB"/>
        </w:rPr>
        <w:t>The financial feasibility analysis proves that sustainability investments in Hotel de Rome are cost-effective and strategically beneficial. Initial implementation costs come to approximately €260,000, but these are easily offset in a year by lower water and energy costs, government subsidies and increased bookings from hotel guests. The data also suggests that eco-friendly core will make them more competitive since hotels that have known sustainability certifications, such as Green Key and Earth Check programs, see a 20 per cent increase in occupancies. In addition, locking in long-term green energy contracts and integrating renewable energy into its system will stabilise electricity costs and protect the hotel from price volatility. The success measurement and evaluation framework guarantees that sustainability targets continue on their course. These are quarterly sustainability audits, key performance indicators (KPIs), guest satisfaction surveys, and compliance with regulatory benchmarks.</w:t>
      </w:r>
    </w:p>
    <w:p>
      <w:pPr>
        <w:rPr>
          <w:lang w:val="en-GB" w:eastAsia="en-GB"/>
        </w:rPr>
      </w:pPr>
      <w:r>
        <w:rPr>
          <w:lang w:val="en-GB" w:eastAsia="en-GB"/>
        </w:rPr>
        <w:t>Therefore, Hotel de Rome can benefit financially from sustainable housekeeping practises while it is an environmental necessity. Embracing innovative water and energy management strategies, staff training, and data in decision-making can help the hotel cut operational costs, improve the brand reputation and comply with Germany’s changing sustainability regulations. Being a hallmark of a luxury hotel, excellence calls for the investment in sustainability not only to future-proof its operations but also to satisfy the guests and, in the long run, ensure profitable operations. Based on this report, the Hotel de Rome should use the above recommendations to become a leader in eco-conscious luxury hospitality and stay competitive in a market dominated by sustainability inputs.</w:t>
      </w:r>
    </w:p>
    <w:p>
      <w:pPr>
        <w:rPr>
          <w:rFonts w:eastAsia="Times New Roman" w:cs="Times New Roman"/>
          <w:b/>
          <w:szCs w:val="24"/>
          <w:lang w:val="en-GB" w:eastAsia="en-GB"/>
        </w:rPr>
      </w:pPr>
    </w:p>
    <w:p>
      <w:pPr>
        <w:spacing w:before="0" w:line="259" w:lineRule="auto"/>
        <w:jc w:val="left"/>
        <w:rPr>
          <w:rFonts w:eastAsia="等线 Light" w:cs="Times New Roman"/>
          <w:b/>
          <w:color w:val="000000"/>
          <w:szCs w:val="40"/>
        </w:rPr>
      </w:pPr>
      <w:r>
        <w:rPr>
          <w:i/>
        </w:rPr>
        <w:br w:type="page"/>
      </w:r>
    </w:p>
    <w:p>
      <w:pPr>
        <w:pStyle w:val="1"/>
        <w:jc w:val="center"/>
        <w:rPr>
          <w:i w:val="0"/>
        </w:rPr>
      </w:pPr>
      <w:bookmarkStart w:id="44" w:name="_Toc191114872"/>
      <w:r>
        <w:rPr>
          <w:i w:val="0"/>
        </w:rPr>
        <w:t>References</w:t>
      </w:r>
    </w:p>
    <w:p>
      <w:pPr>
        <w:ind w:left="720" w:hanging="720"/>
      </w:pPr>
      <w:r>
        <w:t xml:space="preserve">Abdalla Eltoum, R. M., Rasoolimanesh, S. M., Soeiro, J. D., and  Marjani, M. (2024). Developing indicators for measuring the sustainability of hotels. Tourism and Hospitality Research, 14673584241299740. </w:t>
      </w:r>
      <w:r>
        <w:rPr>
          <w:rStyle w:val="27"/>
        </w:rPr>
        <w:fldChar w:fldCharType="begin"/>
      </w:r>
      <w:r>
        <w:instrText>HYPERLINK "https://doi.org/10.1177/14673584241299740"</w:instrText>
      </w:r>
      <w:r>
        <w:rPr>
          <w:rStyle w:val="27"/>
        </w:rPr>
        <w:fldChar w:fldCharType="separate"/>
      </w:r>
      <w:r>
        <w:rPr>
          <w:rStyle w:val="27"/>
        </w:rPr>
        <w:t>https://doi.org/10.1177/14673584241299740</w:t>
      </w:r>
      <w:r>
        <w:rPr>
          <w:rStyle w:val="27"/>
        </w:rPr>
        <w:fldChar w:fldCharType="end"/>
      </w:r>
      <w:r>
        <w:t xml:space="preserve"> </w:t>
      </w:r>
    </w:p>
    <w:p>
      <w:pPr>
        <w:ind w:left="720" w:hanging="720"/>
        <w:rPr>
          <w:shd w:val="clear" w:color="auto" w:fill="FFFFFF"/>
        </w:rPr>
      </w:pPr>
      <w:r>
        <w:rPr>
          <w:shd w:val="clear" w:color="auto" w:fill="FFFFFF"/>
        </w:rPr>
        <w:t>Abdou, A. H., Hassan, T. H and El Dief, M. M. (2020). A description of green hotel practices and their role in achieving sustainable development. </w:t>
      </w:r>
      <w:r>
        <w:rPr>
          <w:i/>
          <w:iCs/>
          <w:shd w:val="clear" w:color="auto" w:fill="FFFFFF"/>
        </w:rPr>
        <w:t>Sustainability</w:t>
      </w:r>
      <w:r>
        <w:rPr>
          <w:shd w:val="clear" w:color="auto" w:fill="FFFFFF"/>
        </w:rPr>
        <w:t>, </w:t>
      </w:r>
      <w:r>
        <w:rPr>
          <w:i/>
          <w:iCs/>
          <w:shd w:val="clear" w:color="auto" w:fill="FFFFFF"/>
        </w:rPr>
        <w:t>12</w:t>
      </w:r>
      <w:r>
        <w:rPr>
          <w:shd w:val="clear" w:color="auto" w:fill="FFFFFF"/>
        </w:rPr>
        <w:t xml:space="preserve">(22), 9624. Available at: </w:t>
      </w:r>
      <w:r>
        <w:rPr>
          <w:rStyle w:val="27"/>
          <w:rFonts w:cs="Times New Roman"/>
          <w:bCs/>
          <w:szCs w:val="24"/>
          <w:shd w:val="clear" w:color="auto" w:fill="FFFFFF"/>
        </w:rPr>
        <w:fldChar w:fldCharType="begin"/>
      </w:r>
      <w:r>
        <w:instrText>HYPERLINK "https://www.mdpi.com/2071-1050/12/22/9624"</w:instrText>
      </w:r>
      <w:r>
        <w:rPr>
          <w:rStyle w:val="27"/>
          <w:rFonts w:cs="Times New Roman"/>
          <w:bCs/>
          <w:szCs w:val="24"/>
          <w:shd w:val="clear" w:color="auto" w:fill="FFFFFF"/>
        </w:rPr>
        <w:fldChar w:fldCharType="separate"/>
      </w:r>
      <w:r>
        <w:rPr>
          <w:rStyle w:val="27"/>
          <w:rFonts w:cs="Times New Roman"/>
          <w:bCs/>
          <w:szCs w:val="24"/>
          <w:shd w:val="clear" w:color="auto" w:fill="FFFFFF"/>
        </w:rPr>
        <w:t>https://www.mdpi.com/2071-1050/12/22/9624</w:t>
      </w:r>
      <w:r>
        <w:rPr>
          <w:rStyle w:val="27"/>
          <w:rFonts w:cs="Times New Roman"/>
          <w:bCs/>
          <w:szCs w:val="24"/>
          <w:shd w:val="clear" w:color="auto" w:fill="FFFFFF"/>
        </w:rPr>
        <w:fldChar w:fldCharType="end"/>
      </w:r>
      <w:r>
        <w:rPr>
          <w:shd w:val="clear" w:color="auto" w:fill="FFFFFF"/>
        </w:rPr>
        <w:t xml:space="preserve"> </w:t>
      </w:r>
    </w:p>
    <w:p>
      <w:pPr>
        <w:ind w:left="720" w:hanging="720"/>
        <w:rPr>
          <w:shd w:val="clear" w:color="auto" w:fill="FFFFFF"/>
        </w:rPr>
      </w:pPr>
      <w:r>
        <w:rPr>
          <w:shd w:val="clear" w:color="auto" w:fill="FFFFFF"/>
        </w:rPr>
        <w:t xml:space="preserve">Ascenção, É.S., Marinangelo, F.M., Almeida, C.F.M., Kagan, N. and Dias, E.M., 2023. Applications of Smart Water Management Systems: A Literature Review. Water, 15(19), p.3492. </w:t>
      </w:r>
    </w:p>
    <w:p>
      <w:pPr>
        <w:ind w:left="720" w:hanging="720"/>
        <w:rPr>
          <w:shd w:val="clear" w:color="auto" w:fill="FFFFFF"/>
        </w:rPr>
      </w:pPr>
      <w:r>
        <w:rPr>
          <w:shd w:val="clear" w:color="auto" w:fill="FFFFFF"/>
        </w:rPr>
        <w:t xml:space="preserve">Aydin, M., Koc, P., and Tumay, M. (2023). Investigating the environmental Kuznets curve hypothesis with recovered paper consumption, human development index, urbanisation, and forest footprint. International Journal of Environmental Science and Technology, 20(8), 9053-9064. </w:t>
      </w:r>
      <w:r>
        <w:rPr>
          <w:rStyle w:val="27"/>
          <w:shd w:val="clear" w:color="auto" w:fill="FFFFFF"/>
        </w:rPr>
        <w:fldChar w:fldCharType="begin"/>
      </w:r>
      <w:r>
        <w:instrText>HYPERLINK "https://doi.org/10.1007/s13762-023-05049-7"</w:instrText>
      </w:r>
      <w:r>
        <w:rPr>
          <w:rStyle w:val="27"/>
          <w:shd w:val="clear" w:color="auto" w:fill="FFFFFF"/>
        </w:rPr>
        <w:fldChar w:fldCharType="separate"/>
      </w:r>
      <w:r>
        <w:rPr>
          <w:rStyle w:val="27"/>
          <w:shd w:val="clear" w:color="auto" w:fill="FFFFFF"/>
        </w:rPr>
        <w:t>https://doi.org/10.1007/s13762-023-05049-7</w:t>
      </w:r>
      <w:r>
        <w:rPr>
          <w:rStyle w:val="27"/>
          <w:shd w:val="clear" w:color="auto" w:fill="FFFFFF"/>
        </w:rPr>
        <w:fldChar w:fldCharType="end"/>
      </w:r>
      <w:r>
        <w:rPr>
          <w:shd w:val="clear" w:color="auto" w:fill="FFFFFF"/>
        </w:rPr>
        <w:t xml:space="preserve"> </w:t>
      </w:r>
    </w:p>
    <w:p>
      <w:pPr>
        <w:ind w:left="720" w:hanging="720"/>
        <w:rPr>
          <w:shd w:val="clear" w:color="auto" w:fill="FFFFFF"/>
        </w:rPr>
      </w:pPr>
      <w:r>
        <w:rPr>
          <w:shd w:val="clear" w:color="auto" w:fill="FFFFFF"/>
        </w:rPr>
        <w:t>Bardukova, L. (2023). Navigating the Hospitality Horizon: Current Trends and Strategies for Customer Attraction and Retention in the Hotel Industry. </w:t>
      </w:r>
      <w:r>
        <w:rPr>
          <w:i/>
          <w:iCs/>
          <w:shd w:val="clear" w:color="auto" w:fill="FFFFFF"/>
        </w:rPr>
        <w:t>Economics and computer science</w:t>
      </w:r>
      <w:r>
        <w:rPr>
          <w:shd w:val="clear" w:color="auto" w:fill="FFFFFF"/>
        </w:rPr>
        <w:t>, </w:t>
      </w:r>
      <w:r>
        <w:rPr>
          <w:i/>
          <w:iCs/>
          <w:shd w:val="clear" w:color="auto" w:fill="FFFFFF"/>
        </w:rPr>
        <w:t>2</w:t>
      </w:r>
      <w:r>
        <w:rPr>
          <w:shd w:val="clear" w:color="auto" w:fill="FFFFFF"/>
        </w:rPr>
        <w:t xml:space="preserve">, 88-103. </w:t>
      </w:r>
      <w:r>
        <w:rPr>
          <w:rStyle w:val="27"/>
          <w:shd w:val="clear" w:color="auto" w:fill="FFFFFF"/>
        </w:rPr>
        <w:fldChar w:fldCharType="begin"/>
      </w:r>
      <w:r>
        <w:instrText>HYPERLINK "https://eknigibg.net/Volume9/Issue2/spisanie-br2-2023_pp.88-103.pdf"</w:instrText>
      </w:r>
      <w:r>
        <w:rPr>
          <w:rStyle w:val="27"/>
          <w:shd w:val="clear" w:color="auto" w:fill="FFFFFF"/>
        </w:rPr>
        <w:fldChar w:fldCharType="separate"/>
      </w:r>
      <w:r>
        <w:rPr>
          <w:rStyle w:val="27"/>
          <w:shd w:val="clear" w:color="auto" w:fill="FFFFFF"/>
        </w:rPr>
        <w:t>https://eknigibg.net/Volume9/Issue2/spisanie-br2-2023_pp.88-103.pdf</w:t>
      </w:r>
      <w:r>
        <w:rPr>
          <w:rStyle w:val="27"/>
          <w:shd w:val="clear" w:color="auto" w:fill="FFFFFF"/>
        </w:rPr>
        <w:fldChar w:fldCharType="end"/>
      </w:r>
      <w:r>
        <w:rPr>
          <w:shd w:val="clear" w:color="auto" w:fill="FFFFFF"/>
        </w:rPr>
        <w:t xml:space="preserve"> </w:t>
      </w:r>
    </w:p>
    <w:p>
      <w:pPr>
        <w:ind w:left="720" w:hanging="720"/>
        <w:rPr>
          <w:shd w:val="clear" w:color="auto" w:fill="FFFFFF"/>
        </w:rPr>
      </w:pPr>
      <w:r>
        <w:rPr>
          <w:shd w:val="clear" w:color="auto" w:fill="FFFFFF"/>
        </w:rPr>
        <w:t xml:space="preserve">Baumann, C.T. (2018) 'Cost-to-Capacity Method: Applications and Considerations'. </w:t>
      </w:r>
      <w:r>
        <w:rPr>
          <w:i/>
          <w:iCs/>
          <w:shd w:val="clear" w:color="auto" w:fill="FFFFFF"/>
        </w:rPr>
        <w:t>evcValuation</w:t>
      </w:r>
      <w:r>
        <w:rPr>
          <w:shd w:val="clear" w:color="auto" w:fill="FFFFFF"/>
        </w:rPr>
        <w:t xml:space="preserve">, 4 September. </w:t>
      </w:r>
    </w:p>
    <w:p>
      <w:pPr>
        <w:ind w:left="720" w:hanging="720"/>
      </w:pPr>
      <w:r>
        <w:t xml:space="preserve">Bellini, L. (2022). Sustainability and Eco-Labels in the Tourism Sector: Legal Framework and Market Evidence (Master's thesis, Universidade NOVA de Lisboa (Portugal)). </w:t>
      </w:r>
      <w:r>
        <w:rPr>
          <w:rStyle w:val="27"/>
        </w:rPr>
        <w:fldChar w:fldCharType="begin"/>
      </w:r>
      <w:r>
        <w:instrText>HYPERLINK "https://www.proquest.com/openview/38a81e8fcb3635e85d1da974e73e73eb/1?pq-origsite=gscholar&amp;cbl=2026366&amp;diss=y"</w:instrText>
      </w:r>
      <w:r>
        <w:rPr>
          <w:rStyle w:val="27"/>
        </w:rPr>
        <w:fldChar w:fldCharType="separate"/>
      </w:r>
      <w:r>
        <w:rPr>
          <w:rStyle w:val="27"/>
        </w:rPr>
        <w:t>https://www.proquest.com/openview/38a81e8fcb3635e85d1da974e73e73eb/1?pq-origsite=gscholar&amp;cbl=2026366&amp;diss=y</w:t>
      </w:r>
      <w:r>
        <w:rPr>
          <w:rStyle w:val="27"/>
        </w:rPr>
        <w:fldChar w:fldCharType="end"/>
      </w:r>
      <w:r>
        <w:t xml:space="preserve"> </w:t>
      </w:r>
    </w:p>
    <w:p>
      <w:pPr>
        <w:ind w:left="720" w:hanging="720"/>
        <w:rPr>
          <w:shd w:val="clear" w:color="auto" w:fill="FFFFFF"/>
        </w:rPr>
      </w:pPr>
      <w:r>
        <w:rPr>
          <w:shd w:val="clear" w:color="auto" w:fill="FFFFFF"/>
        </w:rPr>
        <w:t xml:space="preserve">Bertsch, A., Saeed, M.O. and Devadas, A. (2009) 'The Graph of Change Management Opportunity Curve'. </w:t>
      </w:r>
      <w:r>
        <w:rPr>
          <w:i/>
          <w:iCs/>
          <w:shd w:val="clear" w:color="auto" w:fill="FFFFFF"/>
        </w:rPr>
        <w:t>ResearchGate</w:t>
      </w:r>
      <w:r>
        <w:rPr>
          <w:shd w:val="clear" w:color="auto" w:fill="FFFFFF"/>
        </w:rPr>
        <w:t>.</w:t>
      </w:r>
    </w:p>
    <w:p>
      <w:pPr>
        <w:ind w:left="720" w:hanging="720"/>
        <w:rPr>
          <w:shd w:val="clear" w:color="auto" w:fill="FFFFFF"/>
        </w:rPr>
      </w:pPr>
      <w:r>
        <w:rPr>
          <w:shd w:val="clear" w:color="auto" w:fill="FFFFFF"/>
        </w:rPr>
        <w:t>Bilgihan, A., and  Ricci, P. (2024). The new era of hotel marketing: integrating cutting-edge technologies with core marketing principles. </w:t>
      </w:r>
      <w:r>
        <w:rPr>
          <w:i/>
          <w:iCs/>
          <w:shd w:val="clear" w:color="auto" w:fill="FFFFFF"/>
        </w:rPr>
        <w:t>Journal of Hospitality and Tourism Technology</w:t>
      </w:r>
      <w:r>
        <w:rPr>
          <w:shd w:val="clear" w:color="auto" w:fill="FFFFFF"/>
        </w:rPr>
        <w:t>, </w:t>
      </w:r>
      <w:r>
        <w:rPr>
          <w:i/>
          <w:iCs/>
          <w:shd w:val="clear" w:color="auto" w:fill="FFFFFF"/>
        </w:rPr>
        <w:t>15</w:t>
      </w:r>
      <w:r>
        <w:rPr>
          <w:shd w:val="clear" w:color="auto" w:fill="FFFFFF"/>
        </w:rPr>
        <w:t xml:space="preserve">(1), 123-137. </w:t>
      </w:r>
      <w:r>
        <w:rPr>
          <w:rStyle w:val="27"/>
          <w:shd w:val="clear" w:color="auto" w:fill="FFFFFF"/>
        </w:rPr>
        <w:fldChar w:fldCharType="begin"/>
      </w:r>
      <w:r>
        <w:instrText>HYPERLINK "https://doi.org/10.1108/JHTT-04-2023-0095"</w:instrText>
      </w:r>
      <w:r>
        <w:rPr>
          <w:rStyle w:val="27"/>
          <w:shd w:val="clear" w:color="auto" w:fill="FFFFFF"/>
        </w:rPr>
        <w:fldChar w:fldCharType="separate"/>
      </w:r>
      <w:r>
        <w:rPr>
          <w:rStyle w:val="27"/>
          <w:shd w:val="clear" w:color="auto" w:fill="FFFFFF"/>
        </w:rPr>
        <w:t>https://doi.org/10.1108/JHTT-04-2023-0095</w:t>
      </w:r>
      <w:r>
        <w:rPr>
          <w:rStyle w:val="27"/>
          <w:shd w:val="clear" w:color="auto" w:fill="FFFFFF"/>
        </w:rPr>
        <w:fldChar w:fldCharType="end"/>
      </w:r>
      <w:r>
        <w:rPr>
          <w:shd w:val="clear" w:color="auto" w:fill="FFFFFF"/>
        </w:rPr>
        <w:t xml:space="preserve"> </w:t>
      </w:r>
    </w:p>
    <w:p>
      <w:pPr>
        <w:ind w:left="720" w:hanging="720"/>
        <w:rPr>
          <w:shd w:val="clear" w:color="auto" w:fill="FFFFFF"/>
        </w:rPr>
      </w:pPr>
      <w:r>
        <w:rPr>
          <w:shd w:val="clear" w:color="auto" w:fill="FFFFFF"/>
        </w:rPr>
        <w:t>Bočkus, D., Vento, E., and  Komppula, R. (2024). Cross-national analysis of wellness tourism concepts, tourists motivations, and service preferences. In </w:t>
      </w:r>
      <w:r>
        <w:rPr>
          <w:i/>
          <w:iCs/>
          <w:shd w:val="clear" w:color="auto" w:fill="FFFFFF"/>
        </w:rPr>
        <w:t>A Research Agenda for Tourism and Wellbeing</w:t>
      </w:r>
      <w:r>
        <w:rPr>
          <w:shd w:val="clear" w:color="auto" w:fill="FFFFFF"/>
        </w:rPr>
        <w:t xml:space="preserve"> (pp. 157-176). Edward Elgar Publishing. </w:t>
      </w:r>
      <w:r>
        <w:rPr>
          <w:rStyle w:val="27"/>
          <w:rFonts w:cs="Times New Roman"/>
          <w:bCs/>
          <w:szCs w:val="24"/>
          <w:shd w:val="clear" w:color="auto" w:fill="FFFFFF"/>
        </w:rPr>
        <w:fldChar w:fldCharType="begin"/>
      </w:r>
      <w:r>
        <w:instrText>HYPERLINK "https://www.elgaronline.com/edcollchap/book/9781803924342/book-part-9781803924342-18.xml"</w:instrText>
      </w:r>
      <w:r>
        <w:rPr>
          <w:rStyle w:val="27"/>
          <w:rFonts w:cs="Times New Roman"/>
          <w:bCs/>
          <w:szCs w:val="24"/>
          <w:shd w:val="clear" w:color="auto" w:fill="FFFFFF"/>
        </w:rPr>
        <w:fldChar w:fldCharType="separate"/>
      </w:r>
      <w:r>
        <w:rPr>
          <w:rStyle w:val="27"/>
          <w:rFonts w:cs="Times New Roman"/>
          <w:bCs/>
          <w:szCs w:val="24"/>
          <w:shd w:val="clear" w:color="auto" w:fill="FFFFFF"/>
        </w:rPr>
        <w:t>https://www.elgaronline.com/edcollchap/book/9781803924342/book-part-9781803924342-18.xml</w:t>
      </w:r>
      <w:r>
        <w:rPr>
          <w:rStyle w:val="27"/>
          <w:rFonts w:cs="Times New Roman"/>
          <w:bCs/>
          <w:szCs w:val="24"/>
          <w:shd w:val="clear" w:color="auto" w:fill="FFFFFF"/>
        </w:rPr>
        <w:fldChar w:fldCharType="end"/>
      </w:r>
    </w:p>
    <w:p>
      <w:pPr>
        <w:ind w:left="720" w:hanging="720"/>
        <w:rPr>
          <w:shd w:val="clear" w:color="auto" w:fill="FFFFFF"/>
        </w:rPr>
      </w:pPr>
      <w:r>
        <w:rPr>
          <w:shd w:val="clear" w:color="auto" w:fill="FFFFFF"/>
        </w:rPr>
        <w:t>Chan, M. K. M., Tsang, N. K., and Au, W. C. W. (2022). Effective approaches for encouraging hotel guests’ voluntary bedding linen reuse behavior. </w:t>
      </w:r>
      <w:r>
        <w:rPr>
          <w:i/>
          <w:iCs/>
          <w:shd w:val="clear" w:color="auto" w:fill="FFFFFF"/>
        </w:rPr>
        <w:t>International Journal of Hospitality Management</w:t>
      </w:r>
      <w:r>
        <w:rPr>
          <w:shd w:val="clear" w:color="auto" w:fill="FFFFFF"/>
        </w:rPr>
        <w:t>, </w:t>
      </w:r>
      <w:r>
        <w:rPr>
          <w:i/>
          <w:iCs/>
          <w:shd w:val="clear" w:color="auto" w:fill="FFFFFF"/>
        </w:rPr>
        <w:t>101</w:t>
      </w:r>
      <w:r>
        <w:rPr>
          <w:shd w:val="clear" w:color="auto" w:fill="FFFFFF"/>
        </w:rPr>
        <w:t xml:space="preserve">, 103105. Available at: </w:t>
      </w:r>
      <w:r>
        <w:rPr>
          <w:rStyle w:val="27"/>
          <w:rFonts w:cs="Times New Roman"/>
          <w:bCs/>
          <w:szCs w:val="24"/>
          <w:shd w:val="clear" w:color="auto" w:fill="FFFFFF"/>
        </w:rPr>
        <w:fldChar w:fldCharType="begin"/>
      </w:r>
      <w:r>
        <w:instrText>HYPERLINK "https://www.sciencedirect.com/science/article/abs/pii/S0278431921002486"</w:instrText>
      </w:r>
      <w:r>
        <w:rPr>
          <w:rStyle w:val="27"/>
          <w:rFonts w:cs="Times New Roman"/>
          <w:bCs/>
          <w:szCs w:val="24"/>
          <w:shd w:val="clear" w:color="auto" w:fill="FFFFFF"/>
        </w:rPr>
        <w:fldChar w:fldCharType="separate"/>
      </w:r>
      <w:r>
        <w:rPr>
          <w:rStyle w:val="27"/>
          <w:rFonts w:cs="Times New Roman"/>
          <w:bCs/>
          <w:szCs w:val="24"/>
          <w:shd w:val="clear" w:color="auto" w:fill="FFFFFF"/>
        </w:rPr>
        <w:t>https://www.sciencedirect.com/science/article/abs/pii/S0278431921002486</w:t>
      </w:r>
      <w:r>
        <w:rPr>
          <w:rStyle w:val="27"/>
          <w:rFonts w:cs="Times New Roman"/>
          <w:bCs/>
          <w:szCs w:val="24"/>
          <w:shd w:val="clear" w:color="auto" w:fill="FFFFFF"/>
        </w:rPr>
        <w:fldChar w:fldCharType="end"/>
      </w:r>
      <w:r>
        <w:rPr>
          <w:shd w:val="clear" w:color="auto" w:fill="FFFFFF"/>
        </w:rPr>
        <w:t xml:space="preserve"> </w:t>
      </w:r>
    </w:p>
    <w:p>
      <w:pPr>
        <w:ind w:left="720" w:hanging="720"/>
        <w:rPr>
          <w:shd w:val="clear" w:color="auto" w:fill="FFFFFF"/>
        </w:rPr>
      </w:pPr>
      <w:r>
        <w:rPr>
          <w:shd w:val="clear" w:color="auto" w:fill="FFFFFF"/>
        </w:rPr>
        <w:t>Das, M. P. (2023). Technology and Guest experience: innovations reshaping hotel management. </w:t>
      </w:r>
      <w:r>
        <w:rPr>
          <w:i/>
          <w:iCs/>
          <w:shd w:val="clear" w:color="auto" w:fill="FFFFFF"/>
        </w:rPr>
        <w:t>International Journal for Multidimensional Research Perspectives</w:t>
      </w:r>
      <w:r>
        <w:rPr>
          <w:shd w:val="clear" w:color="auto" w:fill="FFFFFF"/>
        </w:rPr>
        <w:t>, </w:t>
      </w:r>
      <w:r>
        <w:rPr>
          <w:i/>
          <w:iCs/>
          <w:shd w:val="clear" w:color="auto" w:fill="FFFFFF"/>
        </w:rPr>
        <w:t>1</w:t>
      </w:r>
      <w:r>
        <w:rPr>
          <w:shd w:val="clear" w:color="auto" w:fill="FFFFFF"/>
        </w:rPr>
        <w:t xml:space="preserve">(3), 76-95. </w:t>
      </w:r>
      <w:r>
        <w:rPr>
          <w:rStyle w:val="27"/>
          <w:rFonts w:cs="Times New Roman"/>
          <w:bCs/>
          <w:szCs w:val="24"/>
          <w:shd w:val="clear" w:color="auto" w:fill="FFFFFF"/>
        </w:rPr>
        <w:fldChar w:fldCharType="begin"/>
      </w:r>
      <w:r>
        <w:instrText>HYPERLINK "https://www.igi-global.com/chapter/customer-satisfaction-in-hospitality-marketing-from-a-technological-perspective/354143"</w:instrText>
      </w:r>
      <w:r>
        <w:rPr>
          <w:rStyle w:val="27"/>
          <w:rFonts w:cs="Times New Roman"/>
          <w:bCs/>
          <w:szCs w:val="24"/>
          <w:shd w:val="clear" w:color="auto" w:fill="FFFFFF"/>
        </w:rPr>
        <w:fldChar w:fldCharType="separate"/>
      </w:r>
      <w:r>
        <w:rPr>
          <w:rStyle w:val="27"/>
          <w:rFonts w:cs="Times New Roman"/>
          <w:bCs/>
          <w:szCs w:val="24"/>
          <w:shd w:val="clear" w:color="auto" w:fill="FFFFFF"/>
        </w:rPr>
        <w:t>https://www.igi-global.com/chapter/customer-satisfaction-in-hospitality-marketing-from-a-technological-perspective/354143</w:t>
      </w:r>
      <w:r>
        <w:rPr>
          <w:rStyle w:val="27"/>
          <w:rFonts w:cs="Times New Roman"/>
          <w:bCs/>
          <w:szCs w:val="24"/>
          <w:shd w:val="clear" w:color="auto" w:fill="FFFFFF"/>
        </w:rPr>
        <w:fldChar w:fldCharType="end"/>
      </w:r>
    </w:p>
    <w:p>
      <w:pPr>
        <w:ind w:left="720" w:hanging="720"/>
        <w:rPr>
          <w:shd w:val="clear" w:color="auto" w:fill="FFFFFF"/>
        </w:rPr>
      </w:pPr>
      <w:r>
        <w:rPr>
          <w:shd w:val="clear" w:color="auto" w:fill="FFFFFF"/>
        </w:rPr>
        <w:t>Dasgupta, D. S., and Jamader, A. R. (2024). Comprehensive Housekeeping Guidebook. </w:t>
      </w:r>
      <w:r>
        <w:rPr>
          <w:i/>
          <w:iCs/>
          <w:shd w:val="clear" w:color="auto" w:fill="FFFFFF"/>
        </w:rPr>
        <w:t>Available at SSRN 4731150</w:t>
      </w:r>
      <w:r>
        <w:rPr>
          <w:shd w:val="clear" w:color="auto" w:fill="FFFFFF"/>
        </w:rPr>
        <w:t xml:space="preserve">. </w:t>
      </w:r>
      <w:r>
        <w:rPr>
          <w:rStyle w:val="27"/>
          <w:rFonts w:cs="Times New Roman"/>
          <w:bCs/>
          <w:szCs w:val="24"/>
          <w:shd w:val="clear" w:color="auto" w:fill="FFFFFF"/>
        </w:rPr>
        <w:fldChar w:fldCharType="begin"/>
      </w:r>
      <w:r>
        <w:instrText>HYPERLINK "https://papers.ssrn.com/sol3/papers.cfm?abstract_id=4731150"</w:instrText>
      </w:r>
      <w:r>
        <w:rPr>
          <w:rStyle w:val="27"/>
          <w:rFonts w:cs="Times New Roman"/>
          <w:bCs/>
          <w:szCs w:val="24"/>
          <w:shd w:val="clear" w:color="auto" w:fill="FFFFFF"/>
        </w:rPr>
        <w:fldChar w:fldCharType="separate"/>
      </w:r>
      <w:r>
        <w:rPr>
          <w:rStyle w:val="27"/>
          <w:rFonts w:cs="Times New Roman"/>
          <w:bCs/>
          <w:szCs w:val="24"/>
          <w:shd w:val="clear" w:color="auto" w:fill="FFFFFF"/>
        </w:rPr>
        <w:t>https://papers.ssrn.com/sol3/papers.cfm?abstract_id=4731150</w:t>
      </w:r>
      <w:r>
        <w:rPr>
          <w:rStyle w:val="27"/>
          <w:rFonts w:cs="Times New Roman"/>
          <w:bCs/>
          <w:szCs w:val="24"/>
          <w:shd w:val="clear" w:color="auto" w:fill="FFFFFF"/>
        </w:rPr>
        <w:fldChar w:fldCharType="end"/>
      </w:r>
      <w:r>
        <w:rPr>
          <w:shd w:val="clear" w:color="auto" w:fill="FFFFFF"/>
        </w:rPr>
        <w:t xml:space="preserve"> </w:t>
      </w:r>
    </w:p>
    <w:p>
      <w:pPr>
        <w:ind w:left="720" w:hanging="720"/>
        <w:rPr>
          <w:shd w:val="clear" w:color="auto" w:fill="FFFFFF"/>
        </w:rPr>
      </w:pPr>
      <w:r>
        <w:rPr>
          <w:shd w:val="clear" w:color="auto" w:fill="FFFFFF"/>
        </w:rPr>
        <w:t xml:space="preserve">Di Vaio, A., Hassan, R., D'Amore, G., and Strologo, A. D. (2022). Digital technologies for sustainable waste management on-board ships: an analysis of best practices from the cruise industry. IEEE Transactions on Engineering Management. </w:t>
      </w:r>
      <w:r>
        <w:rPr>
          <w:rStyle w:val="27"/>
          <w:shd w:val="clear" w:color="auto" w:fill="FFFFFF"/>
        </w:rPr>
        <w:fldChar w:fldCharType="begin"/>
      </w:r>
      <w:r>
        <w:instrText>HYPERLINK "https://doi.org/10.1109/TEM.2022.3197241"</w:instrText>
      </w:r>
      <w:r>
        <w:rPr>
          <w:rStyle w:val="27"/>
          <w:shd w:val="clear" w:color="auto" w:fill="FFFFFF"/>
        </w:rPr>
        <w:fldChar w:fldCharType="separate"/>
      </w:r>
      <w:r>
        <w:rPr>
          <w:rStyle w:val="27"/>
          <w:shd w:val="clear" w:color="auto" w:fill="FFFFFF"/>
        </w:rPr>
        <w:t>https://doi.org/10.1109/TEM.2022.3197241</w:t>
      </w:r>
      <w:r>
        <w:rPr>
          <w:rStyle w:val="27"/>
          <w:shd w:val="clear" w:color="auto" w:fill="FFFFFF"/>
        </w:rPr>
        <w:fldChar w:fldCharType="end"/>
      </w:r>
      <w:r>
        <w:rPr>
          <w:shd w:val="clear" w:color="auto" w:fill="FFFFFF"/>
        </w:rPr>
        <w:t xml:space="preserve"> </w:t>
      </w:r>
    </w:p>
    <w:p>
      <w:pPr>
        <w:ind w:left="720" w:hanging="720"/>
        <w:rPr>
          <w:shd w:val="clear" w:color="auto" w:fill="FFFFFF"/>
        </w:rPr>
      </w:pPr>
      <w:r>
        <w:rPr>
          <w:shd w:val="clear" w:color="auto" w:fill="FFFFFF"/>
        </w:rPr>
        <w:t>Frampton, K. (2022). </w:t>
      </w:r>
      <w:r>
        <w:rPr>
          <w:i/>
          <w:shd w:val="clear" w:color="auto" w:fill="FFFFFF"/>
        </w:rPr>
        <w:t>The other modern movement: architecture, 1920-1970</w:t>
      </w:r>
      <w:r>
        <w:rPr>
          <w:shd w:val="clear" w:color="auto" w:fill="FFFFFF"/>
        </w:rPr>
        <w:t>. Yale University PressLoftin, M. A. (2021). </w:t>
      </w:r>
      <w:r>
        <w:rPr>
          <w:i/>
          <w:shd w:val="clear" w:color="auto" w:fill="FFFFFF"/>
        </w:rPr>
        <w:t>¡ Una Casa por Mes!: Architecture, Consumerism, and the Construction of Middle-class Identity in the Valley of Mexico, 1877-1968</w:t>
      </w:r>
      <w:r>
        <w:rPr>
          <w:shd w:val="clear" w:color="auto" w:fill="FFFFFF"/>
        </w:rPr>
        <w:t> (Doctoral dissertation).</w:t>
      </w:r>
    </w:p>
    <w:p>
      <w:pPr>
        <w:ind w:left="720" w:hanging="720"/>
      </w:pPr>
      <w:r>
        <w:t>Fukey, L. N., and  Rajaram, K. (2024). Sustaining Sustainable: Investigating the Full Spectrum of Food Waste, from Production Through Consumption to Disposal. In Preserving Health, Preserving Earth: The Path to Sustainable Healthcare (pp. 139-154). Cham: Springer Nature Switzerland.</w:t>
      </w:r>
    </w:p>
    <w:p>
      <w:pPr>
        <w:ind w:left="720" w:hanging="720"/>
        <w:rPr>
          <w:shd w:val="clear" w:color="auto" w:fill="FFFFFF"/>
        </w:rPr>
      </w:pPr>
      <w:r>
        <w:rPr>
          <w:shd w:val="clear" w:color="auto" w:fill="FFFFFF"/>
        </w:rPr>
        <w:t>Giousmpasoglou, C., and  Marinakou, E. (2024). </w:t>
      </w:r>
      <w:r>
        <w:rPr>
          <w:i/>
          <w:iCs/>
          <w:shd w:val="clear" w:color="auto" w:fill="FFFFFF"/>
        </w:rPr>
        <w:t>The Contemporary Hotel Industry: A People Management Perspective</w:t>
      </w:r>
      <w:r>
        <w:rPr>
          <w:shd w:val="clear" w:color="auto" w:fill="FFFFFF"/>
        </w:rPr>
        <w:t xml:space="preserve">. Springer Nature. https://books.google.com.pk/books?hl=en&amp;lr=&amp;id=l8oMEQAAQBAJ&amp;oi=fnd&amp;pg=PR5&amp;dq=Giousmpasoglou,+C.,+and++Marinakou,+E.+(2024).+The+Contemporary+Hotel+Industry:+A+People+Management+Perspective.+Springer+Nature.&amp;ots=brOj_gEjda&amp;sig=4paXpWDFv1tQ4EkfDTHD2Y_YEtg&amp;redir_esc=y#v=onepage&amp;q=Giousmpasoglou%2C%20C.%2C%20and%20%20Marinakou%2C%20E.%20(2024).%20The%20Contemporary%20Hotel%20Industry%3A%20A%20People%20Management%20Perspective.%20Springer%20Nature.&amp;f=false </w:t>
      </w:r>
    </w:p>
    <w:p>
      <w:pPr>
        <w:ind w:left="720" w:hanging="720"/>
        <w:rPr>
          <w:color w:val="222222"/>
          <w:shd w:val="clear" w:color="auto" w:fill="FFFFFF"/>
        </w:rPr>
      </w:pPr>
      <w:r>
        <w:rPr>
          <w:color w:val="222222"/>
          <w:shd w:val="clear" w:color="auto" w:fill="FFFFFF"/>
        </w:rPr>
        <w:t xml:space="preserve">Hotel De Rome. (2025) [Online Available]: </w:t>
      </w:r>
      <w:r>
        <w:rPr>
          <w:rStyle w:val="27"/>
          <w:rFonts w:cs="Times New Roman"/>
          <w:bCs/>
          <w:szCs w:val="24"/>
          <w:shd w:val="clear" w:color="auto" w:fill="FFFFFF"/>
        </w:rPr>
        <w:fldChar w:fldCharType="begin"/>
      </w:r>
      <w:r>
        <w:instrText>HYPERLINK "https://www.roccofortehotels.com/hotels-and-resorts/hotel-de-rome/"</w:instrText>
      </w:r>
      <w:r>
        <w:rPr>
          <w:rStyle w:val="27"/>
          <w:rFonts w:cs="Times New Roman"/>
          <w:bCs/>
          <w:szCs w:val="24"/>
          <w:shd w:val="clear" w:color="auto" w:fill="FFFFFF"/>
        </w:rPr>
        <w:fldChar w:fldCharType="separate"/>
      </w:r>
      <w:r>
        <w:rPr>
          <w:rStyle w:val="27"/>
          <w:rFonts w:cs="Times New Roman"/>
          <w:bCs/>
          <w:szCs w:val="24"/>
          <w:shd w:val="clear" w:color="auto" w:fill="FFFFFF"/>
        </w:rPr>
        <w:t>https://www.roccofortehotels.com/hotels-and-resorts/hotel-de-rome/</w:t>
      </w:r>
      <w:r>
        <w:rPr>
          <w:rStyle w:val="27"/>
          <w:rFonts w:cs="Times New Roman"/>
          <w:bCs/>
          <w:szCs w:val="24"/>
          <w:shd w:val="clear" w:color="auto" w:fill="FFFFFF"/>
        </w:rPr>
        <w:fldChar w:fldCharType="end"/>
      </w:r>
      <w:r>
        <w:rPr>
          <w:color w:val="222222"/>
          <w:shd w:val="clear" w:color="auto" w:fill="FFFFFF"/>
        </w:rPr>
        <w:t xml:space="preserve"> [Accessed Date]: 4/Jan/2025</w:t>
      </w:r>
    </w:p>
    <w:p>
      <w:pPr>
        <w:ind w:left="720" w:hanging="720"/>
        <w:rPr>
          <w:shd w:val="clear" w:color="auto" w:fill="FFFFFF"/>
        </w:rPr>
      </w:pPr>
      <w:r>
        <w:rPr>
          <w:shd w:val="clear" w:color="auto" w:fill="FFFFFF"/>
        </w:rPr>
        <w:t>Infopulse, 2022. The Future of Renewable Energy: IT Solutions by Industry.</w:t>
      </w:r>
    </w:p>
    <w:p>
      <w:pPr>
        <w:ind w:left="720" w:hanging="720"/>
        <w:rPr>
          <w:shd w:val="clear" w:color="auto" w:fill="FFFFFF"/>
        </w:rPr>
      </w:pPr>
      <w:r>
        <w:rPr>
          <w:shd w:val="clear" w:color="auto" w:fill="FFFFFF"/>
        </w:rPr>
        <w:t>Ivanov, S. (2023). </w:t>
      </w:r>
      <w:r>
        <w:rPr>
          <w:i/>
          <w:shd w:val="clear" w:color="auto" w:fill="FFFFFF"/>
        </w:rPr>
        <w:t>Tourism and Hotel Technologies</w:t>
      </w:r>
      <w:r>
        <w:rPr>
          <w:shd w:val="clear" w:color="auto" w:fill="FFFFFF"/>
        </w:rPr>
        <w:t xml:space="preserve">. INSETE. </w:t>
      </w:r>
      <w:r>
        <w:rPr>
          <w:rStyle w:val="27"/>
          <w:shd w:val="clear" w:color="auto" w:fill="FFFFFF"/>
        </w:rPr>
        <w:fldChar w:fldCharType="begin"/>
      </w:r>
      <w:r>
        <w:instrText>HYPERLINK "https://books.google.com.pk/books?hl=en&amp;lr=&amp;id=hBy1EAAAQBAJ&amp;oi=fnd&amp;pg=PA3&amp;dq=Ivanov,+S.+(2023).+Tourism+and+Hotel+Technologies.+INSETE.&amp;ots=4Uv9kDY5nQ&amp;sig=p6C_-lF5ltn_cVCdnTkJPBfCzyw&amp;redir_esc=y#v=onepage&amp;q=Ivanov%2C S. (2023). Tourism and Hotel Technologies. INSETE.&amp;f=false"</w:instrText>
      </w:r>
      <w:r>
        <w:rPr>
          <w:rStyle w:val="27"/>
          <w:shd w:val="clear" w:color="auto" w:fill="FFFFFF"/>
        </w:rPr>
        <w:fldChar w:fldCharType="separate"/>
      </w:r>
      <w:r>
        <w:rPr>
          <w:rStyle w:val="27"/>
          <w:shd w:val="clear" w:color="auto" w:fill="FFFFFF"/>
        </w:rPr>
        <w:t>https://books.google.com.pk/books?hl=en&amp;lr=&amp;id=hBy1EAAAQBAJ&amp;oi=fnd&amp;pg=PA3&amp;dq=Ivanov,+S.+(2023).+Tourism+and+Hotel+Technologies.+INSETE.&amp;ots=4Uv9kDY5nQ&amp;sig=p6C_-lF5ltn_cVCdnTkJPBfCzyw&amp;redir_esc=y#v=onepage&amp;q=Ivanov%2C%20S.%20(2023).%20Tourism%20and%20Hotel%20Technologies.%20INSETE.&amp;f=false</w:t>
      </w:r>
      <w:r>
        <w:rPr>
          <w:rStyle w:val="27"/>
          <w:shd w:val="clear" w:color="auto" w:fill="FFFFFF"/>
        </w:rPr>
        <w:fldChar w:fldCharType="end"/>
      </w:r>
      <w:r>
        <w:rPr>
          <w:shd w:val="clear" w:color="auto" w:fill="FFFFFF"/>
        </w:rPr>
        <w:t xml:space="preserve"> </w:t>
      </w:r>
    </w:p>
    <w:p>
      <w:pPr>
        <w:ind w:left="720" w:hanging="720"/>
        <w:rPr>
          <w:shd w:val="clear" w:color="auto" w:fill="FFFFFF"/>
        </w:rPr>
      </w:pPr>
      <w:r>
        <w:rPr>
          <w:shd w:val="clear" w:color="auto" w:fill="FFFFFF"/>
        </w:rPr>
        <w:t>Jackson, C., and Orr, A. (2021). The embeddedness of sustainability in real estate investment decision-making. </w:t>
      </w:r>
      <w:r>
        <w:rPr>
          <w:i/>
          <w:iCs/>
          <w:shd w:val="clear" w:color="auto" w:fill="FFFFFF"/>
        </w:rPr>
        <w:t>Journal of European Real Estate Research</w:t>
      </w:r>
      <w:r>
        <w:rPr>
          <w:shd w:val="clear" w:color="auto" w:fill="FFFFFF"/>
        </w:rPr>
        <w:t>, </w:t>
      </w:r>
      <w:r>
        <w:rPr>
          <w:i/>
          <w:iCs/>
          <w:shd w:val="clear" w:color="auto" w:fill="FFFFFF"/>
        </w:rPr>
        <w:t>14</w:t>
      </w:r>
      <w:r>
        <w:rPr>
          <w:shd w:val="clear" w:color="auto" w:fill="FFFFFF"/>
        </w:rPr>
        <w:t xml:space="preserve">(3), 362-380. </w:t>
      </w:r>
      <w:r>
        <w:rPr>
          <w:rStyle w:val="27"/>
          <w:rFonts w:cs="Times New Roman"/>
          <w:bCs/>
          <w:szCs w:val="24"/>
          <w:shd w:val="clear" w:color="auto" w:fill="FFFFFF"/>
        </w:rPr>
        <w:fldChar w:fldCharType="begin"/>
      </w:r>
      <w:r>
        <w:instrText>HYPERLINK "https://www.emerald.com/insight/content/doi/10.1108/jerer-09-2020-0050/full/html"</w:instrText>
      </w:r>
      <w:r>
        <w:rPr>
          <w:rStyle w:val="27"/>
          <w:rFonts w:cs="Times New Roman"/>
          <w:bCs/>
          <w:szCs w:val="24"/>
          <w:shd w:val="clear" w:color="auto" w:fill="FFFFFF"/>
        </w:rPr>
        <w:fldChar w:fldCharType="separate"/>
      </w:r>
      <w:r>
        <w:rPr>
          <w:rStyle w:val="27"/>
          <w:rFonts w:cs="Times New Roman"/>
          <w:bCs/>
          <w:szCs w:val="24"/>
          <w:shd w:val="clear" w:color="auto" w:fill="FFFFFF"/>
        </w:rPr>
        <w:t>https://www.emerald.com/insight/content/doi/10.1108/jerer-09-2020-0050/full/html</w:t>
      </w:r>
      <w:r>
        <w:rPr>
          <w:rStyle w:val="27"/>
          <w:rFonts w:cs="Times New Roman"/>
          <w:bCs/>
          <w:szCs w:val="24"/>
          <w:shd w:val="clear" w:color="auto" w:fill="FFFFFF"/>
        </w:rPr>
        <w:fldChar w:fldCharType="end"/>
      </w:r>
      <w:r>
        <w:rPr>
          <w:shd w:val="clear" w:color="auto" w:fill="FFFFFF"/>
        </w:rPr>
        <w:t xml:space="preserve"> </w:t>
      </w:r>
    </w:p>
    <w:p>
      <w:pPr>
        <w:ind w:left="720" w:hanging="720"/>
        <w:rPr>
          <w:shd w:val="clear" w:color="auto" w:fill="FFFFFF"/>
        </w:rPr>
      </w:pPr>
      <w:r>
        <w:rPr>
          <w:shd w:val="clear" w:color="auto" w:fill="FFFFFF"/>
        </w:rPr>
        <w:t>Jasińska, I. (2023). Industrial washing conditions as factor that influence the cellulose structure and mechanical strength of bed linens. </w:t>
      </w:r>
      <w:r>
        <w:rPr>
          <w:i/>
          <w:iCs/>
          <w:shd w:val="clear" w:color="auto" w:fill="FFFFFF"/>
        </w:rPr>
        <w:t>Scientific Reports</w:t>
      </w:r>
      <w:r>
        <w:rPr>
          <w:shd w:val="clear" w:color="auto" w:fill="FFFFFF"/>
        </w:rPr>
        <w:t>, </w:t>
      </w:r>
      <w:r>
        <w:rPr>
          <w:i/>
          <w:iCs/>
          <w:shd w:val="clear" w:color="auto" w:fill="FFFFFF"/>
        </w:rPr>
        <w:t>13</w:t>
      </w:r>
      <w:r>
        <w:rPr>
          <w:shd w:val="clear" w:color="auto" w:fill="FFFFFF"/>
        </w:rPr>
        <w:t xml:space="preserve">(1), 12214. </w:t>
      </w:r>
      <w:r>
        <w:rPr>
          <w:rStyle w:val="27"/>
          <w:shd w:val="clear" w:color="auto" w:fill="FFFFFF"/>
        </w:rPr>
        <w:fldChar w:fldCharType="begin"/>
      </w:r>
      <w:r>
        <w:instrText>HYPERLINK "https://doi.org/10.1038/s41598-023-38969-y"</w:instrText>
      </w:r>
      <w:r>
        <w:rPr>
          <w:rStyle w:val="27"/>
          <w:shd w:val="clear" w:color="auto" w:fill="FFFFFF"/>
        </w:rPr>
        <w:fldChar w:fldCharType="separate"/>
      </w:r>
      <w:r>
        <w:rPr>
          <w:rStyle w:val="27"/>
          <w:shd w:val="clear" w:color="auto" w:fill="FFFFFF"/>
        </w:rPr>
        <w:t>https://doi.org/10.1038/s41598-023-38969-y</w:t>
      </w:r>
      <w:r>
        <w:rPr>
          <w:rStyle w:val="27"/>
          <w:shd w:val="clear" w:color="auto" w:fill="FFFFFF"/>
        </w:rPr>
        <w:fldChar w:fldCharType="end"/>
      </w:r>
      <w:r>
        <w:rPr>
          <w:shd w:val="clear" w:color="auto" w:fill="FFFFFF"/>
        </w:rPr>
        <w:t xml:space="preserve"> </w:t>
      </w:r>
    </w:p>
    <w:p>
      <w:pPr>
        <w:ind w:left="720" w:hanging="720"/>
        <w:rPr>
          <w:shd w:val="clear" w:color="auto" w:fill="FFFFFF"/>
        </w:rPr>
      </w:pPr>
      <w:r>
        <w:rPr>
          <w:shd w:val="clear" w:color="auto" w:fill="FFFFFF"/>
        </w:rPr>
        <w:t>Kanwal, N., Meng, C. S., Watabe, M., Zainal, N., and  Siew, J. K. K. (2024). Carbon Footprint of Tourism Activities Including Transportation, Accommodation, and Infrastructure: A Critical Analysis. In </w:t>
      </w:r>
      <w:r>
        <w:rPr>
          <w:i/>
          <w:iCs/>
          <w:shd w:val="clear" w:color="auto" w:fill="FFFFFF"/>
        </w:rPr>
        <w:t>The Need for Sustainable Tourism in an Era of Global Climate Change: Pathway to a Greener Future</w:t>
      </w:r>
      <w:r>
        <w:rPr>
          <w:shd w:val="clear" w:color="auto" w:fill="FFFFFF"/>
        </w:rPr>
        <w:t xml:space="preserve"> (pp. 95-120). Emerald Publishing Limited. </w:t>
      </w:r>
      <w:r>
        <w:rPr>
          <w:rStyle w:val="27"/>
          <w:rFonts w:cs="Times New Roman"/>
          <w:bCs/>
          <w:szCs w:val="24"/>
          <w:shd w:val="clear" w:color="auto" w:fill="FFFFFF"/>
        </w:rPr>
        <w:fldChar w:fldCharType="begin"/>
      </w:r>
      <w:r>
        <w:instrText>HYPERLINK "https://www.emerald.com/insight/content/doi/10.1108/978-1-83608-668-020241015/full/html"</w:instrText>
      </w:r>
      <w:r>
        <w:rPr>
          <w:rStyle w:val="27"/>
          <w:rFonts w:cs="Times New Roman"/>
          <w:bCs/>
          <w:szCs w:val="24"/>
          <w:shd w:val="clear" w:color="auto" w:fill="FFFFFF"/>
        </w:rPr>
        <w:fldChar w:fldCharType="separate"/>
      </w:r>
      <w:r>
        <w:rPr>
          <w:rStyle w:val="27"/>
          <w:rFonts w:cs="Times New Roman"/>
          <w:bCs/>
          <w:szCs w:val="24"/>
          <w:shd w:val="clear" w:color="auto" w:fill="FFFFFF"/>
        </w:rPr>
        <w:t>https://www.emerald.com/insight/content/doi/10.1108/978-1-83608-668-020241015/full/html</w:t>
      </w:r>
      <w:r>
        <w:rPr>
          <w:rStyle w:val="27"/>
          <w:rFonts w:cs="Times New Roman"/>
          <w:bCs/>
          <w:szCs w:val="24"/>
          <w:shd w:val="clear" w:color="auto" w:fill="FFFFFF"/>
        </w:rPr>
        <w:fldChar w:fldCharType="end"/>
      </w:r>
    </w:p>
    <w:p>
      <w:pPr>
        <w:ind w:left="720" w:hanging="720"/>
        <w:rPr>
          <w:shd w:val="clear" w:color="auto" w:fill="FFFFFF"/>
        </w:rPr>
      </w:pPr>
      <w:r>
        <w:rPr>
          <w:shd w:val="clear" w:color="auto" w:fill="FFFFFF"/>
        </w:rPr>
        <w:t>KARAMAN, A., GÜNEŞ, S., GÜNEŞ, G. Ş., TANRIVERMİŞ, Y., CEVHER, M. F., ERSOY, A., ...&amp;ÖZMEN, S. S. (2023). </w:t>
      </w:r>
      <w:r>
        <w:rPr>
          <w:i/>
          <w:iCs/>
          <w:shd w:val="clear" w:color="auto" w:fill="FFFFFF"/>
        </w:rPr>
        <w:t>Research in Humanities and Social Sciences</w:t>
      </w:r>
      <w:r>
        <w:rPr>
          <w:shd w:val="clear" w:color="auto" w:fill="FFFFFF"/>
        </w:rPr>
        <w:t xml:space="preserve">. Livre de Lyon. https://books.google.com.pk/books?hl=en&amp;lr=&amp;id=TbfrEAAAQBAJ&amp;oi=fnd&amp;pg=PR1&amp;dq=KARAMAN,+A.,+G%C3%9CNE%C5%9E,+S.,+G%C3%9CNE%C5%9E,+G.+%C5%9E.,+TANRIVERM%C4%B0%C5%9E,+Y.,+CEVHER,+M.+F.,+ERSOY,+A.,+...+%26+%C3%96ZMEN,+S.+S.+(2023).+Research+in+Humanities+and+Social+Sciences.+Livre+de+Lyon.&amp;ots=qHcE3VyP9t&amp;sig=s6aJs_CcP_vhfJZSIrCxnM7v2u4&amp;redir_esc=y#v=onepage&amp;q&amp;f=false </w:t>
      </w:r>
    </w:p>
    <w:p>
      <w:pPr>
        <w:ind w:left="720" w:hanging="720"/>
        <w:rPr>
          <w:shd w:val="clear" w:color="auto" w:fill="FFFFFF"/>
        </w:rPr>
      </w:pPr>
      <w:r>
        <w:rPr>
          <w:shd w:val="clear" w:color="auto" w:fill="FFFFFF"/>
        </w:rPr>
        <w:t>Khalil, N., Che Abdullah, S. N., Haron, S. N., and Hamid, M. Y. (2024). A review of green practices and initiatives from stakeholder’s perspectives towards sustainable hotel operations and performance impact. </w:t>
      </w:r>
      <w:r>
        <w:rPr>
          <w:i/>
          <w:iCs/>
          <w:shd w:val="clear" w:color="auto" w:fill="FFFFFF"/>
        </w:rPr>
        <w:t>Journal of Facilities Management</w:t>
      </w:r>
      <w:r>
        <w:rPr>
          <w:shd w:val="clear" w:color="auto" w:fill="FFFFFF"/>
        </w:rPr>
        <w:t>, </w:t>
      </w:r>
      <w:r>
        <w:rPr>
          <w:i/>
          <w:iCs/>
          <w:shd w:val="clear" w:color="auto" w:fill="FFFFFF"/>
        </w:rPr>
        <w:t>22</w:t>
      </w:r>
      <w:r>
        <w:rPr>
          <w:shd w:val="clear" w:color="auto" w:fill="FFFFFF"/>
        </w:rPr>
        <w:t xml:space="preserve">(4), 653-682. </w:t>
      </w:r>
      <w:r>
        <w:rPr>
          <w:rStyle w:val="27"/>
          <w:rFonts w:cs="Times New Roman"/>
          <w:bCs/>
          <w:szCs w:val="24"/>
          <w:shd w:val="clear" w:color="auto" w:fill="FFFFFF"/>
        </w:rPr>
        <w:fldChar w:fldCharType="begin"/>
      </w:r>
      <w:r>
        <w:instrText>HYPERLINK "https://www.emerald.com/insight/content/doi/10.1108/jfm-03-2022-0025/full/html"</w:instrText>
      </w:r>
      <w:r>
        <w:rPr>
          <w:rStyle w:val="27"/>
          <w:rFonts w:cs="Times New Roman"/>
          <w:bCs/>
          <w:szCs w:val="24"/>
          <w:shd w:val="clear" w:color="auto" w:fill="FFFFFF"/>
        </w:rPr>
        <w:fldChar w:fldCharType="separate"/>
      </w:r>
      <w:r>
        <w:rPr>
          <w:rStyle w:val="27"/>
          <w:rFonts w:cs="Times New Roman"/>
          <w:bCs/>
          <w:szCs w:val="24"/>
          <w:shd w:val="clear" w:color="auto" w:fill="FFFFFF"/>
        </w:rPr>
        <w:t>https://www.emerald.com/insight/content/doi/10.1108/jfm-03-2022-0025/full/html</w:t>
      </w:r>
      <w:r>
        <w:rPr>
          <w:rStyle w:val="27"/>
          <w:rFonts w:cs="Times New Roman"/>
          <w:bCs/>
          <w:szCs w:val="24"/>
          <w:shd w:val="clear" w:color="auto" w:fill="FFFFFF"/>
        </w:rPr>
        <w:fldChar w:fldCharType="end"/>
      </w:r>
      <w:r>
        <w:rPr>
          <w:shd w:val="clear" w:color="auto" w:fill="FFFFFF"/>
        </w:rPr>
        <w:t xml:space="preserve"> </w:t>
      </w:r>
    </w:p>
    <w:p>
      <w:pPr>
        <w:ind w:left="720" w:hanging="720"/>
        <w:rPr>
          <w:shd w:val="clear" w:color="auto" w:fill="FFFFFF"/>
        </w:rPr>
      </w:pPr>
      <w:r>
        <w:rPr>
          <w:shd w:val="clear" w:color="auto" w:fill="FFFFFF"/>
        </w:rPr>
        <w:t xml:space="preserve">Khan, A., Bibi, S., Lyu, J., Babar, Z. U., Alam, M., and  Hayat, H. (2021). Tourism development and well-being: the role of population and political stability. Fudan Journal of the Humanities and Social Sciences, 1-27. </w:t>
      </w:r>
      <w:r>
        <w:rPr>
          <w:rStyle w:val="27"/>
          <w:rFonts w:cs="Times New Roman"/>
          <w:bCs/>
          <w:szCs w:val="24"/>
          <w:shd w:val="clear" w:color="auto" w:fill="FFFFFF"/>
        </w:rPr>
        <w:fldChar w:fldCharType="begin"/>
      </w:r>
      <w:r>
        <w:instrText>HYPERLINK "https://link.springer.com/article/10.1007/s40647-021-00316-8"</w:instrText>
      </w:r>
      <w:r>
        <w:rPr>
          <w:rStyle w:val="27"/>
          <w:rFonts w:cs="Times New Roman"/>
          <w:bCs/>
          <w:szCs w:val="24"/>
          <w:shd w:val="clear" w:color="auto" w:fill="FFFFFF"/>
        </w:rPr>
        <w:fldChar w:fldCharType="separate"/>
      </w:r>
      <w:r>
        <w:rPr>
          <w:rStyle w:val="27"/>
          <w:rFonts w:cs="Times New Roman"/>
          <w:bCs/>
          <w:szCs w:val="24"/>
          <w:shd w:val="clear" w:color="auto" w:fill="FFFFFF"/>
        </w:rPr>
        <w:t>https://link.springer.com/article/10.1007/s40647-021-00316-8</w:t>
      </w:r>
      <w:r>
        <w:rPr>
          <w:rStyle w:val="27"/>
          <w:rFonts w:cs="Times New Roman"/>
          <w:bCs/>
          <w:szCs w:val="24"/>
          <w:shd w:val="clear" w:color="auto" w:fill="FFFFFF"/>
        </w:rPr>
        <w:fldChar w:fldCharType="end"/>
      </w:r>
    </w:p>
    <w:p>
      <w:pPr>
        <w:ind w:left="720" w:hanging="720"/>
        <w:rPr>
          <w:shd w:val="clear" w:color="auto" w:fill="FFFFFF"/>
        </w:rPr>
      </w:pPr>
      <w:r>
        <w:rPr>
          <w:shd w:val="clear" w:color="auto" w:fill="FFFFFF"/>
        </w:rPr>
        <w:t>Khan, M. Y. H., Hossain, A.,&amp;Sarker, M. A. H. (2024). Predictors of sustainable tourism development during the post-pandemic period in Bangladesh. </w:t>
      </w:r>
      <w:r>
        <w:rPr>
          <w:i/>
          <w:iCs/>
          <w:shd w:val="clear" w:color="auto" w:fill="FFFFFF"/>
        </w:rPr>
        <w:t>Sustainability</w:t>
      </w:r>
      <w:r>
        <w:rPr>
          <w:shd w:val="clear" w:color="auto" w:fill="FFFFFF"/>
        </w:rPr>
        <w:t>, </w:t>
      </w:r>
      <w:r>
        <w:rPr>
          <w:i/>
          <w:iCs/>
          <w:shd w:val="clear" w:color="auto" w:fill="FFFFFF"/>
        </w:rPr>
        <w:t>16</w:t>
      </w:r>
      <w:r>
        <w:rPr>
          <w:shd w:val="clear" w:color="auto" w:fill="FFFFFF"/>
        </w:rPr>
        <w:t xml:space="preserve">(19), 8333. </w:t>
      </w:r>
      <w:r>
        <w:rPr>
          <w:rStyle w:val="27"/>
          <w:shd w:val="clear" w:color="auto" w:fill="FFFFFF"/>
        </w:rPr>
        <w:fldChar w:fldCharType="begin"/>
      </w:r>
      <w:r>
        <w:instrText>HYPERLINK "https://doi.org/10.3390/su16198333"</w:instrText>
      </w:r>
      <w:r>
        <w:rPr>
          <w:rStyle w:val="27"/>
          <w:shd w:val="clear" w:color="auto" w:fill="FFFFFF"/>
        </w:rPr>
        <w:fldChar w:fldCharType="separate"/>
      </w:r>
      <w:r>
        <w:rPr>
          <w:rStyle w:val="27"/>
          <w:shd w:val="clear" w:color="auto" w:fill="FFFFFF"/>
        </w:rPr>
        <w:t>https://doi.org/10.3390/su16198333</w:t>
      </w:r>
      <w:r>
        <w:rPr>
          <w:rStyle w:val="27"/>
          <w:shd w:val="clear" w:color="auto" w:fill="FFFFFF"/>
        </w:rPr>
        <w:fldChar w:fldCharType="end"/>
      </w:r>
      <w:r>
        <w:rPr>
          <w:shd w:val="clear" w:color="auto" w:fill="FFFFFF"/>
        </w:rPr>
        <w:t xml:space="preserve"> </w:t>
      </w:r>
    </w:p>
    <w:p>
      <w:pPr>
        <w:ind w:left="720" w:hanging="720"/>
        <w:rPr>
          <w:shd w:val="clear" w:color="auto" w:fill="FFFFFF"/>
        </w:rPr>
      </w:pPr>
      <w:r>
        <w:rPr>
          <w:shd w:val="clear" w:color="auto" w:fill="FFFFFF"/>
        </w:rPr>
        <w:t xml:space="preserve">Kılkış, Ş., Krajačić, G., Duić, N., and Rosen, M. A. (2023). Sustainable development of energy, water and environment systems in the critical decade for climate action. Energy conversion and management, 296, 117644. </w:t>
      </w:r>
      <w:r>
        <w:rPr>
          <w:rStyle w:val="27"/>
          <w:shd w:val="clear" w:color="auto" w:fill="FFFFFF"/>
        </w:rPr>
        <w:fldChar w:fldCharType="begin"/>
      </w:r>
      <w:r>
        <w:instrText>HYPERLINK "https://doi.org/10.1016/j.enconman.2023.117644"</w:instrText>
      </w:r>
      <w:r>
        <w:rPr>
          <w:rStyle w:val="27"/>
          <w:shd w:val="clear" w:color="auto" w:fill="FFFFFF"/>
        </w:rPr>
        <w:fldChar w:fldCharType="separate"/>
      </w:r>
      <w:r>
        <w:rPr>
          <w:rStyle w:val="27"/>
          <w:shd w:val="clear" w:color="auto" w:fill="FFFFFF"/>
        </w:rPr>
        <w:t>https://doi.org/10.1016/j.enconman.2023.117644</w:t>
      </w:r>
      <w:r>
        <w:rPr>
          <w:rStyle w:val="27"/>
          <w:shd w:val="clear" w:color="auto" w:fill="FFFFFF"/>
        </w:rPr>
        <w:fldChar w:fldCharType="end"/>
      </w:r>
      <w:r>
        <w:rPr>
          <w:shd w:val="clear" w:color="auto" w:fill="FFFFFF"/>
        </w:rPr>
        <w:t xml:space="preserve"> </w:t>
      </w:r>
    </w:p>
    <w:p>
      <w:pPr>
        <w:ind w:left="720" w:hanging="720"/>
      </w:pPr>
      <w:r>
        <w:t xml:space="preserve">Kühne, O., and  Weber, F. (2022). Spatial Developments in Germany: Persistences, New Differences and the Effort for Unity. In Germany: Geographies of Complexity (pp. 73-139). Cham: Springer International Publishing. </w:t>
      </w:r>
      <w:r>
        <w:rPr>
          <w:rStyle w:val="27"/>
        </w:rPr>
        <w:fldChar w:fldCharType="begin"/>
      </w:r>
      <w:r>
        <w:instrText>HYPERLINK "https://doi.org/10.1007/978-3-030-92953-4_6"</w:instrText>
      </w:r>
      <w:r>
        <w:rPr>
          <w:rStyle w:val="27"/>
        </w:rPr>
        <w:fldChar w:fldCharType="separate"/>
      </w:r>
      <w:r>
        <w:rPr>
          <w:rStyle w:val="27"/>
        </w:rPr>
        <w:t>https://doi.org/10.1007/978-3-030-92953-4_6</w:t>
      </w:r>
      <w:r>
        <w:rPr>
          <w:rStyle w:val="27"/>
        </w:rPr>
        <w:fldChar w:fldCharType="end"/>
      </w:r>
      <w:r>
        <w:t xml:space="preserve"> </w:t>
      </w:r>
    </w:p>
    <w:p>
      <w:pPr>
        <w:ind w:left="720" w:hanging="720"/>
        <w:rPr>
          <w:shd w:val="clear" w:color="auto" w:fill="FFFFFF"/>
        </w:rPr>
      </w:pPr>
      <w:r>
        <w:rPr>
          <w:shd w:val="clear" w:color="auto" w:fill="FFFFFF"/>
        </w:rPr>
        <w:t xml:space="preserve">Lagioia, G., Amicarelli, V., Strippoli, R., Bux, C., and Gallucci, T. (2024). Sustainable and circular practices in the hotel industry in Southern Italy: Opportunities, barriers and trends in food waste management. British Food Journal, 126(1), 428-452. </w:t>
      </w:r>
      <w:r>
        <w:rPr>
          <w:rStyle w:val="27"/>
          <w:shd w:val="clear" w:color="auto" w:fill="FFFFFF"/>
        </w:rPr>
        <w:fldChar w:fldCharType="begin"/>
      </w:r>
      <w:r>
        <w:instrText>HYPERLINK "https://doi.org/10.1108/BFJ-12-2022-1144"</w:instrText>
      </w:r>
      <w:r>
        <w:rPr>
          <w:rStyle w:val="27"/>
          <w:shd w:val="clear" w:color="auto" w:fill="FFFFFF"/>
        </w:rPr>
        <w:fldChar w:fldCharType="separate"/>
      </w:r>
      <w:r>
        <w:rPr>
          <w:rStyle w:val="27"/>
          <w:shd w:val="clear" w:color="auto" w:fill="FFFFFF"/>
        </w:rPr>
        <w:t>https://doi.org/10.1108/BFJ-12-2022-1144</w:t>
      </w:r>
      <w:r>
        <w:rPr>
          <w:rStyle w:val="27"/>
          <w:shd w:val="clear" w:color="auto" w:fill="FFFFFF"/>
        </w:rPr>
        <w:fldChar w:fldCharType="end"/>
      </w:r>
      <w:r>
        <w:rPr>
          <w:shd w:val="clear" w:color="auto" w:fill="FFFFFF"/>
        </w:rPr>
        <w:t xml:space="preserve"> </w:t>
      </w:r>
    </w:p>
    <w:p>
      <w:pPr>
        <w:ind w:left="720" w:hanging="720"/>
        <w:rPr>
          <w:shd w:val="clear" w:color="auto" w:fill="FFFFFF"/>
        </w:rPr>
      </w:pPr>
      <w:r>
        <w:rPr>
          <w:shd w:val="clear" w:color="auto" w:fill="FFFFFF"/>
        </w:rPr>
        <w:t xml:space="preserve">Lagun, K. (2023). THE ROLE OF ECO-FRIENDLY HOTELS TOWARDS SUSTAINABILITY-AN INITIATIVE FROM THE HOSPITALITY SECTOR. </w:t>
      </w:r>
      <w:r>
        <w:rPr>
          <w:rStyle w:val="27"/>
          <w:rFonts w:cs="Times New Roman"/>
          <w:bCs/>
          <w:szCs w:val="24"/>
          <w:shd w:val="clear" w:color="auto" w:fill="FFFFFF"/>
        </w:rPr>
        <w:fldChar w:fldCharType="begin"/>
      </w:r>
      <w:r>
        <w:instrText>HYPERLINK "https://ijeks.com/wp-content/uploads/2023/07/IJEKS25012.pdf"</w:instrText>
      </w:r>
      <w:r>
        <w:rPr>
          <w:rStyle w:val="27"/>
          <w:rFonts w:cs="Times New Roman"/>
          <w:bCs/>
          <w:szCs w:val="24"/>
          <w:shd w:val="clear" w:color="auto" w:fill="FFFFFF"/>
        </w:rPr>
        <w:fldChar w:fldCharType="separate"/>
      </w:r>
      <w:r>
        <w:rPr>
          <w:rStyle w:val="27"/>
          <w:rFonts w:cs="Times New Roman"/>
          <w:bCs/>
          <w:szCs w:val="24"/>
          <w:shd w:val="clear" w:color="auto" w:fill="FFFFFF"/>
        </w:rPr>
        <w:t>https://ijeks.com/wp-content/uploads/2023/07/IJEKS25012.pdf</w:t>
      </w:r>
      <w:r>
        <w:rPr>
          <w:rStyle w:val="27"/>
          <w:rFonts w:cs="Times New Roman"/>
          <w:bCs/>
          <w:szCs w:val="24"/>
          <w:shd w:val="clear" w:color="auto" w:fill="FFFFFF"/>
        </w:rPr>
        <w:fldChar w:fldCharType="end"/>
      </w:r>
      <w:r>
        <w:rPr>
          <w:shd w:val="clear" w:color="auto" w:fill="FFFFFF"/>
        </w:rPr>
        <w:t xml:space="preserve"> </w:t>
      </w:r>
    </w:p>
    <w:p>
      <w:pPr>
        <w:ind w:left="720" w:hanging="720"/>
        <w:rPr>
          <w:shd w:val="clear" w:color="auto" w:fill="FFFFFF"/>
        </w:rPr>
      </w:pPr>
      <w:r>
        <w:rPr>
          <w:shd w:val="clear" w:color="auto" w:fill="FFFFFF"/>
        </w:rPr>
        <w:t xml:space="preserve">Lagun, K. (2023). THE ROLE OF ECO-FRIENDLY HOTELS TOWARDS SUSTAINABILITY-AN INITIATIVE FROM THE HOSPITALITY SECTOR. </w:t>
      </w:r>
      <w:r>
        <w:rPr>
          <w:rStyle w:val="27"/>
          <w:rFonts w:cs="Times New Roman"/>
          <w:bCs/>
          <w:szCs w:val="24"/>
          <w:shd w:val="clear" w:color="auto" w:fill="FFFFFF"/>
        </w:rPr>
        <w:fldChar w:fldCharType="begin"/>
      </w:r>
      <w:r>
        <w:instrText>HYPERLINK "https://ijeks.com/wp-content/uploads/2023/07/IJEKS25012.pdf"</w:instrText>
      </w:r>
      <w:r>
        <w:rPr>
          <w:rStyle w:val="27"/>
          <w:rFonts w:cs="Times New Roman"/>
          <w:bCs/>
          <w:szCs w:val="24"/>
          <w:shd w:val="clear" w:color="auto" w:fill="FFFFFF"/>
        </w:rPr>
        <w:fldChar w:fldCharType="separate"/>
      </w:r>
      <w:r>
        <w:rPr>
          <w:rStyle w:val="27"/>
          <w:rFonts w:cs="Times New Roman"/>
          <w:bCs/>
          <w:szCs w:val="24"/>
          <w:shd w:val="clear" w:color="auto" w:fill="FFFFFF"/>
        </w:rPr>
        <w:t>https://ijeks.com/wp-content/uploads/2023/07/IJEKS25012.pdf</w:t>
      </w:r>
      <w:r>
        <w:rPr>
          <w:rStyle w:val="27"/>
          <w:rFonts w:cs="Times New Roman"/>
          <w:bCs/>
          <w:szCs w:val="24"/>
          <w:shd w:val="clear" w:color="auto" w:fill="FFFFFF"/>
        </w:rPr>
        <w:fldChar w:fldCharType="end"/>
      </w:r>
    </w:p>
    <w:p>
      <w:pPr>
        <w:ind w:left="720" w:hanging="720"/>
        <w:rPr>
          <w:shd w:val="clear" w:color="auto" w:fill="FFFFFF"/>
        </w:rPr>
      </w:pPr>
      <w:r>
        <w:rPr>
          <w:shd w:val="clear" w:color="auto" w:fill="FFFFFF"/>
        </w:rPr>
        <w:t>Lesar, L., and  Weaver, D. B. (2024). Advancing the Sustainable Development Goals in Tourism Using Quality Control Tools. </w:t>
      </w:r>
      <w:r>
        <w:rPr>
          <w:i/>
          <w:iCs/>
          <w:shd w:val="clear" w:color="auto" w:fill="FFFFFF"/>
        </w:rPr>
        <w:t>Journal of Travel Research</w:t>
      </w:r>
      <w:r>
        <w:rPr>
          <w:shd w:val="clear" w:color="auto" w:fill="FFFFFF"/>
        </w:rPr>
        <w:t xml:space="preserve">, 00472875241281516. </w:t>
      </w:r>
      <w:r>
        <w:rPr>
          <w:rStyle w:val="27"/>
          <w:shd w:val="clear" w:color="auto" w:fill="FFFFFF"/>
        </w:rPr>
        <w:fldChar w:fldCharType="begin"/>
      </w:r>
      <w:r>
        <w:instrText>HYPERLINK "https://doi.org/10.1177/00472875241281516"</w:instrText>
      </w:r>
      <w:r>
        <w:rPr>
          <w:rStyle w:val="27"/>
          <w:shd w:val="clear" w:color="auto" w:fill="FFFFFF"/>
        </w:rPr>
        <w:fldChar w:fldCharType="separate"/>
      </w:r>
      <w:r>
        <w:rPr>
          <w:rStyle w:val="27"/>
          <w:shd w:val="clear" w:color="auto" w:fill="FFFFFF"/>
        </w:rPr>
        <w:t>https://doi.org/10.1177/00472875241281516</w:t>
      </w:r>
      <w:r>
        <w:rPr>
          <w:rStyle w:val="27"/>
          <w:shd w:val="clear" w:color="auto" w:fill="FFFFFF"/>
        </w:rPr>
        <w:fldChar w:fldCharType="end"/>
      </w:r>
      <w:r>
        <w:rPr>
          <w:shd w:val="clear" w:color="auto" w:fill="FFFFFF"/>
        </w:rPr>
        <w:t xml:space="preserve"> </w:t>
      </w:r>
    </w:p>
    <w:p>
      <w:pPr>
        <w:ind w:left="720" w:hanging="720"/>
        <w:rPr>
          <w:shd w:val="clear" w:color="auto" w:fill="FFFFFF"/>
        </w:rPr>
      </w:pPr>
      <w:r>
        <w:rPr>
          <w:shd w:val="clear" w:color="auto" w:fill="FFFFFF"/>
        </w:rPr>
        <w:t xml:space="preserve">Lin, C. S., Shyu, C. S., and Li, C. P. (2023). The greener the hotel, the better operating efficiency it has? A sustainable tourism perspective. Sustainability, 15(14), 10927. </w:t>
      </w:r>
      <w:r>
        <w:rPr>
          <w:rStyle w:val="27"/>
          <w:shd w:val="clear" w:color="auto" w:fill="FFFFFF"/>
        </w:rPr>
        <w:fldChar w:fldCharType="begin"/>
      </w:r>
      <w:r>
        <w:instrText>HYPERLINK "https://doi.org/10.3390/su151410927"</w:instrText>
      </w:r>
      <w:r>
        <w:rPr>
          <w:rStyle w:val="27"/>
          <w:shd w:val="clear" w:color="auto" w:fill="FFFFFF"/>
        </w:rPr>
        <w:fldChar w:fldCharType="separate"/>
      </w:r>
      <w:r>
        <w:rPr>
          <w:rStyle w:val="27"/>
          <w:shd w:val="clear" w:color="auto" w:fill="FFFFFF"/>
        </w:rPr>
        <w:t>https://doi.org/10.3390/su151410927</w:t>
      </w:r>
      <w:r>
        <w:rPr>
          <w:rStyle w:val="27"/>
          <w:shd w:val="clear" w:color="auto" w:fill="FFFFFF"/>
        </w:rPr>
        <w:fldChar w:fldCharType="end"/>
      </w:r>
      <w:r>
        <w:rPr>
          <w:shd w:val="clear" w:color="auto" w:fill="FFFFFF"/>
        </w:rPr>
        <w:t xml:space="preserve"> </w:t>
      </w:r>
    </w:p>
    <w:p>
      <w:pPr>
        <w:ind w:left="720" w:hanging="720"/>
        <w:rPr>
          <w:shd w:val="clear" w:color="auto" w:fill="FFFFFF"/>
        </w:rPr>
      </w:pPr>
      <w:r>
        <w:rPr>
          <w:shd w:val="clear" w:color="auto" w:fill="FFFFFF"/>
        </w:rPr>
        <w:t>Loftin, M. A. (2021). </w:t>
      </w:r>
      <w:r>
        <w:rPr>
          <w:i/>
          <w:shd w:val="clear" w:color="auto" w:fill="FFFFFF"/>
        </w:rPr>
        <w:t>¡ Una Casa por Mes!: Architecture, Consumerism, and the Construction of Middle-class Identity in the Valley of Mexico, 1877-1968</w:t>
      </w:r>
      <w:r>
        <w:rPr>
          <w:shd w:val="clear" w:color="auto" w:fill="FFFFFF"/>
        </w:rPr>
        <w:t xml:space="preserve"> (Doctoral dissertation). </w:t>
      </w:r>
      <w:r>
        <w:rPr>
          <w:rStyle w:val="27"/>
          <w:shd w:val="clear" w:color="auto" w:fill="FFFFFF"/>
        </w:rPr>
        <w:fldChar w:fldCharType="begin"/>
      </w:r>
      <w:r>
        <w:instrText>HYPERLINK "https://utd-ir.tdl.org/server/api/core/bitstreams/dd7d04cd-148a-44de-a924-74e17e6a1f97/content"</w:instrText>
      </w:r>
      <w:r>
        <w:rPr>
          <w:rStyle w:val="27"/>
          <w:shd w:val="clear" w:color="auto" w:fill="FFFFFF"/>
        </w:rPr>
        <w:fldChar w:fldCharType="separate"/>
      </w:r>
      <w:r>
        <w:rPr>
          <w:rStyle w:val="27"/>
          <w:shd w:val="clear" w:color="auto" w:fill="FFFFFF"/>
        </w:rPr>
        <w:t>https://utd-ir.tdl.org/server/api/core/bitstreams/dd7d04cd-148a-44de-a924-74e17e6a1f97/content</w:t>
      </w:r>
      <w:r>
        <w:rPr>
          <w:rStyle w:val="27"/>
          <w:shd w:val="clear" w:color="auto" w:fill="FFFFFF"/>
        </w:rPr>
        <w:fldChar w:fldCharType="end"/>
      </w:r>
      <w:r>
        <w:rPr>
          <w:shd w:val="clear" w:color="auto" w:fill="FFFFFF"/>
        </w:rPr>
        <w:t xml:space="preserve"> </w:t>
      </w:r>
    </w:p>
    <w:p>
      <w:pPr>
        <w:ind w:left="720" w:hanging="720"/>
        <w:rPr>
          <w:shd w:val="clear" w:color="auto" w:fill="FFFFFF"/>
        </w:rPr>
      </w:pPr>
      <w:r>
        <w:rPr>
          <w:shd w:val="clear" w:color="auto" w:fill="FFFFFF"/>
        </w:rPr>
        <w:t>Lubowiecki-Vikuk, A., Đerčan, B. M., and  de Sousa, B. M. B. (2021). Sustainable development and leisure services: Changes and trends. </w:t>
      </w:r>
      <w:r>
        <w:rPr>
          <w:i/>
          <w:iCs/>
          <w:shd w:val="clear" w:color="auto" w:fill="FFFFFF"/>
        </w:rPr>
        <w:t>Handbook of sustainable development and leisure services</w:t>
      </w:r>
      <w:r>
        <w:rPr>
          <w:shd w:val="clear" w:color="auto" w:fill="FFFFFF"/>
        </w:rPr>
        <w:t xml:space="preserve">, 1-20. </w:t>
      </w:r>
      <w:r>
        <w:rPr>
          <w:rStyle w:val="27"/>
          <w:rFonts w:cs="Times New Roman"/>
          <w:bCs/>
          <w:szCs w:val="24"/>
          <w:shd w:val="clear" w:color="auto" w:fill="FFFFFF"/>
        </w:rPr>
        <w:fldChar w:fldCharType="begin"/>
      </w:r>
      <w:r>
        <w:instrText>HYPERLINK "https://link.springer.com/chapter/10.1007/978-3-030-59820-4_1"</w:instrText>
      </w:r>
      <w:r>
        <w:rPr>
          <w:rStyle w:val="27"/>
          <w:rFonts w:cs="Times New Roman"/>
          <w:bCs/>
          <w:szCs w:val="24"/>
          <w:shd w:val="clear" w:color="auto" w:fill="FFFFFF"/>
        </w:rPr>
        <w:fldChar w:fldCharType="separate"/>
      </w:r>
      <w:r>
        <w:rPr>
          <w:rStyle w:val="27"/>
          <w:rFonts w:cs="Times New Roman"/>
          <w:bCs/>
          <w:szCs w:val="24"/>
          <w:shd w:val="clear" w:color="auto" w:fill="FFFFFF"/>
        </w:rPr>
        <w:t>https://link.springer.com/chapter/10.1007/978-3-030-59820-4_1</w:t>
      </w:r>
      <w:r>
        <w:rPr>
          <w:rStyle w:val="27"/>
          <w:rFonts w:cs="Times New Roman"/>
          <w:bCs/>
          <w:szCs w:val="24"/>
          <w:shd w:val="clear" w:color="auto" w:fill="FFFFFF"/>
        </w:rPr>
        <w:fldChar w:fldCharType="end"/>
      </w:r>
    </w:p>
    <w:p>
      <w:pPr>
        <w:ind w:left="720" w:hanging="720"/>
      </w:pPr>
      <w:r>
        <w:t xml:space="preserve">Ma, X., and  Su, W. (2024). Local government intervention in tourism-driven rural gentrification: Types and interpretative framework. Tourism Management, 100, 104828. </w:t>
      </w:r>
      <w:r>
        <w:rPr>
          <w:rStyle w:val="27"/>
        </w:rPr>
        <w:fldChar w:fldCharType="begin"/>
      </w:r>
      <w:r>
        <w:instrText>HYPERLINK "https://doi.org/10.1016/j.tourman.2023.104828"</w:instrText>
      </w:r>
      <w:r>
        <w:rPr>
          <w:rStyle w:val="27"/>
        </w:rPr>
        <w:fldChar w:fldCharType="separate"/>
      </w:r>
      <w:r>
        <w:rPr>
          <w:rStyle w:val="27"/>
        </w:rPr>
        <w:t>https://doi.org/10.1016/j.tourman.2023.104828</w:t>
      </w:r>
      <w:r>
        <w:rPr>
          <w:rStyle w:val="27"/>
        </w:rPr>
        <w:fldChar w:fldCharType="end"/>
      </w:r>
      <w:r>
        <w:t xml:space="preserve"> </w:t>
      </w:r>
    </w:p>
    <w:p>
      <w:pPr>
        <w:ind w:left="720" w:hanging="720"/>
        <w:rPr>
          <w:shd w:val="clear" w:color="auto" w:fill="FFFFFF"/>
        </w:rPr>
      </w:pPr>
      <w:r>
        <w:rPr>
          <w:shd w:val="clear" w:color="auto" w:fill="FFFFFF"/>
        </w:rPr>
        <w:t>Malizia, E., Feser, E. J., Renski, H., and  Drucker, J. (2021). </w:t>
      </w:r>
      <w:r>
        <w:rPr>
          <w:i/>
          <w:iCs/>
          <w:shd w:val="clear" w:color="auto" w:fill="FFFFFF"/>
        </w:rPr>
        <w:t>Understanding local economic development</w:t>
      </w:r>
      <w:r>
        <w:rPr>
          <w:shd w:val="clear" w:color="auto" w:fill="FFFFFF"/>
        </w:rPr>
        <w:t xml:space="preserve"> (p. 312). Taylor and  Francis.  </w:t>
      </w:r>
      <w:r>
        <w:rPr>
          <w:rStyle w:val="27"/>
          <w:shd w:val="clear" w:color="auto" w:fill="FFFFFF"/>
        </w:rPr>
        <w:fldChar w:fldCharType="begin"/>
      </w:r>
      <w:r>
        <w:instrText>HYPERLINK "https://library.oapen.org/handle/20.500.12657/93601"</w:instrText>
      </w:r>
      <w:r>
        <w:rPr>
          <w:rStyle w:val="27"/>
          <w:shd w:val="clear" w:color="auto" w:fill="FFFFFF"/>
        </w:rPr>
        <w:fldChar w:fldCharType="separate"/>
      </w:r>
      <w:r>
        <w:rPr>
          <w:rStyle w:val="27"/>
          <w:shd w:val="clear" w:color="auto" w:fill="FFFFFF"/>
        </w:rPr>
        <w:t>https://library.oapen.org/handle/20.500.12657/93601</w:t>
      </w:r>
      <w:r>
        <w:rPr>
          <w:rStyle w:val="27"/>
          <w:shd w:val="clear" w:color="auto" w:fill="FFFFFF"/>
        </w:rPr>
        <w:fldChar w:fldCharType="end"/>
      </w:r>
      <w:r>
        <w:rPr>
          <w:shd w:val="clear" w:color="auto" w:fill="FFFFFF"/>
        </w:rPr>
        <w:t xml:space="preserve"> </w:t>
      </w:r>
    </w:p>
    <w:p>
      <w:pPr>
        <w:ind w:left="720" w:hanging="720"/>
        <w:rPr>
          <w:shd w:val="clear" w:color="auto" w:fill="FFFFFF"/>
        </w:rPr>
      </w:pPr>
      <w:r>
        <w:rPr>
          <w:shd w:val="clear" w:color="auto" w:fill="FFFFFF"/>
        </w:rPr>
        <w:t>Menegaki, A. (2024). Energy Consumption in Hotels Through a Policy-Driven, Case-Based and Scenario Approach. </w:t>
      </w:r>
      <w:r>
        <w:rPr>
          <w:i/>
          <w:iCs/>
          <w:shd w:val="clear" w:color="auto" w:fill="FFFFFF"/>
        </w:rPr>
        <w:t>Case-Based and Scenario Approach (November 27, 2024)</w:t>
      </w:r>
      <w:r>
        <w:rPr>
          <w:shd w:val="clear" w:color="auto" w:fill="FFFFFF"/>
        </w:rPr>
        <w:t xml:space="preserve">. </w:t>
      </w:r>
      <w:r>
        <w:rPr>
          <w:rStyle w:val="27"/>
          <w:rFonts w:cs="Times New Roman"/>
          <w:bCs/>
          <w:szCs w:val="24"/>
          <w:shd w:val="clear" w:color="auto" w:fill="FFFFFF"/>
        </w:rPr>
        <w:fldChar w:fldCharType="begin"/>
      </w:r>
      <w:r>
        <w:instrText>HYPERLINK "https://papers.ssrn.com/sol3/papers.cfm?abstract_id=5035626"</w:instrText>
      </w:r>
      <w:r>
        <w:rPr>
          <w:rStyle w:val="27"/>
          <w:rFonts w:cs="Times New Roman"/>
          <w:bCs/>
          <w:szCs w:val="24"/>
          <w:shd w:val="clear" w:color="auto" w:fill="FFFFFF"/>
        </w:rPr>
        <w:fldChar w:fldCharType="separate"/>
      </w:r>
      <w:r>
        <w:rPr>
          <w:rStyle w:val="27"/>
          <w:rFonts w:cs="Times New Roman"/>
          <w:bCs/>
          <w:szCs w:val="24"/>
          <w:shd w:val="clear" w:color="auto" w:fill="FFFFFF"/>
        </w:rPr>
        <w:t>https://papers.ssrn.com/sol3/papers.cfm?abstract_id=5035626</w:t>
      </w:r>
      <w:r>
        <w:rPr>
          <w:rStyle w:val="27"/>
          <w:rFonts w:cs="Times New Roman"/>
          <w:bCs/>
          <w:szCs w:val="24"/>
          <w:shd w:val="clear" w:color="auto" w:fill="FFFFFF"/>
        </w:rPr>
        <w:fldChar w:fldCharType="end"/>
      </w:r>
    </w:p>
    <w:p>
      <w:pPr>
        <w:ind w:left="720" w:hanging="720"/>
        <w:rPr>
          <w:shd w:val="clear" w:color="auto" w:fill="FFFFFF"/>
        </w:rPr>
      </w:pPr>
      <w:r>
        <w:rPr>
          <w:shd w:val="clear" w:color="auto" w:fill="FFFFFF"/>
        </w:rPr>
        <w:t>Menegaki, A. N. (2025). Powering Down Hospitality Through a Policy-Driven, Case-Based and Scenario Approach. </w:t>
      </w:r>
      <w:r>
        <w:rPr>
          <w:i/>
          <w:iCs/>
          <w:shd w:val="clear" w:color="auto" w:fill="FFFFFF"/>
        </w:rPr>
        <w:t>Energies</w:t>
      </w:r>
      <w:r>
        <w:rPr>
          <w:shd w:val="clear" w:color="auto" w:fill="FFFFFF"/>
        </w:rPr>
        <w:t>, </w:t>
      </w:r>
      <w:r>
        <w:rPr>
          <w:i/>
          <w:iCs/>
          <w:shd w:val="clear" w:color="auto" w:fill="FFFFFF"/>
        </w:rPr>
        <w:t>18</w:t>
      </w:r>
      <w:r>
        <w:rPr>
          <w:shd w:val="clear" w:color="auto" w:fill="FFFFFF"/>
        </w:rPr>
        <w:t>(2), 1-36.</w:t>
      </w:r>
    </w:p>
    <w:p>
      <w:pPr>
        <w:ind w:left="720" w:hanging="720"/>
      </w:pPr>
      <w:r>
        <w:t xml:space="preserve">Ndaguba, E., Brown, K., Marinova, D., and  Jogulu, U. (2024). Exploring the social impact of the short-stay market (SSM) in regional areas: an empirical study. Fudan Journal of the Humanities and Social Sciences, 17(2), 243-277. </w:t>
      </w:r>
      <w:r>
        <w:rPr>
          <w:rStyle w:val="27"/>
        </w:rPr>
        <w:fldChar w:fldCharType="begin"/>
      </w:r>
      <w:r>
        <w:instrText>HYPERLINK "https://doi.org/10.1007/s40647-023-00379-9"</w:instrText>
      </w:r>
      <w:r>
        <w:rPr>
          <w:rStyle w:val="27"/>
        </w:rPr>
        <w:fldChar w:fldCharType="separate"/>
      </w:r>
      <w:r>
        <w:rPr>
          <w:rStyle w:val="27"/>
        </w:rPr>
        <w:t>https://doi.org/10.1007/s40647-023-00379-9</w:t>
      </w:r>
      <w:r>
        <w:rPr>
          <w:rStyle w:val="27"/>
        </w:rPr>
        <w:fldChar w:fldCharType="end"/>
      </w:r>
      <w:r>
        <w:t xml:space="preserve"> </w:t>
      </w:r>
    </w:p>
    <w:p>
      <w:pPr>
        <w:ind w:left="720" w:hanging="720"/>
        <w:rPr>
          <w:shd w:val="clear" w:color="auto" w:fill="FFFFFF"/>
        </w:rPr>
      </w:pPr>
      <w:r>
        <w:rPr>
          <w:shd w:val="clear" w:color="auto" w:fill="FFFFFF"/>
        </w:rPr>
        <w:t>Nelson, V. (2025). Grenada. In </w:t>
      </w:r>
      <w:r>
        <w:rPr>
          <w:i/>
          <w:iCs/>
          <w:shd w:val="clear" w:color="auto" w:fill="FFFFFF"/>
        </w:rPr>
        <w:t>Encyclopedia of Tourism</w:t>
      </w:r>
      <w:r>
        <w:rPr>
          <w:shd w:val="clear" w:color="auto" w:fill="FFFFFF"/>
        </w:rPr>
        <w:t xml:space="preserve"> (pp. 454-455). Cham: Springer Nature Switzerland. </w:t>
      </w:r>
      <w:r>
        <w:rPr>
          <w:rStyle w:val="27"/>
          <w:shd w:val="clear" w:color="auto" w:fill="FFFFFF"/>
        </w:rPr>
        <w:fldChar w:fldCharType="begin"/>
      </w:r>
      <w:r>
        <w:instrText>HYPERLINK "https://doi.org/10.1007/978-3-030-74923-1_558"</w:instrText>
      </w:r>
      <w:r>
        <w:rPr>
          <w:rStyle w:val="27"/>
          <w:shd w:val="clear" w:color="auto" w:fill="FFFFFF"/>
        </w:rPr>
        <w:fldChar w:fldCharType="separate"/>
      </w:r>
      <w:r>
        <w:rPr>
          <w:rStyle w:val="27"/>
          <w:shd w:val="clear" w:color="auto" w:fill="FFFFFF"/>
        </w:rPr>
        <w:t>https://doi.org/10.1007/978-3-030-74923-1_558</w:t>
      </w:r>
      <w:r>
        <w:rPr>
          <w:rStyle w:val="27"/>
          <w:shd w:val="clear" w:color="auto" w:fill="FFFFFF"/>
        </w:rPr>
        <w:fldChar w:fldCharType="end"/>
      </w:r>
      <w:r>
        <w:rPr>
          <w:shd w:val="clear" w:color="auto" w:fill="FFFFFF"/>
        </w:rPr>
        <w:t xml:space="preserve"> </w:t>
      </w:r>
    </w:p>
    <w:p>
      <w:pPr>
        <w:ind w:left="720" w:hanging="720"/>
        <w:rPr>
          <w:shd w:val="clear" w:color="auto" w:fill="FFFFFF"/>
        </w:rPr>
      </w:pPr>
      <w:r>
        <w:rPr>
          <w:shd w:val="clear" w:color="auto" w:fill="FFFFFF"/>
        </w:rPr>
        <w:t>Niewiadomski, P. (2023). International hotel groups and regional development in Central and Eastern Europe. In </w:t>
      </w:r>
      <w:r>
        <w:rPr>
          <w:i/>
          <w:iCs/>
          <w:shd w:val="clear" w:color="auto" w:fill="FFFFFF"/>
        </w:rPr>
        <w:t>Tourism in Post-Communist States</w:t>
      </w:r>
      <w:r>
        <w:rPr>
          <w:shd w:val="clear" w:color="auto" w:fill="FFFFFF"/>
        </w:rPr>
        <w:t xml:space="preserve"> (pp. 227-245). Routledge. </w:t>
      </w:r>
      <w:r>
        <w:rPr>
          <w:rStyle w:val="27"/>
          <w:shd w:val="clear" w:color="auto" w:fill="FFFFFF"/>
        </w:rPr>
        <w:fldChar w:fldCharType="begin"/>
      </w:r>
      <w:r>
        <w:instrText>HYPERLINK "https://www.taylorfrancis.com/chapters/edit/10.4324/9781003362418-15/international-hotel-groups-regional-development-central-eastern-europe-piotr-niewiadomski"</w:instrText>
      </w:r>
      <w:r>
        <w:rPr>
          <w:rStyle w:val="27"/>
          <w:shd w:val="clear" w:color="auto" w:fill="FFFFFF"/>
        </w:rPr>
        <w:fldChar w:fldCharType="separate"/>
      </w:r>
      <w:r>
        <w:rPr>
          <w:rStyle w:val="27"/>
          <w:shd w:val="clear" w:color="auto" w:fill="FFFFFF"/>
        </w:rPr>
        <w:t>https://www.taylorfrancis.com/chapters/edit/10.4324/9781003362418-15/international-hotel-groups-regional-development-central-eastern-europe-piotr-niewiadomski</w:t>
      </w:r>
      <w:r>
        <w:rPr>
          <w:rStyle w:val="27"/>
          <w:shd w:val="clear" w:color="auto" w:fill="FFFFFF"/>
        </w:rPr>
        <w:fldChar w:fldCharType="end"/>
      </w:r>
      <w:r>
        <w:rPr>
          <w:shd w:val="clear" w:color="auto" w:fill="FFFFFF"/>
        </w:rPr>
        <w:t xml:space="preserve"> </w:t>
      </w:r>
    </w:p>
    <w:p>
      <w:pPr>
        <w:ind w:left="720" w:hanging="720"/>
        <w:rPr>
          <w:shd w:val="clear" w:color="auto" w:fill="FFFFFF"/>
        </w:rPr>
      </w:pPr>
      <w:r>
        <w:rPr>
          <w:shd w:val="clear" w:color="auto" w:fill="FFFFFF"/>
        </w:rPr>
        <w:t>Niewiadomski, P. (2023). International hotel groups and regional development in Central and Eastern Europe. In </w:t>
      </w:r>
      <w:r>
        <w:rPr>
          <w:i/>
          <w:iCs/>
          <w:shd w:val="clear" w:color="auto" w:fill="FFFFFF"/>
        </w:rPr>
        <w:t>Tourism in Post-Communist States</w:t>
      </w:r>
      <w:r>
        <w:rPr>
          <w:shd w:val="clear" w:color="auto" w:fill="FFFFFF"/>
        </w:rPr>
        <w:t xml:space="preserve"> (pp. 227-245). Routledge. </w:t>
      </w:r>
      <w:r>
        <w:rPr>
          <w:rStyle w:val="27"/>
          <w:rFonts w:cs="Times New Roman"/>
          <w:bCs/>
          <w:szCs w:val="24"/>
          <w:shd w:val="clear" w:color="auto" w:fill="FFFFFF"/>
        </w:rPr>
        <w:fldChar w:fldCharType="begin"/>
      </w:r>
      <w:r>
        <w:instrText>HYPERLINK "https://www.frontiersin.org/journals/sociology/articles/10.3389/fsoc.2021.629693/full"</w:instrText>
      </w:r>
      <w:r>
        <w:rPr>
          <w:rStyle w:val="27"/>
          <w:rFonts w:cs="Times New Roman"/>
          <w:bCs/>
          <w:szCs w:val="24"/>
          <w:shd w:val="clear" w:color="auto" w:fill="FFFFFF"/>
        </w:rPr>
        <w:fldChar w:fldCharType="separate"/>
      </w:r>
      <w:r>
        <w:rPr>
          <w:rStyle w:val="27"/>
          <w:rFonts w:cs="Times New Roman"/>
          <w:bCs/>
          <w:szCs w:val="24"/>
          <w:shd w:val="clear" w:color="auto" w:fill="FFFFFF"/>
        </w:rPr>
        <w:t>https://www.frontiersin.org/journals/sociology/articles/10.3389/fsoc.2021.629693/full</w:t>
      </w:r>
      <w:r>
        <w:rPr>
          <w:rStyle w:val="27"/>
          <w:rFonts w:cs="Times New Roman"/>
          <w:bCs/>
          <w:szCs w:val="24"/>
          <w:shd w:val="clear" w:color="auto" w:fill="FFFFFF"/>
        </w:rPr>
        <w:fldChar w:fldCharType="end"/>
      </w:r>
    </w:p>
    <w:p>
      <w:pPr>
        <w:ind w:left="720" w:hanging="720"/>
      </w:pPr>
      <w:r>
        <w:t>Otegui Carles, A. (2024). Giving voice to women, children, and animals: ecofeminism in tourism through the inequalities suffered by female hotel housekeepers in spain (Doctoral dissertation, Organización de empresas e márketing).</w:t>
      </w:r>
    </w:p>
    <w:p>
      <w:pPr>
        <w:ind w:left="720" w:hanging="720"/>
      </w:pPr>
      <w:r>
        <w:t xml:space="preserve">Paliś, B., and  Siwek, M. (2024). Sustainable development in the activities of the meetings industry: contemporary challenges. </w:t>
      </w:r>
      <w:r>
        <w:rPr>
          <w:rStyle w:val="27"/>
        </w:rPr>
        <w:fldChar w:fldCharType="begin"/>
      </w:r>
      <w:r>
        <w:instrText>HYPERLINK "https://www.doi.org/10.29119/1641-3466.2024.203.23"</w:instrText>
      </w:r>
      <w:r>
        <w:rPr>
          <w:rStyle w:val="27"/>
        </w:rPr>
        <w:fldChar w:fldCharType="separate"/>
      </w:r>
      <w:r>
        <w:rPr>
          <w:rStyle w:val="27"/>
        </w:rPr>
        <w:t>https://www.doi.org/10.29119/1641-3466.2024.203.23</w:t>
      </w:r>
      <w:r>
        <w:rPr>
          <w:rStyle w:val="27"/>
        </w:rPr>
        <w:fldChar w:fldCharType="end"/>
      </w:r>
      <w:r>
        <w:t xml:space="preserve"> </w:t>
      </w:r>
    </w:p>
    <w:p>
      <w:pPr>
        <w:ind w:left="720" w:hanging="720"/>
        <w:rPr>
          <w:shd w:val="clear" w:color="auto" w:fill="FFFFFF"/>
        </w:rPr>
      </w:pPr>
      <w:r>
        <w:rPr>
          <w:shd w:val="clear" w:color="auto" w:fill="FFFFFF"/>
        </w:rPr>
        <w:t>Procházková, M., and  Máša, V. (2022). Sustainable wastewater management in industrial laundries. </w:t>
      </w:r>
      <w:r>
        <w:rPr>
          <w:i/>
          <w:iCs/>
          <w:shd w:val="clear" w:color="auto" w:fill="FFFFFF"/>
        </w:rPr>
        <w:t>Chemical Engineering Transactions</w:t>
      </w:r>
      <w:r>
        <w:rPr>
          <w:shd w:val="clear" w:color="auto" w:fill="FFFFFF"/>
        </w:rPr>
        <w:t>, </w:t>
      </w:r>
      <w:r>
        <w:rPr>
          <w:i/>
          <w:iCs/>
          <w:shd w:val="clear" w:color="auto" w:fill="FFFFFF"/>
        </w:rPr>
        <w:t>94</w:t>
      </w:r>
      <w:r>
        <w:rPr>
          <w:shd w:val="clear" w:color="auto" w:fill="FFFFFF"/>
        </w:rPr>
        <w:t xml:space="preserve">, 577-582. </w:t>
      </w:r>
      <w:r>
        <w:rPr>
          <w:rStyle w:val="27"/>
          <w:shd w:val="clear" w:color="auto" w:fill="FFFFFF"/>
        </w:rPr>
        <w:fldChar w:fldCharType="begin"/>
      </w:r>
      <w:r>
        <w:instrText>HYPERLINK "https://doi.org/10.3303/CET2294096"</w:instrText>
      </w:r>
      <w:r>
        <w:rPr>
          <w:rStyle w:val="27"/>
          <w:shd w:val="clear" w:color="auto" w:fill="FFFFFF"/>
        </w:rPr>
        <w:fldChar w:fldCharType="separate"/>
      </w:r>
      <w:r>
        <w:rPr>
          <w:rStyle w:val="27"/>
          <w:shd w:val="clear" w:color="auto" w:fill="FFFFFF"/>
        </w:rPr>
        <w:t>https://doi.org/10.3303/CET2294096</w:t>
      </w:r>
      <w:r>
        <w:rPr>
          <w:rStyle w:val="27"/>
          <w:shd w:val="clear" w:color="auto" w:fill="FFFFFF"/>
        </w:rPr>
        <w:fldChar w:fldCharType="end"/>
      </w:r>
      <w:r>
        <w:rPr>
          <w:shd w:val="clear" w:color="auto" w:fill="FFFFFF"/>
        </w:rPr>
        <w:t xml:space="preserve"> </w:t>
      </w:r>
    </w:p>
    <w:p>
      <w:pPr>
        <w:ind w:left="720" w:hanging="720"/>
        <w:rPr>
          <w:shd w:val="clear" w:color="auto" w:fill="FFFFFF"/>
        </w:rPr>
      </w:pPr>
      <w:r>
        <w:rPr>
          <w:shd w:val="clear" w:color="auto" w:fill="FFFFFF"/>
        </w:rPr>
        <w:t>Ramirez, A., and George, B. (2019). Plastic recycling and waste reduction in the hospitality industry: Current challenges and some potential solutions. </w:t>
      </w:r>
      <w:r>
        <w:rPr>
          <w:i/>
          <w:iCs/>
          <w:shd w:val="clear" w:color="auto" w:fill="FFFFFF"/>
        </w:rPr>
        <w:t>Economics, Management and Sustainability</w:t>
      </w:r>
      <w:r>
        <w:rPr>
          <w:shd w:val="clear" w:color="auto" w:fill="FFFFFF"/>
        </w:rPr>
        <w:t>, </w:t>
      </w:r>
      <w:r>
        <w:rPr>
          <w:i/>
          <w:iCs/>
          <w:shd w:val="clear" w:color="auto" w:fill="FFFFFF"/>
        </w:rPr>
        <w:t>4</w:t>
      </w:r>
      <w:r>
        <w:rPr>
          <w:shd w:val="clear" w:color="auto" w:fill="FFFFFF"/>
        </w:rPr>
        <w:t xml:space="preserve">(1), 6-20. </w:t>
      </w:r>
      <w:r>
        <w:rPr>
          <w:rStyle w:val="27"/>
          <w:rFonts w:cs="Times New Roman"/>
          <w:bCs/>
          <w:szCs w:val="24"/>
          <w:shd w:val="clear" w:color="auto" w:fill="FFFFFF"/>
        </w:rPr>
        <w:fldChar w:fldCharType="begin"/>
      </w:r>
      <w:r>
        <w:instrText>HYPERLINK "https://cyberleninka.ru/article/n/plastic-recycling-and-waste-reduction-in-the-hospitality-industry-current-challenges-and-some-potential-solutions"</w:instrText>
      </w:r>
      <w:r>
        <w:rPr>
          <w:rStyle w:val="27"/>
          <w:rFonts w:cs="Times New Roman"/>
          <w:bCs/>
          <w:szCs w:val="24"/>
          <w:shd w:val="clear" w:color="auto" w:fill="FFFFFF"/>
        </w:rPr>
        <w:fldChar w:fldCharType="separate"/>
      </w:r>
      <w:r>
        <w:rPr>
          <w:rStyle w:val="27"/>
          <w:rFonts w:cs="Times New Roman"/>
          <w:bCs/>
          <w:szCs w:val="24"/>
          <w:shd w:val="clear" w:color="auto" w:fill="FFFFFF"/>
        </w:rPr>
        <w:t>https://cyberleninka.ru/article/n/plastic-recycling-and-waste-reduction-in-the-hospitality-industry-current-challenges-and-some-potential-solutions</w:t>
      </w:r>
      <w:r>
        <w:rPr>
          <w:rStyle w:val="27"/>
          <w:rFonts w:cs="Times New Roman"/>
          <w:bCs/>
          <w:szCs w:val="24"/>
          <w:shd w:val="clear" w:color="auto" w:fill="FFFFFF"/>
        </w:rPr>
        <w:fldChar w:fldCharType="end"/>
      </w:r>
      <w:r>
        <w:rPr>
          <w:shd w:val="clear" w:color="auto" w:fill="FFFFFF"/>
        </w:rPr>
        <w:t xml:space="preserve"> </w:t>
      </w:r>
    </w:p>
    <w:p>
      <w:pPr>
        <w:ind w:left="720" w:hanging="720"/>
        <w:rPr>
          <w:shd w:val="clear" w:color="auto" w:fill="FFFFFF"/>
        </w:rPr>
      </w:pPr>
      <w:r>
        <w:rPr>
          <w:shd w:val="clear" w:color="auto" w:fill="FFFFFF"/>
        </w:rPr>
        <w:t>Rasul, G., Nepal, A. K., Hussain, A., Maharjan, A., Joshi, S., Lama, A., ... and  Sharma, E. (2021). Socio-economic implications of COVID-19 pandemic in South Asia: emerging risks and growing challenges. </w:t>
      </w:r>
      <w:r>
        <w:rPr>
          <w:i/>
          <w:iCs/>
          <w:shd w:val="clear" w:color="auto" w:fill="FFFFFF"/>
        </w:rPr>
        <w:t>Frontiers in sociology</w:t>
      </w:r>
      <w:r>
        <w:rPr>
          <w:shd w:val="clear" w:color="auto" w:fill="FFFFFF"/>
        </w:rPr>
        <w:t>, </w:t>
      </w:r>
      <w:r>
        <w:rPr>
          <w:i/>
          <w:iCs/>
          <w:shd w:val="clear" w:color="auto" w:fill="FFFFFF"/>
        </w:rPr>
        <w:t>6</w:t>
      </w:r>
      <w:r>
        <w:rPr>
          <w:shd w:val="clear" w:color="auto" w:fill="FFFFFF"/>
        </w:rPr>
        <w:t xml:space="preserve">, 629693. </w:t>
      </w:r>
      <w:r>
        <w:rPr>
          <w:rStyle w:val="27"/>
          <w:rFonts w:cs="Times New Roman"/>
          <w:bCs/>
          <w:szCs w:val="24"/>
          <w:shd w:val="clear" w:color="auto" w:fill="FFFFFF"/>
        </w:rPr>
        <w:fldChar w:fldCharType="begin"/>
      </w:r>
      <w:r>
        <w:instrText>HYPERLINK "https://www.frontiersin.org/journals/sociology/articles/10.3389/fsoc.2021.629693/full"</w:instrText>
      </w:r>
      <w:r>
        <w:rPr>
          <w:rStyle w:val="27"/>
          <w:rFonts w:cs="Times New Roman"/>
          <w:bCs/>
          <w:szCs w:val="24"/>
          <w:shd w:val="clear" w:color="auto" w:fill="FFFFFF"/>
        </w:rPr>
        <w:fldChar w:fldCharType="separate"/>
      </w:r>
      <w:r>
        <w:rPr>
          <w:rStyle w:val="27"/>
          <w:rFonts w:cs="Times New Roman"/>
          <w:bCs/>
          <w:szCs w:val="24"/>
          <w:shd w:val="clear" w:color="auto" w:fill="FFFFFF"/>
        </w:rPr>
        <w:t>https://www.frontiersin.org/journals/sociology/articles/10.3389/fsoc.2021.629693/full</w:t>
      </w:r>
      <w:r>
        <w:rPr>
          <w:rStyle w:val="27"/>
          <w:rFonts w:cs="Times New Roman"/>
          <w:bCs/>
          <w:szCs w:val="24"/>
          <w:shd w:val="clear" w:color="auto" w:fill="FFFFFF"/>
        </w:rPr>
        <w:fldChar w:fldCharType="end"/>
      </w:r>
    </w:p>
    <w:p>
      <w:pPr>
        <w:ind w:left="720" w:hanging="720"/>
        <w:rPr>
          <w:shd w:val="clear" w:color="auto" w:fill="FFFFFF"/>
        </w:rPr>
      </w:pPr>
      <w:r>
        <w:rPr>
          <w:shd w:val="clear" w:color="auto" w:fill="FFFFFF"/>
        </w:rPr>
        <w:t xml:space="preserve">Rezaei Kalvani, S., and Celico, F. (2023). The water–energy–food nexus in European countries: A review and future perspectives. Sustainability, 15(6), 4960. </w:t>
      </w:r>
      <w:r>
        <w:rPr>
          <w:rStyle w:val="27"/>
          <w:shd w:val="clear" w:color="auto" w:fill="FFFFFF"/>
        </w:rPr>
        <w:fldChar w:fldCharType="begin"/>
      </w:r>
      <w:r>
        <w:instrText>HYPERLINK "https://doi.org/10.3390/su15064960"</w:instrText>
      </w:r>
      <w:r>
        <w:rPr>
          <w:rStyle w:val="27"/>
          <w:shd w:val="clear" w:color="auto" w:fill="FFFFFF"/>
        </w:rPr>
        <w:fldChar w:fldCharType="separate"/>
      </w:r>
      <w:r>
        <w:rPr>
          <w:rStyle w:val="27"/>
          <w:shd w:val="clear" w:color="auto" w:fill="FFFFFF"/>
        </w:rPr>
        <w:t>https://doi.org/10.3390/su15064960</w:t>
      </w:r>
      <w:r>
        <w:rPr>
          <w:rStyle w:val="27"/>
          <w:shd w:val="clear" w:color="auto" w:fill="FFFFFF"/>
        </w:rPr>
        <w:fldChar w:fldCharType="end"/>
      </w:r>
      <w:r>
        <w:rPr>
          <w:shd w:val="clear" w:color="auto" w:fill="FFFFFF"/>
        </w:rPr>
        <w:t xml:space="preserve"> </w:t>
      </w:r>
    </w:p>
    <w:p>
      <w:pPr>
        <w:ind w:left="720" w:hanging="720"/>
      </w:pPr>
      <w:r>
        <w:t>Rocco Forte Hotels. (2024). </w:t>
      </w:r>
      <w:r>
        <w:rPr>
          <w:i/>
          <w:iCs/>
        </w:rPr>
        <w:t>Hotel de Rome</w:t>
      </w:r>
      <w:r>
        <w:t>. [online] Available at: https://www.roccofortehotels.com/hotels-and-resorts/hotel-de-rome/ [Accessed 4 Feb. 2025].</w:t>
      </w:r>
    </w:p>
    <w:p>
      <w:pPr>
        <w:ind w:left="720" w:hanging="720"/>
        <w:rPr>
          <w:shd w:val="clear" w:color="auto" w:fill="FFFFFF"/>
        </w:rPr>
      </w:pPr>
      <w:r>
        <w:rPr>
          <w:shd w:val="clear" w:color="auto" w:fill="FFFFFF"/>
        </w:rPr>
        <w:t xml:space="preserve">Sahoo, A., Dwivedi, A., Madheshiya, P., Kumar, U., Sharma, R. K., and Tiwari, S. (2024). Insights into the management of food waste in developing countries: with special reference to India. Environmental Science and Pollution Research, 31(12), 17887-17913. </w:t>
      </w:r>
      <w:r>
        <w:rPr>
          <w:rStyle w:val="27"/>
          <w:shd w:val="clear" w:color="auto" w:fill="FFFFFF"/>
        </w:rPr>
        <w:fldChar w:fldCharType="begin"/>
      </w:r>
      <w:r>
        <w:instrText>HYPERLINK "https://doi.org/10.1007/s11356-023-27901-6"</w:instrText>
      </w:r>
      <w:r>
        <w:rPr>
          <w:rStyle w:val="27"/>
          <w:shd w:val="clear" w:color="auto" w:fill="FFFFFF"/>
        </w:rPr>
        <w:fldChar w:fldCharType="separate"/>
      </w:r>
      <w:r>
        <w:rPr>
          <w:rStyle w:val="27"/>
          <w:shd w:val="clear" w:color="auto" w:fill="FFFFFF"/>
        </w:rPr>
        <w:t>https://doi.org/10.1007/s11356-023-27901-6</w:t>
      </w:r>
      <w:r>
        <w:rPr>
          <w:rStyle w:val="27"/>
          <w:shd w:val="clear" w:color="auto" w:fill="FFFFFF"/>
        </w:rPr>
        <w:fldChar w:fldCharType="end"/>
      </w:r>
      <w:r>
        <w:rPr>
          <w:shd w:val="clear" w:color="auto" w:fill="FFFFFF"/>
        </w:rPr>
        <w:t xml:space="preserve"> </w:t>
      </w:r>
    </w:p>
    <w:p>
      <w:pPr>
        <w:ind w:left="720" w:hanging="720"/>
        <w:rPr>
          <w:shd w:val="clear" w:color="auto" w:fill="FFFFFF"/>
        </w:rPr>
      </w:pPr>
      <w:r>
        <w:rPr>
          <w:shd w:val="clear" w:color="auto" w:fill="FFFFFF"/>
        </w:rPr>
        <w:t>Santana-Gallego, M. (2025). Gravity Model. In </w:t>
      </w:r>
      <w:r>
        <w:rPr>
          <w:i/>
          <w:iCs/>
          <w:shd w:val="clear" w:color="auto" w:fill="FFFFFF"/>
        </w:rPr>
        <w:t>Encyclopedia of Tourism</w:t>
      </w:r>
      <w:r>
        <w:rPr>
          <w:shd w:val="clear" w:color="auto" w:fill="FFFFFF"/>
        </w:rPr>
        <w:t xml:space="preserve"> (pp. 450-451). Cham: Springer Nature Switzerland. </w:t>
      </w:r>
      <w:r>
        <w:rPr>
          <w:rStyle w:val="27"/>
          <w:shd w:val="clear" w:color="auto" w:fill="FFFFFF"/>
        </w:rPr>
        <w:fldChar w:fldCharType="begin"/>
      </w:r>
      <w:r>
        <w:instrText>HYPERLINK "https://doi.org/10.1007/978-3-030-74923-1_97"</w:instrText>
      </w:r>
      <w:r>
        <w:rPr>
          <w:rStyle w:val="27"/>
          <w:shd w:val="clear" w:color="auto" w:fill="FFFFFF"/>
        </w:rPr>
        <w:fldChar w:fldCharType="separate"/>
      </w:r>
      <w:r>
        <w:rPr>
          <w:rStyle w:val="27"/>
          <w:shd w:val="clear" w:color="auto" w:fill="FFFFFF"/>
        </w:rPr>
        <w:t>https://doi.org/10.1007/978-3-030-74923-1_97</w:t>
      </w:r>
      <w:r>
        <w:rPr>
          <w:rStyle w:val="27"/>
          <w:shd w:val="clear" w:color="auto" w:fill="FFFFFF"/>
        </w:rPr>
        <w:fldChar w:fldCharType="end"/>
      </w:r>
      <w:r>
        <w:rPr>
          <w:shd w:val="clear" w:color="auto" w:fill="FFFFFF"/>
        </w:rPr>
        <w:t xml:space="preserve"> </w:t>
      </w:r>
    </w:p>
    <w:p>
      <w:pPr>
        <w:ind w:left="720" w:hanging="720"/>
        <w:rPr>
          <w:shd w:val="clear" w:color="auto" w:fill="FFFFFF"/>
        </w:rPr>
      </w:pPr>
      <w:r>
        <w:rPr>
          <w:shd w:val="clear" w:color="auto" w:fill="FFFFFF"/>
        </w:rPr>
        <w:t>Selvamuthukumaran, M. (Ed.). (2024). </w:t>
      </w:r>
      <w:r>
        <w:rPr>
          <w:i/>
          <w:shd w:val="clear" w:color="auto" w:fill="FFFFFF"/>
        </w:rPr>
        <w:t>Wealth out of food processing waste: Ingredient recovery and valorization</w:t>
      </w:r>
      <w:r>
        <w:rPr>
          <w:shd w:val="clear" w:color="auto" w:fill="FFFFFF"/>
        </w:rPr>
        <w:t xml:space="preserve">. CRC Press. https://books.google.com.pk/books?hl=en&amp;lr=&amp;id=NgHzEAAAQBAJ&amp;oi=fnd&amp;pg=PA1978&amp;dq=Selvamuthukumaran,+M.+(Ed.).+(2024).+Wealth+out+of+food+processing+waste:+Ingredient+recovery+and+valorization.+CRC+Press.&amp;ots=Zi7hHEWe8j&amp;sig=usJlpJWn9LF0o57MLqRgDFmZBPU&amp;redir_esc=y#v=onepage&amp;q=Selvamuthukumaran%2C%20M.%20(Ed.).%20(2024).%20Wealth%20out%20of%20food%20processing%20waste%3A%20Ingredient%20recovery%20and%20valorization.%20CRC%20Press.&amp;f=false </w:t>
      </w:r>
    </w:p>
    <w:p>
      <w:pPr>
        <w:ind w:left="720" w:hanging="720"/>
        <w:rPr>
          <w:shd w:val="clear" w:color="auto" w:fill="FFFFFF"/>
        </w:rPr>
      </w:pPr>
      <w:r>
        <w:rPr>
          <w:shd w:val="clear" w:color="auto" w:fill="FFFFFF"/>
        </w:rPr>
        <w:t>Singh, A. B., Mishra, Y., and  Yadav, S. (2024). Toward Sustainability: Interventions for Implementing Energy-Efficient Systems into Hotel Buildings. </w:t>
      </w:r>
      <w:r>
        <w:rPr>
          <w:i/>
          <w:iCs/>
          <w:shd w:val="clear" w:color="auto" w:fill="FFFFFF"/>
        </w:rPr>
        <w:t>Engineering Proceedings</w:t>
      </w:r>
      <w:r>
        <w:rPr>
          <w:shd w:val="clear" w:color="auto" w:fill="FFFFFF"/>
        </w:rPr>
        <w:t>, </w:t>
      </w:r>
      <w:r>
        <w:rPr>
          <w:i/>
          <w:iCs/>
          <w:shd w:val="clear" w:color="auto" w:fill="FFFFFF"/>
        </w:rPr>
        <w:t>67</w:t>
      </w:r>
      <w:r>
        <w:rPr>
          <w:shd w:val="clear" w:color="auto" w:fill="FFFFFF"/>
        </w:rPr>
        <w:t>(1), 80.</w:t>
      </w:r>
      <w:r>
        <w:rPr>
          <w:rStyle w:val="27"/>
          <w:rFonts w:cs="Times New Roman"/>
          <w:bCs/>
          <w:szCs w:val="24"/>
          <w:shd w:val="clear" w:color="auto" w:fill="FFFFFF"/>
        </w:rPr>
        <w:fldChar w:fldCharType="begin"/>
      </w:r>
      <w:r>
        <w:instrText>HYPERLINK "https://www.mdpi.com/2673-4591/67/1/80"</w:instrText>
      </w:r>
      <w:r>
        <w:rPr>
          <w:rStyle w:val="27"/>
          <w:rFonts w:cs="Times New Roman"/>
          <w:bCs/>
          <w:szCs w:val="24"/>
          <w:shd w:val="clear" w:color="auto" w:fill="FFFFFF"/>
        </w:rPr>
        <w:fldChar w:fldCharType="separate"/>
      </w:r>
      <w:r>
        <w:rPr>
          <w:rStyle w:val="27"/>
          <w:rFonts w:cs="Times New Roman"/>
          <w:bCs/>
          <w:szCs w:val="24"/>
          <w:shd w:val="clear" w:color="auto" w:fill="FFFFFF"/>
        </w:rPr>
        <w:t>https://www.mdpi.com/2673-4591/67/1/80</w:t>
      </w:r>
      <w:r>
        <w:rPr>
          <w:rStyle w:val="27"/>
          <w:rFonts w:cs="Times New Roman"/>
          <w:bCs/>
          <w:szCs w:val="24"/>
          <w:shd w:val="clear" w:color="auto" w:fill="FFFFFF"/>
        </w:rPr>
        <w:fldChar w:fldCharType="end"/>
      </w:r>
    </w:p>
    <w:p>
      <w:pPr>
        <w:ind w:left="720" w:hanging="720"/>
        <w:rPr>
          <w:shd w:val="clear" w:color="auto" w:fill="FFFFFF"/>
        </w:rPr>
      </w:pPr>
      <w:r>
        <w:rPr>
          <w:shd w:val="clear" w:color="auto" w:fill="FFFFFF"/>
        </w:rPr>
        <w:t>Sudheshna, A. A., Srivastava, M., and  Prakash, C. (2022). Characterization of microfibers emission from textile washing from a domestic environment. </w:t>
      </w:r>
      <w:r>
        <w:rPr>
          <w:i/>
          <w:iCs/>
          <w:shd w:val="clear" w:color="auto" w:fill="FFFFFF"/>
        </w:rPr>
        <w:t>Science of the Total Environment</w:t>
      </w:r>
      <w:r>
        <w:rPr>
          <w:shd w:val="clear" w:color="auto" w:fill="FFFFFF"/>
        </w:rPr>
        <w:t>, </w:t>
      </w:r>
      <w:r>
        <w:rPr>
          <w:i/>
          <w:iCs/>
          <w:shd w:val="clear" w:color="auto" w:fill="FFFFFF"/>
        </w:rPr>
        <w:t>852</w:t>
      </w:r>
      <w:r>
        <w:rPr>
          <w:shd w:val="clear" w:color="auto" w:fill="FFFFFF"/>
        </w:rPr>
        <w:t xml:space="preserve">, 158511. </w:t>
      </w:r>
      <w:r>
        <w:rPr>
          <w:rStyle w:val="27"/>
          <w:shd w:val="clear" w:color="auto" w:fill="FFFFFF"/>
        </w:rPr>
        <w:fldChar w:fldCharType="begin"/>
      </w:r>
      <w:r>
        <w:instrText>HYPERLINK "https://doi.org/10.1016/j.scitotenv.2022.158511"</w:instrText>
      </w:r>
      <w:r>
        <w:rPr>
          <w:rStyle w:val="27"/>
          <w:shd w:val="clear" w:color="auto" w:fill="FFFFFF"/>
        </w:rPr>
        <w:fldChar w:fldCharType="separate"/>
      </w:r>
      <w:r>
        <w:rPr>
          <w:rStyle w:val="27"/>
          <w:shd w:val="clear" w:color="auto" w:fill="FFFFFF"/>
        </w:rPr>
        <w:t>https://doi.org/10.1016/j.scitotenv.2022.158511</w:t>
      </w:r>
      <w:r>
        <w:rPr>
          <w:rStyle w:val="27"/>
          <w:shd w:val="clear" w:color="auto" w:fill="FFFFFF"/>
        </w:rPr>
        <w:fldChar w:fldCharType="end"/>
      </w:r>
      <w:r>
        <w:rPr>
          <w:shd w:val="clear" w:color="auto" w:fill="FFFFFF"/>
        </w:rPr>
        <w:t xml:space="preserve"> </w:t>
      </w:r>
    </w:p>
    <w:p>
      <w:pPr>
        <w:ind w:left="720" w:hanging="720"/>
        <w:rPr>
          <w:shd w:val="clear" w:color="auto" w:fill="FFFFFF"/>
        </w:rPr>
      </w:pPr>
      <w:r>
        <w:rPr>
          <w:shd w:val="clear" w:color="auto" w:fill="FFFFFF"/>
        </w:rPr>
        <w:t xml:space="preserve">TalentLMS (2022) 'Research: The State of L&amp;D in 2022'. </w:t>
      </w:r>
      <w:r>
        <w:rPr>
          <w:i/>
          <w:iCs/>
          <w:shd w:val="clear" w:color="auto" w:fill="FFFFFF"/>
        </w:rPr>
        <w:t>TalentLMS</w:t>
      </w:r>
      <w:r>
        <w:rPr>
          <w:shd w:val="clear" w:color="auto" w:fill="FFFFFF"/>
        </w:rPr>
        <w:t xml:space="preserve">. </w:t>
      </w:r>
    </w:p>
    <w:p>
      <w:pPr>
        <w:ind w:left="720" w:hanging="720"/>
        <w:rPr>
          <w:shd w:val="clear" w:color="auto" w:fill="FFFFFF"/>
        </w:rPr>
      </w:pPr>
      <w:r>
        <w:rPr>
          <w:shd w:val="clear" w:color="auto" w:fill="FFFFFF"/>
        </w:rPr>
        <w:t>Thommandru, A., Espinoza-Maguiña, M., Ramirez-Asis, E., Ray, S., Naved, M., and  Guzman-Avalos, M. (2023). Role of tourism and hospitality business in economic development. </w:t>
      </w:r>
      <w:r>
        <w:rPr>
          <w:i/>
          <w:iCs/>
          <w:shd w:val="clear" w:color="auto" w:fill="FFFFFF"/>
        </w:rPr>
        <w:t>Materials Today: Proceedings</w:t>
      </w:r>
      <w:r>
        <w:rPr>
          <w:shd w:val="clear" w:color="auto" w:fill="FFFFFF"/>
        </w:rPr>
        <w:t>, </w:t>
      </w:r>
      <w:r>
        <w:rPr>
          <w:i/>
          <w:iCs/>
          <w:shd w:val="clear" w:color="auto" w:fill="FFFFFF"/>
        </w:rPr>
        <w:t>80</w:t>
      </w:r>
      <w:r>
        <w:rPr>
          <w:shd w:val="clear" w:color="auto" w:fill="FFFFFF"/>
        </w:rPr>
        <w:t xml:space="preserve">, 2901-2904. </w:t>
      </w:r>
      <w:r>
        <w:rPr>
          <w:rStyle w:val="27"/>
          <w:shd w:val="clear" w:color="auto" w:fill="FFFFFF"/>
        </w:rPr>
        <w:fldChar w:fldCharType="begin"/>
      </w:r>
      <w:r>
        <w:instrText>HYPERLINK "https://doi.org/10.1016/j.matpr.2021.07.059"</w:instrText>
      </w:r>
      <w:r>
        <w:rPr>
          <w:rStyle w:val="27"/>
          <w:shd w:val="clear" w:color="auto" w:fill="FFFFFF"/>
        </w:rPr>
        <w:fldChar w:fldCharType="separate"/>
      </w:r>
      <w:r>
        <w:rPr>
          <w:rStyle w:val="27"/>
          <w:shd w:val="clear" w:color="auto" w:fill="FFFFFF"/>
        </w:rPr>
        <w:t>https://doi.org/10.1016/j.matpr.2021.07.059</w:t>
      </w:r>
      <w:r>
        <w:rPr>
          <w:rStyle w:val="27"/>
          <w:shd w:val="clear" w:color="auto" w:fill="FFFFFF"/>
        </w:rPr>
        <w:fldChar w:fldCharType="end"/>
      </w:r>
      <w:r>
        <w:rPr>
          <w:shd w:val="clear" w:color="auto" w:fill="FFFFFF"/>
        </w:rPr>
        <w:t xml:space="preserve"> </w:t>
      </w:r>
    </w:p>
    <w:p>
      <w:pPr>
        <w:ind w:left="720" w:hanging="720"/>
        <w:rPr>
          <w:shd w:val="clear" w:color="auto" w:fill="FFFFFF"/>
        </w:rPr>
      </w:pPr>
      <w:r>
        <w:rPr>
          <w:shd w:val="clear" w:color="auto" w:fill="FFFFFF"/>
        </w:rPr>
        <w:t xml:space="preserve">Usmani, M. S., Wang, J., Ahmad, N., Ullah, Z., Iqbal, M., and Ismail, M. (2022). Establishing a corporate social responsibility implementation model for promoting sustainability in the food sector: a hybrid approach of expert mining and ISM–MICMAC. Environmental Science and Pollution Research, 1-22. </w:t>
      </w:r>
      <w:r>
        <w:rPr>
          <w:rStyle w:val="27"/>
          <w:shd w:val="clear" w:color="auto" w:fill="FFFFFF"/>
        </w:rPr>
        <w:fldChar w:fldCharType="begin"/>
      </w:r>
      <w:r>
        <w:instrText>HYPERLINK "https://doi.org/10.1007/s11356-021-16111-7"</w:instrText>
      </w:r>
      <w:r>
        <w:rPr>
          <w:rStyle w:val="27"/>
          <w:shd w:val="clear" w:color="auto" w:fill="FFFFFF"/>
        </w:rPr>
        <w:fldChar w:fldCharType="separate"/>
      </w:r>
      <w:r>
        <w:rPr>
          <w:rStyle w:val="27"/>
          <w:shd w:val="clear" w:color="auto" w:fill="FFFFFF"/>
        </w:rPr>
        <w:t>https://doi.org/10.1007/s11356-021-16111-7</w:t>
      </w:r>
      <w:r>
        <w:rPr>
          <w:rStyle w:val="27"/>
          <w:shd w:val="clear" w:color="auto" w:fill="FFFFFF"/>
        </w:rPr>
        <w:fldChar w:fldCharType="end"/>
      </w:r>
      <w:r>
        <w:rPr>
          <w:shd w:val="clear" w:color="auto" w:fill="FFFFFF"/>
        </w:rPr>
        <w:t xml:space="preserve"> </w:t>
      </w:r>
    </w:p>
    <w:p>
      <w:pPr>
        <w:ind w:left="720" w:hanging="720"/>
        <w:rPr>
          <w:shd w:val="clear" w:color="auto" w:fill="FFFFFF"/>
        </w:rPr>
      </w:pPr>
      <w:r>
        <w:rPr>
          <w:shd w:val="clear" w:color="auto" w:fill="FFFFFF"/>
        </w:rPr>
        <w:t>Velaoras, K., Menegaki, A. N., Polyzos, S., and Gotzamani, K. (2025). The Role of Environmental Certification in the Hospitality Industry: Assessing Sustainability, Consumer Preferences, and the Economic Impact. </w:t>
      </w:r>
      <w:r>
        <w:rPr>
          <w:i/>
          <w:iCs/>
          <w:shd w:val="clear" w:color="auto" w:fill="FFFFFF"/>
        </w:rPr>
        <w:t>Sustainability</w:t>
      </w:r>
      <w:r>
        <w:rPr>
          <w:shd w:val="clear" w:color="auto" w:fill="FFFFFF"/>
        </w:rPr>
        <w:t>, </w:t>
      </w:r>
      <w:r>
        <w:rPr>
          <w:i/>
          <w:iCs/>
          <w:shd w:val="clear" w:color="auto" w:fill="FFFFFF"/>
        </w:rPr>
        <w:t>17</w:t>
      </w:r>
      <w:r>
        <w:rPr>
          <w:shd w:val="clear" w:color="auto" w:fill="FFFFFF"/>
        </w:rPr>
        <w:t xml:space="preserve">(2), 650. </w:t>
      </w:r>
      <w:r>
        <w:rPr>
          <w:rStyle w:val="27"/>
          <w:rFonts w:cs="Times New Roman"/>
          <w:bCs/>
          <w:szCs w:val="24"/>
          <w:shd w:val="clear" w:color="auto" w:fill="FFFFFF"/>
        </w:rPr>
        <w:fldChar w:fldCharType="begin"/>
      </w:r>
      <w:r>
        <w:instrText>HYPERLINK "https://www.mdpi.com/2071-1050/17/2/650"</w:instrText>
      </w:r>
      <w:r>
        <w:rPr>
          <w:rStyle w:val="27"/>
          <w:rFonts w:cs="Times New Roman"/>
          <w:bCs/>
          <w:szCs w:val="24"/>
          <w:shd w:val="clear" w:color="auto" w:fill="FFFFFF"/>
        </w:rPr>
        <w:fldChar w:fldCharType="separate"/>
      </w:r>
      <w:r>
        <w:rPr>
          <w:rStyle w:val="27"/>
          <w:rFonts w:cs="Times New Roman"/>
          <w:bCs/>
          <w:szCs w:val="24"/>
          <w:shd w:val="clear" w:color="auto" w:fill="FFFFFF"/>
        </w:rPr>
        <w:t>https://www.mdpi.com/2071-1050/17/2/650</w:t>
      </w:r>
      <w:r>
        <w:rPr>
          <w:rStyle w:val="27"/>
          <w:rFonts w:cs="Times New Roman"/>
          <w:bCs/>
          <w:szCs w:val="24"/>
          <w:shd w:val="clear" w:color="auto" w:fill="FFFFFF"/>
        </w:rPr>
        <w:fldChar w:fldCharType="end"/>
      </w:r>
      <w:r>
        <w:rPr>
          <w:shd w:val="clear" w:color="auto" w:fill="FFFFFF"/>
        </w:rPr>
        <w:t xml:space="preserve">. </w:t>
      </w:r>
    </w:p>
    <w:p>
      <w:pPr>
        <w:spacing w:before="100" w:beforeAutospacing="1" w:after="100" w:afterAutospacing="1"/>
        <w:ind w:left="360"/>
        <w:rPr>
          <w:rFonts w:eastAsia="Times New Roman" w:cs="Times New Roman"/>
          <w:b/>
          <w:bCs/>
          <w:kern w:val="0"/>
          <w:szCs w:val="24"/>
          <w:lang w:val="en-GB" w:eastAsia="en-GB"/>
        </w:rPr>
      </w:pPr>
    </w:p>
    <w:p>
      <w:pPr>
        <w:spacing w:before="100" w:beforeAutospacing="1" w:after="100" w:afterAutospacing="1"/>
        <w:ind w:left="360"/>
        <w:rPr>
          <w:rFonts w:eastAsia="Times New Roman" w:cs="Times New Roman"/>
          <w:b/>
          <w:bCs/>
          <w:kern w:val="0"/>
          <w:szCs w:val="24"/>
          <w:lang w:val="en-GB" w:eastAsia="en-GB"/>
        </w:rPr>
      </w:pPr>
    </w:p>
    <w:p>
      <w:pPr>
        <w:spacing w:before="100" w:beforeAutospacing="1" w:after="100" w:afterAutospacing="1"/>
        <w:ind w:left="360"/>
        <w:rPr>
          <w:rFonts w:eastAsia="Times New Roman" w:cs="Times New Roman"/>
          <w:b/>
          <w:bCs/>
          <w:kern w:val="0"/>
          <w:szCs w:val="24"/>
          <w:lang w:val="en-GB" w:eastAsia="en-GB"/>
        </w:rPr>
      </w:pPr>
    </w:p>
    <w:p>
      <w:pPr>
        <w:spacing w:before="100" w:beforeAutospacing="1" w:after="100" w:afterAutospacing="1"/>
        <w:ind w:left="360"/>
        <w:rPr>
          <w:rFonts w:eastAsia="Times New Roman" w:cs="Times New Roman"/>
          <w:b/>
          <w:bCs/>
          <w:kern w:val="0"/>
          <w:szCs w:val="24"/>
          <w:lang w:val="en-GB" w:eastAsia="en-GB"/>
        </w:rPr>
      </w:pPr>
    </w:p>
    <w:p>
      <w:pPr>
        <w:spacing w:before="100" w:beforeAutospacing="1" w:after="100" w:afterAutospacing="1"/>
        <w:ind w:left="360"/>
        <w:jc w:val="center"/>
        <w:rPr>
          <w:rFonts w:cs="Times New Roman"/>
          <w:b/>
          <w:szCs w:val="24"/>
        </w:rPr>
      </w:pPr>
      <w:r>
        <w:rPr>
          <w:rFonts w:eastAsia="Times New Roman" w:cs="Times New Roman"/>
          <w:b/>
          <w:bCs/>
          <w:kern w:val="0"/>
          <w:szCs w:val="24"/>
          <w:lang w:val="en-GB" w:eastAsia="en-GB"/>
        </w:rPr>
        <w:t xml:space="preserve">Report Title: </w:t>
      </w:r>
      <w:r>
        <w:rPr>
          <w:rFonts w:cs="Times New Roman"/>
          <w:b/>
          <w:szCs w:val="24"/>
        </w:rPr>
        <w:t>"Enhancing Sustainability in Hotel de Rome, Berlin Housekeeping Department: Reducing Water and Energy Waste"</w:t>
      </w:r>
    </w:p>
    <w:p>
      <w:pPr>
        <w:spacing w:before="100" w:beforeAutospacing="1" w:after="100" w:afterAutospacing="1"/>
        <w:ind w:left="360"/>
        <w:jc w:val="center"/>
        <w:rPr>
          <w:rFonts w:cs="Times New Roman"/>
          <w:b/>
          <w:szCs w:val="24"/>
        </w:rPr>
      </w:pPr>
      <w:r>
        <w:rPr>
          <w:rFonts w:cs="Times New Roman"/>
          <w:b/>
          <w:szCs w:val="24"/>
        </w:rPr>
        <w:t>Module code : BMIH 6005</w:t>
      </w:r>
    </w:p>
    <w:p>
      <w:pPr>
        <w:spacing w:before="100" w:beforeAutospacing="1" w:after="100" w:afterAutospacing="1"/>
        <w:ind w:left="360"/>
        <w:jc w:val="center"/>
        <w:rPr>
          <w:rFonts w:eastAsia="Times New Roman" w:cs="Times New Roman"/>
          <w:b/>
          <w:bCs/>
          <w:kern w:val="0"/>
          <w:szCs w:val="24"/>
          <w:lang w:val="en-GB" w:eastAsia="en-GB"/>
        </w:rPr>
      </w:pPr>
      <w:r>
        <w:rPr>
          <w:rFonts w:eastAsia="Times New Roman" w:cs="Times New Roman"/>
          <w:b/>
          <w:bCs/>
          <w:kern w:val="0"/>
          <w:szCs w:val="24"/>
          <w:lang w:val="en-GB" w:eastAsia="en-GB"/>
        </w:rPr>
        <w:t xml:space="preserve">                  Student Name : Alexandru Alin Minea</w:t>
      </w:r>
    </w:p>
    <w:p>
      <w:pPr>
        <w:spacing w:before="100" w:beforeAutospacing="1" w:after="100" w:afterAutospacing="1"/>
        <w:ind w:left="360"/>
        <w:jc w:val="center"/>
        <w:rPr>
          <w:rFonts w:eastAsia="Times New Roman" w:cs="Times New Roman"/>
          <w:b/>
          <w:bCs/>
          <w:kern w:val="0"/>
          <w:szCs w:val="24"/>
          <w:lang w:val="en-GB" w:eastAsia="en-GB"/>
        </w:rPr>
      </w:pPr>
      <w:r>
        <w:rPr>
          <w:rFonts w:eastAsia="Times New Roman" w:cs="Times New Roman"/>
          <w:b/>
          <w:bCs/>
          <w:kern w:val="0"/>
          <w:szCs w:val="24"/>
          <w:lang w:val="en-GB" w:eastAsia="en-GB"/>
        </w:rPr>
        <w:t>Student Number : 2215123</w:t>
      </w:r>
    </w:p>
    <w:p>
      <w:pPr>
        <w:spacing w:before="100" w:beforeAutospacing="1" w:after="100" w:afterAutospacing="1"/>
        <w:ind w:left="360" w:firstLineChars="1300" w:firstLine="3120"/>
        <w:rPr>
          <w:rFonts w:eastAsia="Times New Roman" w:cs="Times New Roman"/>
          <w:b/>
          <w:bCs/>
          <w:kern w:val="0"/>
          <w:szCs w:val="24"/>
          <w:lang w:val="en-GB" w:eastAsia="en-GB"/>
        </w:rPr>
      </w:pPr>
      <w:bookmarkStart w:id="0" w:name="_GoBack"/>
      <w:bookmarkEnd w:id="0"/>
      <w:r>
        <w:rPr>
          <w:rFonts w:eastAsia="Times New Roman" w:cs="Times New Roman"/>
          <w:b/>
          <w:bCs/>
          <w:kern w:val="0"/>
          <w:szCs w:val="24"/>
          <w:lang w:val="en-GB" w:eastAsia="en-GB"/>
        </w:rPr>
        <w:t>Lecturer : Jaliya de Silva</w:t>
      </w:r>
    </w:p>
    <w:p>
      <w:pPr>
        <w:spacing w:before="100" w:beforeAutospacing="1" w:after="100" w:afterAutospacing="1"/>
        <w:ind w:firstLineChars="1200" w:firstLine="2880"/>
        <w:rPr>
          <w:rFonts w:eastAsia="Times New Roman" w:cs="Times New Roman"/>
          <w:b/>
          <w:bCs/>
          <w:kern w:val="0"/>
          <w:szCs w:val="24"/>
          <w:lang w:val="en-GB" w:eastAsia="en-GB"/>
        </w:rPr>
      </w:pPr>
      <w:r>
        <w:rPr>
          <w:rFonts w:eastAsia="Times New Roman" w:cs="Times New Roman"/>
          <w:b/>
          <w:bCs/>
          <w:kern w:val="0"/>
          <w:szCs w:val="24"/>
          <w:lang w:val="en-GB" w:eastAsia="en-GB"/>
        </w:rPr>
        <w:t>Consultancy Firm Name: AAM Consultancy ltd</w:t>
      </w:r>
    </w:p>
    <w:p>
      <w:pPr>
        <w:spacing w:before="100" w:beforeAutospacing="1" w:after="100" w:afterAutospacing="1"/>
        <w:ind w:left="360"/>
        <w:jc w:val="center"/>
        <w:rPr>
          <w:rFonts w:eastAsia="Times New Roman" w:cs="Times New Roman"/>
          <w:b/>
          <w:bCs/>
          <w:kern w:val="0"/>
          <w:szCs w:val="24"/>
          <w:lang w:val="en-GB" w:eastAsia="en-GB"/>
        </w:rPr>
      </w:pPr>
      <w:r>
        <w:rPr>
          <w:rFonts w:eastAsia="Times New Roman" w:cs="Times New Roman"/>
          <w:b/>
          <w:bCs/>
          <w:kern w:val="0"/>
          <w:szCs w:val="24"/>
          <w:lang w:val="en-GB" w:eastAsia="en-GB"/>
        </w:rPr>
        <w:drawing>
          <wp:inline distT="0" distB="0" distL="85723" distR="85723">
            <wp:extent cx="4152160" cy="1870060"/>
            <wp:effectExtent l="0" t="0" r="0" b="0"/>
            <wp:docPr id="1" name="Image 1"/>
            <wp:cNvGraphicFramePr>
              <a:graphicFrameLocks noChangeAspect="1"/>
            </wp:cNvGraphicFramePr>
            <a:graphic>
              <a:graphicData uri="http://schemas.openxmlformats.org/drawingml/2006/picture">
                <pic:pic>
                  <pic:nvPicPr>
                    <pic:cNvPr id="3" name="Image 3"/>
                    <pic:cNvPicPr/>
                  </pic:nvPicPr>
                  <pic:blipFill>
                    <a:blip r:embed="rId3"/>
                    <a:srcRect t="-259" b="34132" l="-39718"/>
                    <a:stretch>
                      <a:fillRect/>
                    </a:stretch>
                  </pic:blipFill>
                  <pic:spPr>
                    <a:xfrm rot="0">
                      <a:off x="0" y="0"/>
                      <a:ext cx="4152160" cy="1870060"/>
                    </a:xfrm>
                    <a:prstGeom prst="rect"/>
                    <a:noFill/>
                    <a:ln w="12700" cmpd="sng" cap="flat">
                      <a:noFill/>
                      <a:prstDash val="solid"/>
                      <a:miter/>
                    </a:ln>
                  </pic:spPr>
                </pic:pic>
              </a:graphicData>
            </a:graphic>
          </wp:inline>
        </w:drawing>
      </w:r>
    </w:p>
    <w:p>
      <w:pPr>
        <w:pStyle w:val="25"/>
        <w:spacing w:line="360" w:lineRule="auto"/>
        <w:jc w:val="center"/>
        <w:rPr>
          <w:rFonts w:ascii="Times New Roman" w:cs="Times New Roman" w:hAnsi="Times New Roman"/>
          <w:b/>
          <w:sz w:val="24"/>
          <w:szCs w:val="24"/>
          <w:lang w:val="en-GB" w:eastAsia="en-GB"/>
        </w:rPr>
      </w:pPr>
      <w:r>
        <w:rPr>
          <w:rFonts w:ascii="Times New Roman" w:cs="Times New Roman" w:hAnsi="Times New Roman"/>
          <w:b/>
          <w:sz w:val="24"/>
          <w:szCs w:val="24"/>
          <w:lang w:val="en-GB" w:eastAsia="en-GB"/>
        </w:rPr>
        <w:t>Executive Summary</w:t>
      </w:r>
    </w:p>
    <w:p>
      <w:pPr>
        <w:rPr>
          <w:i/>
          <w:lang w:val="en-GB" w:eastAsia="en-GB"/>
        </w:rPr>
      </w:pPr>
      <w:r>
        <w:rPr>
          <w:i/>
          <w:lang w:val="en-GB" w:eastAsia="en-GB"/>
        </w:rPr>
        <w:t>Introduction</w:t>
      </w:r>
    </w:p>
    <w:p>
      <w:pPr>
        <w:rPr>
          <w:lang w:val="en-GB" w:eastAsia="en-GB"/>
        </w:rPr>
      </w:pPr>
      <w:r>
        <w:rPr>
          <w:lang w:val="en-GB" w:eastAsia="en-GB"/>
        </w:rPr>
        <w:t xml:space="preserve">Sustainability in the hospitality industry has become a growing priority, driven by increasing regulatory pressures, rising operational costs, and changing consumer expectations </w:t>
      </w:r>
      <w:r>
        <w:rPr>
          <w:lang w:eastAsia="en-GB"/>
        </w:rPr>
        <w:t>(Ma and  Su, 2024)</w:t>
      </w:r>
      <w:r>
        <w:rPr>
          <w:lang w:val="en-GB" w:eastAsia="en-GB"/>
        </w:rPr>
        <w:t>. As a five-star luxury hotel, Hotel de Rome, Berlin, must align itself with evolving industry standards by integrating sustainable practices, particularly in its housekeeping department, which remains one of the most resource-intensive operations. This consultancy report, developed in collaboration with McKinsey&amp;Company, evaluates the sustainability challenges in the hotel’s housekeeping operations and proposes strategies to reduce water and energy waste. The report applies PESTLE, SWOT, and TOWS analyses to examine external and internal influences affecting the hotel’s sustainability efforts and recommends a structured change management strategy to ensure seamless implementation.</w:t>
      </w:r>
    </w:p>
    <w:p>
      <w:pPr>
        <w:rPr>
          <w:i/>
          <w:lang w:val="en-GB" w:eastAsia="en-GB"/>
        </w:rPr>
      </w:pPr>
      <w:r>
        <w:rPr>
          <w:i/>
          <w:lang w:val="en-GB" w:eastAsia="en-GB"/>
        </w:rPr>
        <w:t>Identified Challenges in Housekeeping Sustainability</w:t>
      </w:r>
    </w:p>
    <w:p>
      <w:pPr>
        <w:rPr>
          <w:lang w:val="en-GB" w:eastAsia="en-GB"/>
        </w:rPr>
      </w:pPr>
      <w:r>
        <w:rPr>
          <w:lang w:val="en-GB" w:eastAsia="en-GB"/>
        </w:rPr>
        <w:t xml:space="preserve">The housekeeping department at Hotel de Rome is a major consumer of water and energy resources. Currently, the hotel consumes an estimated 150–200 litres of water per room per day, translating to approximately 29,000 litres daily for its 145 rooms </w:t>
      </w:r>
      <w:r>
        <w:rPr>
          <w:lang w:eastAsia="en-GB"/>
        </w:rPr>
        <w:t>(Niewiadomski, 2023)</w:t>
      </w:r>
      <w:r>
        <w:rPr>
          <w:lang w:val="en-GB" w:eastAsia="en-GB"/>
        </w:rPr>
        <w:t xml:space="preserve">. Much of this water is used in laundry operations, particularly in frequently washing bed linens and towels, often unnecessarily due to outdated guest policies. The hotel's HVAC systems, industrial washers, dryers, and lighting systems consume excessive electricity, leading to higher utility costs and increased carbon emissions. </w:t>
      </w:r>
      <w:r>
        <w:rPr>
          <w:lang w:eastAsia="en-GB"/>
        </w:rPr>
        <w:t xml:space="preserve">It has been determined in the research of AbdallaEltoum et al. (2024) that </w:t>
      </w:r>
      <w:r>
        <w:rPr>
          <w:lang w:val="en-GB" w:eastAsia="en-GB"/>
        </w:rPr>
        <w:t xml:space="preserve">industry benchmarks suggest that hotels account for up to 15% of total building energy consumption, and without intervention, Hotel de Rome’s energy expenditures will continue to rise by 7.9% annually. Beyond operational inefficiencies, non-compliance with Germany’s Energy Efficiency Act could result in regulatory penalties. The hotel must meet the mandated 30% reduction in energy consumption or face additional costs. Furthermore, 68% of travellers now prefer hotels with sustainability commitments, and a lack of visible eco-friendly initiatives could deter environmentally conscious guests, impacting occupancy rates </w:t>
      </w:r>
      <w:r>
        <w:rPr>
          <w:lang w:eastAsia="en-GB"/>
        </w:rPr>
        <w:t>(Otegui Carles, 2024)</w:t>
      </w:r>
      <w:r>
        <w:rPr>
          <w:lang w:val="en-GB" w:eastAsia="en-GB"/>
        </w:rPr>
        <w:t>.</w:t>
      </w:r>
    </w:p>
    <w:p>
      <w:pPr>
        <w:rPr>
          <w:i/>
          <w:lang w:val="en-GB" w:eastAsia="en-GB"/>
        </w:rPr>
      </w:pPr>
      <w:r>
        <w:rPr>
          <w:i/>
          <w:lang w:val="en-GB" w:eastAsia="en-GB"/>
        </w:rPr>
        <w:t>Strategic Recommendations</w:t>
      </w:r>
    </w:p>
    <w:p>
      <w:pPr>
        <w:rPr>
          <w:lang w:val="en-GB" w:eastAsia="en-GB"/>
        </w:rPr>
      </w:pPr>
      <w:r>
        <w:rPr>
          <w:lang w:val="en-GB" w:eastAsia="en-GB"/>
        </w:rPr>
        <w:t xml:space="preserve">The report proposes four key sustainability strategies to address these challenges, focusing on water and energy efficiency. First, upgrading to high-efficiency, low-water washing machines and installing IoT-based water leak detection sensors can significantly reduce water waste by 25–30%, resulting in annual savings of €100,000 </w:t>
      </w:r>
      <w:r>
        <w:rPr>
          <w:lang w:eastAsia="en-GB"/>
        </w:rPr>
        <w:t>(Paliś and  Siwek, 2024)</w:t>
      </w:r>
      <w:r>
        <w:rPr>
          <w:lang w:val="en-GB" w:eastAsia="en-GB"/>
        </w:rPr>
        <w:t xml:space="preserve">. Second, integrating LED motion-sensor lighting and AI-driven HVAC controls can reduce electricity consumption by 35%, cutting operational expenses by approximately €120,000 per year. Third, implementing a Green Performance Incentive Program alongside mandatory sustainability training can enhance staff engagement and compliance by 40%, ensuring that best practices are consistently applied across the housekeeping department. Lastly, </w:t>
      </w:r>
      <w:r>
        <w:rPr>
          <w:lang w:eastAsia="en-GB"/>
        </w:rPr>
        <w:t xml:space="preserve">Bardukova (2023) has asserted in this research that </w:t>
      </w:r>
      <w:r>
        <w:rPr>
          <w:lang w:val="en-GB" w:eastAsia="en-GB"/>
        </w:rPr>
        <w:t>transitioning to solar thermal heating systems and securing long-term green energy contracts can reduce carbon emissions by 50% per room per year, providing long-term cost stability and compliance with environmental laws.</w:t>
      </w:r>
    </w:p>
    <w:p>
      <w:pPr>
        <w:rPr>
          <w:i/>
          <w:lang w:val="en-GB" w:eastAsia="en-GB"/>
        </w:rPr>
      </w:pPr>
      <w:r>
        <w:rPr>
          <w:i/>
          <w:lang w:val="en-GB" w:eastAsia="en-GB"/>
        </w:rPr>
        <w:t>Change Management Strategy for Implementation</w:t>
      </w:r>
    </w:p>
    <w:p>
      <w:pPr>
        <w:rPr>
          <w:lang w:val="en-GB" w:eastAsia="en-GB"/>
        </w:rPr>
      </w:pPr>
      <w:r>
        <w:rPr>
          <w:lang w:val="en-GB" w:eastAsia="en-GB"/>
        </w:rPr>
        <w:t>Implementing sustainability initiatives requires a structured change management approach. This report outlines a step-by-step process, The Eight Step Model by Kotter, that is used to make organisational change. In the study of Chan et al. (2022), it has been anticipated that a sense of urgency must be created to drive immediate action, with the rise in operational costs and regulatory risks of energy and water inefficiencies brought to the fore. Another step that is equally important is building the leadership coalition, including the Sustainability Task Force, which comprises housekeeping managers, sustainability consultants, and operational staff who manage the implementation process (Ramirez and George, 2019).</w:t>
      </w:r>
    </w:p>
    <w:p>
      <w:pPr>
        <w:rPr>
          <w:lang w:val="en-GB" w:eastAsia="en-GB"/>
        </w:rPr>
      </w:pPr>
      <w:r>
        <w:rPr>
          <w:lang w:val="en-GB" w:eastAsia="en-GB"/>
        </w:rPr>
        <w:t>This can also be supported by the study of Das (2023), which states that the organisation can empower their employees through proper training and also implement a rewards programme that can instil compliance along with the motivation factor in the employees. An increase in awareness and speed to execution of sustainability best practices will be fostered with a structured staff training programme. A second dimension is to also generate some short-term wins so that momentum can be built up, with measurable targets, e.g., a 15% reduction in laundry water consumption in 6 months to show progress. In addition to promoting investment in green practises, sustainable behaviour should be embedded in the corporate culture of the hotel, which may be accomplished by integrating green practises in employee performance evaluations and receiving sustainable certifications such as Green Key or EarthCheck that improve the brand reputation of the hotel (</w:t>
      </w:r>
      <w:r>
        <w:rPr>
          <w:lang w:eastAsia="en-GB"/>
        </w:rPr>
        <w:t>KARAMAN et al., 2023</w:t>
      </w:r>
      <w:r>
        <w:rPr>
          <w:lang w:val="en-GB" w:eastAsia="en-GB"/>
        </w:rPr>
        <w:t>).</w:t>
      </w:r>
    </w:p>
    <w:p>
      <w:pPr>
        <w:rPr>
          <w:i/>
          <w:lang w:val="en-GB" w:eastAsia="en-GB"/>
        </w:rPr>
      </w:pPr>
      <w:r>
        <w:rPr>
          <w:i/>
          <w:lang w:val="en-GB" w:eastAsia="en-GB"/>
        </w:rPr>
        <w:t>Financial Feasibility&amp;Return on Investment</w:t>
      </w:r>
    </w:p>
    <w:p>
      <w:pPr>
        <w:rPr>
          <w:lang w:val="en-GB" w:eastAsia="en-GB"/>
        </w:rPr>
      </w:pPr>
      <w:r>
        <w:rPr>
          <w:lang w:val="en-GB" w:eastAsia="en-GB"/>
        </w:rPr>
        <w:t>Careful analysis of the financial feasibility of these sustainability measures has been done. High-efficiency laundry systems, water and energy monitoring tools, staff training and incentive programmes for these initiatives are estimated to cost €260,000 (Sahoo et al., 2024). Nevertheless, financial projections prove that these investments will provide annual cost savings of €270,000, making ROI in one year. Additionally, Frampton (2022) discovered that German government incentives provide subsidies of up to 30% of implementation costs, which means that these initiatives are extremely feasible (Menegaki, 2024).</w:t>
      </w:r>
    </w:p>
    <w:p>
      <w:pPr>
        <w:rPr>
          <w:i/>
          <w:lang w:val="en-GB" w:eastAsia="en-GB"/>
        </w:rPr>
      </w:pPr>
      <w:r>
        <w:rPr>
          <w:i/>
          <w:lang w:val="en-GB" w:eastAsia="en-GB"/>
        </w:rPr>
        <w:t>Success Measurement&amp;Evaluation</w:t>
      </w:r>
    </w:p>
    <w:p>
      <w:pPr>
        <w:rPr>
          <w:lang w:val="en-GB" w:eastAsia="en-GB"/>
        </w:rPr>
      </w:pPr>
      <w:r>
        <w:rPr>
          <w:lang w:val="en-GB" w:eastAsia="en-GB"/>
        </w:rPr>
        <w:t>Hotel de Rome must constantly review and measure their progress through KPIs to ensure sustainability of the hotel. According to the research of Giousmpasoglou and Marinakou (2024), these include monitoring water and energy use per occupied room, and thereby the hotel will see reductions in resource consumption and if need be adjust. This would also help in conducting quarterly sustainability audits and provide further insights regarding whether sustainability goals are being met and are also compliant with regulatory standards (</w:t>
      </w:r>
      <w:r>
        <w:rPr>
          <w:lang w:eastAsia="en-GB"/>
        </w:rPr>
        <w:t>Khan et al., 2024</w:t>
      </w:r>
      <w:r>
        <w:rPr>
          <w:lang w:val="en-GB" w:eastAsia="en-GB"/>
        </w:rPr>
        <w:t>).</w:t>
      </w:r>
    </w:p>
    <w:p>
      <w:pPr>
        <w:rPr>
          <w:lang w:val="en-GB" w:eastAsia="en-GB"/>
        </w:rPr>
      </w:pPr>
      <w:r>
        <w:rPr>
          <w:lang w:val="en-GB" w:eastAsia="en-GB"/>
        </w:rPr>
        <w:t>Another extremely important metric of these initiatives is guest or customer satisfaction. Guest feedback surveys will help determine the perception of the hotel’s sustainability efforts, as 68% of travellers look for eco-friendly accommodations (Usmani et al., 2022). Further, the employee performance metrics need to be tracked to understand the engagement of staff and the adoption of sustainable practices. It has been researched that the hotels which perform regular sustainability assessments have 20% more cost savings and 30% higher compliance (Rezaei Kalvani &amp; Celico, 2023).</w:t>
      </w:r>
    </w:p>
    <w:p>
      <w:pPr>
        <w:rPr>
          <w:i/>
          <w:lang w:val="en-GB" w:eastAsia="en-GB"/>
        </w:rPr>
      </w:pPr>
      <w:r>
        <w:rPr>
          <w:i/>
          <w:lang w:val="en-GB" w:eastAsia="en-GB"/>
        </w:rPr>
        <w:t>Conclusion</w:t>
      </w:r>
    </w:p>
    <w:p>
      <w:pPr>
        <w:rPr>
          <w:lang w:val="en-GB" w:eastAsia="en-GB"/>
        </w:rPr>
      </w:pPr>
      <w:r>
        <w:rPr>
          <w:lang w:val="en-GB" w:eastAsia="en-GB"/>
        </w:rPr>
        <w:t>The findings of this report demonstrate that integrating sustainability within the housekeeping department at Hotel de Rome is both an environmental necessity and a financial opportunity. By investing in smart water and energy management systems, staff training, and renewable energy sources, the hotel can significantly reduce costs, enhance guest satisfaction, and secure long-term compliance with sustainabilityregulations.</w:t>
      </w:r>
    </w:p>
    <w:p>
      <w:pPr>
        <w:rPr>
          <w:lang w:val="en-GB" w:eastAsia="en-GB"/>
        </w:rPr>
      </w:pPr>
    </w:p>
    <w:p>
      <w:pPr>
        <w:rPr>
          <w:lang w:val="en-GB" w:eastAsia="en-GB"/>
        </w:rPr>
      </w:pPr>
    </w:p>
    <w:p>
      <w:pPr>
        <w:rPr>
          <w:lang w:val="en-GB" w:eastAsia="en-GB"/>
        </w:rPr>
      </w:pPr>
    </w:p>
    <w:p>
      <w:pPr>
        <w:rPr>
          <w:lang w:val="en-GB" w:eastAsia="en-GB"/>
        </w:rPr>
      </w:pPr>
    </w:p>
    <w:p>
      <w:pPr>
        <w:rPr>
          <w:lang w:val="en-GB" w:eastAsia="en-GB"/>
        </w:rPr>
      </w:pPr>
    </w:p>
    <w:p>
      <w:pPr>
        <w:rPr>
          <w:lang w:val="en-GB" w:eastAsia="en-GB"/>
        </w:rPr>
      </w:pPr>
    </w:p>
    <w:p>
      <w:pPr>
        <w:rPr>
          <w:lang w:val="en-GB" w:eastAsia="en-GB"/>
        </w:rPr>
      </w:pPr>
    </w:p>
    <w:p>
      <w:pPr>
        <w:rPr>
          <w:lang w:val="en-GB" w:eastAsia="en-GB"/>
        </w:rPr>
      </w:pPr>
    </w:p>
    <w:p>
      <w:pPr>
        <w:rPr>
          <w:lang w:val="en-GB" w:eastAsia="en-GB"/>
        </w:rPr>
      </w:pPr>
    </w:p>
    <w:p>
      <w:pPr>
        <w:rPr>
          <w:lang w:val="en-GB" w:eastAsia="en-GB"/>
        </w:rPr>
      </w:pPr>
    </w:p>
    <w:p>
      <w:pPr>
        <w:rPr>
          <w:lang w:val="en-GB" w:eastAsia="en-GB"/>
        </w:rPr>
      </w:pPr>
    </w:p>
    <w:p>
      <w:pPr>
        <w:rPr>
          <w:lang w:val="en-GB" w:eastAsia="en-GB"/>
        </w:rPr>
      </w:pPr>
    </w:p>
    <w:p>
      <w:pPr>
        <w:rPr>
          <w:lang w:val="en-GB" w:eastAsia="en-GB"/>
        </w:rPr>
      </w:pPr>
    </w:p>
    <w:p>
      <w:pPr>
        <w:rPr>
          <w:lang w:val="en-GB" w:eastAsia="en-GB"/>
        </w:rPr>
      </w:pPr>
    </w:p>
    <w:p>
      <w:pPr>
        <w:rPr>
          <w:lang w:val="en-GB" w:eastAsia="en-GB"/>
        </w:rPr>
      </w:pPr>
    </w:p>
    <w:p>
      <w:pPr>
        <w:rPr>
          <w:lang w:val="en-GB" w:eastAsia="en-GB"/>
        </w:rPr>
      </w:pPr>
    </w:p>
    <w:p>
      <w:pPr>
        <w:rPr>
          <w:lang w:val="en-GB" w:eastAsia="en-GB"/>
        </w:rPr>
      </w:pPr>
    </w:p>
    <w:p>
      <w:pPr>
        <w:rPr>
          <w:lang w:val="en-GB" w:eastAsia="en-GB"/>
        </w:rPr>
      </w:pPr>
    </w:p>
    <w:p>
      <w:pPr>
        <w:rPr>
          <w:lang w:val="en-GB" w:eastAsia="en-GB"/>
        </w:rPr>
      </w:pPr>
    </w:p>
    <w:p>
      <w:pPr>
        <w:rPr>
          <w:lang w:val="en-GB" w:eastAsia="en-GB"/>
        </w:rPr>
      </w:pPr>
    </w:p>
    <w:p>
      <w:pPr>
        <w:pStyle w:val="25"/>
        <w:spacing w:line="360" w:lineRule="auto"/>
        <w:rPr>
          <w:rFonts w:ascii="Times New Roman" w:cs="Times New Roman" w:hAnsi="Times New Roman"/>
          <w:b/>
          <w:sz w:val="24"/>
          <w:szCs w:val="24"/>
          <w:lang w:val="en-GB" w:eastAsia="en-GB"/>
        </w:rPr>
      </w:pPr>
    </w:p>
    <w:sectPr>
      <w:headerReference w:type="default" r:id="rId2"/>
      <w:pgSz w:w="12240" w:h="15840"/>
      <w:pgMar w:top="1440" w:right="1440" w:bottom="1440" w:left="1440" w:header="708" w:footer="708" w:gutter="0"/>
      <w:pgBorders w:offsetFrom="page">
        <w:top w:val="thickThinSmallGap" w:sz="24" w:space="24" w:color="auto"/>
        <w:left w:val="thickThinSmallGap" w:sz="24" w:space="24" w:color="auto"/>
        <w:bottom w:val="thinThickSmallGap" w:sz="24" w:space="24" w:color="auto"/>
        <w:right w:val="thinThickSmallGap" w:sz="24" w:space="24" w:color="auto"/>
      </w:pgBorders>
      <w:titlePg/>
      <w:docGrid w:linePitch="360"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EFF" w:usb1="C000785B" w:usb2="00000009" w:usb3="00000000" w:csb0="000001FF" w:csb1="00000000"/>
  </w:font>
  <w:font w:name="Aptos">
    <w:altName w:val="Arial"/>
    <w:panose1 w:val="00000000000000000000"/>
    <w:charset w:val="00"/>
    <w:family w:val="swiss"/>
    <w:pitch w:val="variable"/>
    <w:sig w:usb0="20000287" w:usb1="00000003" w:usb2="00000000" w:usb3="00000000" w:csb0="0000019F" w:csb1="00000000"/>
  </w:font>
  <w:font w:name="等线">
    <w:panose1 w:val="00000000000000000000"/>
    <w:charset w:val="00"/>
    <w:family w:val="auto"/>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等线 Light">
    <w:panose1 w:val="00000000000000000000"/>
    <w:charset w:val="00"/>
    <w:family w:val="auto"/>
    <w:pitch w:val="variable"/>
    <w:sig w:usb0="00000000" w:usb1="00000000" w:usb2="00000000" w:usb3="00000000" w:csb0="00000000" w:csb1="00000000"/>
  </w:font>
  <w:font w:name="Calibri">
    <w:panose1 w:val="020F0502020204030204"/>
    <w:charset w:val="00"/>
    <w:family w:val="swiss"/>
    <w:pitch w:val="variable"/>
    <w:sig w:usb0="E4002EFF" w:usb1="C000247B" w:usb2="00000009" w:usb3="00000000" w:csb0="000001FF" w:csb1="00000000"/>
  </w:font>
  <w:font w:name="宋体">
    <w:panose1 w:val="00000000000000000000"/>
    <w:charset w:val="00"/>
    <w:family w:val="auto"/>
    <w:pitch w:val="variable"/>
    <w:sig w:usb0="00000000" w:usb1="00000000" w:usb2="00000000" w:usb3="00000000" w:csb0="00000000" w:csb1="00000000"/>
  </w:font>
  <w:font w:name="Aptos Display">
    <w:altName w:val="Arial"/>
    <w:panose1 w:val="00000000000000000000"/>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header1.xml><?xml version="1.0" encoding="utf-8"?>
<w:hd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sdt>
    <w:sdtPr>
      <w:id w:val="98083834"/>
      <w:docPartObj>
        <w:docPartGallery/>
        <w:docPartUnique/>
      </w:docPartObj>
    </w:sdtPr>
    <w:sdtContent>
      <w:p>
        <w:pPr>
          <w:pStyle w:val="28"/>
          <w:tabs>
            <w:tab w:val="center" w:pos="4680"/>
            <w:tab w:val="right" w:pos="9360"/>
          </w:tabs>
          <w:jc w:val="right"/>
        </w:pPr>
        <w:r>
          <w:fldChar w:fldCharType="begin"/>
        </w:r>
        <w:r>
          <w:instrText xml:space="preserve"> PAGE   \* MERGEFORMAT </w:instrText>
        </w:r>
        <w:r>
          <w:fldChar w:fldCharType="separate"/>
        </w:r>
        <w:r>
          <w:fldChar w:fldCharType="end"/>
        </w:r>
      </w:p>
    </w:sdtContent>
  </w:sdt>
  <w:p>
    <w:pPr>
      <w:pStyle w:val="28"/>
      <w:tabs>
        <w:tab w:val="center" w:pos="4680"/>
        <w:tab w:val="right" w:pos="9360"/>
      </w:tabs>
    </w:pPr>
  </w:p>
</w:hd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xmlns:mc="http://schemas.openxmlformats.org/markup-compatibility/2006" xmlns:w14="http://schemas.microsoft.com/office/word/2010/wordml">
  <w:abstractNum w:abstractNumId="0">
    <w:multiLevelType w:val="hybridMultilevel"/>
    <w:tmpl w:val="D29072C8"/>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1">
    <w:multiLevelType w:val="hybridMultilevel"/>
    <w:tmpl w:val="52BC4A68"/>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2">
    <w:multiLevelType w:val="hybridMultilevel"/>
    <w:tmpl w:val="ADAAF1DE"/>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3">
    <w:multiLevelType w:val="hybridMultilevel"/>
    <w:tmpl w:val="B9C09782"/>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4">
    <w:multiLevelType w:val="hybridMultilevel"/>
    <w:tmpl w:val="60DC3496"/>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5">
    <w:multiLevelType w:val="hybridMultilevel"/>
    <w:tmpl w:val="7F2E91F6"/>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6">
    <w:multiLevelType w:val="hybridMultilevel"/>
    <w:tmpl w:val="4036B83A"/>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7">
    <w:multiLevelType w:val="hybridMultilevel"/>
    <w:tmpl w:val="DC2AB64A"/>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8">
    <w:multiLevelType w:val="hybridMultilevel"/>
    <w:tmpl w:val="7574417E"/>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9">
    <w:multiLevelType w:val="hybridMultilevel"/>
    <w:tmpl w:val="7F4604A0"/>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10">
    <w:multiLevelType w:val="multilevel"/>
    <w:tmpl w:val="08090025"/>
    <w:lvl w:ilvl="0">
      <w:start w:val="1"/>
      <w:numFmt w:val="decimal"/>
      <w:lvlRestart w:val="0"/>
      <w:pStyle w:val="1"/>
      <w:lvlText w:val="%1"/>
      <w:lvlJc w:val="left"/>
      <w:pPr>
        <w:tabs>
          <w:tab w:val="num" w:pos="0"/>
        </w:tabs>
        <w:ind w:left="432" w:hanging="432"/>
      </w:pPr>
    </w:lvl>
    <w:lvl w:ilvl="1">
      <w:start w:val="1"/>
      <w:numFmt w:val="decimal"/>
      <w:pStyle w:val="2"/>
      <w:lvlText w:val="%1.%2"/>
      <w:lvlJc w:val="left"/>
      <w:pPr>
        <w:tabs>
          <w:tab w:val="num" w:pos="0"/>
        </w:tabs>
        <w:ind w:left="576" w:hanging="576"/>
      </w:pPr>
    </w:lvl>
    <w:lvl w:ilvl="2">
      <w:start w:val="1"/>
      <w:numFmt w:val="decimal"/>
      <w:pStyle w:val="3"/>
      <w:lvlText w:val="%1.%2.%3"/>
      <w:lvlJc w:val="left"/>
      <w:pPr>
        <w:tabs>
          <w:tab w:val="num" w:pos="0"/>
        </w:tabs>
        <w:ind w:left="720" w:hanging="720"/>
      </w:pPr>
    </w:lvl>
    <w:lvl w:ilvl="3">
      <w:start w:val="1"/>
      <w:numFmt w:val="decimal"/>
      <w:pStyle w:val="4"/>
      <w:lvlText w:val="%1.%2.%3.%4"/>
      <w:lvlJc w:val="left"/>
      <w:pPr>
        <w:tabs>
          <w:tab w:val="num" w:pos="0"/>
        </w:tabs>
        <w:ind w:left="864" w:hanging="864"/>
      </w:pPr>
    </w:lvl>
    <w:lvl w:ilvl="4">
      <w:start w:val="1"/>
      <w:numFmt w:val="decimal"/>
      <w:pStyle w:val="5"/>
      <w:lvlText w:val="%1.%2.%3.%4.%5"/>
      <w:lvlJc w:val="left"/>
      <w:pPr>
        <w:tabs>
          <w:tab w:val="num" w:pos="0"/>
        </w:tabs>
        <w:ind w:left="1008" w:hanging="1008"/>
      </w:pPr>
    </w:lvl>
    <w:lvl w:ilvl="5">
      <w:start w:val="1"/>
      <w:numFmt w:val="decimal"/>
      <w:pStyle w:val="6"/>
      <w:lvlText w:val="%1.%2.%3.%4.%5.%6"/>
      <w:lvlJc w:val="left"/>
      <w:pPr>
        <w:tabs>
          <w:tab w:val="num" w:pos="0"/>
        </w:tabs>
        <w:ind w:left="1152" w:hanging="1152"/>
      </w:pPr>
    </w:lvl>
    <w:lvl w:ilvl="6">
      <w:start w:val="1"/>
      <w:numFmt w:val="decimal"/>
      <w:pStyle w:val="7"/>
      <w:lvlText w:val="%1.%2.%3.%4.%5.%6.%7"/>
      <w:lvlJc w:val="left"/>
      <w:pPr>
        <w:tabs>
          <w:tab w:val="num" w:pos="0"/>
        </w:tabs>
        <w:ind w:left="1296" w:hanging="1296"/>
      </w:pPr>
    </w:lvl>
    <w:lvl w:ilvl="7">
      <w:start w:val="1"/>
      <w:numFmt w:val="decimal"/>
      <w:pStyle w:val="8"/>
      <w:lvlText w:val="%1.%2.%3.%4.%5.%6.%7.%8"/>
      <w:lvlJc w:val="left"/>
      <w:pPr>
        <w:tabs>
          <w:tab w:val="num" w:pos="0"/>
        </w:tabs>
        <w:ind w:left="1440" w:hanging="1440"/>
      </w:pPr>
    </w:lvl>
    <w:lvl w:ilvl="8">
      <w:start w:val="1"/>
      <w:numFmt w:val="decimal"/>
      <w:pStyle w:val="9"/>
      <w:lvlText w:val="%1.%2.%3.%4.%5.%6.%7.%8.%9"/>
      <w:lvlJc w:val="left"/>
      <w:pPr>
        <w:tabs>
          <w:tab w:val="num" w:pos="0"/>
        </w:tabs>
        <w:ind w:left="1584" w:hanging="1584"/>
      </w:p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6"/>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before="160" w:after="160" w:line="360" w:lineRule="auto"/>
      <w:jc w:val="both"/>
    </w:pPr>
    <w:rPr>
      <w:rFonts w:ascii="Times New Roman" w:eastAsia="Aptos" w:cs="Arial" w:hAnsi="Times New Roman"/>
      <w:kern w:val="2"/>
      <w:sz w:val="24"/>
      <w:szCs w:val="22"/>
      <w:lang w:val="en-US" w:eastAsia="en-US" w:bidi="ar-SA"/>
    </w:rPr>
  </w:style>
  <w:style w:type="paragraph" w:styleId="1">
    <w:name w:val="heading 1"/>
    <w:basedOn w:val="0"/>
    <w:next w:val="0"/>
    <w:pPr>
      <w:keepNext/>
      <w:keepLines/>
      <w:numPr>
        <w:ilvl w:val="0"/>
        <w:numId w:val="11"/>
      </w:numPr>
      <w:spacing w:after="0"/>
      <w:outlineLvl w:val="0"/>
    </w:pPr>
    <w:rPr>
      <w:rFonts w:eastAsia="等线 Light" w:cs="Times New Roman"/>
      <w:b/>
      <w:i/>
      <w:color w:val="000000"/>
      <w:szCs w:val="40"/>
    </w:rPr>
  </w:style>
  <w:style w:type="paragraph" w:styleId="2">
    <w:name w:val="heading 2"/>
    <w:basedOn w:val="0"/>
    <w:next w:val="0"/>
    <w:pPr>
      <w:keepNext/>
      <w:keepLines/>
      <w:numPr>
        <w:ilvl w:val="1"/>
        <w:numId w:val="11"/>
      </w:numPr>
      <w:spacing w:after="0"/>
      <w:outlineLvl w:val="1"/>
    </w:pPr>
    <w:rPr>
      <w:rFonts w:eastAsia="等线 Light" w:cs="Times New Roman"/>
      <w:i/>
      <w:szCs w:val="32"/>
    </w:rPr>
  </w:style>
  <w:style w:type="paragraph" w:styleId="3">
    <w:name w:val="heading 3"/>
    <w:basedOn w:val="0"/>
    <w:next w:val="0"/>
    <w:pPr>
      <w:keepNext/>
      <w:keepLines/>
      <w:numPr>
        <w:ilvl w:val="2"/>
        <w:numId w:val="11"/>
      </w:numPr>
      <w:spacing w:after="80"/>
      <w:jc w:val="center"/>
      <w:outlineLvl w:val="2"/>
    </w:pPr>
    <w:rPr>
      <w:rFonts w:eastAsia="等线 Light" w:cs="Times New Roman"/>
      <w:szCs w:val="28"/>
    </w:rPr>
  </w:style>
  <w:style w:type="paragraph" w:styleId="4">
    <w:name w:val="heading 4"/>
    <w:basedOn w:val="0"/>
    <w:next w:val="0"/>
    <w:pPr>
      <w:keepNext/>
      <w:keepLines/>
      <w:numPr>
        <w:ilvl w:val="3"/>
        <w:numId w:val="11"/>
      </w:numPr>
      <w:spacing w:before="80" w:after="40"/>
      <w:outlineLvl w:val="3"/>
    </w:pPr>
    <w:rPr>
      <w:rFonts w:eastAsia="等线 Light" w:cs="Times New Roman"/>
      <w:i/>
      <w:iCs/>
      <w:color w:val="2E74B5"/>
    </w:rPr>
  </w:style>
  <w:style w:type="paragraph" w:styleId="5">
    <w:name w:val="heading 5"/>
    <w:basedOn w:val="0"/>
    <w:next w:val="0"/>
    <w:pPr>
      <w:keepNext/>
      <w:keepLines/>
      <w:numPr>
        <w:ilvl w:val="4"/>
        <w:numId w:val="11"/>
      </w:numPr>
      <w:spacing w:before="80" w:after="40"/>
      <w:outlineLvl w:val="4"/>
    </w:pPr>
    <w:rPr>
      <w:rFonts w:eastAsia="等线 Light" w:cs="Times New Roman"/>
      <w:color w:val="2E74B5"/>
    </w:rPr>
  </w:style>
  <w:style w:type="paragraph" w:styleId="6">
    <w:name w:val="heading 6"/>
    <w:basedOn w:val="0"/>
    <w:next w:val="0"/>
    <w:pPr>
      <w:keepNext/>
      <w:keepLines/>
      <w:numPr>
        <w:ilvl w:val="5"/>
        <w:numId w:val="11"/>
      </w:numPr>
      <w:spacing w:before="40" w:after="0"/>
      <w:outlineLvl w:val="5"/>
    </w:pPr>
    <w:rPr>
      <w:rFonts w:eastAsia="等线 Light" w:cs="Times New Roman"/>
      <w:i/>
      <w:iCs/>
      <w:color w:val="595959"/>
    </w:rPr>
  </w:style>
  <w:style w:type="paragraph" w:styleId="7">
    <w:name w:val="heading 7"/>
    <w:basedOn w:val="0"/>
    <w:next w:val="0"/>
    <w:pPr>
      <w:keepNext/>
      <w:keepLines/>
      <w:numPr>
        <w:ilvl w:val="6"/>
        <w:numId w:val="11"/>
      </w:numPr>
      <w:spacing w:before="40" w:after="0"/>
      <w:outlineLvl w:val="6"/>
    </w:pPr>
    <w:rPr>
      <w:rFonts w:eastAsia="等线 Light" w:cs="Times New Roman"/>
      <w:color w:val="595959"/>
    </w:rPr>
  </w:style>
  <w:style w:type="paragraph" w:styleId="8">
    <w:name w:val="heading 8"/>
    <w:basedOn w:val="0"/>
    <w:next w:val="0"/>
    <w:pPr>
      <w:keepNext/>
      <w:keepLines/>
      <w:numPr>
        <w:ilvl w:val="7"/>
        <w:numId w:val="11"/>
      </w:numPr>
      <w:spacing w:after="0"/>
      <w:outlineLvl w:val="7"/>
    </w:pPr>
    <w:rPr>
      <w:rFonts w:eastAsia="等线 Light" w:cs="Times New Roman"/>
      <w:i/>
      <w:iCs/>
      <w:color w:val="272727"/>
    </w:rPr>
  </w:style>
  <w:style w:type="paragraph" w:styleId="9">
    <w:name w:val="heading 9"/>
    <w:basedOn w:val="0"/>
    <w:next w:val="0"/>
    <w:pPr>
      <w:keepNext/>
      <w:keepLines/>
      <w:numPr>
        <w:ilvl w:val="8"/>
        <w:numId w:val="11"/>
      </w:numPr>
      <w:spacing w:after="0"/>
      <w:outlineLvl w:val="8"/>
    </w:pPr>
    <w:rPr>
      <w:rFonts w:eastAsia="等线 Light" w:cs="Times New Roman"/>
      <w:color w:val="272727"/>
    </w:rPr>
  </w:style>
  <w:style w:type="character" w:default="1" w:styleId="10">
    <w:name w:val="Default Paragraph Font"/>
  </w:style>
  <w:style w:type="paragraph" w:styleId="15">
    <w:name w:val="Title"/>
    <w:basedOn w:val="0"/>
    <w:next w:val="0"/>
    <w:pPr>
      <w:spacing w:after="80" w:line="240" w:lineRule="auto"/>
      <w:contextualSpacing/>
    </w:pPr>
    <w:rPr>
      <w:rFonts w:ascii="Aptos Display" w:eastAsia="等线 Light" w:cs="Times New Roman" w:hAnsi="Aptos Display"/>
      <w:spacing w:val="-10"/>
      <w:kern w:val="28"/>
      <w:sz w:val="56"/>
      <w:szCs w:val="56"/>
    </w:rPr>
  </w:style>
  <w:style w:type="paragraph" w:styleId="16">
    <w:name w:val="Subtitle"/>
    <w:basedOn w:val="0"/>
    <w:next w:val="0"/>
    <w:rPr>
      <w:rFonts w:eastAsia="等线 Light" w:cs="Times New Roman"/>
      <w:color w:val="595959"/>
      <w:spacing w:val="15"/>
      <w:sz w:val="28"/>
      <w:szCs w:val="28"/>
    </w:rPr>
  </w:style>
  <w:style w:type="paragraph" w:customStyle="1" w:styleId="17">
    <w:name w:val="Quote"/>
    <w:basedOn w:val="0"/>
    <w:next w:val="0"/>
    <w:pPr>
      <w:jc w:val="center"/>
    </w:pPr>
    <w:rPr>
      <w:i/>
      <w:iCs/>
      <w:color w:val="404040"/>
    </w:rPr>
  </w:style>
  <w:style w:type="paragraph" w:customStyle="1" w:styleId="18">
    <w:name w:val="List Paragraph"/>
    <w:basedOn w:val="0"/>
    <w:pPr>
      <w:ind w:left="720"/>
      <w:contextualSpacing/>
    </w:pPr>
  </w:style>
  <w:style w:type="character" w:customStyle="1" w:styleId="19">
    <w:name w:val="Intense Emphasis"/>
    <w:basedOn w:val="10"/>
    <w:rPr>
      <w:i/>
      <w:iCs/>
      <w:color w:val="2E74B5"/>
    </w:rPr>
  </w:style>
  <w:style w:type="paragraph" w:customStyle="1" w:styleId="20">
    <w:name w:val="Intense Quote"/>
    <w:basedOn w:val="0"/>
    <w:next w:val="0"/>
    <w:pPr>
      <w:pBdr>
        <w:top w:val="single" w:sz="4" w:space="10" w:color="2E74B5"/>
        <w:bottom w:val="single" w:sz="4" w:space="10" w:color="2E74B5"/>
      </w:pBdr>
      <w:spacing w:before="360" w:after="360"/>
      <w:ind w:left="864" w:right="864"/>
      <w:jc w:val="center"/>
    </w:pPr>
    <w:rPr>
      <w:i/>
      <w:iCs/>
      <w:color w:val="2E74B5"/>
    </w:rPr>
  </w:style>
  <w:style w:type="character" w:customStyle="1" w:styleId="21">
    <w:name w:val="Intense Reference"/>
    <w:basedOn w:val="10"/>
    <w:rPr>
      <w:b/>
      <w:bCs/>
      <w:caps w:val="0"/>
      <w:smallCaps/>
      <w:color w:val="2E74B5"/>
      <w:spacing w:val="5"/>
    </w:rPr>
  </w:style>
  <w:style w:type="character" w:styleId="22">
    <w:name w:val="Strong"/>
    <w:basedOn w:val="10"/>
    <w:rPr>
      <w:b/>
      <w:bCs/>
    </w:rPr>
  </w:style>
  <w:style w:type="character" w:styleId="23">
    <w:name w:val="Emphasis"/>
    <w:basedOn w:val="10"/>
    <w:rPr>
      <w:i/>
      <w:iCs/>
    </w:rPr>
  </w:style>
  <w:style w:type="paragraph" w:styleId="24">
    <w:name w:val="Normal (Web)"/>
    <w:basedOn w:val="0"/>
    <w:pPr>
      <w:spacing w:before="100" w:beforeAutospacing="1" w:after="100" w:afterAutospacing="1" w:line="240" w:lineRule="auto"/>
    </w:pPr>
    <w:rPr>
      <w:rFonts w:eastAsia="Times New Roman" w:cs="Times New Roman"/>
      <w:kern w:val="0"/>
      <w:szCs w:val="24"/>
      <w:lang w:val="en-GB" w:eastAsia="en-GB"/>
    </w:rPr>
  </w:style>
  <w:style w:type="paragraph" w:customStyle="1" w:styleId="25">
    <w:name w:val="No Spacing"/>
    <w:pPr>
      <w:spacing w:after="0" w:line="240" w:lineRule="auto"/>
    </w:pPr>
    <w:rPr>
      <w:rFonts w:ascii="Aptos" w:eastAsia="Aptos" w:cs="Arial" w:hAnsi="Aptos"/>
      <w:kern w:val="2"/>
      <w:sz w:val="22"/>
      <w:szCs w:val="22"/>
      <w:lang w:val="en-US" w:eastAsia="en-US" w:bidi="ar-SA"/>
    </w:rPr>
  </w:style>
  <w:style w:type="paragraph" w:styleId="26">
    <w:name w:val="caption"/>
    <w:basedOn w:val="0"/>
    <w:next w:val="0"/>
    <w:pPr>
      <w:spacing w:after="200" w:line="240" w:lineRule="auto"/>
    </w:pPr>
    <w:rPr>
      <w:i/>
      <w:iCs/>
      <w:color w:val="44546A"/>
      <w:sz w:val="18"/>
      <w:szCs w:val="18"/>
    </w:rPr>
  </w:style>
  <w:style w:type="character" w:styleId="27">
    <w:name w:val="Hyperlink"/>
    <w:basedOn w:val="10"/>
    <w:rPr>
      <w:color w:val="0563C1"/>
      <w:u w:val="single"/>
    </w:rPr>
  </w:style>
  <w:style w:type="paragraph" w:styleId="28">
    <w:name w:val="header"/>
    <w:basedOn w:val="0"/>
    <w:pPr>
      <w:tabs>
        <w:tab w:val="center" w:pos="4680"/>
        <w:tab w:val="right" w:pos="9360"/>
      </w:tabs>
      <w:spacing w:after="0" w:line="240" w:lineRule="auto"/>
    </w:pPr>
  </w:style>
  <w:style w:type="paragraph" w:styleId="29">
    <w:name w:val="footer"/>
    <w:basedOn w:val="0"/>
    <w:pPr>
      <w:tabs>
        <w:tab w:val="center" w:pos="4680"/>
        <w:tab w:val="right" w:pos="9360"/>
      </w:tabs>
      <w:spacing w:after="0" w:line="240" w:lineRule="auto"/>
    </w:pPr>
  </w:style>
  <w:style w:type="paragraph" w:customStyle="1" w:styleId="30">
    <w:name w:val="TOC Heading"/>
    <w:basedOn w:val="1"/>
    <w:next w:val="0"/>
    <w:pPr>
      <w:spacing w:before="240"/>
      <w:outlineLvl w:val="9"/>
    </w:pPr>
    <w:rPr>
      <w:kern w:val="0"/>
      <w:sz w:val="32"/>
      <w:szCs w:val="32"/>
    </w:rPr>
  </w:style>
  <w:style w:type="paragraph" w:styleId="31">
    <w:name w:val="toc 1"/>
    <w:basedOn w:val="0"/>
    <w:autoRedefine/>
    <w:next w:val="0"/>
    <w:pPr>
      <w:spacing w:after="100"/>
    </w:pPr>
  </w:style>
  <w:style w:type="paragraph" w:styleId="32">
    <w:name w:val="toc 2"/>
    <w:basedOn w:val="0"/>
    <w:autoRedefine/>
    <w:next w:val="0"/>
    <w:pPr>
      <w:tabs>
        <w:tab w:val="left" w:pos="960"/>
        <w:tab w:val="right" w:leader="dot" w:pos="9350"/>
      </w:tabs>
      <w:spacing w:after="100"/>
      <w:ind w:left="220"/>
    </w:pPr>
    <w:rPr>
      <w:rFonts w:eastAsia="Times New Roman" w:cs="Times New Roman"/>
      <w:b/>
      <w:bCs/>
      <w:lang w:val="en-GB" w:eastAsia="en-GB"/>
    </w:rPr>
  </w:style>
  <w:style w:type="paragraph" w:styleId="33">
    <w:name w:val="toc 3"/>
    <w:basedOn w:val="0"/>
    <w:autoRedefine/>
    <w:next w:val="0"/>
    <w:pPr>
      <w:spacing w:after="100"/>
      <w:ind w:left="440"/>
    </w:pPr>
  </w:style>
  <w:style w:type="character" w:customStyle="1" w:styleId="34">
    <w:name w:val="Unresolved Mention"/>
    <w:basedOn w:val="10"/>
    <w:rPr>
      <w:color w:val="605E5C"/>
      <w:shd w:val="clear" w:color="auto" w:fill="E1DFDD"/>
    </w:rPr>
  </w:style>
  <w:style w:type="character" w:styleId="35">
    <w:name w:val="annotation reference"/>
    <w:basedOn w:val="10"/>
    <w:rPr>
      <w:sz w:val="16"/>
      <w:szCs w:val="16"/>
    </w:rPr>
  </w:style>
  <w:style w:type="paragraph" w:styleId="36">
    <w:name w:val="annotation text"/>
    <w:basedOn w:val="0"/>
    <w:pPr>
      <w:spacing w:line="240" w:lineRule="auto"/>
    </w:pPr>
    <w:rPr>
      <w:sz w:val="20"/>
      <w:szCs w:val="20"/>
    </w:rPr>
  </w:style>
  <w:style w:type="paragraph" w:styleId="37">
    <w:name w:val="annotation subject"/>
    <w:basedOn w:val="36"/>
    <w:next w:val="36"/>
    <w:rPr>
      <w:b/>
      <w:bCs/>
    </w:rPr>
  </w:style>
  <w:style w:type="paragraph" w:styleId="38">
    <w:name w:val="Balloon Text"/>
    <w:basedOn w:val="0"/>
    <w:pPr>
      <w:spacing w:before="0" w:after="0" w:line="240" w:lineRule="auto"/>
    </w:pPr>
    <w:rPr>
      <w:rFonts w:ascii="Segoe UI" w:cs="Segoe UI" w:hAnsi="Segoe UI"/>
      <w:sz w:val="18"/>
      <w:szCs w:val="18"/>
    </w:rPr>
  </w:style>
  <w:style w:type="character" w:styleId="39">
    <w:name w:val="FollowedHyperlink"/>
    <w:basedOn w:val="10"/>
    <w:rPr>
      <w:color w:val="954F72"/>
      <w:u w:val="single"/>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header" Target="header1.xml"/><Relationship Id="rId3" Type="http://schemas.openxmlformats.org/officeDocument/2006/relationships/image" Target="media/2.jpg"/><Relationship Id="rId4" Type="http://schemas.openxmlformats.org/officeDocument/2006/relationships/image" Target="media/5.jpeg"/><Relationship Id="rId5" Type="http://schemas.openxmlformats.org/officeDocument/2006/relationships/image" Target="media/8.png"/><Relationship Id="rId6" Type="http://schemas.openxmlformats.org/officeDocument/2006/relationships/image" Target="media/11.png"/><Relationship Id="rId7" Type="http://schemas.openxmlformats.org/officeDocument/2006/relationships/image" Target="media/14.png"/><Relationship Id="rId8" Type="http://schemas.openxmlformats.org/officeDocument/2006/relationships/image" Target="media/17.png"/><Relationship Id="rId9" Type="http://schemas.openxmlformats.org/officeDocument/2006/relationships/image" Target="media/20.png"/><Relationship Id="rId10" Type="http://schemas.openxmlformats.org/officeDocument/2006/relationships/image" Target="media/23.png"/><Relationship Id="rId11" Type="http://schemas.openxmlformats.org/officeDocument/2006/relationships/styles" Target="styles.xml"/><Relationship Id="rId12" Type="http://schemas.openxmlformats.org/officeDocument/2006/relationships/numbering" Target="numbering.xml"/><Relationship Id="rId13" Type="http://schemas.openxmlformats.org/officeDocument/2006/relationships/fontTable" Target="fontTable.xml"/></Relationships>
</file>

<file path=docProps/app.xml><?xml version="1.0" encoding="utf-8"?>
<Properties xmlns="http://schemas.openxmlformats.org/officeDocument/2006/extended-properties">
  <Template>Normal.eit</Template>
  <TotalTime>5</TotalTime>
  <Application>Oppo_Office</Application>
  <Pages>48</Pages>
  <Words>7956</Words>
  <Characters>52004</Characters>
  <Lines>1126</Lines>
  <Paragraphs>313</Paragraphs>
  <CharactersWithSpaces>59701</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Mobile phone user</cp:lastModifiedBy>
  <cp:revision>1</cp:revision>
  <dcterms:created xsi:type="dcterms:W3CDTF">2025-02-04T11:30:00Z</dcterms:created>
  <dcterms:modified xsi:type="dcterms:W3CDTF">2025-03-04T12:13:40Z</dcterms:modified>
</cp:coreProperties>
</file>

<file path=docProps/custom.xml><?xml version="1.0" encoding="utf-8"?>
<Properties xmlns:vt="http://schemas.openxmlformats.org/officeDocument/2006/docPropsVTypes" xmlns="http://schemas.openxmlformats.org/officeDocument/2006/custom-properties">
  <property fmtid="{D5CDD505-2E9C-101B-9397-08002B2CF9AE}" pid="2" name="GrammarlyDocumentId">
    <vt:lpwstr>1c8c51b1115a4be94b977772732d7914a9a5c4d63b73e4fef79e18da87770d56</vt:lpwstr>
  </property>
</Properties>
</file>