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9ED20" w14:textId="58D52147" w:rsidR="00FC018A" w:rsidRDefault="006C7FD0" w:rsidP="00FC018A">
      <w:pPr>
        <w:spacing w:line="360" w:lineRule="auto"/>
      </w:pPr>
      <w:r>
        <w:t xml:space="preserve">By </w:t>
      </w:r>
      <w:r w:rsidR="00FC018A">
        <w:t>Thomas Braddock</w:t>
      </w:r>
    </w:p>
    <w:p w14:paraId="2121FE72" w14:textId="0A29D739" w:rsidR="00FC018A" w:rsidRDefault="00FC018A" w:rsidP="00FC018A">
      <w:pPr>
        <w:spacing w:line="360" w:lineRule="auto"/>
      </w:pPr>
      <w:r>
        <w:t xml:space="preserve">Word count: </w:t>
      </w:r>
      <w:r w:rsidR="004F5957">
        <w:t>4,</w:t>
      </w:r>
      <w:r w:rsidR="00B31B9C">
        <w:t>290</w:t>
      </w:r>
    </w:p>
    <w:p w14:paraId="6F781C13" w14:textId="02325417" w:rsidR="00FC018A" w:rsidRDefault="00FC018A" w:rsidP="00FC018A">
      <w:pPr>
        <w:spacing w:line="360" w:lineRule="auto"/>
        <w:ind w:left="720" w:hanging="360"/>
      </w:pPr>
    </w:p>
    <w:p w14:paraId="5FD0BA8A" w14:textId="77777777" w:rsidR="00B31B9C" w:rsidRDefault="00B31B9C" w:rsidP="00FC018A">
      <w:pPr>
        <w:spacing w:line="360" w:lineRule="auto"/>
        <w:ind w:left="720" w:hanging="360"/>
      </w:pPr>
    </w:p>
    <w:p w14:paraId="4AC01DDD" w14:textId="302B2BBD" w:rsidR="000E5B88" w:rsidRPr="00364AD5" w:rsidRDefault="000E5B88" w:rsidP="00FC018A">
      <w:pPr>
        <w:pStyle w:val="Nornal"/>
        <w:numPr>
          <w:ilvl w:val="0"/>
          <w:numId w:val="1"/>
        </w:numPr>
        <w:spacing w:line="360" w:lineRule="auto"/>
      </w:pPr>
      <w:r w:rsidRPr="00364AD5">
        <w:t>Evaluate the aims and objectives of employment regulation. (AC 1.1)</w:t>
      </w:r>
    </w:p>
    <w:p w14:paraId="5E15DF78" w14:textId="68BF788C" w:rsidR="000E5B88" w:rsidRPr="00542560" w:rsidRDefault="000E5B88" w:rsidP="00FC018A">
      <w:pPr>
        <w:pStyle w:val="Nornal"/>
        <w:spacing w:line="360" w:lineRule="auto"/>
      </w:pPr>
      <w:r w:rsidRPr="00542560">
        <w:t xml:space="preserve">CIPD (2023) state that employment regulation legalises relationships with employers and their workers. It helps both parties understand what is expected, what is reasonable for an employer to ask of their employees, </w:t>
      </w:r>
      <w:proofErr w:type="gramStart"/>
      <w:r w:rsidRPr="00542560">
        <w:t>and also</w:t>
      </w:r>
      <w:proofErr w:type="gramEnd"/>
      <w:r w:rsidRPr="00542560">
        <w:t xml:space="preserve"> their rights within the workplace. </w:t>
      </w:r>
    </w:p>
    <w:p w14:paraId="6418D028" w14:textId="70D692AA" w:rsidR="000E5B88" w:rsidRPr="00542560" w:rsidRDefault="000E5B88" w:rsidP="00FC018A">
      <w:pPr>
        <w:pStyle w:val="Nornal"/>
        <w:spacing w:line="360" w:lineRule="auto"/>
      </w:pPr>
      <w:r w:rsidRPr="00542560">
        <w:t>One aim of the employment regulation is justice, this is based around fairness and ensuring that organisations are following the correct procedures, for example, termination of contract</w:t>
      </w:r>
      <w:r w:rsidR="00EB3582" w:rsidRPr="00542560">
        <w:t xml:space="preserve"> (CIPD, 2021)</w:t>
      </w:r>
      <w:r w:rsidRPr="00542560">
        <w:t>. If an employee is terminated, organisations must follow procedures such as giving the employee the opportunity to respond to accusations, this ensures that both sides of the argument are heard and that reasonable opportunities are available for both parties to present their evidence before coming to a decision</w:t>
      </w:r>
      <w:r w:rsidR="00EB3582" w:rsidRPr="00542560">
        <w:t xml:space="preserve"> (Fortunato, 2016)</w:t>
      </w:r>
      <w:r w:rsidRPr="00542560">
        <w:t xml:space="preserve">. </w:t>
      </w:r>
    </w:p>
    <w:p w14:paraId="3F7C4677" w14:textId="45965FBA" w:rsidR="000E5B88" w:rsidRDefault="000E5B88" w:rsidP="00FC018A">
      <w:pPr>
        <w:pStyle w:val="Nornal"/>
        <w:spacing w:line="360" w:lineRule="auto"/>
      </w:pPr>
      <w:r w:rsidRPr="00542560">
        <w:t>Another aim of employment regulation is ensuring fairness through discrimination. For example, within the recruitment specialism, organisations should have an equal opportunities policy that ensures all applicants are treated fairly and selection processes are based purely on merit and nothing else. As a result, organisations are encouraged to document their shortlisting criteria, scoring and assessments to counter any challenge they may have from unsuccessful candidates.</w:t>
      </w:r>
      <w:r w:rsidR="00855BD8" w:rsidRPr="00542560">
        <w:t xml:space="preserve"> Should an applicant feel they have been discriminated against, they are protected and </w:t>
      </w:r>
      <w:proofErr w:type="gramStart"/>
      <w:r w:rsidR="00855BD8" w:rsidRPr="00542560">
        <w:t>have the ability to</w:t>
      </w:r>
      <w:proofErr w:type="gramEnd"/>
      <w:r w:rsidR="00855BD8" w:rsidRPr="00542560">
        <w:t xml:space="preserve"> claim against their potential employer</w:t>
      </w:r>
      <w:r w:rsidR="00A45DD9" w:rsidRPr="00542560">
        <w:t xml:space="preserve"> (UK Government, n.d.)</w:t>
      </w:r>
      <w:r w:rsidR="00855BD8" w:rsidRPr="00542560">
        <w:t>.</w:t>
      </w:r>
      <w:r w:rsidRPr="00FC018A">
        <w:t xml:space="preserve"> </w:t>
      </w:r>
    </w:p>
    <w:p w14:paraId="34E33DE9" w14:textId="77777777" w:rsidR="00542560" w:rsidRPr="00FC018A" w:rsidRDefault="00542560" w:rsidP="00FC018A">
      <w:pPr>
        <w:pStyle w:val="Nornal"/>
        <w:spacing w:line="360" w:lineRule="auto"/>
      </w:pPr>
    </w:p>
    <w:p w14:paraId="5C4C01EB" w14:textId="428CFBCB" w:rsidR="00451FF1" w:rsidRPr="00FC018A" w:rsidRDefault="000E5B88" w:rsidP="00FC018A">
      <w:pPr>
        <w:pStyle w:val="Nornal"/>
        <w:numPr>
          <w:ilvl w:val="0"/>
          <w:numId w:val="1"/>
        </w:numPr>
        <w:spacing w:line="360" w:lineRule="auto"/>
      </w:pPr>
      <w:r w:rsidRPr="00FC018A">
        <w:t>Examine the role played by the tribunal and courts system in enforcing employment law. (AC 1.2)</w:t>
      </w:r>
    </w:p>
    <w:p w14:paraId="34D7B74D" w14:textId="6A964449" w:rsidR="00855BD8" w:rsidRPr="00542560" w:rsidRDefault="00451FF1" w:rsidP="00FC018A">
      <w:pPr>
        <w:pStyle w:val="Nornal"/>
        <w:spacing w:line="360" w:lineRule="auto"/>
      </w:pPr>
      <w:r w:rsidRPr="00542560">
        <w:t>The tribunal and courts system play a very important role when it comes to enforcing employment law. Whilst employees must first contact ACAS, employment tribunals normally handle claims from employees against their employer, these are often around equal pay, discrimination, and unfair or wrongful dismissals (CIPD, 202</w:t>
      </w:r>
      <w:r w:rsidR="00A45DD9" w:rsidRPr="00542560">
        <w:t>1</w:t>
      </w:r>
      <w:r w:rsidRPr="00542560">
        <w:t xml:space="preserve">). </w:t>
      </w:r>
      <w:r w:rsidR="00855BD8" w:rsidRPr="00542560">
        <w:t>The system ensures fairness between employees and employers, it gives the employee a voice against a big organisation that may not be heard otherwise. It also ensures that organisations do not abuse their power as employers and treats their workforce fairly within the law. There is also an argument to suggest that the system plays an important part in ensuring an equitable workforce within the UK as minority groups are protected</w:t>
      </w:r>
      <w:r w:rsidR="00A45DD9" w:rsidRPr="00542560">
        <w:t xml:space="preserve"> (Equality and Human Rights Commission, 2011)</w:t>
      </w:r>
      <w:r w:rsidR="00855BD8" w:rsidRPr="00542560">
        <w:t>.</w:t>
      </w:r>
    </w:p>
    <w:p w14:paraId="59CE3523" w14:textId="0776B6D1" w:rsidR="000E5B88" w:rsidRDefault="00855BD8" w:rsidP="00FC018A">
      <w:pPr>
        <w:pStyle w:val="Nornal"/>
        <w:spacing w:line="360" w:lineRule="auto"/>
      </w:pPr>
      <w:proofErr w:type="gramStart"/>
      <w:r w:rsidRPr="00542560">
        <w:lastRenderedPageBreak/>
        <w:t>In order to</w:t>
      </w:r>
      <w:proofErr w:type="gramEnd"/>
      <w:r w:rsidRPr="00542560">
        <w:t xml:space="preserve"> submit a case to employment tribunal, the claimant must firstly submit an ET1 claim form. An ET1 form is for an individual, ET1a form for those who are part of a group, who feel that they have been treated unfairly, this can be from their employer, potential future employer, or trade union (HM Courts &amp; Tribunals Service, 2017). This form is then sent to the employer who then decides whether to respond or defend the allegations. Either way, the </w:t>
      </w:r>
      <w:proofErr w:type="gramStart"/>
      <w:r w:rsidRPr="00542560">
        <w:t>employee</w:t>
      </w:r>
      <w:proofErr w:type="gramEnd"/>
      <w:r w:rsidRPr="00542560">
        <w:t xml:space="preserve"> and the employer both have the opportunity to appeal any decision from the employment tribunal. The process gives both sides the opportunity to progress their claims to the Court of Appeal, and should </w:t>
      </w:r>
      <w:r w:rsidR="004F5957">
        <w:t xml:space="preserve">the case </w:t>
      </w:r>
      <w:r w:rsidRPr="00542560">
        <w:t>require it, the Supreme Court.</w:t>
      </w:r>
    </w:p>
    <w:p w14:paraId="46BF9736" w14:textId="3B72444F" w:rsidR="00AF6BFF" w:rsidRPr="00A507F2" w:rsidRDefault="00AF6BFF" w:rsidP="00AF6BFF">
      <w:pPr>
        <w:pStyle w:val="Nornal"/>
        <w:spacing w:line="360" w:lineRule="auto"/>
        <w:rPr>
          <w:color w:val="FF0000"/>
        </w:rPr>
      </w:pPr>
      <w:r w:rsidRPr="00A507F2">
        <w:rPr>
          <w:color w:val="FF0000"/>
        </w:rPr>
        <w:t xml:space="preserve">Whilst most employment related law is governed by civil law, there are instances where criminal law applies to employment matters and cases are taken through the crown court. For example, Health and Safety at Work Act 1974. An example of this is HSE v Compass Engineering LTD and Kaltenbach LTD (2011), </w:t>
      </w:r>
      <w:r w:rsidR="00A507F2" w:rsidRPr="00A507F2">
        <w:rPr>
          <w:color w:val="FF0000"/>
        </w:rPr>
        <w:t xml:space="preserve">where </w:t>
      </w:r>
      <w:r w:rsidRPr="00A507F2">
        <w:rPr>
          <w:color w:val="FF0000"/>
        </w:rPr>
        <w:t xml:space="preserve">an employee was taken through a 12.5cm gap </w:t>
      </w:r>
      <w:r w:rsidR="00A82AEA">
        <w:rPr>
          <w:color w:val="FF0000"/>
        </w:rPr>
        <w:t xml:space="preserve">because </w:t>
      </w:r>
      <w:r w:rsidRPr="00A507F2">
        <w:rPr>
          <w:color w:val="FF0000"/>
        </w:rPr>
        <w:t>of insufficient guarding</w:t>
      </w:r>
      <w:r w:rsidR="00A82AEA">
        <w:rPr>
          <w:color w:val="FF0000"/>
        </w:rPr>
        <w:t>.</w:t>
      </w:r>
      <w:r w:rsidRPr="00A507F2">
        <w:rPr>
          <w:color w:val="FF0000"/>
        </w:rPr>
        <w:t xml:space="preserve"> Compass and Kaltenbach were both fined for breaching this act through criminal law proceedings in the crown court</w:t>
      </w:r>
      <w:r w:rsidR="00C45362">
        <w:rPr>
          <w:color w:val="FF0000"/>
        </w:rPr>
        <w:t xml:space="preserve"> </w:t>
      </w:r>
      <w:sdt>
        <w:sdtPr>
          <w:rPr>
            <w:color w:val="FF0000"/>
          </w:rPr>
          <w:id w:val="-1955167565"/>
          <w:citation/>
        </w:sdtPr>
        <w:sdtContent>
          <w:r w:rsidR="00C45362">
            <w:rPr>
              <w:color w:val="FF0000"/>
            </w:rPr>
            <w:fldChar w:fldCharType="begin"/>
          </w:r>
          <w:r w:rsidR="00C45362">
            <w:rPr>
              <w:color w:val="FF0000"/>
            </w:rPr>
            <w:instrText xml:space="preserve"> CITATION Dan19 \l 2057 </w:instrText>
          </w:r>
          <w:r w:rsidR="00C45362">
            <w:rPr>
              <w:color w:val="FF0000"/>
            </w:rPr>
            <w:fldChar w:fldCharType="separate"/>
          </w:r>
          <w:r w:rsidR="00C45362" w:rsidRPr="00C45362">
            <w:rPr>
              <w:noProof/>
              <w:color w:val="FF0000"/>
            </w:rPr>
            <w:t>(Daniels, 2019)</w:t>
          </w:r>
          <w:r w:rsidR="00C45362">
            <w:rPr>
              <w:color w:val="FF0000"/>
            </w:rPr>
            <w:fldChar w:fldCharType="end"/>
          </w:r>
        </w:sdtContent>
      </w:sdt>
      <w:r w:rsidRPr="00A507F2">
        <w:rPr>
          <w:color w:val="FF0000"/>
        </w:rPr>
        <w:t>.</w:t>
      </w:r>
    </w:p>
    <w:p w14:paraId="62A9B00A" w14:textId="2C03FFB2" w:rsidR="008525A4" w:rsidRPr="00C45362" w:rsidRDefault="00A507F2" w:rsidP="00FC018A">
      <w:pPr>
        <w:pStyle w:val="Nornal"/>
        <w:spacing w:line="360" w:lineRule="auto"/>
        <w:rPr>
          <w:color w:val="FF0000"/>
        </w:rPr>
      </w:pPr>
      <w:r w:rsidRPr="001F583F">
        <w:rPr>
          <w:color w:val="FF0000"/>
        </w:rPr>
        <w:t xml:space="preserve">County Courts also hear employment related cases, instead these will be </w:t>
      </w:r>
      <w:r w:rsidR="001F583F" w:rsidRPr="001F583F">
        <w:rPr>
          <w:color w:val="FF0000"/>
        </w:rPr>
        <w:t>common law disputes such as breach of contract. In addition, claims of work-related and mental health problems against employers can be heard through the county court</w:t>
      </w:r>
      <w:r w:rsidR="001F583F">
        <w:rPr>
          <w:color w:val="FF0000"/>
        </w:rPr>
        <w:t xml:space="preserve"> </w:t>
      </w:r>
      <w:sdt>
        <w:sdtPr>
          <w:rPr>
            <w:color w:val="FF0000"/>
          </w:rPr>
          <w:id w:val="-699091414"/>
          <w:citation/>
        </w:sdtPr>
        <w:sdtContent>
          <w:r w:rsidR="001F583F">
            <w:rPr>
              <w:color w:val="FF0000"/>
            </w:rPr>
            <w:fldChar w:fldCharType="begin"/>
          </w:r>
          <w:r w:rsidR="001F583F">
            <w:rPr>
              <w:color w:val="FF0000"/>
            </w:rPr>
            <w:instrText xml:space="preserve"> CITATION CIP212 \l 2057 </w:instrText>
          </w:r>
          <w:r w:rsidR="001F583F">
            <w:rPr>
              <w:color w:val="FF0000"/>
            </w:rPr>
            <w:fldChar w:fldCharType="separate"/>
          </w:r>
          <w:r w:rsidR="001F583F" w:rsidRPr="001F583F">
            <w:rPr>
              <w:noProof/>
              <w:color w:val="FF0000"/>
            </w:rPr>
            <w:t>(CIPD, 2021)</w:t>
          </w:r>
          <w:r w:rsidR="001F583F">
            <w:rPr>
              <w:color w:val="FF0000"/>
            </w:rPr>
            <w:fldChar w:fldCharType="end"/>
          </w:r>
        </w:sdtContent>
      </w:sdt>
      <w:r w:rsidR="001F583F" w:rsidRPr="001F583F">
        <w:rPr>
          <w:color w:val="FF0000"/>
        </w:rPr>
        <w:t>.</w:t>
      </w:r>
    </w:p>
    <w:p w14:paraId="3FB9B2DC" w14:textId="77777777" w:rsidR="00FC018A" w:rsidRPr="00FC018A" w:rsidRDefault="00FC018A" w:rsidP="00FC018A">
      <w:pPr>
        <w:pStyle w:val="Nornal"/>
        <w:spacing w:line="360" w:lineRule="auto"/>
      </w:pPr>
    </w:p>
    <w:p w14:paraId="76617F78" w14:textId="0ADC3226" w:rsidR="000E5B88" w:rsidRPr="00FC018A" w:rsidRDefault="000E5B88" w:rsidP="00FC018A">
      <w:pPr>
        <w:pStyle w:val="Nornal"/>
        <w:numPr>
          <w:ilvl w:val="0"/>
          <w:numId w:val="1"/>
        </w:numPr>
        <w:spacing w:line="360" w:lineRule="auto"/>
      </w:pPr>
      <w:r w:rsidRPr="00FC018A">
        <w:t>Explain how cases are settled before and during legal procedures. (AC 1.3)</w:t>
      </w:r>
    </w:p>
    <w:p w14:paraId="16592FC0" w14:textId="28A80F0E" w:rsidR="00451FF1" w:rsidRPr="00FC018A" w:rsidRDefault="00451FF1" w:rsidP="00FC018A">
      <w:pPr>
        <w:pStyle w:val="Nornal"/>
        <w:spacing w:line="360" w:lineRule="auto"/>
      </w:pPr>
      <w:r w:rsidRPr="00FC018A">
        <w:t xml:space="preserve">Employees </w:t>
      </w:r>
      <w:r w:rsidR="00BA6468">
        <w:t xml:space="preserve">should </w:t>
      </w:r>
      <w:r w:rsidRPr="00FC018A">
        <w:t>submit a formal request to ACAS before considering going to an employment tribunal (CIPD, 202</w:t>
      </w:r>
      <w:r w:rsidR="00A45DD9" w:rsidRPr="00FC018A">
        <w:t>1</w:t>
      </w:r>
      <w:r w:rsidRPr="00FC018A">
        <w:t xml:space="preserve">). By doing this, ACAS may be able to work with both parties to find a resolution that suits both sides, should they both agree to it. This shows that ACAS play an important role in trying to settle cases before they reach formal legal proceedings, however, this is not always the case and </w:t>
      </w:r>
      <w:r w:rsidR="006C6D08" w:rsidRPr="00FC018A">
        <w:t>often</w:t>
      </w:r>
      <w:r w:rsidRPr="00FC018A">
        <w:t xml:space="preserve"> cases will go all the way</w:t>
      </w:r>
      <w:r w:rsidR="006C6D08" w:rsidRPr="00FC018A">
        <w:t xml:space="preserve"> through</w:t>
      </w:r>
      <w:r w:rsidRPr="00FC018A">
        <w:t xml:space="preserve"> to court</w:t>
      </w:r>
      <w:r w:rsidR="006C6D08" w:rsidRPr="00FC018A">
        <w:t xml:space="preserve"> and employment tribunals</w:t>
      </w:r>
      <w:r w:rsidR="00A45DD9" w:rsidRPr="00FC018A">
        <w:t xml:space="preserve"> </w:t>
      </w:r>
      <w:sdt>
        <w:sdtPr>
          <w:id w:val="842674928"/>
          <w:citation/>
        </w:sdtPr>
        <w:sdtEndPr/>
        <w:sdtContent>
          <w:r w:rsidR="00A45DD9" w:rsidRPr="00FC018A">
            <w:fldChar w:fldCharType="begin"/>
          </w:r>
          <w:r w:rsidR="00A45DD9" w:rsidRPr="00FC018A">
            <w:instrText xml:space="preserve"> CITATION ACA232 \l 2057 </w:instrText>
          </w:r>
          <w:r w:rsidR="00A45DD9" w:rsidRPr="00FC018A">
            <w:fldChar w:fldCharType="separate"/>
          </w:r>
          <w:r w:rsidR="00A45DD9" w:rsidRPr="00FC018A">
            <w:rPr>
              <w:noProof/>
            </w:rPr>
            <w:t>(ACAS, n.d.)</w:t>
          </w:r>
          <w:r w:rsidR="00A45DD9" w:rsidRPr="00FC018A">
            <w:fldChar w:fldCharType="end"/>
          </w:r>
        </w:sdtContent>
      </w:sdt>
      <w:r w:rsidRPr="00FC018A">
        <w:t>. In the first instance, ACAS will always seek to find out if the claimant would be open to an early resolution. If this is the case, ACAS will work with the claimant to gain all the necessary evidence and information to then work with the complaint to seek early an early resolution from them too. Should this happen, the conciliator will invite both parties to communicate and come to an early resolution. This resolution is known as a COT3</w:t>
      </w:r>
      <w:r w:rsidR="006C6D08" w:rsidRPr="00FC018A">
        <w:t>,</w:t>
      </w:r>
      <w:r w:rsidRPr="00FC018A">
        <w:t xml:space="preserve"> and once the form has been signed, the case ends and is resolved before legal proceedings.</w:t>
      </w:r>
    </w:p>
    <w:p w14:paraId="1D21280E" w14:textId="79E6477E" w:rsidR="000E5B88" w:rsidRDefault="00BA6468" w:rsidP="00FC018A">
      <w:pPr>
        <w:pStyle w:val="Nornal"/>
        <w:spacing w:line="360" w:lineRule="auto"/>
      </w:pPr>
      <w:r>
        <w:rPr>
          <w:color w:val="FF0000"/>
        </w:rPr>
        <w:t>Cases</w:t>
      </w:r>
      <w:r w:rsidR="006C6D08" w:rsidRPr="00D04C32">
        <w:rPr>
          <w:color w:val="FF0000"/>
        </w:rPr>
        <w:t xml:space="preserve"> </w:t>
      </w:r>
      <w:r w:rsidR="008525A4" w:rsidRPr="00D04C32">
        <w:rPr>
          <w:color w:val="FF0000"/>
        </w:rPr>
        <w:t>can</w:t>
      </w:r>
      <w:r w:rsidR="006C6D08" w:rsidRPr="00D04C32">
        <w:rPr>
          <w:color w:val="FF0000"/>
        </w:rPr>
        <w:t xml:space="preserve"> </w:t>
      </w:r>
      <w:r w:rsidR="008525A4" w:rsidRPr="00D04C32">
        <w:rPr>
          <w:color w:val="FF0000"/>
        </w:rPr>
        <w:t>also be</w:t>
      </w:r>
      <w:r w:rsidR="006C6D08" w:rsidRPr="00D04C32">
        <w:rPr>
          <w:color w:val="FF0000"/>
        </w:rPr>
        <w:t xml:space="preserve"> settled through a settlement agreement</w:t>
      </w:r>
      <w:r w:rsidR="008525A4" w:rsidRPr="00D04C32">
        <w:rPr>
          <w:color w:val="FF0000"/>
        </w:rPr>
        <w:t xml:space="preserve"> before they reach a hearing (Daniels, 2022)</w:t>
      </w:r>
      <w:r w:rsidR="006C6D08" w:rsidRPr="00D04C32">
        <w:rPr>
          <w:color w:val="FF0000"/>
        </w:rPr>
        <w:t xml:space="preserve">. </w:t>
      </w:r>
      <w:r w:rsidR="00A82AEA">
        <w:t>This</w:t>
      </w:r>
      <w:r w:rsidR="006C6D08" w:rsidRPr="00FC018A">
        <w:t xml:space="preserve"> is</w:t>
      </w:r>
      <w:r w:rsidR="00A82AEA">
        <w:t xml:space="preserve"> </w:t>
      </w:r>
      <w:r w:rsidR="006C6D08" w:rsidRPr="00FC018A">
        <w:t>legally binding</w:t>
      </w:r>
      <w:r w:rsidR="00A82AEA">
        <w:t xml:space="preserve"> process</w:t>
      </w:r>
      <w:r w:rsidR="006C6D08" w:rsidRPr="00FC018A">
        <w:t xml:space="preserve"> that ensures employment ends through a legally binding contract</w:t>
      </w:r>
      <w:r w:rsidR="00A82AEA">
        <w:t xml:space="preserve"> and</w:t>
      </w:r>
      <w:r w:rsidR="006C6D08" w:rsidRPr="00FC018A">
        <w:t xml:space="preserve"> that the claimant will not sue the employer, normally </w:t>
      </w:r>
      <w:r w:rsidR="006C6D08" w:rsidRPr="00FC018A">
        <w:lastRenderedPageBreak/>
        <w:t>accompanied with a</w:t>
      </w:r>
      <w:r>
        <w:t xml:space="preserve"> financial</w:t>
      </w:r>
      <w:r w:rsidR="006C6D08" w:rsidRPr="00FC018A">
        <w:t xml:space="preserve"> payment</w:t>
      </w:r>
      <w:r w:rsidR="00A82AEA">
        <w:t xml:space="preserve"> and confidentiality</w:t>
      </w:r>
      <w:r w:rsidR="006C6D08" w:rsidRPr="00FC018A">
        <w:t xml:space="preserve"> (CIPD, 2022). To reach this</w:t>
      </w:r>
      <w:r w:rsidR="00A82AEA">
        <w:t xml:space="preserve">, </w:t>
      </w:r>
      <w:r w:rsidR="006C6D08" w:rsidRPr="00FC018A">
        <w:t>both sides will negotiate and argue to achieve their desired outcome</w:t>
      </w:r>
      <w:r w:rsidR="00F86522">
        <w:t xml:space="preserve">. </w:t>
      </w:r>
      <w:r w:rsidR="006C6D08" w:rsidRPr="00FC018A">
        <w:t>Should both sides agre</w:t>
      </w:r>
      <w:r w:rsidR="00A82AEA">
        <w:t>e an outcome</w:t>
      </w:r>
      <w:r w:rsidR="006C6D08" w:rsidRPr="00FC018A">
        <w:t xml:space="preserve">, the case becomes resolved </w:t>
      </w:r>
      <w:r w:rsidR="00D718B9">
        <w:rPr>
          <w:color w:val="FF0000"/>
        </w:rPr>
        <w:t>and the agreement is the same as a COT3, whereby the parties cannot take the claim further (Daniels, 2022)</w:t>
      </w:r>
      <w:r w:rsidR="006C6D08" w:rsidRPr="00FC018A">
        <w:t>. It is also worth noting that all discussions relating to a settlement agreement are done on a ‘without prejudice’ basis, so anything said in conversations during this time cannot be used in court as evidence, should the argument go that far.</w:t>
      </w:r>
    </w:p>
    <w:p w14:paraId="3B62823C" w14:textId="3824C000" w:rsidR="00BA6468" w:rsidRDefault="00BA6468" w:rsidP="00FC018A">
      <w:pPr>
        <w:pStyle w:val="Nornal"/>
        <w:spacing w:line="360" w:lineRule="auto"/>
        <w:rPr>
          <w:color w:val="FF0000"/>
        </w:rPr>
      </w:pPr>
      <w:r>
        <w:rPr>
          <w:color w:val="FF0000"/>
        </w:rPr>
        <w:t xml:space="preserve">Judicial mediation is </w:t>
      </w:r>
      <w:r w:rsidR="00B45C09">
        <w:rPr>
          <w:color w:val="FF0000"/>
        </w:rPr>
        <w:t xml:space="preserve">another way of settling before a case is heard in an employment tribunal. An employment judge will read the documentation for the claim, and if they think the case can be settled through mediation, it is suggested (Daniels, 2022). If both parties agree, their case is </w:t>
      </w:r>
      <w:r w:rsidR="0061275A">
        <w:rPr>
          <w:color w:val="FF0000"/>
        </w:rPr>
        <w:t>brought before an employment judge who is trained in mediation to facilitate an agreement. If successful, the claim is resolved, however, if this is unsuccessful, the case will go onto a full hearing (CIPD, 2022).</w:t>
      </w:r>
    </w:p>
    <w:p w14:paraId="05930B72" w14:textId="77777777" w:rsidR="00BA6468" w:rsidRPr="00FC018A" w:rsidRDefault="00BA6468" w:rsidP="00FC018A">
      <w:pPr>
        <w:pStyle w:val="Nornal"/>
        <w:spacing w:line="360" w:lineRule="auto"/>
      </w:pPr>
    </w:p>
    <w:p w14:paraId="15640360" w14:textId="77777777" w:rsidR="000E5B88" w:rsidRPr="00FC018A" w:rsidRDefault="000E5B88" w:rsidP="00FC018A">
      <w:pPr>
        <w:pStyle w:val="Nornal"/>
        <w:spacing w:line="360" w:lineRule="auto"/>
      </w:pPr>
      <w:r w:rsidRPr="00FC018A">
        <w:t>And provide tailored advice for each of the following scenarios:</w:t>
      </w:r>
    </w:p>
    <w:p w14:paraId="2F9A627F" w14:textId="55F14490" w:rsidR="00BC3290" w:rsidRPr="00542560" w:rsidRDefault="000E5B88" w:rsidP="00FC018A">
      <w:pPr>
        <w:pStyle w:val="Nornal"/>
        <w:numPr>
          <w:ilvl w:val="0"/>
          <w:numId w:val="1"/>
        </w:numPr>
        <w:spacing w:line="360" w:lineRule="auto"/>
      </w:pPr>
      <w:bookmarkStart w:id="0" w:name="_Hlk123122771"/>
      <w:r w:rsidRPr="00542560">
        <w:t xml:space="preserve">Charlotte and Madeleine </w:t>
      </w:r>
      <w:bookmarkEnd w:id="0"/>
      <w:r w:rsidRPr="00542560">
        <w:t xml:space="preserve">are aware discrimination legislation exists. They are unsure how this might affect their approach to recruitment and selection of employees for their two new branch openings. They want to avoid dealing with retirement and do not want their business disrupted by employees taking maternity leave. To overcome this, they decide to appoint young men. Advise them on the decision of appointing young men only. (AC 2.1) </w:t>
      </w:r>
    </w:p>
    <w:p w14:paraId="2BE370F8" w14:textId="3127E381" w:rsidR="00855BD8" w:rsidRPr="00542560" w:rsidRDefault="00855BD8" w:rsidP="00FC018A">
      <w:pPr>
        <w:spacing w:line="360" w:lineRule="auto"/>
        <w:rPr>
          <w:rFonts w:ascii="Arial" w:hAnsi="Arial" w:cs="Arial"/>
          <w:sz w:val="22"/>
          <w:szCs w:val="22"/>
        </w:rPr>
      </w:pPr>
      <w:r w:rsidRPr="00542560">
        <w:rPr>
          <w:rFonts w:ascii="Arial" w:hAnsi="Arial" w:cs="Arial"/>
          <w:sz w:val="22"/>
          <w:szCs w:val="22"/>
        </w:rPr>
        <w:t>There are different types of discrimination, for example, direct, indirect, associative, perception, harassment, and victimisation</w:t>
      </w:r>
      <w:r w:rsidR="00A45DD9" w:rsidRPr="00542560">
        <w:rPr>
          <w:rFonts w:ascii="Arial" w:hAnsi="Arial" w:cs="Arial"/>
          <w:sz w:val="22"/>
          <w:szCs w:val="22"/>
        </w:rPr>
        <w:t xml:space="preserve"> (Falconer, 2020)</w:t>
      </w:r>
      <w:r w:rsidRPr="00542560">
        <w:rPr>
          <w:rFonts w:ascii="Arial" w:hAnsi="Arial" w:cs="Arial"/>
          <w:sz w:val="22"/>
          <w:szCs w:val="22"/>
        </w:rPr>
        <w:t>. Direct discrimination is when an individual, or group, are treated a particular way because of their link to a protected characteristic, for example, the colour of their skin. However, indirect discrimination is when an individual, or group, is disadvantaged or treated differently because of an action or policy that is used for everyone. An associative discrimination claim may see someone who is linked to an induvial from a protected group and as a result, they have received discrimination because of their association with the person, or group</w:t>
      </w:r>
      <w:r w:rsidR="00A45DD9" w:rsidRPr="00542560">
        <w:rPr>
          <w:rFonts w:ascii="Arial" w:hAnsi="Arial" w:cs="Arial"/>
          <w:sz w:val="22"/>
          <w:szCs w:val="22"/>
        </w:rPr>
        <w:t xml:space="preserve"> </w:t>
      </w:r>
      <w:sdt>
        <w:sdtPr>
          <w:rPr>
            <w:rFonts w:ascii="Arial" w:hAnsi="Arial" w:cs="Arial"/>
            <w:sz w:val="22"/>
            <w:szCs w:val="22"/>
          </w:rPr>
          <w:id w:val="28610141"/>
          <w:citation/>
        </w:sdtPr>
        <w:sdtEndPr/>
        <w:sdtContent>
          <w:r w:rsidR="00A45DD9" w:rsidRPr="00542560">
            <w:rPr>
              <w:rFonts w:ascii="Arial" w:hAnsi="Arial" w:cs="Arial"/>
              <w:sz w:val="22"/>
              <w:szCs w:val="22"/>
            </w:rPr>
            <w:fldChar w:fldCharType="begin"/>
          </w:r>
          <w:r w:rsidR="00A45DD9" w:rsidRPr="00542560">
            <w:rPr>
              <w:rFonts w:ascii="Arial" w:hAnsi="Arial" w:cs="Arial"/>
              <w:sz w:val="22"/>
              <w:szCs w:val="22"/>
            </w:rPr>
            <w:instrText xml:space="preserve"> CITATION Uni23 \l 2057 </w:instrText>
          </w:r>
          <w:r w:rsidR="00A45DD9" w:rsidRPr="00542560">
            <w:rPr>
              <w:rFonts w:ascii="Arial" w:hAnsi="Arial" w:cs="Arial"/>
              <w:sz w:val="22"/>
              <w:szCs w:val="22"/>
            </w:rPr>
            <w:fldChar w:fldCharType="separate"/>
          </w:r>
          <w:r w:rsidR="00A45DD9" w:rsidRPr="00542560">
            <w:rPr>
              <w:rFonts w:ascii="Arial" w:hAnsi="Arial" w:cs="Arial"/>
              <w:noProof/>
              <w:sz w:val="22"/>
              <w:szCs w:val="22"/>
            </w:rPr>
            <w:t>(University Of Cambridge, 2023)</w:t>
          </w:r>
          <w:r w:rsidR="00A45DD9" w:rsidRPr="00542560">
            <w:rPr>
              <w:rFonts w:ascii="Arial" w:hAnsi="Arial" w:cs="Arial"/>
              <w:sz w:val="22"/>
              <w:szCs w:val="22"/>
            </w:rPr>
            <w:fldChar w:fldCharType="end"/>
          </w:r>
        </w:sdtContent>
      </w:sdt>
      <w:r w:rsidR="00A45DD9" w:rsidRPr="00542560">
        <w:rPr>
          <w:rFonts w:ascii="Arial" w:hAnsi="Arial" w:cs="Arial"/>
          <w:sz w:val="22"/>
          <w:szCs w:val="22"/>
        </w:rPr>
        <w:t>.</w:t>
      </w:r>
    </w:p>
    <w:p w14:paraId="54B449A4" w14:textId="237A07A0" w:rsidR="00855BD8" w:rsidRPr="00542560" w:rsidRDefault="00855BD8" w:rsidP="00FC018A">
      <w:pPr>
        <w:spacing w:line="360" w:lineRule="auto"/>
        <w:rPr>
          <w:rFonts w:ascii="Arial" w:hAnsi="Arial" w:cs="Arial"/>
          <w:sz w:val="22"/>
          <w:szCs w:val="22"/>
        </w:rPr>
      </w:pPr>
    </w:p>
    <w:p w14:paraId="27FCDD5B" w14:textId="3E382FDC" w:rsidR="00BC3290" w:rsidRPr="00542560" w:rsidRDefault="00BC3290" w:rsidP="00FC018A">
      <w:pPr>
        <w:spacing w:line="360" w:lineRule="auto"/>
        <w:rPr>
          <w:rFonts w:ascii="Arial" w:hAnsi="Arial" w:cs="Arial"/>
          <w:sz w:val="22"/>
          <w:szCs w:val="22"/>
        </w:rPr>
      </w:pPr>
      <w:r w:rsidRPr="00542560">
        <w:rPr>
          <w:rFonts w:ascii="Arial" w:hAnsi="Arial" w:cs="Arial"/>
          <w:sz w:val="22"/>
          <w:szCs w:val="22"/>
        </w:rPr>
        <w:t>The Equality Act 2010 protects</w:t>
      </w:r>
      <w:r w:rsidR="00855BD8" w:rsidRPr="00542560">
        <w:rPr>
          <w:rFonts w:ascii="Arial" w:hAnsi="Arial" w:cs="Arial"/>
          <w:sz w:val="22"/>
          <w:szCs w:val="22"/>
        </w:rPr>
        <w:t>, by law,</w:t>
      </w:r>
      <w:r w:rsidRPr="00542560">
        <w:rPr>
          <w:rFonts w:ascii="Arial" w:hAnsi="Arial" w:cs="Arial"/>
          <w:sz w:val="22"/>
          <w:szCs w:val="22"/>
        </w:rPr>
        <w:t xml:space="preserve"> employees, workers, job applicants </w:t>
      </w:r>
      <w:proofErr w:type="gramStart"/>
      <w:r w:rsidRPr="00542560">
        <w:rPr>
          <w:rFonts w:ascii="Arial" w:hAnsi="Arial" w:cs="Arial"/>
          <w:sz w:val="22"/>
          <w:szCs w:val="22"/>
        </w:rPr>
        <w:t>and also</w:t>
      </w:r>
      <w:proofErr w:type="gramEnd"/>
      <w:r w:rsidRPr="00542560">
        <w:rPr>
          <w:rFonts w:ascii="Arial" w:hAnsi="Arial" w:cs="Arial"/>
          <w:sz w:val="22"/>
          <w:szCs w:val="22"/>
        </w:rPr>
        <w:t xml:space="preserve"> ex-employees. </w:t>
      </w:r>
      <w:r w:rsidR="00855BD8" w:rsidRPr="00542560">
        <w:rPr>
          <w:rFonts w:ascii="Arial" w:hAnsi="Arial" w:cs="Arial"/>
          <w:sz w:val="22"/>
          <w:szCs w:val="22"/>
        </w:rPr>
        <w:t xml:space="preserve">It states that it is unlawful for employers to discriminate against anyone within these groups based on protected characteristic groups they may belong to. This includes job applicants, for example, it is unlawful for an employer to reject an applicant because they are </w:t>
      </w:r>
      <w:r w:rsidR="00855BD8" w:rsidRPr="00542560">
        <w:rPr>
          <w:rFonts w:ascii="Arial" w:hAnsi="Arial" w:cs="Arial"/>
          <w:sz w:val="22"/>
          <w:szCs w:val="22"/>
        </w:rPr>
        <w:lastRenderedPageBreak/>
        <w:t xml:space="preserve">disabled, from a certain country, or follow a certain religion </w:t>
      </w:r>
      <w:sdt>
        <w:sdtPr>
          <w:rPr>
            <w:rFonts w:ascii="Arial" w:hAnsi="Arial" w:cs="Arial"/>
            <w:sz w:val="22"/>
            <w:szCs w:val="22"/>
          </w:rPr>
          <w:id w:val="-1353711147"/>
          <w:citation/>
        </w:sdtPr>
        <w:sdtEndPr/>
        <w:sdtContent>
          <w:r w:rsidR="00A45DD9" w:rsidRPr="00542560">
            <w:rPr>
              <w:rFonts w:ascii="Arial" w:hAnsi="Arial" w:cs="Arial"/>
              <w:sz w:val="22"/>
              <w:szCs w:val="22"/>
            </w:rPr>
            <w:fldChar w:fldCharType="begin"/>
          </w:r>
          <w:r w:rsidR="00A45DD9" w:rsidRPr="00542560">
            <w:rPr>
              <w:rFonts w:ascii="Arial" w:hAnsi="Arial" w:cs="Arial"/>
              <w:sz w:val="22"/>
              <w:szCs w:val="22"/>
            </w:rPr>
            <w:instrText xml:space="preserve"> CITATION Equ11 \l 2057 </w:instrText>
          </w:r>
          <w:r w:rsidR="00A45DD9" w:rsidRPr="00542560">
            <w:rPr>
              <w:rFonts w:ascii="Arial" w:hAnsi="Arial" w:cs="Arial"/>
              <w:sz w:val="22"/>
              <w:szCs w:val="22"/>
            </w:rPr>
            <w:fldChar w:fldCharType="separate"/>
          </w:r>
          <w:r w:rsidR="00A45DD9" w:rsidRPr="00542560">
            <w:rPr>
              <w:rFonts w:ascii="Arial" w:hAnsi="Arial" w:cs="Arial"/>
              <w:noProof/>
              <w:sz w:val="22"/>
              <w:szCs w:val="22"/>
            </w:rPr>
            <w:t>(Equality and Human Right Commission, 2011)</w:t>
          </w:r>
          <w:r w:rsidR="00A45DD9" w:rsidRPr="00542560">
            <w:rPr>
              <w:rFonts w:ascii="Arial" w:hAnsi="Arial" w:cs="Arial"/>
              <w:sz w:val="22"/>
              <w:szCs w:val="22"/>
            </w:rPr>
            <w:fldChar w:fldCharType="end"/>
          </w:r>
        </w:sdtContent>
      </w:sdt>
      <w:r w:rsidR="00855BD8" w:rsidRPr="00542560">
        <w:rPr>
          <w:rFonts w:ascii="Arial" w:hAnsi="Arial" w:cs="Arial"/>
          <w:sz w:val="22"/>
          <w:szCs w:val="22"/>
        </w:rPr>
        <w:t>. As a result, it is against the law to ask any question relating to a protected characteristic in the application process that may be used in assessment.</w:t>
      </w:r>
      <w:r w:rsidR="00A45DD9" w:rsidRPr="00542560">
        <w:rPr>
          <w:rFonts w:ascii="Arial" w:hAnsi="Arial" w:cs="Arial"/>
          <w:sz w:val="22"/>
          <w:szCs w:val="22"/>
        </w:rPr>
        <w:t xml:space="preserve"> </w:t>
      </w:r>
      <w:r w:rsidRPr="00542560">
        <w:rPr>
          <w:rFonts w:ascii="Arial" w:hAnsi="Arial" w:cs="Arial"/>
          <w:sz w:val="22"/>
          <w:szCs w:val="22"/>
        </w:rPr>
        <w:t>The</w:t>
      </w:r>
      <w:r w:rsidR="00EB3582" w:rsidRPr="00542560">
        <w:rPr>
          <w:rFonts w:ascii="Arial" w:hAnsi="Arial" w:cs="Arial"/>
          <w:sz w:val="22"/>
          <w:szCs w:val="22"/>
        </w:rPr>
        <w:t xml:space="preserve"> Equality</w:t>
      </w:r>
      <w:r w:rsidRPr="00542560">
        <w:rPr>
          <w:rFonts w:ascii="Arial" w:hAnsi="Arial" w:cs="Arial"/>
          <w:sz w:val="22"/>
          <w:szCs w:val="22"/>
        </w:rPr>
        <w:t xml:space="preserve"> </w:t>
      </w:r>
      <w:r w:rsidR="00EB3582" w:rsidRPr="00542560">
        <w:rPr>
          <w:rFonts w:ascii="Arial" w:hAnsi="Arial" w:cs="Arial"/>
          <w:sz w:val="22"/>
          <w:szCs w:val="22"/>
        </w:rPr>
        <w:t>A</w:t>
      </w:r>
      <w:r w:rsidRPr="00542560">
        <w:rPr>
          <w:rFonts w:ascii="Arial" w:hAnsi="Arial" w:cs="Arial"/>
          <w:sz w:val="22"/>
          <w:szCs w:val="22"/>
        </w:rPr>
        <w:t xml:space="preserve">ct includes 9 protected characteristics, these </w:t>
      </w:r>
      <w:proofErr w:type="gramStart"/>
      <w:r w:rsidRPr="00542560">
        <w:rPr>
          <w:rFonts w:ascii="Arial" w:hAnsi="Arial" w:cs="Arial"/>
          <w:sz w:val="22"/>
          <w:szCs w:val="22"/>
        </w:rPr>
        <w:t>are;</w:t>
      </w:r>
      <w:proofErr w:type="gramEnd"/>
      <w:r w:rsidRPr="00542560">
        <w:rPr>
          <w:rFonts w:ascii="Arial" w:hAnsi="Arial" w:cs="Arial"/>
          <w:sz w:val="22"/>
          <w:szCs w:val="22"/>
        </w:rPr>
        <w:t xml:space="preserve"> Age, Disability, Gender reassignment, Marriage and civil partnership, Pregnancy and maternity, Race, Religion, Sex, and Sexual orientation. By deciding to only appoint young men, Charlotte and Madeleine would be directly discriminated against Age, Gender, Pregnancy and maternity, and Sex and therefore, </w:t>
      </w:r>
      <w:r w:rsidR="00855BD8" w:rsidRPr="00542560">
        <w:rPr>
          <w:rFonts w:ascii="Arial" w:hAnsi="Arial" w:cs="Arial"/>
          <w:sz w:val="22"/>
          <w:szCs w:val="22"/>
        </w:rPr>
        <w:t>can</w:t>
      </w:r>
      <w:r w:rsidRPr="00542560">
        <w:rPr>
          <w:rFonts w:ascii="Arial" w:hAnsi="Arial" w:cs="Arial"/>
          <w:sz w:val="22"/>
          <w:szCs w:val="22"/>
        </w:rPr>
        <w:t xml:space="preserve"> lead to an employment tribunal claim</w:t>
      </w:r>
      <w:r w:rsidR="00855BD8" w:rsidRPr="00542560">
        <w:rPr>
          <w:rFonts w:ascii="Arial" w:hAnsi="Arial" w:cs="Arial"/>
          <w:sz w:val="22"/>
          <w:szCs w:val="22"/>
        </w:rPr>
        <w:t xml:space="preserve"> from current and past employees, along with current job applicants.</w:t>
      </w:r>
      <w:r w:rsidRPr="00542560">
        <w:rPr>
          <w:rFonts w:ascii="Arial" w:hAnsi="Arial" w:cs="Arial"/>
          <w:sz w:val="22"/>
          <w:szCs w:val="22"/>
        </w:rPr>
        <w:t xml:space="preserve">   </w:t>
      </w:r>
    </w:p>
    <w:p w14:paraId="410A5EC0" w14:textId="77777777" w:rsidR="00855BD8" w:rsidRPr="00542560" w:rsidRDefault="00855BD8" w:rsidP="00FC018A">
      <w:pPr>
        <w:spacing w:line="360" w:lineRule="auto"/>
        <w:rPr>
          <w:rFonts w:ascii="Arial" w:hAnsi="Arial" w:cs="Arial"/>
          <w:sz w:val="22"/>
          <w:szCs w:val="22"/>
        </w:rPr>
      </w:pPr>
    </w:p>
    <w:p w14:paraId="025C24E8" w14:textId="4DA37719" w:rsidR="00BC3290" w:rsidRPr="00FC018A" w:rsidRDefault="00BC3290" w:rsidP="00FC018A">
      <w:pPr>
        <w:spacing w:line="360" w:lineRule="auto"/>
        <w:rPr>
          <w:rFonts w:ascii="Arial" w:hAnsi="Arial" w:cs="Arial"/>
          <w:sz w:val="22"/>
          <w:szCs w:val="22"/>
        </w:rPr>
      </w:pPr>
      <w:proofErr w:type="gramStart"/>
      <w:r w:rsidRPr="00542560">
        <w:rPr>
          <w:rFonts w:ascii="Arial" w:hAnsi="Arial" w:cs="Arial"/>
          <w:sz w:val="22"/>
          <w:szCs w:val="22"/>
        </w:rPr>
        <w:t>In order to</w:t>
      </w:r>
      <w:proofErr w:type="gramEnd"/>
      <w:r w:rsidRPr="00542560">
        <w:rPr>
          <w:rFonts w:ascii="Arial" w:hAnsi="Arial" w:cs="Arial"/>
          <w:sz w:val="22"/>
          <w:szCs w:val="22"/>
        </w:rPr>
        <w:t xml:space="preserve"> ensure fairness, Madeline and Charlotte cannot ask any questions, or reject anyone that relates to any of the protected characteristics. Their decisions should be purely based on the assessment criteria for shortlisting and interview. (</w:t>
      </w:r>
      <w:r w:rsidR="00A45DD9" w:rsidRPr="00542560">
        <w:rPr>
          <w:rFonts w:ascii="Arial" w:hAnsi="Arial" w:cs="Arial"/>
          <w:sz w:val="22"/>
          <w:szCs w:val="22"/>
        </w:rPr>
        <w:t>PeopleHR, 2023)</w:t>
      </w:r>
      <w:r w:rsidRPr="00542560">
        <w:rPr>
          <w:rFonts w:ascii="Arial" w:hAnsi="Arial" w:cs="Arial"/>
          <w:sz w:val="22"/>
          <w:szCs w:val="22"/>
        </w:rPr>
        <w:t xml:space="preserve"> suggest that organisations should redact all information that gives employers the ability to make assumptions about applicants, for example, </w:t>
      </w:r>
      <w:proofErr w:type="spellStart"/>
      <w:r w:rsidRPr="00542560">
        <w:rPr>
          <w:rFonts w:ascii="Arial" w:hAnsi="Arial" w:cs="Arial"/>
          <w:sz w:val="22"/>
          <w:szCs w:val="22"/>
        </w:rPr>
        <w:t>Pinpointhq</w:t>
      </w:r>
      <w:proofErr w:type="spellEnd"/>
      <w:r w:rsidRPr="00542560">
        <w:rPr>
          <w:rFonts w:ascii="Arial" w:hAnsi="Arial" w:cs="Arial"/>
          <w:sz w:val="22"/>
          <w:szCs w:val="22"/>
        </w:rPr>
        <w:t xml:space="preserve"> (2023) offer recruitment software that will automatically remove personal information that helps recruiters to base their decisions purely on the skills required for the post. Whilst there is the opportunity within the legislation to recruit a male specifically, employers will need to evidence why that job can only be done by a male, for example, a male carer may be needed to provide personal care to a patient that can only work with men. </w:t>
      </w:r>
      <w:r w:rsidR="00855BD8" w:rsidRPr="00542560">
        <w:rPr>
          <w:rFonts w:ascii="Arial" w:hAnsi="Arial" w:cs="Arial"/>
          <w:sz w:val="22"/>
          <w:szCs w:val="22"/>
        </w:rPr>
        <w:t xml:space="preserve">There is also the opportunity to target recruitment towards underrepresented groups, this is usually done to redress imbalances within the workforce and increase equality. </w:t>
      </w:r>
      <w:r w:rsidRPr="00542560">
        <w:rPr>
          <w:rFonts w:ascii="Arial" w:hAnsi="Arial" w:cs="Arial"/>
          <w:sz w:val="22"/>
          <w:szCs w:val="22"/>
        </w:rPr>
        <w:t>However, in the case of Peachy Desserts, there is no valid argument</w:t>
      </w:r>
      <w:r w:rsidR="00855BD8" w:rsidRPr="00542560">
        <w:rPr>
          <w:rFonts w:ascii="Arial" w:hAnsi="Arial" w:cs="Arial"/>
          <w:sz w:val="22"/>
          <w:szCs w:val="22"/>
        </w:rPr>
        <w:t xml:space="preserve"> for this</w:t>
      </w:r>
      <w:r w:rsidRPr="00542560">
        <w:rPr>
          <w:rFonts w:ascii="Arial" w:hAnsi="Arial" w:cs="Arial"/>
          <w:sz w:val="22"/>
          <w:szCs w:val="22"/>
        </w:rPr>
        <w:t xml:space="preserve"> and so it is blatant discrimination.</w:t>
      </w:r>
    </w:p>
    <w:p w14:paraId="131CEA07" w14:textId="77777777" w:rsidR="00A45DD9" w:rsidRPr="00FC018A" w:rsidRDefault="00A45DD9" w:rsidP="00FC018A">
      <w:pPr>
        <w:spacing w:line="360" w:lineRule="auto"/>
        <w:rPr>
          <w:rFonts w:ascii="Arial" w:hAnsi="Arial" w:cs="Arial"/>
          <w:sz w:val="22"/>
          <w:szCs w:val="22"/>
        </w:rPr>
      </w:pPr>
    </w:p>
    <w:p w14:paraId="7CD715B1" w14:textId="77777777" w:rsidR="00E94350" w:rsidRDefault="000E5B88" w:rsidP="00FC018A">
      <w:pPr>
        <w:pStyle w:val="Nornal"/>
        <w:numPr>
          <w:ilvl w:val="0"/>
          <w:numId w:val="1"/>
        </w:numPr>
        <w:spacing w:line="360" w:lineRule="auto"/>
      </w:pPr>
      <w:r w:rsidRPr="00FC018A">
        <w:t>Cat, a restaurant manager, has recently become aware that she is paid less than Kit, another manager who is male. Her salary is £28,000 a year, whereas Kit earns £30,000 a year. She asked Charlotte to increase her salary to match Kit’s, but she refused saying Kit deserved the extra money. (AC 2.2)</w:t>
      </w:r>
    </w:p>
    <w:p w14:paraId="59CF2A1F" w14:textId="5B346BE6" w:rsidR="006249E9" w:rsidRPr="00FC018A" w:rsidRDefault="00EB3582" w:rsidP="00E94350">
      <w:pPr>
        <w:pStyle w:val="Nornal"/>
        <w:spacing w:line="360" w:lineRule="auto"/>
      </w:pPr>
      <w:r w:rsidRPr="00FC018A">
        <w:t>The Equality Act 2010</w:t>
      </w:r>
      <w:r w:rsidR="00E94350">
        <w:t xml:space="preserve"> states</w:t>
      </w:r>
      <w:r w:rsidRPr="00FC018A">
        <w:t xml:space="preserve"> men and women should be paid equally for doing equal work, this means work that is similar or equivalent in value (Equality and Human Rights Commission, 2011). </w:t>
      </w:r>
      <w:r w:rsidR="00E94350">
        <w:t>This</w:t>
      </w:r>
      <w:r w:rsidRPr="00FC018A">
        <w:t xml:space="preserve"> includes all terms and conditions </w:t>
      </w:r>
      <w:r w:rsidR="00E94350">
        <w:t>such as</w:t>
      </w:r>
      <w:r w:rsidRPr="00FC018A">
        <w:t xml:space="preserve"> annual leave allowance, pension contributions, hours etc. As a result, there should be nobody that is doing the same or equal work for the same employer and being paid differently as a member of the opposite sex. </w:t>
      </w:r>
      <w:r w:rsidR="006249E9" w:rsidRPr="00E94350">
        <w:rPr>
          <w:color w:val="000000"/>
        </w:rPr>
        <w:t>As a result, employers are bound by law to ensure their workforce are paid equally, with no discrimination. In this case, Cat could potentially file a claim</w:t>
      </w:r>
      <w:r w:rsidR="00E94350">
        <w:rPr>
          <w:color w:val="000000"/>
        </w:rPr>
        <w:t xml:space="preserve"> </w:t>
      </w:r>
      <w:r w:rsidR="00E94350">
        <w:rPr>
          <w:color w:val="FF0000"/>
        </w:rPr>
        <w:t>to an employment tribunal</w:t>
      </w:r>
      <w:r w:rsidR="0040575D">
        <w:rPr>
          <w:color w:val="FF0000"/>
        </w:rPr>
        <w:t xml:space="preserve"> under the grounds of equal pay. In addition to this, she may also be able to claim </w:t>
      </w:r>
      <w:r w:rsidR="0040575D">
        <w:rPr>
          <w:color w:val="FF0000"/>
        </w:rPr>
        <w:lastRenderedPageBreak/>
        <w:t>discrimination if she feels she is paid less because of her sex (ACAS, 2022).</w:t>
      </w:r>
      <w:r w:rsidR="00D92A80">
        <w:rPr>
          <w:color w:val="FF0000"/>
        </w:rPr>
        <w:t xml:space="preserve"> One example </w:t>
      </w:r>
      <w:r w:rsidR="00192107">
        <w:rPr>
          <w:color w:val="FF0000"/>
        </w:rPr>
        <w:t xml:space="preserve">of equal pay is when </w:t>
      </w:r>
      <w:r w:rsidR="00D92A80">
        <w:rPr>
          <w:color w:val="FF0000"/>
        </w:rPr>
        <w:t xml:space="preserve">Birmingham City Council lost an equal pay claim in 2012 for paying bonuses to men, but not women. </w:t>
      </w:r>
      <w:r w:rsidR="00140DFE">
        <w:rPr>
          <w:color w:val="FF0000"/>
        </w:rPr>
        <w:t>This ended up costing the Council over £1bn</w:t>
      </w:r>
      <w:r w:rsidR="00192107">
        <w:rPr>
          <w:color w:val="FF0000"/>
        </w:rPr>
        <w:t xml:space="preserve"> in equal pay settlements (Davies, 2014)</w:t>
      </w:r>
      <w:r w:rsidR="00140DFE">
        <w:rPr>
          <w:color w:val="FF0000"/>
        </w:rPr>
        <w:t>.</w:t>
      </w:r>
      <w:r w:rsidR="00D92A80">
        <w:rPr>
          <w:color w:val="FF0000"/>
        </w:rPr>
        <w:t xml:space="preserve"> </w:t>
      </w:r>
    </w:p>
    <w:p w14:paraId="26D7490F" w14:textId="49584EAD" w:rsidR="006249E9" w:rsidRPr="00FC018A" w:rsidRDefault="006249E9" w:rsidP="00FC018A">
      <w:pPr>
        <w:shd w:val="clear" w:color="auto" w:fill="FFFFFF"/>
        <w:spacing w:after="450" w:line="360" w:lineRule="auto"/>
        <w:rPr>
          <w:rFonts w:ascii="Arial" w:hAnsi="Arial" w:cs="Arial"/>
          <w:color w:val="000000"/>
          <w:sz w:val="22"/>
          <w:szCs w:val="22"/>
        </w:rPr>
      </w:pPr>
      <w:r w:rsidRPr="00FC018A">
        <w:rPr>
          <w:rFonts w:ascii="Arial" w:hAnsi="Arial" w:cs="Arial"/>
          <w:color w:val="000000"/>
          <w:sz w:val="22"/>
          <w:szCs w:val="22"/>
        </w:rPr>
        <w:t xml:space="preserve">However, the law states that roles </w:t>
      </w:r>
      <w:proofErr w:type="gramStart"/>
      <w:r w:rsidRPr="00FC018A">
        <w:rPr>
          <w:rFonts w:ascii="Arial" w:hAnsi="Arial" w:cs="Arial"/>
          <w:color w:val="000000"/>
          <w:sz w:val="22"/>
          <w:szCs w:val="22"/>
        </w:rPr>
        <w:t>have to</w:t>
      </w:r>
      <w:proofErr w:type="gramEnd"/>
      <w:r w:rsidRPr="00FC018A">
        <w:rPr>
          <w:rFonts w:ascii="Arial" w:hAnsi="Arial" w:cs="Arial"/>
          <w:color w:val="000000"/>
          <w:sz w:val="22"/>
          <w:szCs w:val="22"/>
        </w:rPr>
        <w:t xml:space="preserve"> be equivalent or the same to be paid the same. </w:t>
      </w:r>
      <w:r w:rsidR="00EB3582" w:rsidRPr="00FC018A">
        <w:rPr>
          <w:rFonts w:ascii="Arial" w:hAnsi="Arial" w:cs="Arial"/>
          <w:color w:val="000000"/>
          <w:sz w:val="22"/>
          <w:szCs w:val="22"/>
        </w:rPr>
        <w:t>ACAS (2022)</w:t>
      </w:r>
      <w:r w:rsidRPr="00FC018A">
        <w:rPr>
          <w:rFonts w:ascii="Arial" w:hAnsi="Arial" w:cs="Arial"/>
          <w:color w:val="000000"/>
          <w:sz w:val="22"/>
          <w:szCs w:val="22"/>
        </w:rPr>
        <w:t xml:space="preserve"> state that equal work is where duties and requirements are the same or the work has equal worth. For example, outcome expectations of the job may be the same, but the work itself can differ, this would still count as equivalent work.</w:t>
      </w:r>
      <w:r w:rsidR="00D04C32">
        <w:rPr>
          <w:rFonts w:ascii="Arial" w:hAnsi="Arial" w:cs="Arial"/>
          <w:color w:val="000000"/>
          <w:sz w:val="22"/>
          <w:szCs w:val="22"/>
        </w:rPr>
        <w:t xml:space="preserve"> </w:t>
      </w:r>
      <w:r w:rsidRPr="00FC018A">
        <w:rPr>
          <w:rFonts w:ascii="Arial" w:hAnsi="Arial" w:cs="Arial"/>
          <w:color w:val="000000"/>
          <w:sz w:val="22"/>
          <w:szCs w:val="22"/>
        </w:rPr>
        <w:t>There are occasions where pay gaps exist, for example</w:t>
      </w:r>
      <w:r w:rsidR="00EB3582" w:rsidRPr="00FC018A">
        <w:rPr>
          <w:rFonts w:ascii="Arial" w:hAnsi="Arial" w:cs="Arial"/>
          <w:color w:val="000000"/>
          <w:sz w:val="22"/>
          <w:szCs w:val="22"/>
        </w:rPr>
        <w:t>, Duncan (2022</w:t>
      </w:r>
      <w:r w:rsidRPr="00FC018A">
        <w:rPr>
          <w:rFonts w:ascii="Arial" w:hAnsi="Arial" w:cs="Arial"/>
          <w:color w:val="000000"/>
          <w:sz w:val="22"/>
          <w:szCs w:val="22"/>
        </w:rPr>
        <w:t>)</w:t>
      </w:r>
      <w:r w:rsidR="00EB3582" w:rsidRPr="00FC018A">
        <w:rPr>
          <w:rFonts w:ascii="Arial" w:hAnsi="Arial" w:cs="Arial"/>
          <w:color w:val="000000"/>
          <w:sz w:val="22"/>
          <w:szCs w:val="22"/>
        </w:rPr>
        <w:t xml:space="preserve"> explains how women in the construction industry are paid 76p for every £1 that their male counterparts earn</w:t>
      </w:r>
      <w:r w:rsidRPr="00FC018A">
        <w:rPr>
          <w:rFonts w:ascii="Arial" w:hAnsi="Arial" w:cs="Arial"/>
          <w:color w:val="000000"/>
          <w:sz w:val="22"/>
          <w:szCs w:val="22"/>
        </w:rPr>
        <w:t>. However,</w:t>
      </w:r>
      <w:r w:rsidR="00EB3582" w:rsidRPr="00FC018A">
        <w:rPr>
          <w:rFonts w:ascii="Arial" w:hAnsi="Arial" w:cs="Arial"/>
          <w:color w:val="000000"/>
          <w:sz w:val="22"/>
          <w:szCs w:val="22"/>
        </w:rPr>
        <w:t xml:space="preserve"> for this to be lawful,</w:t>
      </w:r>
      <w:r w:rsidRPr="00FC018A">
        <w:rPr>
          <w:rFonts w:ascii="Arial" w:hAnsi="Arial" w:cs="Arial"/>
          <w:color w:val="000000"/>
          <w:sz w:val="22"/>
          <w:szCs w:val="22"/>
        </w:rPr>
        <w:t xml:space="preserve"> </w:t>
      </w:r>
      <w:r w:rsidR="00EB3582" w:rsidRPr="00FC018A">
        <w:rPr>
          <w:rFonts w:ascii="Arial" w:hAnsi="Arial" w:cs="Arial"/>
          <w:color w:val="000000"/>
          <w:sz w:val="22"/>
          <w:szCs w:val="22"/>
        </w:rPr>
        <w:t>it</w:t>
      </w:r>
      <w:r w:rsidRPr="00FC018A">
        <w:rPr>
          <w:rFonts w:ascii="Arial" w:hAnsi="Arial" w:cs="Arial"/>
          <w:color w:val="000000"/>
          <w:sz w:val="22"/>
          <w:szCs w:val="22"/>
        </w:rPr>
        <w:t xml:space="preserve"> requires employers to be certain that there is a reasonable argument for a pay difference and is clear of any discrimination, whether it is indirect or direct. </w:t>
      </w:r>
      <w:r w:rsidR="00EB3582" w:rsidRPr="00FC018A">
        <w:rPr>
          <w:rFonts w:ascii="Arial" w:hAnsi="Arial" w:cs="Arial"/>
          <w:color w:val="000000"/>
          <w:sz w:val="22"/>
          <w:szCs w:val="22"/>
        </w:rPr>
        <w:t>As a result, they should be able to clearly evidence the skills, qualifications, experience, and difficulty in recruiting to be able to pay differently.</w:t>
      </w:r>
    </w:p>
    <w:p w14:paraId="5A160889" w14:textId="12337170" w:rsidR="008525A4" w:rsidRPr="00FC018A" w:rsidRDefault="006249E9" w:rsidP="00FC018A">
      <w:pPr>
        <w:shd w:val="clear" w:color="auto" w:fill="FFFFFF"/>
        <w:spacing w:after="450" w:line="360" w:lineRule="auto"/>
        <w:rPr>
          <w:rFonts w:ascii="Arial" w:hAnsi="Arial" w:cs="Arial"/>
          <w:color w:val="000000"/>
          <w:sz w:val="22"/>
          <w:szCs w:val="22"/>
        </w:rPr>
      </w:pPr>
      <w:r w:rsidRPr="00FC018A">
        <w:rPr>
          <w:rFonts w:ascii="Arial" w:hAnsi="Arial" w:cs="Arial"/>
          <w:color w:val="000000"/>
          <w:sz w:val="22"/>
          <w:szCs w:val="22"/>
        </w:rPr>
        <w:t xml:space="preserve">In this case, Charlotte would need to </w:t>
      </w:r>
      <w:r w:rsidR="00D04C32">
        <w:rPr>
          <w:rFonts w:ascii="Arial" w:hAnsi="Arial" w:cs="Arial"/>
          <w:color w:val="000000"/>
          <w:sz w:val="22"/>
          <w:szCs w:val="22"/>
        </w:rPr>
        <w:t>fairly display</w:t>
      </w:r>
      <w:r w:rsidRPr="00FC018A">
        <w:rPr>
          <w:rFonts w:ascii="Arial" w:hAnsi="Arial" w:cs="Arial"/>
          <w:color w:val="000000"/>
          <w:sz w:val="22"/>
          <w:szCs w:val="22"/>
        </w:rPr>
        <w:t xml:space="preserve"> that Kit’s qualifications, skills, experience, and talent is specifically required for the role and the difference in pay has no relevance at all towards their gender. With the information </w:t>
      </w:r>
      <w:r w:rsidR="00D04C32">
        <w:rPr>
          <w:rFonts w:ascii="Arial" w:hAnsi="Arial" w:cs="Arial"/>
          <w:color w:val="000000"/>
          <w:sz w:val="22"/>
          <w:szCs w:val="22"/>
        </w:rPr>
        <w:t>given</w:t>
      </w:r>
      <w:r w:rsidRPr="00FC018A">
        <w:rPr>
          <w:rFonts w:ascii="Arial" w:hAnsi="Arial" w:cs="Arial"/>
          <w:color w:val="000000"/>
          <w:sz w:val="22"/>
          <w:szCs w:val="22"/>
        </w:rPr>
        <w:t>, this is unclear and so the best option</w:t>
      </w:r>
      <w:r w:rsidR="00D04C32">
        <w:rPr>
          <w:rFonts w:ascii="Arial" w:hAnsi="Arial" w:cs="Arial"/>
          <w:color w:val="000000"/>
          <w:sz w:val="22"/>
          <w:szCs w:val="22"/>
        </w:rPr>
        <w:t xml:space="preserve"> would</w:t>
      </w:r>
      <w:r w:rsidRPr="00FC018A">
        <w:rPr>
          <w:rFonts w:ascii="Arial" w:hAnsi="Arial" w:cs="Arial"/>
          <w:color w:val="000000"/>
          <w:sz w:val="22"/>
          <w:szCs w:val="22"/>
        </w:rPr>
        <w:t xml:space="preserve"> be to agree to increase Cat’s salary to match that of her male counterpart and </w:t>
      </w:r>
      <w:r w:rsidRPr="00D04C32">
        <w:rPr>
          <w:rFonts w:ascii="Arial" w:hAnsi="Arial" w:cs="Arial"/>
          <w:color w:val="FF0000"/>
          <w:sz w:val="22"/>
          <w:szCs w:val="22"/>
        </w:rPr>
        <w:t xml:space="preserve">avoid </w:t>
      </w:r>
      <w:r w:rsidR="00D04C32" w:rsidRPr="00D04C32">
        <w:rPr>
          <w:rFonts w:ascii="Arial" w:hAnsi="Arial" w:cs="Arial"/>
          <w:color w:val="FF0000"/>
          <w:sz w:val="22"/>
          <w:szCs w:val="22"/>
        </w:rPr>
        <w:t>a costly and lengthy equal pay claim at an employment tribunal</w:t>
      </w:r>
      <w:r w:rsidRPr="00D04C32">
        <w:rPr>
          <w:rFonts w:ascii="Arial" w:hAnsi="Arial" w:cs="Arial"/>
          <w:color w:val="FF0000"/>
          <w:sz w:val="22"/>
          <w:szCs w:val="22"/>
        </w:rPr>
        <w:t xml:space="preserve">. </w:t>
      </w:r>
    </w:p>
    <w:p w14:paraId="2280F544" w14:textId="77777777" w:rsidR="000E5B88" w:rsidRPr="00FC018A" w:rsidRDefault="000E5B88" w:rsidP="00FC018A">
      <w:pPr>
        <w:pStyle w:val="Nornal"/>
        <w:numPr>
          <w:ilvl w:val="0"/>
          <w:numId w:val="1"/>
        </w:numPr>
        <w:spacing w:line="360" w:lineRule="auto"/>
      </w:pPr>
      <w:r w:rsidRPr="00FC018A">
        <w:t>The lease on an existing site is due to expire in four months’ time and the new terms are prohibitively expensive. Charlotte and Madeleine decide to close the restaurant when the lease expires, rather than renew the lease. When the restaurant closes, they intend to dismiss all six employees, paying each person two weeks’ notice as stated in their contracts of employment:</w:t>
      </w:r>
    </w:p>
    <w:p w14:paraId="484DEE65" w14:textId="77777777" w:rsidR="000E5B88" w:rsidRPr="00FC018A" w:rsidRDefault="000E5B88" w:rsidP="00FC018A">
      <w:pPr>
        <w:pStyle w:val="Nornal"/>
        <w:numPr>
          <w:ilvl w:val="1"/>
          <w:numId w:val="1"/>
        </w:numPr>
        <w:spacing w:line="360" w:lineRule="auto"/>
      </w:pPr>
      <w:r w:rsidRPr="00FC018A">
        <w:t>Angelica, the manager (eight years’ service, 53 years old, salary £700 per week)</w:t>
      </w:r>
    </w:p>
    <w:p w14:paraId="70BF7779" w14:textId="77777777" w:rsidR="000E5B88" w:rsidRPr="00FC018A" w:rsidRDefault="000E5B88" w:rsidP="00FC018A">
      <w:pPr>
        <w:pStyle w:val="Nornal"/>
        <w:numPr>
          <w:ilvl w:val="1"/>
          <w:numId w:val="1"/>
        </w:numPr>
        <w:spacing w:line="360" w:lineRule="auto"/>
      </w:pPr>
      <w:r w:rsidRPr="00FC018A">
        <w:t>Saffron, the supervisor (five years’ service, 30 years old, salary £350 per week)</w:t>
      </w:r>
    </w:p>
    <w:p w14:paraId="7C57548A" w14:textId="77777777" w:rsidR="000E5B88" w:rsidRPr="00FC018A" w:rsidRDefault="000E5B88" w:rsidP="00FC018A">
      <w:pPr>
        <w:pStyle w:val="Nornal"/>
        <w:numPr>
          <w:ilvl w:val="1"/>
          <w:numId w:val="1"/>
        </w:numPr>
        <w:spacing w:line="360" w:lineRule="auto"/>
      </w:pPr>
      <w:r w:rsidRPr="00FC018A">
        <w:t xml:space="preserve">Chip and Cherry, full-time sales assistants, who are 18 years old, and Reese and Carmel, full-time sales assistants who are 19 years old. All four employees have one year’s service, are paid £9.00 per </w:t>
      </w:r>
      <w:proofErr w:type="gramStart"/>
      <w:r w:rsidRPr="00FC018A">
        <w:t>hour</w:t>
      </w:r>
      <w:proofErr w:type="gramEnd"/>
      <w:r w:rsidRPr="00FC018A">
        <w:t xml:space="preserve"> and work 25 hours a week)</w:t>
      </w:r>
    </w:p>
    <w:p w14:paraId="3D532E70" w14:textId="019A0F21" w:rsidR="000E5B88" w:rsidRPr="00FC018A" w:rsidRDefault="000E5B88" w:rsidP="00FC018A">
      <w:pPr>
        <w:pStyle w:val="Nornal"/>
        <w:spacing w:line="360" w:lineRule="auto"/>
        <w:ind w:left="720"/>
      </w:pPr>
      <w:r w:rsidRPr="00FC018A">
        <w:lastRenderedPageBreak/>
        <w:t>Advise why their approach is risky and what they should do instead. (AC 3.1)</w:t>
      </w:r>
    </w:p>
    <w:p w14:paraId="2A9C5402" w14:textId="703EAF4E" w:rsidR="00333F16" w:rsidRPr="00333F16" w:rsidRDefault="00333F16" w:rsidP="00333F16">
      <w:pPr>
        <w:pStyle w:val="Nornal"/>
        <w:spacing w:line="360" w:lineRule="auto"/>
        <w:rPr>
          <w:i/>
          <w:iCs/>
          <w:color w:val="FF0000"/>
        </w:rPr>
      </w:pPr>
      <w:r w:rsidRPr="00333F16">
        <w:rPr>
          <w:i/>
          <w:iCs/>
          <w:color w:val="FF0000"/>
        </w:rPr>
        <w:t xml:space="preserve">“An </w:t>
      </w:r>
      <w:r w:rsidRPr="00333F16">
        <w:rPr>
          <w:i/>
          <w:iCs/>
          <w:color w:val="FF0000"/>
        </w:rPr>
        <w:t>employee who is dismissed shall be taken to be dismissed by reason of redundancy if the dismissal is wholly or mainly attributable to</w:t>
      </w:r>
      <w:r w:rsidRPr="00333F16">
        <w:rPr>
          <w:i/>
          <w:iCs/>
          <w:color w:val="FF0000"/>
        </w:rPr>
        <w:t xml:space="preserve"> (a) </w:t>
      </w:r>
      <w:r w:rsidRPr="00333F16">
        <w:rPr>
          <w:i/>
          <w:iCs/>
          <w:color w:val="FF0000"/>
        </w:rPr>
        <w:t xml:space="preserve">the fact that </w:t>
      </w:r>
      <w:r w:rsidRPr="00333F16">
        <w:rPr>
          <w:i/>
          <w:iCs/>
          <w:color w:val="FF0000"/>
        </w:rPr>
        <w:t>the</w:t>
      </w:r>
      <w:r w:rsidRPr="00333F16">
        <w:rPr>
          <w:i/>
          <w:iCs/>
          <w:color w:val="FF0000"/>
        </w:rPr>
        <w:t xml:space="preserve"> employer has ceased or intends to cease</w:t>
      </w:r>
      <w:r>
        <w:rPr>
          <w:i/>
          <w:iCs/>
          <w:color w:val="FF0000"/>
        </w:rPr>
        <w:t>;</w:t>
      </w:r>
      <w:r w:rsidRPr="00333F16">
        <w:rPr>
          <w:i/>
          <w:iCs/>
          <w:color w:val="FF0000"/>
        </w:rPr>
        <w:t xml:space="preserve"> or (b) </w:t>
      </w:r>
      <w:r w:rsidRPr="00333F16">
        <w:rPr>
          <w:i/>
          <w:iCs/>
          <w:color w:val="FF0000"/>
        </w:rPr>
        <w:t>the fact that the requirements of that business</w:t>
      </w:r>
      <w:r w:rsidRPr="00333F16">
        <w:rPr>
          <w:i/>
          <w:iCs/>
          <w:color w:val="FF0000"/>
        </w:rPr>
        <w:t xml:space="preserve"> </w:t>
      </w:r>
      <w:r w:rsidRPr="00333F16">
        <w:rPr>
          <w:i/>
          <w:iCs/>
          <w:color w:val="FF0000"/>
        </w:rPr>
        <w:t>have ceased or diminished or are expected to cease or diminish</w:t>
      </w:r>
      <w:r w:rsidRPr="00333F16">
        <w:rPr>
          <w:i/>
          <w:iCs/>
          <w:color w:val="FF0000"/>
        </w:rPr>
        <w:t>”</w:t>
      </w:r>
      <w:r>
        <w:rPr>
          <w:i/>
          <w:iCs/>
          <w:color w:val="FF0000"/>
        </w:rPr>
        <w:t xml:space="preserve"> (Employment Rights Act, 1996).</w:t>
      </w:r>
    </w:p>
    <w:p w14:paraId="1E072D06" w14:textId="6CC63C77" w:rsidR="00EE7817" w:rsidRPr="00EE7817" w:rsidRDefault="00EE7817" w:rsidP="00FC018A">
      <w:pPr>
        <w:pStyle w:val="Nornal"/>
        <w:spacing w:line="360" w:lineRule="auto"/>
        <w:rPr>
          <w:color w:val="FF0000"/>
        </w:rPr>
      </w:pPr>
      <w:r>
        <w:rPr>
          <w:color w:val="FF0000"/>
        </w:rPr>
        <w:t xml:space="preserve">By ceasing their business, Charlotte and Madeline are dismissing their staff by reason of redundancy. </w:t>
      </w:r>
      <w:r w:rsidR="00116A4D">
        <w:rPr>
          <w:color w:val="FF0000"/>
        </w:rPr>
        <w:t>They should consult with their staff as soon as possible to inform them</w:t>
      </w:r>
      <w:r>
        <w:rPr>
          <w:color w:val="FF0000"/>
        </w:rPr>
        <w:t xml:space="preserve"> </w:t>
      </w:r>
      <w:r w:rsidR="00116A4D">
        <w:rPr>
          <w:color w:val="FF0000"/>
        </w:rPr>
        <w:t xml:space="preserve">of the potential redundancies, this includes the employees affected, as well as those at risk (ACAS, 2021). </w:t>
      </w:r>
      <w:r w:rsidR="00F67E99" w:rsidRPr="00FC018A">
        <w:t xml:space="preserve">Within the consultation, Charlotte and Madeline should highlight the reasons for redundancy, the number of expected redundancies, the selection method, procedure, and the redundancy pay calculation. </w:t>
      </w:r>
      <w:r w:rsidR="00116A4D">
        <w:rPr>
          <w:color w:val="FF0000"/>
        </w:rPr>
        <w:t>Those at risk must be told in writing, along with any options available to them and the consultation plan.</w:t>
      </w:r>
      <w:r w:rsidR="006C2087">
        <w:rPr>
          <w:color w:val="FF0000"/>
        </w:rPr>
        <w:t xml:space="preserve"> Available options include suitable alternative employment, Charlotte and Madeline should attempt to move employees at risk to other roles within the business instead of redundancy. If a suitable alternative role is available</w:t>
      </w:r>
      <w:r w:rsidR="00862A7D">
        <w:rPr>
          <w:color w:val="FF0000"/>
        </w:rPr>
        <w:t xml:space="preserve"> </w:t>
      </w:r>
      <w:r w:rsidR="006C2087">
        <w:rPr>
          <w:color w:val="FF0000"/>
        </w:rPr>
        <w:t xml:space="preserve">and </w:t>
      </w:r>
      <w:r w:rsidR="00862A7D">
        <w:rPr>
          <w:color w:val="FF0000"/>
        </w:rPr>
        <w:t>at-risk</w:t>
      </w:r>
      <w:r w:rsidR="006C2087">
        <w:rPr>
          <w:color w:val="FF0000"/>
        </w:rPr>
        <w:t xml:space="preserve"> employees are not offered it</w:t>
      </w:r>
      <w:r w:rsidR="00D92AD4">
        <w:rPr>
          <w:color w:val="FF0000"/>
        </w:rPr>
        <w:t xml:space="preserve">, the employee can claim unfair dismissal through an employment tribunal (ACAS, 2021). </w:t>
      </w:r>
      <w:r w:rsidR="00862A7D">
        <w:rPr>
          <w:color w:val="FF0000"/>
        </w:rPr>
        <w:t xml:space="preserve">However, if an employee rejects alternative </w:t>
      </w:r>
      <w:r w:rsidR="00F67E99">
        <w:rPr>
          <w:color w:val="FF0000"/>
        </w:rPr>
        <w:t xml:space="preserve">employment </w:t>
      </w:r>
      <w:r w:rsidR="00862A7D">
        <w:rPr>
          <w:color w:val="FF0000"/>
        </w:rPr>
        <w:t xml:space="preserve">that is deemed suitable, they will lose their right </w:t>
      </w:r>
      <w:r w:rsidR="00F67E99">
        <w:rPr>
          <w:color w:val="FF0000"/>
        </w:rPr>
        <w:t xml:space="preserve">to redundancy pay. Stevenson v Mid Essex Hospital Services NHS Trust is a good example of a case like this in practice. </w:t>
      </w:r>
      <w:r w:rsidR="00862A7D">
        <w:rPr>
          <w:color w:val="FF0000"/>
        </w:rPr>
        <w:t xml:space="preserve"> </w:t>
      </w:r>
    </w:p>
    <w:p w14:paraId="6FAF4C0A" w14:textId="4775DE03" w:rsidR="00AB0359" w:rsidRPr="00FC018A" w:rsidRDefault="00AB0359" w:rsidP="00FC018A">
      <w:pPr>
        <w:pStyle w:val="Nornal"/>
        <w:spacing w:line="360" w:lineRule="auto"/>
      </w:pPr>
      <w:r w:rsidRPr="00FC018A">
        <w:t xml:space="preserve">For Madeline and Charlotte to pay their staff correctly, they must follow a set minimum pay calculation. </w:t>
      </w:r>
      <w:r w:rsidR="00F67E99">
        <w:t>R</w:t>
      </w:r>
      <w:r w:rsidRPr="00FC018A">
        <w:t>edundancy pay is only available to those employees with a minimum of 2 years’ service, anyone with less than 2 years will only be entitled to notice pay plus any holidays owed. As a result, Chip, Cherry, Reese, and Carmel will only be entitled to their two weeks’ notice as stated in their contract, plus any holiday owed.</w:t>
      </w:r>
      <w:r w:rsidR="00900696" w:rsidRPr="00FC018A">
        <w:t xml:space="preserve"> Whilst statutory notice pay is one week, their contracts state 2 weeks’ notice and contractual notice outweighs statutory.</w:t>
      </w:r>
      <w:r w:rsidRPr="00FC018A">
        <w:t xml:space="preserve"> However, anyone with more than 2 years’ service is entitled to 1.5 weeks for each year of employment between the age of 41 and 64, 1 weeks’ pay for each year between the age of 22 and 40, and anything under the age of 21 is 0.5 </w:t>
      </w:r>
      <w:proofErr w:type="spellStart"/>
      <w:r w:rsidRPr="00FC018A">
        <w:t>weeks</w:t>
      </w:r>
      <w:proofErr w:type="spellEnd"/>
      <w:r w:rsidRPr="00FC018A">
        <w:t xml:space="preserve"> pay. In addition to this, all employees with more than 2 years’ service are also entitled to their notice pay on top</w:t>
      </w:r>
      <w:sdt>
        <w:sdtPr>
          <w:id w:val="652334579"/>
          <w:citation/>
        </w:sdtPr>
        <w:sdtEndPr/>
        <w:sdtContent>
          <w:r w:rsidR="00A45DD9" w:rsidRPr="00FC018A">
            <w:fldChar w:fldCharType="begin"/>
          </w:r>
          <w:r w:rsidR="00A45DD9" w:rsidRPr="00FC018A">
            <w:instrText xml:space="preserve"> CITATION CIP226 \l 2057 </w:instrText>
          </w:r>
          <w:r w:rsidR="00A45DD9" w:rsidRPr="00FC018A">
            <w:fldChar w:fldCharType="separate"/>
          </w:r>
          <w:r w:rsidR="00A45DD9" w:rsidRPr="00FC018A">
            <w:rPr>
              <w:noProof/>
            </w:rPr>
            <w:t xml:space="preserve"> (CIPD, 2022)</w:t>
          </w:r>
          <w:r w:rsidR="00A45DD9" w:rsidRPr="00FC018A">
            <w:fldChar w:fldCharType="end"/>
          </w:r>
        </w:sdtContent>
      </w:sdt>
      <w:r w:rsidRPr="00FC018A">
        <w:t>.</w:t>
      </w:r>
    </w:p>
    <w:p w14:paraId="79A61A5B" w14:textId="6651A633" w:rsidR="00900696" w:rsidRPr="00FC018A" w:rsidRDefault="00AB0359" w:rsidP="00FC018A">
      <w:pPr>
        <w:pStyle w:val="Nornal"/>
        <w:spacing w:line="360" w:lineRule="auto"/>
      </w:pPr>
      <w:r w:rsidRPr="00FC018A">
        <w:t xml:space="preserve">Angelica is entitled to 12 </w:t>
      </w:r>
      <w:proofErr w:type="spellStart"/>
      <w:r w:rsidRPr="00FC018A">
        <w:t>weeks</w:t>
      </w:r>
      <w:proofErr w:type="spellEnd"/>
      <w:r w:rsidRPr="00FC018A">
        <w:t xml:space="preserve"> pay, plus </w:t>
      </w:r>
      <w:r w:rsidR="00900696" w:rsidRPr="00FC018A">
        <w:t xml:space="preserve">notice. However, statutory redundancy pay is capped at £643 per week and so Angelica is entitled to 12 weeks of £643. The 12 weeks is worked out as eight </w:t>
      </w:r>
      <w:proofErr w:type="spellStart"/>
      <w:r w:rsidR="00900696" w:rsidRPr="00FC018A">
        <w:t>years service</w:t>
      </w:r>
      <w:proofErr w:type="spellEnd"/>
      <w:r w:rsidR="00900696" w:rsidRPr="00FC018A">
        <w:t xml:space="preserve"> between the ages of 41 and 64, which is 8 years at 1.5 weeks. The total entitlement is £7,716 plus their notice pay of 2 weeks.</w:t>
      </w:r>
    </w:p>
    <w:p w14:paraId="2C3ED783" w14:textId="124AA065" w:rsidR="00900696" w:rsidRPr="00FC018A" w:rsidRDefault="00900696" w:rsidP="00FC018A">
      <w:pPr>
        <w:pStyle w:val="Nornal"/>
        <w:spacing w:line="360" w:lineRule="auto"/>
      </w:pPr>
      <w:r w:rsidRPr="00FC018A">
        <w:lastRenderedPageBreak/>
        <w:t xml:space="preserve">Saffron is entitled to 5 </w:t>
      </w:r>
      <w:proofErr w:type="spellStart"/>
      <w:r w:rsidRPr="00FC018A">
        <w:t>years service</w:t>
      </w:r>
      <w:proofErr w:type="spellEnd"/>
      <w:r w:rsidRPr="00FC018A">
        <w:t xml:space="preserve"> between the ages of 22 and 40, which is 1 week for each year. Therefore, Saffron is entitled to 5 weeks of £350, this totals at £1,750 plus 2 </w:t>
      </w:r>
      <w:proofErr w:type="spellStart"/>
      <w:r w:rsidRPr="00FC018A">
        <w:t>weeks notice</w:t>
      </w:r>
      <w:proofErr w:type="spellEnd"/>
      <w:r w:rsidRPr="00FC018A">
        <w:t xml:space="preserve"> as stated in their contract.</w:t>
      </w:r>
    </w:p>
    <w:p w14:paraId="15EB4FBC" w14:textId="176DB1FB" w:rsidR="008525A4" w:rsidRPr="00963125" w:rsidRDefault="00F67E99" w:rsidP="00FC018A">
      <w:pPr>
        <w:pStyle w:val="Nornal"/>
        <w:spacing w:line="360" w:lineRule="auto"/>
        <w:rPr>
          <w:color w:val="FF0000"/>
        </w:rPr>
      </w:pPr>
      <w:r>
        <w:rPr>
          <w:color w:val="FF0000"/>
        </w:rPr>
        <w:t xml:space="preserve">If employers get the </w:t>
      </w:r>
      <w:r w:rsidR="00963125">
        <w:rPr>
          <w:color w:val="FF0000"/>
        </w:rPr>
        <w:t xml:space="preserve">redundancy process wrong, this includes the calculations, employees </w:t>
      </w:r>
      <w:r w:rsidR="00364AD5">
        <w:rPr>
          <w:color w:val="FF0000"/>
        </w:rPr>
        <w:t>can</w:t>
      </w:r>
      <w:r w:rsidR="00963125">
        <w:rPr>
          <w:color w:val="FF0000"/>
        </w:rPr>
        <w:t xml:space="preserve"> make a claim for unfair dismissal to an employment tribunal. This will be a lengthy process and may also become very expensive.</w:t>
      </w:r>
    </w:p>
    <w:p w14:paraId="0C96C64A" w14:textId="1DBDF34F" w:rsidR="008D1782" w:rsidRPr="00FC018A" w:rsidRDefault="000E5B88" w:rsidP="00FC018A">
      <w:pPr>
        <w:pStyle w:val="Nornal"/>
        <w:numPr>
          <w:ilvl w:val="0"/>
          <w:numId w:val="1"/>
        </w:numPr>
        <w:spacing w:line="360" w:lineRule="auto"/>
      </w:pPr>
      <w:r w:rsidRPr="00FC018A">
        <w:t>The takeover of Crumbly Cakes is due to be complete in four months. Ownership will transfer to Peachy Desserts Ltd, and the identity of the owner will change</w:t>
      </w:r>
      <w:bookmarkStart w:id="1" w:name="_Hlk123126731"/>
      <w:r w:rsidRPr="00FC018A">
        <w:t xml:space="preserve">. Charlotte and Madeleine consider the takeover a ‘good fit’ with their business, as the nature of the business is the same and they will take over all tangible assets. Charlotte and Madeleine do not dispute that Peachy Desserts Ltd will become the employer of the 12 employees of Crumbly Cakes </w:t>
      </w:r>
      <w:bookmarkEnd w:id="1"/>
      <w:r w:rsidRPr="00FC018A">
        <w:t>but plan to give the employees of Crumbly Cakes new contracts on the same terms and conditions as their existing employees. Advise on the legal risk of this approach and what should be done instead. (AC 3.2)</w:t>
      </w:r>
    </w:p>
    <w:p w14:paraId="65BAE511" w14:textId="75E2071E" w:rsidR="008D1782" w:rsidRPr="00542560" w:rsidRDefault="008D1782" w:rsidP="00FC018A">
      <w:pPr>
        <w:pStyle w:val="Nornal"/>
        <w:spacing w:line="360" w:lineRule="auto"/>
      </w:pPr>
      <w:r w:rsidRPr="00542560">
        <w:t>A TUPE process stands for the Transfer of Undertakings (Protection of Employment), these set of regulations protect employees when one employer is taken over by another employer and the employee transfers to a new employer (ACAS, 2021). An example of a TUPE transfer is when one care provider takes over a contract, and the current employees delivering that contract transfer to the new provider. All employees from the company are protected, and it doesn’t matter how big or small the company is.</w:t>
      </w:r>
    </w:p>
    <w:p w14:paraId="689CC604" w14:textId="6E19FF05" w:rsidR="008D1782" w:rsidRPr="00542560" w:rsidRDefault="008D1782" w:rsidP="00FC018A">
      <w:pPr>
        <w:pStyle w:val="Nornal"/>
        <w:spacing w:line="360" w:lineRule="auto"/>
      </w:pPr>
      <w:r w:rsidRPr="00542560">
        <w:t>To begin a TUPE process, the current employer should communicate information to the staff, this can be done through the trade union or staff representatives, depending on the size</w:t>
      </w:r>
      <w:r w:rsidR="00B97050" w:rsidRPr="00542560">
        <w:t xml:space="preserve"> because if there are less than 10 employees, the employer may speak with the employees themselves</w:t>
      </w:r>
      <w:r w:rsidR="00A45DD9" w:rsidRPr="00542560">
        <w:t xml:space="preserve"> (CIPD, 2022)</w:t>
      </w:r>
      <w:r w:rsidRPr="00542560">
        <w:t>.</w:t>
      </w:r>
      <w:r w:rsidR="00B97050" w:rsidRPr="00542560">
        <w:t xml:space="preserve"> Employers should inform staff about any changes and why the transfer is happening, they should also make them aware of the legal, </w:t>
      </w:r>
      <w:proofErr w:type="gramStart"/>
      <w:r w:rsidR="00B97050" w:rsidRPr="00542560">
        <w:t>social</w:t>
      </w:r>
      <w:proofErr w:type="gramEnd"/>
      <w:r w:rsidR="00B97050" w:rsidRPr="00542560">
        <w:t xml:space="preserve"> and economic implications. If employers do not consult with staff or staff representatives, staff may be each entitled to 13 weeks’ pay as compensation</w:t>
      </w:r>
      <w:r w:rsidR="00A45DD9" w:rsidRPr="00542560">
        <w:t xml:space="preserve"> (CIPD, 2022)</w:t>
      </w:r>
      <w:r w:rsidR="00B97050" w:rsidRPr="00542560">
        <w:t xml:space="preserve">. </w:t>
      </w:r>
    </w:p>
    <w:p w14:paraId="66EED879" w14:textId="19F0557A" w:rsidR="00B97050" w:rsidRPr="00542560" w:rsidRDefault="00B97050" w:rsidP="00FC018A">
      <w:pPr>
        <w:pStyle w:val="Nornal"/>
        <w:spacing w:line="360" w:lineRule="auto"/>
      </w:pPr>
      <w:r w:rsidRPr="00542560">
        <w:t xml:space="preserve">After consultation, employers do not need to take on any changes that came suggested through the process, however, they should be able to evidence, with business reasons, discussing the changes, listened to </w:t>
      </w:r>
      <w:proofErr w:type="gramStart"/>
      <w:r w:rsidRPr="00542560">
        <w:t>suggestions</w:t>
      </w:r>
      <w:proofErr w:type="gramEnd"/>
      <w:r w:rsidRPr="00542560">
        <w:t xml:space="preserve"> and given reasonable consideration, and also attempted to come to an agreement (ACAS, 2021). </w:t>
      </w:r>
    </w:p>
    <w:p w14:paraId="3C843613" w14:textId="77777777" w:rsidR="00B31991" w:rsidRPr="00542560" w:rsidRDefault="00B97050" w:rsidP="00FC018A">
      <w:pPr>
        <w:pStyle w:val="Nornal"/>
        <w:spacing w:line="360" w:lineRule="auto"/>
      </w:pPr>
      <w:r w:rsidRPr="00542560">
        <w:t xml:space="preserve">Transferring staff should remain on their original terms and conditions, however, they may change their contract terms if they improve from their previous, for example, an increase in pay or annual leave. Another change may come because of </w:t>
      </w:r>
      <w:proofErr w:type="spellStart"/>
      <w:r w:rsidRPr="00542560">
        <w:t>ecomomic</w:t>
      </w:r>
      <w:proofErr w:type="spellEnd"/>
      <w:r w:rsidRPr="00542560">
        <w:t xml:space="preserve">, technical, or </w:t>
      </w:r>
      <w:r w:rsidRPr="00542560">
        <w:lastRenderedPageBreak/>
        <w:t xml:space="preserve">organisational reasons for the change, for example, a restructure (ACAS, 2021). </w:t>
      </w:r>
      <w:r w:rsidR="00B31991" w:rsidRPr="00542560">
        <w:t xml:space="preserve">CIPD (2022) also state that TUPE regulations protect staff throughout their employment, so employers cannot keep old terms and conditions for now and look to change them in future when the </w:t>
      </w:r>
      <w:proofErr w:type="gramStart"/>
      <w:r w:rsidR="00B31991" w:rsidRPr="00542560">
        <w:t>time period</w:t>
      </w:r>
      <w:proofErr w:type="gramEnd"/>
      <w:r w:rsidR="00B31991" w:rsidRPr="00542560">
        <w:t xml:space="preserve"> is up.</w:t>
      </w:r>
    </w:p>
    <w:p w14:paraId="0E0ADA18" w14:textId="1B2BD466" w:rsidR="006249E9" w:rsidRPr="00FC018A" w:rsidRDefault="00B31991" w:rsidP="00FC018A">
      <w:pPr>
        <w:pStyle w:val="Nornal"/>
        <w:spacing w:line="360" w:lineRule="auto"/>
      </w:pPr>
      <w:proofErr w:type="gramStart"/>
      <w:r w:rsidRPr="00542560">
        <w:t>In regards to</w:t>
      </w:r>
      <w:proofErr w:type="gramEnd"/>
      <w:r w:rsidRPr="00542560">
        <w:t xml:space="preserve"> the above example, Madeline and Charlotte will need to consult with the representatives of the </w:t>
      </w:r>
      <w:r w:rsidR="004410BE" w:rsidRPr="00542560">
        <w:t xml:space="preserve">12 employees to make them aware of the transfer and the expected date. If this is not done properly, </w:t>
      </w:r>
      <w:r w:rsidRPr="00542560">
        <w:t xml:space="preserve">they may be liable to pay </w:t>
      </w:r>
      <w:r w:rsidR="004410BE" w:rsidRPr="00542560">
        <w:t>each employee 13 weeks’ pay through an employment tribunal. In addition, Peachy Desserts LTD cannot change the</w:t>
      </w:r>
      <w:r w:rsidRPr="00542560">
        <w:t xml:space="preserve"> terms and conditions of the new employee contracts or dismiss them. If Madeline and Charlotte dismiss the employees, it will be automatically unfair dismissal. They must also not change conditions that forces the new staff to resign, as this may also end up in an employment tribunal claim. Should Charlotte and Madeline be able to evidence a genuine redundancy situation, they may be able to make the 12 staff redundant, but they must be able to clearly evidence this and follow the correct redundancy</w:t>
      </w:r>
      <w:r w:rsidRPr="00FC018A">
        <w:t xml:space="preserve"> procedures or this can also lead to an employment tribunal claim.</w:t>
      </w:r>
    </w:p>
    <w:p w14:paraId="1319C5DB" w14:textId="1DF96BA7" w:rsidR="008C275E" w:rsidRPr="00FC018A" w:rsidRDefault="000E5B88" w:rsidP="00FC018A">
      <w:pPr>
        <w:pStyle w:val="ListParagraph"/>
        <w:numPr>
          <w:ilvl w:val="0"/>
          <w:numId w:val="1"/>
        </w:numPr>
        <w:spacing w:after="120" w:line="360" w:lineRule="auto"/>
        <w:contextualSpacing w:val="0"/>
        <w:rPr>
          <w:rFonts w:cs="Arial"/>
          <w:szCs w:val="22"/>
        </w:rPr>
      </w:pPr>
      <w:r w:rsidRPr="00FC018A">
        <w:rPr>
          <w:rFonts w:cs="Arial"/>
          <w:szCs w:val="22"/>
        </w:rPr>
        <w:t>Charlotte and Madeleine are aware there are changes to the National Minimum Wage each year. They firmly believe that all sales assistants work hard regardless of age and as such should be paid the same. All sales assistants are currently paid £9.00 per hour. They want to check their approach is lawful and wonder whether there are any rights related to pay statements they need to comply with. (AC 4.1)</w:t>
      </w:r>
    </w:p>
    <w:p w14:paraId="60FDF154" w14:textId="4A17E8CB" w:rsidR="00C46906" w:rsidRPr="00F012A1" w:rsidRDefault="00F012A1" w:rsidP="00FC018A">
      <w:pPr>
        <w:spacing w:after="120" w:line="360" w:lineRule="auto"/>
        <w:rPr>
          <w:rFonts w:ascii="Arial" w:hAnsi="Arial" w:cs="Arial"/>
          <w:color w:val="FF0000"/>
          <w:sz w:val="22"/>
          <w:szCs w:val="22"/>
        </w:rPr>
      </w:pPr>
      <w:r>
        <w:rPr>
          <w:rFonts w:ascii="Arial" w:hAnsi="Arial" w:cs="Arial"/>
          <w:color w:val="FF0000"/>
          <w:sz w:val="22"/>
          <w:szCs w:val="22"/>
        </w:rPr>
        <w:t>The National Minimum Wage Act (1998) sets out the minimum amount that employers should pay workers, however, the amount differs depending on what age group workers belong to.</w:t>
      </w:r>
      <w:r>
        <w:rPr>
          <w:rFonts w:ascii="Arial" w:hAnsi="Arial" w:cs="Arial"/>
          <w:sz w:val="22"/>
          <w:szCs w:val="22"/>
        </w:rPr>
        <w:t xml:space="preserve"> Current</w:t>
      </w:r>
      <w:r w:rsidR="00C46906" w:rsidRPr="00FC018A">
        <w:rPr>
          <w:rFonts w:ascii="Arial" w:hAnsi="Arial" w:cs="Arial"/>
          <w:sz w:val="22"/>
          <w:szCs w:val="22"/>
        </w:rPr>
        <w:t xml:space="preserve"> law states that </w:t>
      </w:r>
      <w:r w:rsidR="000C05DF">
        <w:rPr>
          <w:rFonts w:ascii="Arial" w:hAnsi="Arial" w:cs="Arial"/>
          <w:sz w:val="22"/>
          <w:szCs w:val="22"/>
        </w:rPr>
        <w:t>ages</w:t>
      </w:r>
      <w:r w:rsidR="00C46906" w:rsidRPr="00FC018A">
        <w:rPr>
          <w:rFonts w:ascii="Arial" w:hAnsi="Arial" w:cs="Arial"/>
          <w:sz w:val="22"/>
          <w:szCs w:val="22"/>
        </w:rPr>
        <w:t xml:space="preserve"> 16 – 17 should be paid a minimum of £5.28 per hour, 18-20 should be paid £7.49 per hour, 21-22 should be paid £10.18 per hour, and those over 23 are entitled to the national living wage of £10.42 per hour</w:t>
      </w:r>
      <w:r w:rsidR="00A45DD9" w:rsidRPr="00FC018A">
        <w:rPr>
          <w:rFonts w:ascii="Arial" w:hAnsi="Arial" w:cs="Arial"/>
          <w:sz w:val="22"/>
          <w:szCs w:val="22"/>
        </w:rPr>
        <w:t xml:space="preserve"> (UK Government, 2023)</w:t>
      </w:r>
      <w:r w:rsidR="00C46906" w:rsidRPr="00FC018A">
        <w:rPr>
          <w:rFonts w:ascii="Arial" w:hAnsi="Arial" w:cs="Arial"/>
          <w:sz w:val="22"/>
          <w:szCs w:val="22"/>
        </w:rPr>
        <w:t>.</w:t>
      </w:r>
      <w:r>
        <w:rPr>
          <w:rFonts w:ascii="Arial" w:hAnsi="Arial" w:cs="Arial"/>
          <w:sz w:val="22"/>
          <w:szCs w:val="22"/>
        </w:rPr>
        <w:t xml:space="preserve"> </w:t>
      </w:r>
      <w:r>
        <w:rPr>
          <w:rFonts w:ascii="Arial" w:hAnsi="Arial" w:cs="Arial"/>
          <w:color w:val="FF0000"/>
          <w:sz w:val="22"/>
          <w:szCs w:val="22"/>
        </w:rPr>
        <w:t xml:space="preserve">Whilst the law applies to most workers, it doesn’t apply to self employed by choice workers, volunteers, or those doing work experience (ACAS, 2023). </w:t>
      </w:r>
      <w:r w:rsidR="00C46906" w:rsidRPr="00FC018A">
        <w:rPr>
          <w:rFonts w:ascii="Arial" w:hAnsi="Arial" w:cs="Arial"/>
          <w:sz w:val="22"/>
          <w:szCs w:val="22"/>
        </w:rPr>
        <w:t xml:space="preserve">Therefore, if </w:t>
      </w:r>
      <w:r w:rsidR="008C275E" w:rsidRPr="00FC018A">
        <w:rPr>
          <w:rFonts w:ascii="Arial" w:hAnsi="Arial" w:cs="Arial"/>
          <w:sz w:val="22"/>
          <w:szCs w:val="22"/>
        </w:rPr>
        <w:t xml:space="preserve">Charlotte and Madeline will need to pay </w:t>
      </w:r>
      <w:r w:rsidR="00C46906" w:rsidRPr="00FC018A">
        <w:rPr>
          <w:rFonts w:ascii="Arial" w:hAnsi="Arial" w:cs="Arial"/>
          <w:sz w:val="22"/>
          <w:szCs w:val="22"/>
        </w:rPr>
        <w:t>all sales assistants</w:t>
      </w:r>
      <w:r w:rsidR="008C275E" w:rsidRPr="00FC018A">
        <w:rPr>
          <w:rFonts w:ascii="Arial" w:hAnsi="Arial" w:cs="Arial"/>
          <w:sz w:val="22"/>
          <w:szCs w:val="22"/>
        </w:rPr>
        <w:t xml:space="preserve"> the national living wage, which was increased in April 2023 to £10.42 per hour. </w:t>
      </w:r>
      <w:r w:rsidR="00C46906" w:rsidRPr="00FC018A">
        <w:rPr>
          <w:rFonts w:ascii="Arial" w:hAnsi="Arial" w:cs="Arial"/>
          <w:sz w:val="22"/>
          <w:szCs w:val="22"/>
        </w:rPr>
        <w:t>By paying this, they will ensure that all current and new sales assistants that start are paid the same, but they will also be paid the minimum hourly rate that they are entitled to regardless how old any new starter is.</w:t>
      </w:r>
    </w:p>
    <w:p w14:paraId="65410D8A" w14:textId="4E161F3F" w:rsidR="00F012A1" w:rsidRDefault="00F012A1" w:rsidP="00FC018A">
      <w:pPr>
        <w:spacing w:after="120" w:line="360" w:lineRule="auto"/>
        <w:rPr>
          <w:rFonts w:ascii="Arial" w:hAnsi="Arial" w:cs="Arial"/>
          <w:color w:val="FF0000"/>
          <w:sz w:val="22"/>
          <w:szCs w:val="22"/>
        </w:rPr>
      </w:pPr>
      <w:r>
        <w:rPr>
          <w:rFonts w:ascii="Arial" w:hAnsi="Arial" w:cs="Arial"/>
          <w:color w:val="FF0000"/>
          <w:sz w:val="22"/>
          <w:szCs w:val="22"/>
        </w:rPr>
        <w:t>If Charlotte and Madeline are to continue with their current pay policy,</w:t>
      </w:r>
      <w:r>
        <w:rPr>
          <w:rFonts w:ascii="Arial" w:hAnsi="Arial" w:cs="Arial"/>
          <w:sz w:val="22"/>
          <w:szCs w:val="22"/>
        </w:rPr>
        <w:t xml:space="preserve"> they </w:t>
      </w:r>
      <w:r w:rsidR="00C46906" w:rsidRPr="00FC018A">
        <w:rPr>
          <w:rFonts w:ascii="Arial" w:hAnsi="Arial" w:cs="Arial"/>
          <w:sz w:val="22"/>
          <w:szCs w:val="22"/>
        </w:rPr>
        <w:t xml:space="preserve">run the risk of </w:t>
      </w:r>
      <w:r w:rsidRPr="00F012A1">
        <w:rPr>
          <w:rFonts w:ascii="Arial" w:hAnsi="Arial" w:cs="Arial"/>
          <w:color w:val="FF0000"/>
          <w:sz w:val="22"/>
          <w:szCs w:val="22"/>
        </w:rPr>
        <w:t xml:space="preserve">breaking national minimum wage law </w:t>
      </w:r>
      <w:r>
        <w:rPr>
          <w:rFonts w:ascii="Arial" w:hAnsi="Arial" w:cs="Arial"/>
          <w:sz w:val="22"/>
          <w:szCs w:val="22"/>
        </w:rPr>
        <w:t xml:space="preserve">because £9 per hour is not enough for anyone over the age of 20. </w:t>
      </w:r>
      <w:r>
        <w:rPr>
          <w:rFonts w:ascii="Arial" w:hAnsi="Arial" w:cs="Arial"/>
          <w:color w:val="FF0000"/>
          <w:sz w:val="22"/>
          <w:szCs w:val="22"/>
        </w:rPr>
        <w:t xml:space="preserve">Consequently, previous, and current staff can raise a grievance to their </w:t>
      </w:r>
      <w:r>
        <w:rPr>
          <w:rFonts w:ascii="Arial" w:hAnsi="Arial" w:cs="Arial"/>
          <w:color w:val="FF0000"/>
          <w:sz w:val="22"/>
          <w:szCs w:val="22"/>
        </w:rPr>
        <w:lastRenderedPageBreak/>
        <w:t xml:space="preserve">employer to resolve the issue informally. However, staff are also entitled to make a claim to </w:t>
      </w:r>
      <w:proofErr w:type="gramStart"/>
      <w:r>
        <w:rPr>
          <w:rFonts w:ascii="Arial" w:hAnsi="Arial" w:cs="Arial"/>
          <w:color w:val="FF0000"/>
          <w:sz w:val="22"/>
          <w:szCs w:val="22"/>
        </w:rPr>
        <w:t>HMRC, or</w:t>
      </w:r>
      <w:proofErr w:type="gramEnd"/>
      <w:r>
        <w:rPr>
          <w:rFonts w:ascii="Arial" w:hAnsi="Arial" w:cs="Arial"/>
          <w:color w:val="FF0000"/>
          <w:sz w:val="22"/>
          <w:szCs w:val="22"/>
        </w:rPr>
        <w:t xml:space="preserve"> raise a dispute through an employment tribunal (ACAS, 2023).</w:t>
      </w:r>
    </w:p>
    <w:p w14:paraId="39CEAA93" w14:textId="10D95419" w:rsidR="00F012A1" w:rsidRPr="00F012A1" w:rsidRDefault="00F012A1" w:rsidP="00FC018A">
      <w:pPr>
        <w:spacing w:after="120" w:line="360" w:lineRule="auto"/>
        <w:rPr>
          <w:rFonts w:ascii="Arial" w:hAnsi="Arial" w:cs="Arial"/>
          <w:color w:val="FF0000"/>
          <w:sz w:val="22"/>
          <w:szCs w:val="22"/>
        </w:rPr>
      </w:pPr>
      <w:r>
        <w:rPr>
          <w:rFonts w:ascii="Arial" w:hAnsi="Arial" w:cs="Arial"/>
          <w:color w:val="FF0000"/>
          <w:sz w:val="22"/>
          <w:szCs w:val="22"/>
        </w:rPr>
        <w:t xml:space="preserve">In addition, Charlotte and Madeline must also give the staff payslips to comply with the Employment Rights Act (1996). The payslip must show the gross pay, net pay, how/when wages are paid, and deductions (variable and fixed). Variable deductions are tax, NI, student loan and pension. Fixed deductions can include things such as union memberships (ACAS, 2023). Failing to provide payslips can also give employees the right to raise a grievance, or even take their employer to an employment tribunal. </w:t>
      </w:r>
    </w:p>
    <w:p w14:paraId="71583615" w14:textId="77777777" w:rsidR="008525A4" w:rsidRPr="00FC018A" w:rsidRDefault="008525A4" w:rsidP="00FC018A">
      <w:pPr>
        <w:spacing w:after="120" w:line="360" w:lineRule="auto"/>
        <w:rPr>
          <w:rFonts w:ascii="Arial" w:hAnsi="Arial" w:cs="Arial"/>
          <w:sz w:val="22"/>
          <w:szCs w:val="22"/>
        </w:rPr>
      </w:pPr>
    </w:p>
    <w:p w14:paraId="05F90A63" w14:textId="6D58E80C" w:rsidR="00D73CC5" w:rsidRPr="00FC018A" w:rsidRDefault="000E5B88" w:rsidP="00FC018A">
      <w:pPr>
        <w:pStyle w:val="ListParagraph"/>
        <w:numPr>
          <w:ilvl w:val="0"/>
          <w:numId w:val="1"/>
        </w:numPr>
        <w:spacing w:after="120" w:line="360" w:lineRule="auto"/>
        <w:contextualSpacing w:val="0"/>
        <w:rPr>
          <w:rFonts w:cs="Arial"/>
          <w:szCs w:val="22"/>
        </w:rPr>
      </w:pPr>
      <w:r w:rsidRPr="00FC018A">
        <w:rPr>
          <w:rFonts w:cs="Arial"/>
          <w:szCs w:val="22"/>
        </w:rPr>
        <w:t>Charlotte has received a complaint from Kit, manager of a restaurant that trades seven days a week. Kit states his working hours are too long, and that he does not have adequate breaks or sufficient days off.  He normally works five days a week from 9.30am to 9.30pm but when his supervisor is on holiday, he must cover their days off. Advise on whether Kit has a legal cause for complaint, with reference to employment law. (AC 4.2)</w:t>
      </w:r>
    </w:p>
    <w:p w14:paraId="283CA494" w14:textId="77777777" w:rsidR="00A84F47" w:rsidRPr="00542560" w:rsidRDefault="00D73CC5" w:rsidP="00FC018A">
      <w:pPr>
        <w:spacing w:after="120" w:line="360" w:lineRule="auto"/>
        <w:rPr>
          <w:rFonts w:ascii="Arial" w:hAnsi="Arial" w:cs="Arial"/>
          <w:sz w:val="22"/>
          <w:szCs w:val="22"/>
        </w:rPr>
      </w:pPr>
      <w:r w:rsidRPr="00542560">
        <w:rPr>
          <w:rFonts w:ascii="Arial" w:hAnsi="Arial" w:cs="Arial"/>
          <w:sz w:val="22"/>
          <w:szCs w:val="22"/>
        </w:rPr>
        <w:t xml:space="preserve">The Working Time Regulations 1998 sets out the maximum working hours that an individual can work. It also governs the rest periods required throughout the working day, weeks, and year, whilst also covering annual leave entitlement (ACAS, 2023). The regulations are in place to ensure the health and safety of workers, whilst also trying to encourage a positive work/life balance (Hancock, 2019). </w:t>
      </w:r>
      <w:r w:rsidR="00A84F47" w:rsidRPr="00542560">
        <w:rPr>
          <w:rFonts w:ascii="Arial" w:hAnsi="Arial" w:cs="Arial"/>
          <w:sz w:val="22"/>
          <w:szCs w:val="22"/>
        </w:rPr>
        <w:t xml:space="preserve">The regulations apply to a variety of workers above the age of 18, at home as well as in work. These workers </w:t>
      </w:r>
      <w:proofErr w:type="gramStart"/>
      <w:r w:rsidR="00A84F47" w:rsidRPr="00542560">
        <w:rPr>
          <w:rFonts w:ascii="Arial" w:hAnsi="Arial" w:cs="Arial"/>
          <w:sz w:val="22"/>
          <w:szCs w:val="22"/>
        </w:rPr>
        <w:t>are;</w:t>
      </w:r>
      <w:proofErr w:type="gramEnd"/>
      <w:r w:rsidR="00A84F47" w:rsidRPr="00542560">
        <w:rPr>
          <w:rFonts w:ascii="Arial" w:hAnsi="Arial" w:cs="Arial"/>
          <w:sz w:val="22"/>
          <w:szCs w:val="22"/>
        </w:rPr>
        <w:t xml:space="preserve"> employees, agency staff, zero-hour employees, casual/seasonal workers, and apprentices (ACAS, 2023). </w:t>
      </w:r>
    </w:p>
    <w:p w14:paraId="36965140" w14:textId="5FF8204E" w:rsidR="00A84F47" w:rsidRPr="00542560" w:rsidRDefault="00A84F47" w:rsidP="00FC018A">
      <w:pPr>
        <w:spacing w:after="120" w:line="360" w:lineRule="auto"/>
        <w:rPr>
          <w:rFonts w:ascii="Arial" w:hAnsi="Arial" w:cs="Arial"/>
          <w:sz w:val="22"/>
          <w:szCs w:val="22"/>
        </w:rPr>
      </w:pPr>
      <w:r w:rsidRPr="00542560">
        <w:rPr>
          <w:rFonts w:ascii="Arial" w:hAnsi="Arial" w:cs="Arial"/>
          <w:sz w:val="22"/>
          <w:szCs w:val="22"/>
        </w:rPr>
        <w:t xml:space="preserve">Anyone under the age of 18 must not work more than 8 hours per day, and 40 hours per week. They must also take a </w:t>
      </w:r>
      <w:proofErr w:type="gramStart"/>
      <w:r w:rsidRPr="00542560">
        <w:rPr>
          <w:rFonts w:ascii="Arial" w:hAnsi="Arial" w:cs="Arial"/>
          <w:sz w:val="22"/>
          <w:szCs w:val="22"/>
        </w:rPr>
        <w:t>30 minute</w:t>
      </w:r>
      <w:proofErr w:type="gramEnd"/>
      <w:r w:rsidRPr="00542560">
        <w:rPr>
          <w:rFonts w:ascii="Arial" w:hAnsi="Arial" w:cs="Arial"/>
          <w:sz w:val="22"/>
          <w:szCs w:val="22"/>
        </w:rPr>
        <w:t xml:space="preserve"> break for 4.5 hours work, and ensure 12 hour rest between 24 hour working periods (ACAS, 2022). For all other workers above age 18, they must not exceed 48 hours work per week. They must have 20 minutes break if they are working more than 6 hours in the day. If they are working the next day, they must have a minimum of 11 hours rest before starting work again. They must also have 24 hours rest across a </w:t>
      </w:r>
      <w:proofErr w:type="gramStart"/>
      <w:r w:rsidRPr="00542560">
        <w:rPr>
          <w:rFonts w:ascii="Arial" w:hAnsi="Arial" w:cs="Arial"/>
          <w:sz w:val="22"/>
          <w:szCs w:val="22"/>
        </w:rPr>
        <w:t>7 day</w:t>
      </w:r>
      <w:proofErr w:type="gramEnd"/>
      <w:r w:rsidRPr="00542560">
        <w:rPr>
          <w:rFonts w:ascii="Arial" w:hAnsi="Arial" w:cs="Arial"/>
          <w:sz w:val="22"/>
          <w:szCs w:val="22"/>
        </w:rPr>
        <w:t xml:space="preserve"> period, or 48 hours across a 14 day period (ACAS, 2023).</w:t>
      </w:r>
    </w:p>
    <w:p w14:paraId="39D8FA36" w14:textId="3737119E" w:rsidR="004F4E82" w:rsidRDefault="00A84F47" w:rsidP="00FC018A">
      <w:pPr>
        <w:spacing w:after="120" w:line="360" w:lineRule="auto"/>
        <w:rPr>
          <w:rFonts w:ascii="Arial" w:hAnsi="Arial" w:cs="Arial"/>
          <w:sz w:val="22"/>
          <w:szCs w:val="22"/>
        </w:rPr>
      </w:pPr>
      <w:r w:rsidRPr="00542560">
        <w:rPr>
          <w:rFonts w:ascii="Arial" w:hAnsi="Arial" w:cs="Arial"/>
          <w:sz w:val="22"/>
          <w:szCs w:val="22"/>
        </w:rPr>
        <w:t xml:space="preserve">In relation to the above example, Kit has a legal cause for complaint because his working hours do not comply with the current working time regulations. By working 9:30am-9:30pm, Kit is entitled to an uninterrupted break of 20 mins per shift, he must also ensure that he has 11 hours rest between finishing a shift and starting the next shift. Whilst this may be the case currently, when his supervisor is on annual leave, Kit may be required to work 7 days a week to cover them, this does not give Kit the required 24 hours rest within a </w:t>
      </w:r>
      <w:proofErr w:type="gramStart"/>
      <w:r w:rsidRPr="00542560">
        <w:rPr>
          <w:rFonts w:ascii="Arial" w:hAnsi="Arial" w:cs="Arial"/>
          <w:sz w:val="22"/>
          <w:szCs w:val="22"/>
        </w:rPr>
        <w:t>7 day</w:t>
      </w:r>
      <w:proofErr w:type="gramEnd"/>
      <w:r w:rsidRPr="00542560">
        <w:rPr>
          <w:rFonts w:ascii="Arial" w:hAnsi="Arial" w:cs="Arial"/>
          <w:sz w:val="22"/>
          <w:szCs w:val="22"/>
        </w:rPr>
        <w:t xml:space="preserve"> period, or 48 </w:t>
      </w:r>
      <w:r w:rsidRPr="00542560">
        <w:rPr>
          <w:rFonts w:ascii="Arial" w:hAnsi="Arial" w:cs="Arial"/>
          <w:sz w:val="22"/>
          <w:szCs w:val="22"/>
        </w:rPr>
        <w:lastRenderedPageBreak/>
        <w:t>hours rest in a 14 day period. However, by also covering his supervisor, Kit will be working more than 48 hours per week which is also a breach of the working time regulations. Instead, Charlotte should find an alternative way of covering the supervisors annual leave that does not impact on her current employees breaching the working time regulations.</w:t>
      </w:r>
      <w:r w:rsidRPr="00FC018A">
        <w:rPr>
          <w:rFonts w:ascii="Arial" w:hAnsi="Arial" w:cs="Arial"/>
          <w:sz w:val="22"/>
          <w:szCs w:val="22"/>
        </w:rPr>
        <w:t xml:space="preserve">  </w:t>
      </w:r>
    </w:p>
    <w:p w14:paraId="56AB9A63" w14:textId="77777777" w:rsidR="00FC018A" w:rsidRPr="00FC018A" w:rsidRDefault="00FC018A" w:rsidP="00FC018A">
      <w:pPr>
        <w:spacing w:after="120" w:line="360" w:lineRule="auto"/>
        <w:rPr>
          <w:rFonts w:ascii="Arial" w:hAnsi="Arial" w:cs="Arial"/>
          <w:sz w:val="22"/>
          <w:szCs w:val="22"/>
        </w:rPr>
      </w:pPr>
    </w:p>
    <w:p w14:paraId="7FBA0DC3" w14:textId="071DE68A" w:rsidR="004F4E82" w:rsidRPr="00FC018A" w:rsidRDefault="000E5B88" w:rsidP="00FC018A">
      <w:pPr>
        <w:pStyle w:val="Nornal"/>
        <w:numPr>
          <w:ilvl w:val="0"/>
          <w:numId w:val="1"/>
        </w:numPr>
        <w:spacing w:line="360" w:lineRule="auto"/>
      </w:pPr>
      <w:r w:rsidRPr="00FC018A">
        <w:t>Coco, a restaurant manager with eight years’ service, was delighted to inform Charlotte and Madeleine that she is pregnant and that her baby is due in six months’ time. Charlotte, who took two weeks off after the birth of her baby, is unhappy at the disruption this will cause but is happy to let Coco book two weeks’ annual leave to coincide with the birth of her baby. Charlotte feels a small business cannot afford the maternity leave and maternity pay that a larger organisation could offer, and she knows from experience that two weeks off is sufficient. Advise Charlotte and Madeleine on Coco’s maternity rights. You are concerned about Charlotte and Madeleine’s lack of knowledge in this area and decide to add a brief overview of paternity and adoption rights in case they make mistakes in this area too. (AC 4.3)</w:t>
      </w:r>
    </w:p>
    <w:p w14:paraId="187531D3" w14:textId="65E1259E" w:rsidR="004410BE" w:rsidRPr="00542560" w:rsidRDefault="004410BE" w:rsidP="00FC018A">
      <w:pPr>
        <w:shd w:val="clear" w:color="auto" w:fill="FFFFFF"/>
        <w:spacing w:after="450" w:line="360" w:lineRule="auto"/>
        <w:rPr>
          <w:rFonts w:ascii="Arial" w:hAnsi="Arial" w:cs="Arial"/>
          <w:color w:val="000000"/>
          <w:sz w:val="22"/>
          <w:szCs w:val="22"/>
        </w:rPr>
      </w:pPr>
      <w:r w:rsidRPr="00542560">
        <w:rPr>
          <w:rFonts w:ascii="Arial" w:hAnsi="Arial" w:cs="Arial"/>
          <w:color w:val="000000"/>
          <w:sz w:val="22"/>
          <w:szCs w:val="22"/>
        </w:rPr>
        <w:t>As a pregnant employee, Coco is entitled to take time off work for any prenatal appointments, or other appointments that are required from medical professionals</w:t>
      </w:r>
      <w:r w:rsidR="00A45DD9" w:rsidRPr="00542560">
        <w:rPr>
          <w:rFonts w:ascii="Arial" w:hAnsi="Arial" w:cs="Arial"/>
          <w:color w:val="000000"/>
          <w:sz w:val="22"/>
          <w:szCs w:val="22"/>
        </w:rPr>
        <w:t xml:space="preserve"> (CIPD, 2022)</w:t>
      </w:r>
      <w:r w:rsidRPr="00542560">
        <w:rPr>
          <w:rFonts w:ascii="Arial" w:hAnsi="Arial" w:cs="Arial"/>
          <w:color w:val="000000"/>
          <w:sz w:val="22"/>
          <w:szCs w:val="22"/>
        </w:rPr>
        <w:t xml:space="preserve">. Coco is entitled to start her maternity leave from the eleventh week prior to the due date, however, Coco must ensure that Charlotte and Madeline are </w:t>
      </w:r>
      <w:proofErr w:type="gramStart"/>
      <w:r w:rsidRPr="00542560">
        <w:rPr>
          <w:rFonts w:ascii="Arial" w:hAnsi="Arial" w:cs="Arial"/>
          <w:color w:val="000000"/>
          <w:sz w:val="22"/>
          <w:szCs w:val="22"/>
        </w:rPr>
        <w:t>well aware</w:t>
      </w:r>
      <w:proofErr w:type="gramEnd"/>
      <w:r w:rsidRPr="00542560">
        <w:rPr>
          <w:rFonts w:ascii="Arial" w:hAnsi="Arial" w:cs="Arial"/>
          <w:color w:val="000000"/>
          <w:sz w:val="22"/>
          <w:szCs w:val="22"/>
        </w:rPr>
        <w:t xml:space="preserve"> of the expected due date, and when she plans to start her maternity leave. After receiving this, Charlotte and Madeline must respond with the estimated return from maternity leave within 28 days. However, Charlotte and Madeline should assume that Coco is going to take the full 52 weeks, unless Coco states otherwise. Therefore, Charlotte and Madeline should follow the advice above otherwise they run the risk of breaching Coco’s maternity rights if they are only planning to give her 2 weeks annual leave.</w:t>
      </w:r>
    </w:p>
    <w:p w14:paraId="1CC28D50" w14:textId="10666ADA" w:rsidR="004F4E82" w:rsidRPr="00542560" w:rsidRDefault="004410BE" w:rsidP="00FC018A">
      <w:pPr>
        <w:shd w:val="clear" w:color="auto" w:fill="FFFFFF"/>
        <w:spacing w:after="450" w:line="360" w:lineRule="auto"/>
        <w:rPr>
          <w:rFonts w:ascii="Arial" w:hAnsi="Arial" w:cs="Arial"/>
          <w:color w:val="000000"/>
          <w:sz w:val="22"/>
          <w:szCs w:val="22"/>
        </w:rPr>
      </w:pPr>
      <w:r w:rsidRPr="00542560">
        <w:rPr>
          <w:rFonts w:ascii="Arial" w:hAnsi="Arial" w:cs="Arial"/>
          <w:color w:val="000000"/>
          <w:sz w:val="22"/>
          <w:szCs w:val="22"/>
        </w:rPr>
        <w:t>Maternity pay is another aspect that should be considered. Coco will be entitled up to 39 weeks of statutory maternity pay, however, she will need to have been making national insurance contributions. In addition to this, she is required to have worked consistently with no breaks in employment for 26 weeks prior with Peachy Desserts and given the required notice and evidence required for entitlement</w:t>
      </w:r>
      <w:r w:rsidR="00A45DD9" w:rsidRPr="00542560">
        <w:rPr>
          <w:rFonts w:ascii="Arial" w:hAnsi="Arial" w:cs="Arial"/>
          <w:color w:val="000000"/>
          <w:sz w:val="22"/>
          <w:szCs w:val="22"/>
        </w:rPr>
        <w:t xml:space="preserve"> (ACAS, 2023)</w:t>
      </w:r>
      <w:r w:rsidRPr="00542560">
        <w:rPr>
          <w:rFonts w:ascii="Arial" w:hAnsi="Arial" w:cs="Arial"/>
          <w:color w:val="000000"/>
          <w:sz w:val="22"/>
          <w:szCs w:val="22"/>
        </w:rPr>
        <w:t>.</w:t>
      </w:r>
      <w:r w:rsidR="00A45DD9" w:rsidRPr="00542560">
        <w:rPr>
          <w:rFonts w:ascii="Arial" w:hAnsi="Arial" w:cs="Arial"/>
          <w:color w:val="000000"/>
          <w:sz w:val="22"/>
          <w:szCs w:val="22"/>
        </w:rPr>
        <w:t xml:space="preserve"> </w:t>
      </w:r>
      <w:r w:rsidRPr="00542560">
        <w:rPr>
          <w:rFonts w:ascii="Arial" w:hAnsi="Arial" w:cs="Arial"/>
          <w:color w:val="000000"/>
          <w:sz w:val="22"/>
          <w:szCs w:val="22"/>
        </w:rPr>
        <w:t xml:space="preserve">If Coco was to take 26 weeks or less, she will be entitled to return to the same role as before, under the same conditions. However, if she is to take more than 26 weeks and it is not reasonable for her to </w:t>
      </w:r>
      <w:proofErr w:type="spellStart"/>
      <w:r w:rsidRPr="00542560">
        <w:rPr>
          <w:rFonts w:ascii="Arial" w:hAnsi="Arial" w:cs="Arial"/>
          <w:color w:val="000000"/>
          <w:sz w:val="22"/>
          <w:szCs w:val="22"/>
        </w:rPr>
        <w:t>to</w:t>
      </w:r>
      <w:proofErr w:type="spellEnd"/>
      <w:r w:rsidRPr="00542560">
        <w:rPr>
          <w:rFonts w:ascii="Arial" w:hAnsi="Arial" w:cs="Arial"/>
          <w:color w:val="000000"/>
          <w:sz w:val="22"/>
          <w:szCs w:val="22"/>
        </w:rPr>
        <w:t xml:space="preserve"> return to the same role, Peachy Desserts are required to find a suitable alternative for Coco to return to.    </w:t>
      </w:r>
      <w:bookmarkStart w:id="2" w:name="_Toc112914755"/>
      <w:bookmarkEnd w:id="2"/>
    </w:p>
    <w:p w14:paraId="3476E7EB" w14:textId="24826BB8" w:rsidR="004F4E82" w:rsidRPr="00FC018A" w:rsidRDefault="004410BE" w:rsidP="00FC018A">
      <w:pPr>
        <w:shd w:val="clear" w:color="auto" w:fill="FFFFFF"/>
        <w:spacing w:after="450" w:line="360" w:lineRule="auto"/>
        <w:rPr>
          <w:rFonts w:ascii="Arial" w:hAnsi="Arial" w:cs="Arial"/>
          <w:color w:val="000000"/>
          <w:sz w:val="22"/>
          <w:szCs w:val="22"/>
        </w:rPr>
      </w:pPr>
      <w:r w:rsidRPr="00542560">
        <w:rPr>
          <w:rFonts w:ascii="Arial" w:hAnsi="Arial" w:cs="Arial"/>
          <w:color w:val="000000"/>
          <w:sz w:val="22"/>
          <w:szCs w:val="22"/>
        </w:rPr>
        <w:lastRenderedPageBreak/>
        <w:t xml:space="preserve">If an employee wanted to take paternity leave, they are only eligible if they are the child’s biological father, or if they currently have, or will have, legal custody of their </w:t>
      </w:r>
      <w:proofErr w:type="gramStart"/>
      <w:r w:rsidRPr="00542560">
        <w:rPr>
          <w:rFonts w:ascii="Arial" w:hAnsi="Arial" w:cs="Arial"/>
          <w:color w:val="000000"/>
          <w:sz w:val="22"/>
          <w:szCs w:val="22"/>
        </w:rPr>
        <w:t>partners</w:t>
      </w:r>
      <w:proofErr w:type="gramEnd"/>
      <w:r w:rsidRPr="00542560">
        <w:rPr>
          <w:rFonts w:ascii="Arial" w:hAnsi="Arial" w:cs="Arial"/>
          <w:color w:val="000000"/>
          <w:sz w:val="22"/>
          <w:szCs w:val="22"/>
        </w:rPr>
        <w:t xml:space="preserve"> baby. In addition to this, they must have 26 weeks continuous service and that employment must carry on until the 15</w:t>
      </w:r>
      <w:r w:rsidRPr="00542560">
        <w:rPr>
          <w:rFonts w:ascii="Arial" w:hAnsi="Arial" w:cs="Arial"/>
          <w:color w:val="000000"/>
          <w:sz w:val="22"/>
          <w:szCs w:val="22"/>
          <w:vertAlign w:val="superscript"/>
        </w:rPr>
        <w:t>th</w:t>
      </w:r>
      <w:r w:rsidRPr="00542560">
        <w:rPr>
          <w:rFonts w:ascii="Arial" w:hAnsi="Arial" w:cs="Arial"/>
          <w:color w:val="000000"/>
          <w:sz w:val="22"/>
          <w:szCs w:val="22"/>
        </w:rPr>
        <w:t xml:space="preserve"> week of pregnancy</w:t>
      </w:r>
      <w:r w:rsidR="00A45DD9" w:rsidRPr="00542560">
        <w:rPr>
          <w:rFonts w:ascii="Arial" w:hAnsi="Arial" w:cs="Arial"/>
          <w:color w:val="000000"/>
          <w:sz w:val="22"/>
          <w:szCs w:val="22"/>
        </w:rPr>
        <w:t xml:space="preserve"> (CIPD, 2022)</w:t>
      </w:r>
      <w:r w:rsidRPr="00542560">
        <w:rPr>
          <w:rFonts w:ascii="Arial" w:hAnsi="Arial" w:cs="Arial"/>
          <w:color w:val="000000"/>
          <w:sz w:val="22"/>
          <w:szCs w:val="22"/>
        </w:rPr>
        <w:t>. Much like maternity leave, paternity leave protects employees from discrimination by ensuring they return to the same position under the same terms and conditions. They must not be treated any differently and should have the same opportunities as they would have done before any paternal leave.</w:t>
      </w:r>
      <w:r w:rsidR="00EB3582" w:rsidRPr="00542560">
        <w:rPr>
          <w:rFonts w:ascii="Arial" w:hAnsi="Arial" w:cs="Arial"/>
          <w:color w:val="000000"/>
          <w:sz w:val="22"/>
          <w:szCs w:val="22"/>
        </w:rPr>
        <w:t xml:space="preserve"> Those that are looking to adopt are entitled to up to 52 weeks statutory adoption leave and all employees are entitled to this from the very first day of employment (ACAS, 2023). However, adoption leave is only available to those that have adopted through an adoption agency, so employees are not entitled to leave if they are adopting through a private route.</w:t>
      </w:r>
    </w:p>
    <w:p w14:paraId="340441FD" w14:textId="6918C1CB" w:rsidR="00FF46C9" w:rsidRPr="00FC018A" w:rsidRDefault="000E5B88" w:rsidP="00FC018A">
      <w:pPr>
        <w:pStyle w:val="Nornal"/>
        <w:numPr>
          <w:ilvl w:val="0"/>
          <w:numId w:val="1"/>
        </w:numPr>
        <w:spacing w:line="360" w:lineRule="auto"/>
      </w:pPr>
      <w:r w:rsidRPr="00FC018A">
        <w:t>Chelsea, a restaurant manager, has made a flexible working request and wants to change from working full-time to working three days a week. Charlotte informs you she will let Chelsea know that Peachy Desserts Ltd ‘don’t do’ flexible working and if she does not like it, she should leave and find a part-time job somewhere else. Advise Charlotte and Madeleine of the risks of their approach and what they should do instead. (AC 4.4)</w:t>
      </w:r>
    </w:p>
    <w:p w14:paraId="70773A3D" w14:textId="16746995" w:rsidR="00E84472" w:rsidRPr="00542560" w:rsidRDefault="00E84472" w:rsidP="00FC018A">
      <w:pPr>
        <w:pStyle w:val="Nornal"/>
        <w:spacing w:line="360" w:lineRule="auto"/>
      </w:pPr>
      <w:r w:rsidRPr="00542560">
        <w:t xml:space="preserve">A flexible working request enables employees to request a change in working conditions around where, </w:t>
      </w:r>
      <w:proofErr w:type="gramStart"/>
      <w:r w:rsidRPr="00542560">
        <w:t>when,</w:t>
      </w:r>
      <w:proofErr w:type="gramEnd"/>
      <w:r w:rsidRPr="00542560">
        <w:t xml:space="preserve"> how and what times they work (CIPD, 2022). Some examples of these are requesting part time hours, job sharing, term time working, condensed hours, and flexitime. CIPD (2022) also suggest that shift swapping is also a flexible working request. However, </w:t>
      </w:r>
      <w:r w:rsidR="00E82C08" w:rsidRPr="00542560">
        <w:t>whilst requests can be formal and contractual amendments are made, some requests can be informal and agreed with a line manager, such as starting an hour earlier to finish an hour earlier.</w:t>
      </w:r>
    </w:p>
    <w:p w14:paraId="50FE4CCC" w14:textId="7B781358" w:rsidR="00E84472" w:rsidRPr="00542560" w:rsidRDefault="00E82C08" w:rsidP="00FC018A">
      <w:pPr>
        <w:pStyle w:val="Nornal"/>
        <w:spacing w:line="360" w:lineRule="auto"/>
      </w:pPr>
      <w:r w:rsidRPr="00542560">
        <w:t>The ‘right to request flexible working’ now applies to all workers that have at least 26 weeks’ continuous service, irrespective of parental or caring responsibilities (CIPD, 2022). As a result, employers must now be able to evidence that they have given fair and reasonable thought</w:t>
      </w:r>
      <w:r w:rsidR="001973BF" w:rsidRPr="00542560">
        <w:t xml:space="preserve"> when considering requests</w:t>
      </w:r>
      <w:r w:rsidR="00A11C65" w:rsidRPr="00542560">
        <w:t xml:space="preserve"> and responded within 3 months (ACAS, 20</w:t>
      </w:r>
      <w:r w:rsidR="00FC018A" w:rsidRPr="00542560">
        <w:t>20</w:t>
      </w:r>
      <w:r w:rsidR="00A11C65" w:rsidRPr="00542560">
        <w:t>)</w:t>
      </w:r>
      <w:r w:rsidR="001973BF" w:rsidRPr="00542560">
        <w:t xml:space="preserve">. In addition, there are only certain grounds that apply if an employer wants to reject a flexible working request, these </w:t>
      </w:r>
      <w:proofErr w:type="gramStart"/>
      <w:r w:rsidR="001973BF" w:rsidRPr="00542560">
        <w:t>are;</w:t>
      </w:r>
      <w:proofErr w:type="gramEnd"/>
      <w:r w:rsidR="001973BF" w:rsidRPr="00542560">
        <w:t xml:space="preserve"> additional costs, inability to recruit additional staff, impact on quality, impact on performance, unable to meet customer demand, insufficient work for the period that the employee wants to work, structural change, and unable to restructure current staff (ACAS, 20</w:t>
      </w:r>
      <w:r w:rsidR="00FC018A" w:rsidRPr="00542560">
        <w:t>20</w:t>
      </w:r>
      <w:r w:rsidR="001973BF" w:rsidRPr="00542560">
        <w:t xml:space="preserve">). </w:t>
      </w:r>
      <w:r w:rsidR="00A11C65" w:rsidRPr="00542560">
        <w:t xml:space="preserve">Should an employer reject a decision, they must allow the employee to appeal and if the employee was to not attend without good reason, the request is now considered </w:t>
      </w:r>
      <w:proofErr w:type="gramStart"/>
      <w:r w:rsidR="00A11C65" w:rsidRPr="00542560">
        <w:t>withdrawn</w:t>
      </w:r>
      <w:proofErr w:type="gramEnd"/>
      <w:r w:rsidR="00A11C65" w:rsidRPr="00542560">
        <w:t xml:space="preserve"> and the employer must communicate this to the employee.</w:t>
      </w:r>
    </w:p>
    <w:p w14:paraId="5F9653DB" w14:textId="5B8932C5" w:rsidR="00FF46C9" w:rsidRDefault="00A11C65" w:rsidP="00FC018A">
      <w:pPr>
        <w:pStyle w:val="Nornal"/>
        <w:spacing w:line="360" w:lineRule="auto"/>
      </w:pPr>
      <w:r w:rsidRPr="00542560">
        <w:lastRenderedPageBreak/>
        <w:t xml:space="preserve">In the above example, </w:t>
      </w:r>
      <w:r w:rsidR="00FF46C9" w:rsidRPr="00542560">
        <w:t>Charlotte and Madeline run a risk by immediately rejecting any flexible working requests</w:t>
      </w:r>
      <w:r w:rsidRPr="00542560">
        <w:t xml:space="preserve"> that could result in Chelsea claiming against Peachy Desserts in an employment tribunal.</w:t>
      </w:r>
      <w:r w:rsidR="00FF46C9" w:rsidRPr="00542560">
        <w:t xml:space="preserve"> </w:t>
      </w:r>
      <w:r w:rsidRPr="00542560">
        <w:t>This is because</w:t>
      </w:r>
      <w:r w:rsidR="00FF46C9" w:rsidRPr="00542560">
        <w:t xml:space="preserve"> any employee that has 26 weeks employment service has the right to submit a flexible working request </w:t>
      </w:r>
      <w:r w:rsidRPr="00542560">
        <w:t>that is considered with good reason within 3 months. However, if Charlotte and Madeline feel that the request doesn’t allow Peachy Desserts to meet customer demands and they are unable to recruit or restructure as a result, then they may be able to reject the request on this basis, but they should clearly explain the reasons why to Chelsea in the process. This way they will have considered the request reasonably and answered in a way that complies with current employment law.</w:t>
      </w:r>
      <w:r w:rsidRPr="00FC018A">
        <w:t xml:space="preserve"> </w:t>
      </w:r>
    </w:p>
    <w:p w14:paraId="396D9C10" w14:textId="61736B8D" w:rsidR="00FC018A" w:rsidRDefault="00FC018A" w:rsidP="00FC018A">
      <w:pPr>
        <w:pStyle w:val="Nornal"/>
        <w:spacing w:line="360" w:lineRule="auto"/>
      </w:pPr>
    </w:p>
    <w:p w14:paraId="23F1F4F7" w14:textId="144F5B0F" w:rsidR="00FC018A" w:rsidRDefault="00FC018A" w:rsidP="00FC018A">
      <w:pPr>
        <w:pStyle w:val="Nornal"/>
        <w:spacing w:line="360" w:lineRule="auto"/>
      </w:pPr>
    </w:p>
    <w:p w14:paraId="4365122F" w14:textId="177776B5" w:rsidR="00FC018A" w:rsidRDefault="00FC018A" w:rsidP="00FC018A">
      <w:pPr>
        <w:pStyle w:val="Nornal"/>
        <w:spacing w:line="360" w:lineRule="auto"/>
      </w:pPr>
    </w:p>
    <w:p w14:paraId="5D11CB3A" w14:textId="0EAE693C" w:rsidR="00FC018A" w:rsidRDefault="00FC018A" w:rsidP="00FC018A">
      <w:pPr>
        <w:pStyle w:val="Nornal"/>
        <w:spacing w:line="360" w:lineRule="auto"/>
      </w:pPr>
    </w:p>
    <w:p w14:paraId="5407CB42" w14:textId="4A0D801D" w:rsidR="00FC018A" w:rsidRDefault="00FC018A" w:rsidP="00FC018A">
      <w:pPr>
        <w:pStyle w:val="Nornal"/>
        <w:spacing w:line="360" w:lineRule="auto"/>
      </w:pPr>
    </w:p>
    <w:p w14:paraId="02F8A9E9" w14:textId="6561DF52" w:rsidR="00FC018A" w:rsidRDefault="00FC018A" w:rsidP="00FC018A">
      <w:pPr>
        <w:pStyle w:val="Nornal"/>
        <w:spacing w:line="360" w:lineRule="auto"/>
      </w:pPr>
    </w:p>
    <w:p w14:paraId="76C14319" w14:textId="6F380F04" w:rsidR="00364AD5" w:rsidRDefault="00364AD5" w:rsidP="00FC018A">
      <w:pPr>
        <w:pStyle w:val="Nornal"/>
        <w:spacing w:line="360" w:lineRule="auto"/>
      </w:pPr>
    </w:p>
    <w:p w14:paraId="54A4ECE3" w14:textId="5620919C" w:rsidR="00364AD5" w:rsidRDefault="00364AD5" w:rsidP="00FC018A">
      <w:pPr>
        <w:pStyle w:val="Nornal"/>
        <w:spacing w:line="360" w:lineRule="auto"/>
      </w:pPr>
    </w:p>
    <w:p w14:paraId="3A7F0303" w14:textId="35A34ECD" w:rsidR="00364AD5" w:rsidRDefault="00364AD5" w:rsidP="00FC018A">
      <w:pPr>
        <w:pStyle w:val="Nornal"/>
        <w:spacing w:line="360" w:lineRule="auto"/>
      </w:pPr>
    </w:p>
    <w:p w14:paraId="5512D79A" w14:textId="4EE61393" w:rsidR="00364AD5" w:rsidRDefault="00364AD5" w:rsidP="00FC018A">
      <w:pPr>
        <w:pStyle w:val="Nornal"/>
        <w:spacing w:line="360" w:lineRule="auto"/>
      </w:pPr>
    </w:p>
    <w:p w14:paraId="6B89C611" w14:textId="1F8067F3" w:rsidR="00364AD5" w:rsidRDefault="00364AD5" w:rsidP="00FC018A">
      <w:pPr>
        <w:pStyle w:val="Nornal"/>
        <w:spacing w:line="360" w:lineRule="auto"/>
      </w:pPr>
    </w:p>
    <w:p w14:paraId="1C208CCD" w14:textId="27C65ECE" w:rsidR="00364AD5" w:rsidRDefault="00364AD5" w:rsidP="00FC018A">
      <w:pPr>
        <w:pStyle w:val="Nornal"/>
        <w:spacing w:line="360" w:lineRule="auto"/>
      </w:pPr>
    </w:p>
    <w:p w14:paraId="002FBF82" w14:textId="5A95AA42" w:rsidR="00364AD5" w:rsidRDefault="00364AD5" w:rsidP="00FC018A">
      <w:pPr>
        <w:pStyle w:val="Nornal"/>
        <w:spacing w:line="360" w:lineRule="auto"/>
      </w:pPr>
    </w:p>
    <w:p w14:paraId="5719C40E" w14:textId="128333AA" w:rsidR="00B31B9C" w:rsidRDefault="00B31B9C" w:rsidP="00FC018A">
      <w:pPr>
        <w:pStyle w:val="Nornal"/>
        <w:spacing w:line="360" w:lineRule="auto"/>
      </w:pPr>
    </w:p>
    <w:p w14:paraId="4E61CDC9" w14:textId="1920675F" w:rsidR="00B31B9C" w:rsidRDefault="00B31B9C" w:rsidP="00FC018A">
      <w:pPr>
        <w:pStyle w:val="Nornal"/>
        <w:spacing w:line="360" w:lineRule="auto"/>
      </w:pPr>
    </w:p>
    <w:p w14:paraId="0B2A68B4" w14:textId="77777777" w:rsidR="00B31B9C" w:rsidRDefault="00B31B9C" w:rsidP="00FC018A">
      <w:pPr>
        <w:pStyle w:val="Nornal"/>
        <w:spacing w:line="360" w:lineRule="auto"/>
      </w:pPr>
    </w:p>
    <w:p w14:paraId="0F54BC9C" w14:textId="40D46791" w:rsidR="00FC018A" w:rsidRDefault="00FC018A" w:rsidP="00FC018A">
      <w:pPr>
        <w:pStyle w:val="Nornal"/>
        <w:spacing w:line="360" w:lineRule="auto"/>
      </w:pPr>
    </w:p>
    <w:p w14:paraId="2F95F6AD" w14:textId="27250BE3" w:rsidR="00FC018A" w:rsidRDefault="00FC018A" w:rsidP="00FC018A">
      <w:pPr>
        <w:pStyle w:val="Nornal"/>
        <w:spacing w:line="360" w:lineRule="auto"/>
      </w:pPr>
    </w:p>
    <w:p w14:paraId="5345D06A" w14:textId="77777777" w:rsidR="00FC018A" w:rsidRDefault="00FC018A" w:rsidP="00FC018A">
      <w:pPr>
        <w:pStyle w:val="Nornal"/>
        <w:spacing w:line="360" w:lineRule="auto"/>
      </w:pPr>
    </w:p>
    <w:sdt>
      <w:sdtPr>
        <w:rPr>
          <w:rFonts w:asciiTheme="minorHAnsi" w:eastAsiaTheme="minorHAnsi" w:hAnsiTheme="minorHAnsi" w:cstheme="minorBidi"/>
          <w:b w:val="0"/>
          <w:bCs w:val="0"/>
          <w:color w:val="auto"/>
          <w:sz w:val="24"/>
          <w:szCs w:val="24"/>
          <w:lang w:val="en-GB" w:bidi="ar-SA"/>
        </w:rPr>
        <w:id w:val="128290603"/>
        <w:docPartObj>
          <w:docPartGallery w:val="Bibliographies"/>
          <w:docPartUnique/>
        </w:docPartObj>
      </w:sdtPr>
      <w:sdtEndPr>
        <w:rPr>
          <w:rFonts w:ascii="Arial" w:eastAsia="Times New Roman" w:hAnsi="Arial" w:cs="Arial"/>
          <w:sz w:val="22"/>
          <w:szCs w:val="22"/>
        </w:rPr>
      </w:sdtEndPr>
      <w:sdtContent>
        <w:p w14:paraId="5E9C2D1E" w14:textId="428B0D93" w:rsidR="00FC018A" w:rsidRDefault="00FC018A">
          <w:pPr>
            <w:pStyle w:val="Heading1"/>
          </w:pPr>
          <w:r>
            <w:t>Reference List</w:t>
          </w:r>
        </w:p>
        <w:sdt>
          <w:sdtPr>
            <w:id w:val="111145805"/>
            <w:bibliography/>
          </w:sdtPr>
          <w:sdtEndPr>
            <w:rPr>
              <w:rFonts w:ascii="Arial" w:hAnsi="Arial" w:cs="Arial"/>
              <w:sz w:val="22"/>
              <w:szCs w:val="22"/>
            </w:rPr>
          </w:sdtEndPr>
          <w:sdtContent>
            <w:p w14:paraId="3B92BCCA" w14:textId="617B90E0" w:rsidR="00FC018A" w:rsidRPr="00FC018A" w:rsidRDefault="00FC018A" w:rsidP="00FC018A">
              <w:pPr>
                <w:pStyle w:val="Bibliography"/>
                <w:spacing w:line="360" w:lineRule="auto"/>
                <w:rPr>
                  <w:rFonts w:ascii="Arial" w:hAnsi="Arial" w:cs="Arial"/>
                  <w:noProof/>
                  <w:sz w:val="22"/>
                  <w:szCs w:val="22"/>
                  <w:lang w:val="en-US"/>
                </w:rPr>
              </w:pPr>
              <w:r w:rsidRPr="00FC018A">
                <w:rPr>
                  <w:rFonts w:ascii="Arial" w:hAnsi="Arial" w:cs="Arial"/>
                  <w:sz w:val="22"/>
                  <w:szCs w:val="22"/>
                </w:rPr>
                <w:fldChar w:fldCharType="begin"/>
              </w:r>
              <w:r w:rsidRPr="00FC018A">
                <w:rPr>
                  <w:rFonts w:ascii="Arial" w:hAnsi="Arial" w:cs="Arial"/>
                  <w:sz w:val="22"/>
                  <w:szCs w:val="22"/>
                </w:rPr>
                <w:instrText xml:space="preserve"> BIBLIOGRAPHY </w:instrText>
              </w:r>
              <w:r w:rsidRPr="00FC018A">
                <w:rPr>
                  <w:rFonts w:ascii="Arial" w:hAnsi="Arial" w:cs="Arial"/>
                  <w:sz w:val="22"/>
                  <w:szCs w:val="22"/>
                </w:rPr>
                <w:fldChar w:fldCharType="separate"/>
              </w:r>
            </w:p>
            <w:p w14:paraId="0761727E" w14:textId="48371BBF"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ACAS, 2014. </w:t>
              </w:r>
              <w:r w:rsidRPr="00FC018A">
                <w:rPr>
                  <w:rFonts w:ascii="Arial" w:hAnsi="Arial" w:cs="Arial"/>
                  <w:i/>
                  <w:iCs/>
                  <w:noProof/>
                  <w:sz w:val="22"/>
                  <w:szCs w:val="22"/>
                  <w:lang w:val="en-US"/>
                </w:rPr>
                <w:t xml:space="preserve">acas code of practice on flexible working requests.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https://www.acas.org.uk/acas-code-of-practice-on-flexible-working-requests/html</w:t>
              </w:r>
              <w:r w:rsidRPr="00FC018A">
                <w:rPr>
                  <w:rFonts w:ascii="Arial" w:hAnsi="Arial" w:cs="Arial"/>
                  <w:noProof/>
                  <w:sz w:val="22"/>
                  <w:szCs w:val="22"/>
                  <w:lang w:val="en-US"/>
                </w:rPr>
                <w:br/>
                <w:t xml:space="preserve">[Accessed 12 </w:t>
              </w:r>
              <w:r>
                <w:rPr>
                  <w:rFonts w:ascii="Arial" w:hAnsi="Arial" w:cs="Arial"/>
                  <w:noProof/>
                  <w:sz w:val="22"/>
                  <w:szCs w:val="22"/>
                  <w:lang w:val="en-US"/>
                </w:rPr>
                <w:t>April</w:t>
              </w:r>
              <w:r w:rsidRPr="00FC018A">
                <w:rPr>
                  <w:rFonts w:ascii="Arial" w:hAnsi="Arial" w:cs="Arial"/>
                  <w:noProof/>
                  <w:sz w:val="22"/>
                  <w:szCs w:val="22"/>
                  <w:lang w:val="en-US"/>
                </w:rPr>
                <w:t xml:space="preserve"> 2023].</w:t>
              </w:r>
            </w:p>
            <w:p w14:paraId="40720ED6"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ACAS, 2020. </w:t>
              </w:r>
              <w:r w:rsidRPr="00FC018A">
                <w:rPr>
                  <w:rFonts w:ascii="Arial" w:hAnsi="Arial" w:cs="Arial"/>
                  <w:i/>
                  <w:iCs/>
                  <w:noProof/>
                  <w:sz w:val="22"/>
                  <w:szCs w:val="22"/>
                  <w:lang w:val="en-US"/>
                </w:rPr>
                <w:t xml:space="preserve">Responding to a flexible working request.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https://www.acas.org.uk/responding-to-a-flexible-working-request</w:t>
              </w:r>
              <w:r w:rsidRPr="00FC018A">
                <w:rPr>
                  <w:rFonts w:ascii="Arial" w:hAnsi="Arial" w:cs="Arial"/>
                  <w:noProof/>
                  <w:sz w:val="22"/>
                  <w:szCs w:val="22"/>
                  <w:lang w:val="en-US"/>
                </w:rPr>
                <w:br/>
                <w:t>[Accessed 17 April 2023].</w:t>
              </w:r>
            </w:p>
            <w:p w14:paraId="72AFF105"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ACAS, 2021. </w:t>
              </w:r>
              <w:r w:rsidRPr="00FC018A">
                <w:rPr>
                  <w:rFonts w:ascii="Arial" w:hAnsi="Arial" w:cs="Arial"/>
                  <w:i/>
                  <w:iCs/>
                  <w:noProof/>
                  <w:sz w:val="22"/>
                  <w:szCs w:val="22"/>
                  <w:lang w:val="en-US"/>
                </w:rPr>
                <w:t xml:space="preserve">Consulting employees and their representatives.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https://www.acas.org.uk/consulting-employees/when-consultation-is-legally-required</w:t>
              </w:r>
              <w:r w:rsidRPr="00FC018A">
                <w:rPr>
                  <w:rFonts w:ascii="Arial" w:hAnsi="Arial" w:cs="Arial"/>
                  <w:noProof/>
                  <w:sz w:val="22"/>
                  <w:szCs w:val="22"/>
                  <w:lang w:val="en-US"/>
                </w:rPr>
                <w:br/>
                <w:t>[Accessed 12 April 2023].</w:t>
              </w:r>
            </w:p>
            <w:p w14:paraId="62BE3F61"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ACAS, 2021. </w:t>
              </w:r>
              <w:r w:rsidRPr="00FC018A">
                <w:rPr>
                  <w:rFonts w:ascii="Arial" w:hAnsi="Arial" w:cs="Arial"/>
                  <w:i/>
                  <w:iCs/>
                  <w:noProof/>
                  <w:sz w:val="22"/>
                  <w:szCs w:val="22"/>
                  <w:lang w:val="en-US"/>
                </w:rPr>
                <w:t xml:space="preserve">Employee rights during a tupe transfer.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https://www.acas.org.uk/employee-rights-during-a-tupe-transfer</w:t>
              </w:r>
              <w:r w:rsidRPr="00FC018A">
                <w:rPr>
                  <w:rFonts w:ascii="Arial" w:hAnsi="Arial" w:cs="Arial"/>
                  <w:noProof/>
                  <w:sz w:val="22"/>
                  <w:szCs w:val="22"/>
                  <w:lang w:val="en-US"/>
                </w:rPr>
                <w:br/>
                <w:t>[Accessed 9 April 2023].</w:t>
              </w:r>
            </w:p>
            <w:p w14:paraId="3792621A"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ACAS, 2022. </w:t>
              </w:r>
              <w:r w:rsidRPr="00FC018A">
                <w:rPr>
                  <w:rFonts w:ascii="Arial" w:hAnsi="Arial" w:cs="Arial"/>
                  <w:i/>
                  <w:iCs/>
                  <w:noProof/>
                  <w:sz w:val="22"/>
                  <w:szCs w:val="22"/>
                  <w:lang w:val="en-US"/>
                </w:rPr>
                <w:t xml:space="preserve">Equal Pay by Law.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https://www.acas.org.uk/equal-pay/equal-pay-law#:~:text=By%20law%2C%20'equal%20work',do%20the%20work%20are%20equivalent</w:t>
              </w:r>
              <w:r w:rsidRPr="00FC018A">
                <w:rPr>
                  <w:rFonts w:ascii="Arial" w:hAnsi="Arial" w:cs="Arial"/>
                  <w:noProof/>
                  <w:sz w:val="22"/>
                  <w:szCs w:val="22"/>
                  <w:lang w:val="en-US"/>
                </w:rPr>
                <w:br/>
                <w:t>[Accessed 12 April 2023].</w:t>
              </w:r>
            </w:p>
            <w:p w14:paraId="05CA4E93"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ACAS, 2022. </w:t>
              </w:r>
              <w:r w:rsidRPr="00FC018A">
                <w:rPr>
                  <w:rFonts w:ascii="Arial" w:hAnsi="Arial" w:cs="Arial"/>
                  <w:i/>
                  <w:iCs/>
                  <w:noProof/>
                  <w:sz w:val="22"/>
                  <w:szCs w:val="22"/>
                  <w:lang w:val="en-US"/>
                </w:rPr>
                <w:t xml:space="preserve">young workers apprentices and work experience.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https://www.acas.org.uk/young-workers-apprentices-and-work-experience</w:t>
              </w:r>
              <w:r w:rsidRPr="00FC018A">
                <w:rPr>
                  <w:rFonts w:ascii="Arial" w:hAnsi="Arial" w:cs="Arial"/>
                  <w:noProof/>
                  <w:sz w:val="22"/>
                  <w:szCs w:val="22"/>
                  <w:lang w:val="en-US"/>
                </w:rPr>
                <w:br/>
                <w:t>[Accessed 8 April 2023].</w:t>
              </w:r>
            </w:p>
            <w:p w14:paraId="3D3509AF"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ACAS, 2023. </w:t>
              </w:r>
              <w:r w:rsidRPr="00FC018A">
                <w:rPr>
                  <w:rFonts w:ascii="Arial" w:hAnsi="Arial" w:cs="Arial"/>
                  <w:i/>
                  <w:iCs/>
                  <w:noProof/>
                  <w:sz w:val="22"/>
                  <w:szCs w:val="22"/>
                  <w:lang w:val="en-US"/>
                </w:rPr>
                <w:t xml:space="preserve">Maternity leave pay and other rights.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https://www.acas.org.uk/your-maternity-leave-pay-and-other-rights</w:t>
              </w:r>
              <w:r w:rsidRPr="00FC018A">
                <w:rPr>
                  <w:rFonts w:ascii="Arial" w:hAnsi="Arial" w:cs="Arial"/>
                  <w:noProof/>
                  <w:sz w:val="22"/>
                  <w:szCs w:val="22"/>
                  <w:lang w:val="en-US"/>
                </w:rPr>
                <w:br/>
                <w:t>[Accessed 16 April 2023].</w:t>
              </w:r>
            </w:p>
            <w:p w14:paraId="36C165D4"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ACAS, 2023. </w:t>
              </w:r>
              <w:r w:rsidRPr="00FC018A">
                <w:rPr>
                  <w:rFonts w:ascii="Arial" w:hAnsi="Arial" w:cs="Arial"/>
                  <w:i/>
                  <w:iCs/>
                  <w:noProof/>
                  <w:sz w:val="22"/>
                  <w:szCs w:val="22"/>
                  <w:lang w:val="en-US"/>
                </w:rPr>
                <w:t xml:space="preserve">Working Time Rules.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https://www.acas.org.uk/working-time-rules</w:t>
              </w:r>
              <w:r w:rsidRPr="00FC018A">
                <w:rPr>
                  <w:rFonts w:ascii="Arial" w:hAnsi="Arial" w:cs="Arial"/>
                  <w:noProof/>
                  <w:sz w:val="22"/>
                  <w:szCs w:val="22"/>
                  <w:lang w:val="en-US"/>
                </w:rPr>
                <w:br/>
                <w:t>[Accessed 3 April 2023].</w:t>
              </w:r>
            </w:p>
            <w:p w14:paraId="346C3508"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ACAS, 2023. </w:t>
              </w:r>
              <w:r w:rsidRPr="00FC018A">
                <w:rPr>
                  <w:rFonts w:ascii="Arial" w:hAnsi="Arial" w:cs="Arial"/>
                  <w:i/>
                  <w:iCs/>
                  <w:noProof/>
                  <w:sz w:val="22"/>
                  <w:szCs w:val="22"/>
                  <w:lang w:val="en-US"/>
                </w:rPr>
                <w:t xml:space="preserve">Your adoption leave pay and other rights.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https://www.acas.org.uk/your-adoption-leave-pay-and-other-rights</w:t>
              </w:r>
              <w:r w:rsidRPr="00FC018A">
                <w:rPr>
                  <w:rFonts w:ascii="Arial" w:hAnsi="Arial" w:cs="Arial"/>
                  <w:noProof/>
                  <w:sz w:val="22"/>
                  <w:szCs w:val="22"/>
                  <w:lang w:val="en-US"/>
                </w:rPr>
                <w:br/>
                <w:t>[Accessed 12 April 2023].</w:t>
              </w:r>
            </w:p>
            <w:p w14:paraId="363B4488"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lastRenderedPageBreak/>
                <w:t xml:space="preserve">ACAS, n.d. </w:t>
              </w:r>
              <w:r w:rsidRPr="00FC018A">
                <w:rPr>
                  <w:rFonts w:ascii="Arial" w:hAnsi="Arial" w:cs="Arial"/>
                  <w:i/>
                  <w:iCs/>
                  <w:noProof/>
                  <w:sz w:val="22"/>
                  <w:szCs w:val="22"/>
                  <w:lang w:val="en-US"/>
                </w:rPr>
                <w:t xml:space="preserve">Making a claim to an employment tribunal.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https://www.acas.org.uk/making-a-claim-to-an-employment-tribunal</w:t>
              </w:r>
              <w:r w:rsidRPr="00FC018A">
                <w:rPr>
                  <w:rFonts w:ascii="Arial" w:hAnsi="Arial" w:cs="Arial"/>
                  <w:noProof/>
                  <w:sz w:val="22"/>
                  <w:szCs w:val="22"/>
                  <w:lang w:val="en-US"/>
                </w:rPr>
                <w:br/>
                <w:t>[Accessed 4 April 2023].</w:t>
              </w:r>
            </w:p>
            <w:p w14:paraId="1AC0D9F8"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CIPD, 2021. </w:t>
              </w:r>
              <w:r w:rsidRPr="00FC018A">
                <w:rPr>
                  <w:rFonts w:ascii="Arial" w:hAnsi="Arial" w:cs="Arial"/>
                  <w:i/>
                  <w:iCs/>
                  <w:noProof/>
                  <w:sz w:val="22"/>
                  <w:szCs w:val="22"/>
                  <w:lang w:val="en-US"/>
                </w:rPr>
                <w:t xml:space="preserve">UK Courts System.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https://www.cipd.co.uk/knowledge/fundamentals/emp-law/about/uk-court-system-factsheet</w:t>
              </w:r>
              <w:r w:rsidRPr="00FC018A">
                <w:rPr>
                  <w:rFonts w:ascii="Arial" w:hAnsi="Arial" w:cs="Arial"/>
                  <w:noProof/>
                  <w:sz w:val="22"/>
                  <w:szCs w:val="22"/>
                  <w:lang w:val="en-US"/>
                </w:rPr>
                <w:br/>
                <w:t>[Accessed 1 April 2023].</w:t>
              </w:r>
            </w:p>
            <w:p w14:paraId="7376BA49"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CIPD, 2022. </w:t>
              </w:r>
              <w:r w:rsidRPr="00FC018A">
                <w:rPr>
                  <w:rFonts w:ascii="Arial" w:hAnsi="Arial" w:cs="Arial"/>
                  <w:i/>
                  <w:iCs/>
                  <w:noProof/>
                  <w:sz w:val="22"/>
                  <w:szCs w:val="22"/>
                  <w:lang w:val="en-US"/>
                </w:rPr>
                <w:t xml:space="preserve">Employment Tribunals.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https://www.cipd.co.uk/knowledge/fundamentals/emp-law/tribunals/factsheet#gref</w:t>
              </w:r>
              <w:r w:rsidRPr="00FC018A">
                <w:rPr>
                  <w:rFonts w:ascii="Arial" w:hAnsi="Arial" w:cs="Arial"/>
                  <w:noProof/>
                  <w:sz w:val="22"/>
                  <w:szCs w:val="22"/>
                  <w:lang w:val="en-US"/>
                </w:rPr>
                <w:br/>
                <w:t>[Accessed 4 April 2023].</w:t>
              </w:r>
            </w:p>
            <w:p w14:paraId="2CD56F64"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CIPD, 2022. </w:t>
              </w:r>
              <w:r w:rsidRPr="00FC018A">
                <w:rPr>
                  <w:rFonts w:ascii="Arial" w:hAnsi="Arial" w:cs="Arial"/>
                  <w:i/>
                  <w:iCs/>
                  <w:noProof/>
                  <w:sz w:val="22"/>
                  <w:szCs w:val="22"/>
                  <w:lang w:val="en-US"/>
                </w:rPr>
                <w:t xml:space="preserve">Flexible Working Factsheet.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https://www.cipd.co.uk/knowledge/fundamentals/relations/flexible-working/factsheet#gref</w:t>
              </w:r>
              <w:r w:rsidRPr="00FC018A">
                <w:rPr>
                  <w:rFonts w:ascii="Arial" w:hAnsi="Arial" w:cs="Arial"/>
                  <w:noProof/>
                  <w:sz w:val="22"/>
                  <w:szCs w:val="22"/>
                  <w:lang w:val="en-US"/>
                </w:rPr>
                <w:br/>
                <w:t>[Accessed 17 April 2023].</w:t>
              </w:r>
            </w:p>
            <w:p w14:paraId="131F2653"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CIPD, 2022. </w:t>
              </w:r>
              <w:r w:rsidRPr="00FC018A">
                <w:rPr>
                  <w:rFonts w:ascii="Arial" w:hAnsi="Arial" w:cs="Arial"/>
                  <w:i/>
                  <w:iCs/>
                  <w:noProof/>
                  <w:sz w:val="22"/>
                  <w:szCs w:val="22"/>
                  <w:lang w:val="en-US"/>
                </w:rPr>
                <w:t xml:space="preserve">Maternity Paternity Factsheet.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https://www.cipd.co.uk/knowledge/fundamentals/emp-law/maternity-paternity-rights/factsheet</w:t>
              </w:r>
              <w:r w:rsidRPr="00FC018A">
                <w:rPr>
                  <w:rFonts w:ascii="Arial" w:hAnsi="Arial" w:cs="Arial"/>
                  <w:noProof/>
                  <w:sz w:val="22"/>
                  <w:szCs w:val="22"/>
                  <w:lang w:val="en-US"/>
                </w:rPr>
                <w:br/>
                <w:t>[Accessed 16 April 2023].</w:t>
              </w:r>
            </w:p>
            <w:p w14:paraId="2D0DED35"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CIPD, 2022. </w:t>
              </w:r>
              <w:r w:rsidRPr="00FC018A">
                <w:rPr>
                  <w:rFonts w:ascii="Arial" w:hAnsi="Arial" w:cs="Arial"/>
                  <w:i/>
                  <w:iCs/>
                  <w:noProof/>
                  <w:sz w:val="22"/>
                  <w:szCs w:val="22"/>
                  <w:lang w:val="en-US"/>
                </w:rPr>
                <w:t xml:space="preserve">Redundancy Factsheet.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https://www.cipd.co.uk/knowledge/fundamentals/emp-law/redundancy/factsheet</w:t>
              </w:r>
              <w:r w:rsidRPr="00FC018A">
                <w:rPr>
                  <w:rFonts w:ascii="Arial" w:hAnsi="Arial" w:cs="Arial"/>
                  <w:noProof/>
                  <w:sz w:val="22"/>
                  <w:szCs w:val="22"/>
                  <w:lang w:val="en-US"/>
                </w:rPr>
                <w:br/>
                <w:t>[Accessed 12 April 2023].</w:t>
              </w:r>
            </w:p>
            <w:p w14:paraId="0A51E6CB"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CIPD, 2022. </w:t>
              </w:r>
              <w:r w:rsidRPr="00FC018A">
                <w:rPr>
                  <w:rFonts w:ascii="Arial" w:hAnsi="Arial" w:cs="Arial"/>
                  <w:i/>
                  <w:iCs/>
                  <w:noProof/>
                  <w:sz w:val="22"/>
                  <w:szCs w:val="22"/>
                  <w:lang w:val="en-US"/>
                </w:rPr>
                <w:t xml:space="preserve">Settlement and compromise agreements Q&amp;As.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https://www.cipd.co.uk/knowledge/fundamentals/emp-law/dismissal/settlement-compromise-agreements-questions</w:t>
              </w:r>
              <w:r w:rsidRPr="00FC018A">
                <w:rPr>
                  <w:rFonts w:ascii="Arial" w:hAnsi="Arial" w:cs="Arial"/>
                  <w:noProof/>
                  <w:sz w:val="22"/>
                  <w:szCs w:val="22"/>
                  <w:lang w:val="en-US"/>
                </w:rPr>
                <w:br/>
                <w:t>[Accessed 2 April 2023].</w:t>
              </w:r>
            </w:p>
            <w:p w14:paraId="030FB9BD"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CIPD, 2022. </w:t>
              </w:r>
              <w:r w:rsidRPr="00FC018A">
                <w:rPr>
                  <w:rFonts w:ascii="Arial" w:hAnsi="Arial" w:cs="Arial"/>
                  <w:i/>
                  <w:iCs/>
                  <w:noProof/>
                  <w:sz w:val="22"/>
                  <w:szCs w:val="22"/>
                  <w:lang w:val="en-US"/>
                </w:rPr>
                <w:t xml:space="preserve">TUPE Factsheet.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https://www.cipd.co.uk/knowledge/fundamentals/emp-law/tupe/factsheet#gref</w:t>
              </w:r>
              <w:r w:rsidRPr="00FC018A">
                <w:rPr>
                  <w:rFonts w:ascii="Arial" w:hAnsi="Arial" w:cs="Arial"/>
                  <w:noProof/>
                  <w:sz w:val="22"/>
                  <w:szCs w:val="22"/>
                  <w:lang w:val="en-US"/>
                </w:rPr>
                <w:br/>
                <w:t>[Accessed 10 April 2023].</w:t>
              </w:r>
            </w:p>
            <w:p w14:paraId="0D553FC9"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Duncan, P., 2022. </w:t>
              </w:r>
              <w:r w:rsidRPr="00FC018A">
                <w:rPr>
                  <w:rFonts w:ascii="Arial" w:hAnsi="Arial" w:cs="Arial"/>
                  <w:i/>
                  <w:iCs/>
                  <w:noProof/>
                  <w:sz w:val="22"/>
                  <w:szCs w:val="22"/>
                  <w:lang w:val="en-US"/>
                </w:rPr>
                <w:t xml:space="preserve">UK Gener Pay Gap.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https://www.theguardian.com/world/2022/apr/06/uk-gender-pay-gap-women-paid-90p-for-1-earned-by-men</w:t>
              </w:r>
              <w:r w:rsidRPr="00FC018A">
                <w:rPr>
                  <w:rFonts w:ascii="Arial" w:hAnsi="Arial" w:cs="Arial"/>
                  <w:noProof/>
                  <w:sz w:val="22"/>
                  <w:szCs w:val="22"/>
                  <w:lang w:val="en-US"/>
                </w:rPr>
                <w:br/>
                <w:t>[Accessed 12 April 2023].</w:t>
              </w:r>
            </w:p>
            <w:p w14:paraId="1A7CB760"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lastRenderedPageBreak/>
                <w:t xml:space="preserve">Equality and Human Right Commission, 2011. </w:t>
              </w:r>
              <w:r w:rsidRPr="00FC018A">
                <w:rPr>
                  <w:rFonts w:ascii="Arial" w:hAnsi="Arial" w:cs="Arial"/>
                  <w:i/>
                  <w:iCs/>
                  <w:noProof/>
                  <w:sz w:val="22"/>
                  <w:szCs w:val="22"/>
                  <w:lang w:val="en-US"/>
                </w:rPr>
                <w:t xml:space="preserve">Equality Act 2010 Statutory Code of Practice. </w:t>
              </w:r>
              <w:r w:rsidRPr="00FC018A">
                <w:rPr>
                  <w:rFonts w:ascii="Arial" w:hAnsi="Arial" w:cs="Arial"/>
                  <w:noProof/>
                  <w:sz w:val="22"/>
                  <w:szCs w:val="22"/>
                  <w:lang w:val="en-US"/>
                </w:rPr>
                <w:t>London: Equality and Human Right Commission.</w:t>
              </w:r>
            </w:p>
            <w:p w14:paraId="3D938E92"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Falconer, K., 2020. </w:t>
              </w:r>
              <w:r w:rsidRPr="00FC018A">
                <w:rPr>
                  <w:rFonts w:ascii="Arial" w:hAnsi="Arial" w:cs="Arial"/>
                  <w:i/>
                  <w:iCs/>
                  <w:noProof/>
                  <w:sz w:val="22"/>
                  <w:szCs w:val="22"/>
                  <w:lang w:val="en-US"/>
                </w:rPr>
                <w:t xml:space="preserve">Types of discrimination.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https://www.hrsolutions-uk.com/4-types-of-discrimination/</w:t>
              </w:r>
              <w:r w:rsidRPr="00FC018A">
                <w:rPr>
                  <w:rFonts w:ascii="Arial" w:hAnsi="Arial" w:cs="Arial"/>
                  <w:noProof/>
                  <w:sz w:val="22"/>
                  <w:szCs w:val="22"/>
                  <w:lang w:val="en-US"/>
                </w:rPr>
                <w:br/>
                <w:t>[Accessed 6 April 2023].</w:t>
              </w:r>
            </w:p>
            <w:p w14:paraId="515949EA" w14:textId="77777777" w:rsid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Fortunato, 2016. </w:t>
              </w:r>
              <w:r w:rsidRPr="00FC018A">
                <w:rPr>
                  <w:rFonts w:ascii="Arial" w:hAnsi="Arial" w:cs="Arial"/>
                  <w:i/>
                  <w:iCs/>
                  <w:noProof/>
                  <w:sz w:val="22"/>
                  <w:szCs w:val="22"/>
                  <w:lang w:val="en-US"/>
                </w:rPr>
                <w:t xml:space="preserve">Importanc of employment laws.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https://www.bf-law.com/blog/the-importance-of-employment-laws/</w:t>
              </w:r>
              <w:r w:rsidRPr="00FC018A">
                <w:rPr>
                  <w:rFonts w:ascii="Arial" w:hAnsi="Arial" w:cs="Arial"/>
                  <w:noProof/>
                  <w:sz w:val="22"/>
                  <w:szCs w:val="22"/>
                  <w:lang w:val="en-US"/>
                </w:rPr>
                <w:br/>
                <w:t xml:space="preserve">[Accessed 1 April 2023]. </w:t>
              </w:r>
            </w:p>
            <w:p w14:paraId="60D1442D" w14:textId="3C28D6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HM Courts &amp; Tribunals Service, 2017. </w:t>
              </w:r>
              <w:r w:rsidRPr="00FC018A">
                <w:rPr>
                  <w:rFonts w:ascii="Arial" w:hAnsi="Arial" w:cs="Arial"/>
                  <w:i/>
                  <w:iCs/>
                  <w:noProof/>
                  <w:sz w:val="22"/>
                  <w:szCs w:val="22"/>
                  <w:lang w:val="en-US"/>
                </w:rPr>
                <w:t xml:space="preserve">Make a claim to an employment tribunal.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https://www.gov.uk/government/publications/make-a-claim-to-an-employment-tribunal-form-et1#:~:text=Use%20the%20ET1%20claim%20form,Get%20emails%20about%20this%20page</w:t>
              </w:r>
              <w:r>
                <w:rPr>
                  <w:rFonts w:ascii="Arial" w:hAnsi="Arial" w:cs="Arial"/>
                  <w:noProof/>
                  <w:sz w:val="22"/>
                  <w:szCs w:val="22"/>
                  <w:u w:val="single"/>
                  <w:lang w:val="en-US"/>
                </w:rPr>
                <w:t xml:space="preserve"> </w:t>
              </w:r>
              <w:r w:rsidRPr="00FC018A">
                <w:rPr>
                  <w:rFonts w:ascii="Arial" w:hAnsi="Arial" w:cs="Arial"/>
                  <w:noProof/>
                  <w:sz w:val="22"/>
                  <w:szCs w:val="22"/>
                  <w:lang w:val="en-US"/>
                </w:rPr>
                <w:t xml:space="preserve">[Accessed 14 </w:t>
              </w:r>
              <w:r>
                <w:rPr>
                  <w:rFonts w:ascii="Arial" w:hAnsi="Arial" w:cs="Arial"/>
                  <w:noProof/>
                  <w:sz w:val="22"/>
                  <w:szCs w:val="22"/>
                  <w:lang w:val="en-US"/>
                </w:rPr>
                <w:t xml:space="preserve">April </w:t>
              </w:r>
              <w:r w:rsidRPr="00FC018A">
                <w:rPr>
                  <w:rFonts w:ascii="Arial" w:hAnsi="Arial" w:cs="Arial"/>
                  <w:noProof/>
                  <w:sz w:val="22"/>
                  <w:szCs w:val="22"/>
                  <w:lang w:val="en-US"/>
                </w:rPr>
                <w:t>2023].</w:t>
              </w:r>
            </w:p>
            <w:p w14:paraId="57315F4B"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Hancock, H., 2019. </w:t>
              </w:r>
              <w:r w:rsidRPr="00FC018A">
                <w:rPr>
                  <w:rFonts w:ascii="Arial" w:hAnsi="Arial" w:cs="Arial"/>
                  <w:i/>
                  <w:iCs/>
                  <w:noProof/>
                  <w:sz w:val="22"/>
                  <w:szCs w:val="22"/>
                  <w:lang w:val="en-US"/>
                </w:rPr>
                <w:t xml:space="preserve">The Working Time Directive explained.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https://citrushr.com/blog/day-to-day-hr/working-time-directive-explained/#:~:text=1.-,Health%20and%20Safety,lead%20to%20accidents%20or%20injuries.</w:t>
              </w:r>
              <w:r w:rsidRPr="00FC018A">
                <w:rPr>
                  <w:rFonts w:ascii="Arial" w:hAnsi="Arial" w:cs="Arial"/>
                  <w:noProof/>
                  <w:sz w:val="22"/>
                  <w:szCs w:val="22"/>
                  <w:lang w:val="en-US"/>
                </w:rPr>
                <w:br/>
                <w:t>[Accessed 3 April 2023].</w:t>
              </w:r>
            </w:p>
            <w:p w14:paraId="1C219E22"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PeopleHR, 2023. </w:t>
              </w:r>
              <w:r w:rsidRPr="00FC018A">
                <w:rPr>
                  <w:rFonts w:ascii="Arial" w:hAnsi="Arial" w:cs="Arial"/>
                  <w:i/>
                  <w:iCs/>
                  <w:noProof/>
                  <w:sz w:val="22"/>
                  <w:szCs w:val="22"/>
                  <w:lang w:val="en-US"/>
                </w:rPr>
                <w:t xml:space="preserve">How blind recruitment software can optimise your recruitment process.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https://www.peoplehr.com/en-gb/resources/blog/how-blind-recruitment-software-can-optimise-your-recruitment-process/#:~:text=Blind%20recruitment%20may%20help%20reduce,invited%20for%20an%20interview%20increased.</w:t>
              </w:r>
              <w:r w:rsidRPr="00FC018A">
                <w:rPr>
                  <w:rFonts w:ascii="Arial" w:hAnsi="Arial" w:cs="Arial"/>
                  <w:noProof/>
                  <w:sz w:val="22"/>
                  <w:szCs w:val="22"/>
                  <w:lang w:val="en-US"/>
                </w:rPr>
                <w:br/>
                <w:t>[Accessed 10 April 2023].</w:t>
              </w:r>
            </w:p>
            <w:p w14:paraId="50BC48AE"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PinpointHQ, 2023. </w:t>
              </w:r>
              <w:r w:rsidRPr="00FC018A">
                <w:rPr>
                  <w:rFonts w:ascii="Arial" w:hAnsi="Arial" w:cs="Arial"/>
                  <w:i/>
                  <w:iCs/>
                  <w:noProof/>
                  <w:sz w:val="22"/>
                  <w:szCs w:val="22"/>
                  <w:lang w:val="en-US"/>
                </w:rPr>
                <w:t xml:space="preserve">Blind recruitment software.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https://www.pinpointhq.com/features/blind-recruitment-software</w:t>
              </w:r>
              <w:r w:rsidRPr="00FC018A">
                <w:rPr>
                  <w:rFonts w:ascii="Arial" w:hAnsi="Arial" w:cs="Arial"/>
                  <w:noProof/>
                  <w:sz w:val="22"/>
                  <w:szCs w:val="22"/>
                  <w:lang w:val="en-US"/>
                </w:rPr>
                <w:br/>
                <w:t>[Accessed 12 April 2023].</w:t>
              </w:r>
            </w:p>
            <w:p w14:paraId="623D1C3E"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UK Government, 2023. </w:t>
              </w:r>
              <w:r w:rsidRPr="00FC018A">
                <w:rPr>
                  <w:rFonts w:ascii="Arial" w:hAnsi="Arial" w:cs="Arial"/>
                  <w:i/>
                  <w:iCs/>
                  <w:noProof/>
                  <w:sz w:val="22"/>
                  <w:szCs w:val="22"/>
                  <w:lang w:val="en-US"/>
                </w:rPr>
                <w:t xml:space="preserve">National Minimum Wage Rates.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https://www.gov.uk/national-minimum-wage-rates</w:t>
              </w:r>
              <w:r w:rsidRPr="00FC018A">
                <w:rPr>
                  <w:rFonts w:ascii="Arial" w:hAnsi="Arial" w:cs="Arial"/>
                  <w:noProof/>
                  <w:sz w:val="22"/>
                  <w:szCs w:val="22"/>
                  <w:lang w:val="en-US"/>
                </w:rPr>
                <w:br/>
                <w:t>[Accessed 14 April 2023].</w:t>
              </w:r>
            </w:p>
            <w:p w14:paraId="5D7158FA"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UK Government, n.d. </w:t>
              </w:r>
              <w:r w:rsidRPr="00FC018A">
                <w:rPr>
                  <w:rFonts w:ascii="Arial" w:hAnsi="Arial" w:cs="Arial"/>
                  <w:i/>
                  <w:iCs/>
                  <w:noProof/>
                  <w:sz w:val="22"/>
                  <w:szCs w:val="22"/>
                  <w:lang w:val="en-US"/>
                </w:rPr>
                <w:t xml:space="preserve">Dicrimination at work.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https://www.gov.uk/discrimination-your-rights/discrimination-at-work</w:t>
              </w:r>
              <w:r w:rsidRPr="00FC018A">
                <w:rPr>
                  <w:rFonts w:ascii="Arial" w:hAnsi="Arial" w:cs="Arial"/>
                  <w:noProof/>
                  <w:sz w:val="22"/>
                  <w:szCs w:val="22"/>
                  <w:lang w:val="en-US"/>
                </w:rPr>
                <w:br/>
                <w:t>[Accessed 2 April 2023].</w:t>
              </w:r>
            </w:p>
            <w:p w14:paraId="606F6295"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lastRenderedPageBreak/>
                <w:t xml:space="preserve">University Of Cambridge, 2023. </w:t>
              </w:r>
              <w:r w:rsidRPr="00FC018A">
                <w:rPr>
                  <w:rFonts w:ascii="Arial" w:hAnsi="Arial" w:cs="Arial"/>
                  <w:i/>
                  <w:iCs/>
                  <w:noProof/>
                  <w:sz w:val="22"/>
                  <w:szCs w:val="22"/>
                  <w:lang w:val="en-US"/>
                </w:rPr>
                <w:t xml:space="preserve">Public Equality Duties &amp; Protected Characteristics.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https://www.equality.admin.cam.ac.uk/training/equalities-law/key-principles/associative-discrimination#:~:text=Associative%20discrimination%20is%20the%20legal,under%20the%20Equality%20Act%202010.</w:t>
              </w:r>
              <w:r w:rsidRPr="00FC018A">
                <w:rPr>
                  <w:rFonts w:ascii="Arial" w:hAnsi="Arial" w:cs="Arial"/>
                  <w:noProof/>
                  <w:sz w:val="22"/>
                  <w:szCs w:val="22"/>
                  <w:lang w:val="en-US"/>
                </w:rPr>
                <w:br/>
                <w:t>[Accessed 6 April 2023].</w:t>
              </w:r>
            </w:p>
            <w:p w14:paraId="287BCF7C" w14:textId="6D8D150E" w:rsidR="00FC018A" w:rsidRPr="00FC018A" w:rsidRDefault="00FC018A" w:rsidP="00FC018A">
              <w:pPr>
                <w:spacing w:line="360" w:lineRule="auto"/>
                <w:rPr>
                  <w:rFonts w:ascii="Arial" w:hAnsi="Arial" w:cs="Arial"/>
                  <w:sz w:val="22"/>
                  <w:szCs w:val="22"/>
                </w:rPr>
              </w:pPr>
              <w:r w:rsidRPr="00FC018A">
                <w:rPr>
                  <w:rFonts w:ascii="Arial" w:hAnsi="Arial" w:cs="Arial"/>
                  <w:b/>
                  <w:bCs/>
                  <w:noProof/>
                  <w:sz w:val="22"/>
                  <w:szCs w:val="22"/>
                </w:rPr>
                <w:fldChar w:fldCharType="end"/>
              </w:r>
            </w:p>
          </w:sdtContent>
        </w:sdt>
      </w:sdtContent>
    </w:sdt>
    <w:p w14:paraId="1A5C364F" w14:textId="77777777" w:rsidR="00FC018A" w:rsidRPr="00FC018A" w:rsidRDefault="00FC018A" w:rsidP="00FC018A">
      <w:pPr>
        <w:pStyle w:val="Nornal"/>
        <w:spacing w:line="360" w:lineRule="auto"/>
      </w:pPr>
    </w:p>
    <w:p w14:paraId="3A9F3F7B" w14:textId="77777777" w:rsidR="00FF46C9" w:rsidRDefault="00FF46C9" w:rsidP="00BC3A7A">
      <w:pPr>
        <w:shd w:val="clear" w:color="auto" w:fill="FFFFFF"/>
        <w:spacing w:after="450"/>
        <w:rPr>
          <w:rFonts w:ascii="Open Sans" w:hAnsi="Open Sans" w:cs="Open Sans"/>
          <w:color w:val="000000"/>
        </w:rPr>
      </w:pPr>
    </w:p>
    <w:p w14:paraId="43524D90" w14:textId="72378DD7" w:rsidR="00C472B9" w:rsidRPr="00BC3A7A" w:rsidRDefault="00B31B9C" w:rsidP="00BC3A7A">
      <w:pPr>
        <w:shd w:val="clear" w:color="auto" w:fill="FFFFFF"/>
        <w:spacing w:after="450"/>
        <w:rPr>
          <w:rFonts w:ascii="Open Sans" w:hAnsi="Open Sans" w:cs="Open Sans"/>
          <w:color w:val="000000"/>
        </w:rPr>
      </w:pPr>
    </w:p>
    <w:sectPr w:rsidR="00C472B9" w:rsidRPr="00BC3A7A" w:rsidSect="001103B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03375F"/>
    <w:multiLevelType w:val="multilevel"/>
    <w:tmpl w:val="D540A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F70F74"/>
    <w:multiLevelType w:val="multilevel"/>
    <w:tmpl w:val="033A0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C60DB1"/>
    <w:multiLevelType w:val="multilevel"/>
    <w:tmpl w:val="E2F6B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4506FA"/>
    <w:multiLevelType w:val="multilevel"/>
    <w:tmpl w:val="91283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9533CE5"/>
    <w:multiLevelType w:val="multilevel"/>
    <w:tmpl w:val="A0603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9B7994"/>
    <w:multiLevelType w:val="multilevel"/>
    <w:tmpl w:val="C9683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6273C7"/>
    <w:multiLevelType w:val="multilevel"/>
    <w:tmpl w:val="F5BCF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85E590C"/>
    <w:multiLevelType w:val="multilevel"/>
    <w:tmpl w:val="F55C4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C7E1B74"/>
    <w:multiLevelType w:val="hybridMultilevel"/>
    <w:tmpl w:val="F3DA9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2D41D3"/>
    <w:multiLevelType w:val="multilevel"/>
    <w:tmpl w:val="F28EC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4977B4"/>
    <w:multiLevelType w:val="multilevel"/>
    <w:tmpl w:val="2C784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3CF4A2B"/>
    <w:multiLevelType w:val="multilevel"/>
    <w:tmpl w:val="19C62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9AF1DF4"/>
    <w:multiLevelType w:val="multilevel"/>
    <w:tmpl w:val="C48A5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FC52E41"/>
    <w:multiLevelType w:val="multilevel"/>
    <w:tmpl w:val="5890E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72D5BDA"/>
    <w:multiLevelType w:val="multilevel"/>
    <w:tmpl w:val="2A96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90B6C76"/>
    <w:multiLevelType w:val="multilevel"/>
    <w:tmpl w:val="9446C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EA84F17"/>
    <w:multiLevelType w:val="multilevel"/>
    <w:tmpl w:val="E07C9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C847899"/>
    <w:multiLevelType w:val="multilevel"/>
    <w:tmpl w:val="C91A8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07958B4"/>
    <w:multiLevelType w:val="multilevel"/>
    <w:tmpl w:val="643E3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F83912"/>
    <w:multiLevelType w:val="multilevel"/>
    <w:tmpl w:val="3B2ED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A231C9F"/>
    <w:multiLevelType w:val="multilevel"/>
    <w:tmpl w:val="713ED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A2A2422"/>
    <w:multiLevelType w:val="multilevel"/>
    <w:tmpl w:val="BEDCA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01659C8"/>
    <w:multiLevelType w:val="multilevel"/>
    <w:tmpl w:val="200CD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9EB019B"/>
    <w:multiLevelType w:val="multilevel"/>
    <w:tmpl w:val="6E0A1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0"/>
  </w:num>
  <w:num w:numId="3">
    <w:abstractNumId w:val="3"/>
  </w:num>
  <w:num w:numId="4">
    <w:abstractNumId w:val="19"/>
  </w:num>
  <w:num w:numId="5">
    <w:abstractNumId w:val="5"/>
  </w:num>
  <w:num w:numId="6">
    <w:abstractNumId w:val="6"/>
  </w:num>
  <w:num w:numId="7">
    <w:abstractNumId w:val="8"/>
  </w:num>
  <w:num w:numId="8">
    <w:abstractNumId w:val="4"/>
  </w:num>
  <w:num w:numId="9">
    <w:abstractNumId w:val="15"/>
  </w:num>
  <w:num w:numId="10">
    <w:abstractNumId w:val="23"/>
  </w:num>
  <w:num w:numId="11">
    <w:abstractNumId w:val="1"/>
  </w:num>
  <w:num w:numId="12">
    <w:abstractNumId w:val="11"/>
  </w:num>
  <w:num w:numId="13">
    <w:abstractNumId w:val="17"/>
  </w:num>
  <w:num w:numId="14">
    <w:abstractNumId w:val="16"/>
  </w:num>
  <w:num w:numId="15">
    <w:abstractNumId w:val="2"/>
  </w:num>
  <w:num w:numId="16">
    <w:abstractNumId w:val="13"/>
  </w:num>
  <w:num w:numId="17">
    <w:abstractNumId w:val="12"/>
  </w:num>
  <w:num w:numId="18">
    <w:abstractNumId w:val="24"/>
  </w:num>
  <w:num w:numId="19">
    <w:abstractNumId w:val="14"/>
  </w:num>
  <w:num w:numId="20">
    <w:abstractNumId w:val="18"/>
  </w:num>
  <w:num w:numId="21">
    <w:abstractNumId w:val="21"/>
  </w:num>
  <w:num w:numId="22">
    <w:abstractNumId w:val="9"/>
  </w:num>
  <w:num w:numId="23">
    <w:abstractNumId w:val="20"/>
  </w:num>
  <w:num w:numId="24">
    <w:abstractNumId w:val="22"/>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B88"/>
    <w:rsid w:val="00005C69"/>
    <w:rsid w:val="0003200A"/>
    <w:rsid w:val="00087A4E"/>
    <w:rsid w:val="000C05DF"/>
    <w:rsid w:val="000E5B88"/>
    <w:rsid w:val="001103BF"/>
    <w:rsid w:val="00116A4D"/>
    <w:rsid w:val="00140DFE"/>
    <w:rsid w:val="00192107"/>
    <w:rsid w:val="001973BF"/>
    <w:rsid w:val="001C7802"/>
    <w:rsid w:val="001F583F"/>
    <w:rsid w:val="002A0983"/>
    <w:rsid w:val="00333F16"/>
    <w:rsid w:val="00364AD5"/>
    <w:rsid w:val="0040575D"/>
    <w:rsid w:val="004410BE"/>
    <w:rsid w:val="00451FF1"/>
    <w:rsid w:val="004F4E82"/>
    <w:rsid w:val="004F5957"/>
    <w:rsid w:val="00542560"/>
    <w:rsid w:val="005F6EA0"/>
    <w:rsid w:val="0061275A"/>
    <w:rsid w:val="006249E9"/>
    <w:rsid w:val="006C2087"/>
    <w:rsid w:val="006C6D08"/>
    <w:rsid w:val="006C7FD0"/>
    <w:rsid w:val="006D666A"/>
    <w:rsid w:val="00746CEE"/>
    <w:rsid w:val="007A21AC"/>
    <w:rsid w:val="008525A4"/>
    <w:rsid w:val="00855BD8"/>
    <w:rsid w:val="00862A7D"/>
    <w:rsid w:val="008A05D8"/>
    <w:rsid w:val="008C275E"/>
    <w:rsid w:val="008D1782"/>
    <w:rsid w:val="00900696"/>
    <w:rsid w:val="00963125"/>
    <w:rsid w:val="00A11C65"/>
    <w:rsid w:val="00A45DD9"/>
    <w:rsid w:val="00A507F2"/>
    <w:rsid w:val="00A82AEA"/>
    <w:rsid w:val="00A84F47"/>
    <w:rsid w:val="00AB0359"/>
    <w:rsid w:val="00AF6BFF"/>
    <w:rsid w:val="00B31991"/>
    <w:rsid w:val="00B31B9C"/>
    <w:rsid w:val="00B45C09"/>
    <w:rsid w:val="00B97050"/>
    <w:rsid w:val="00BA6468"/>
    <w:rsid w:val="00BC3290"/>
    <w:rsid w:val="00BC3A7A"/>
    <w:rsid w:val="00C45362"/>
    <w:rsid w:val="00C46906"/>
    <w:rsid w:val="00D04C32"/>
    <w:rsid w:val="00D718B9"/>
    <w:rsid w:val="00D73CC5"/>
    <w:rsid w:val="00D92A80"/>
    <w:rsid w:val="00D92AD4"/>
    <w:rsid w:val="00DB737A"/>
    <w:rsid w:val="00E82C08"/>
    <w:rsid w:val="00E84472"/>
    <w:rsid w:val="00E94350"/>
    <w:rsid w:val="00EA7338"/>
    <w:rsid w:val="00EB3582"/>
    <w:rsid w:val="00EE7817"/>
    <w:rsid w:val="00EF5CFB"/>
    <w:rsid w:val="00F012A1"/>
    <w:rsid w:val="00F67E99"/>
    <w:rsid w:val="00F7206B"/>
    <w:rsid w:val="00F86522"/>
    <w:rsid w:val="00FC018A"/>
    <w:rsid w:val="00FF46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87E8B"/>
  <w15:chartTrackingRefBased/>
  <w15:docId w15:val="{145E1AD6-CE5C-BD4B-A00A-05C76CBF6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12A1"/>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FC018A"/>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unhideWhenUsed/>
    <w:qFormat/>
    <w:rsid w:val="00F012A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11C65"/>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link w:val="Heading4Char"/>
    <w:uiPriority w:val="9"/>
    <w:qFormat/>
    <w:rsid w:val="004F4E82"/>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0E5B88"/>
    <w:pPr>
      <w:spacing w:line="259" w:lineRule="auto"/>
      <w:ind w:left="720"/>
      <w:contextualSpacing/>
    </w:pPr>
    <w:rPr>
      <w:rFonts w:ascii="Arial" w:hAnsi="Arial"/>
      <w:sz w:val="22"/>
    </w:rPr>
  </w:style>
  <w:style w:type="paragraph" w:customStyle="1" w:styleId="Nornal">
    <w:name w:val="Nornal"/>
    <w:basedOn w:val="Normal"/>
    <w:link w:val="NornalChar"/>
    <w:qFormat/>
    <w:rsid w:val="000E5B88"/>
    <w:pPr>
      <w:spacing w:after="160" w:line="264" w:lineRule="auto"/>
    </w:pPr>
    <w:rPr>
      <w:rFonts w:ascii="Arial" w:hAnsi="Arial" w:cs="Arial"/>
      <w:sz w:val="22"/>
      <w:szCs w:val="22"/>
    </w:rPr>
  </w:style>
  <w:style w:type="character" w:customStyle="1" w:styleId="NornalChar">
    <w:name w:val="Nornal Char"/>
    <w:basedOn w:val="DefaultParagraphFont"/>
    <w:link w:val="Nornal"/>
    <w:rsid w:val="000E5B88"/>
    <w:rPr>
      <w:rFonts w:ascii="Arial" w:hAnsi="Arial" w:cs="Arial"/>
      <w:sz w:val="22"/>
      <w:szCs w:val="22"/>
    </w:rPr>
  </w:style>
  <w:style w:type="character" w:customStyle="1" w:styleId="ListParagraphChar">
    <w:name w:val="List Paragraph Char"/>
    <w:basedOn w:val="DefaultParagraphFont"/>
    <w:link w:val="ListParagraph"/>
    <w:uiPriority w:val="1"/>
    <w:rsid w:val="000E5B88"/>
    <w:rPr>
      <w:rFonts w:ascii="Arial" w:hAnsi="Arial"/>
      <w:sz w:val="22"/>
    </w:rPr>
  </w:style>
  <w:style w:type="paragraph" w:styleId="NormalWeb">
    <w:name w:val="Normal (Web)"/>
    <w:basedOn w:val="Normal"/>
    <w:uiPriority w:val="99"/>
    <w:unhideWhenUsed/>
    <w:rsid w:val="000E5B88"/>
    <w:pPr>
      <w:spacing w:before="100" w:beforeAutospacing="1" w:after="100" w:afterAutospacing="1"/>
    </w:pPr>
  </w:style>
  <w:style w:type="character" w:styleId="Strong">
    <w:name w:val="Strong"/>
    <w:basedOn w:val="DefaultParagraphFont"/>
    <w:uiPriority w:val="22"/>
    <w:qFormat/>
    <w:rsid w:val="000E5B88"/>
    <w:rPr>
      <w:b/>
      <w:bCs/>
    </w:rPr>
  </w:style>
  <w:style w:type="character" w:styleId="Hyperlink">
    <w:name w:val="Hyperlink"/>
    <w:basedOn w:val="DefaultParagraphFont"/>
    <w:uiPriority w:val="99"/>
    <w:semiHidden/>
    <w:unhideWhenUsed/>
    <w:rsid w:val="000E5B88"/>
    <w:rPr>
      <w:color w:val="0000FF"/>
      <w:u w:val="single"/>
    </w:rPr>
  </w:style>
  <w:style w:type="character" w:customStyle="1" w:styleId="Heading4Char">
    <w:name w:val="Heading 4 Char"/>
    <w:basedOn w:val="DefaultParagraphFont"/>
    <w:link w:val="Heading4"/>
    <w:uiPriority w:val="9"/>
    <w:rsid w:val="004F4E82"/>
    <w:rPr>
      <w:rFonts w:ascii="Times New Roman" w:eastAsia="Times New Roman" w:hAnsi="Times New Roman" w:cs="Times New Roman"/>
      <w:b/>
      <w:bCs/>
      <w:lang w:eastAsia="en-GB"/>
    </w:rPr>
  </w:style>
  <w:style w:type="character" w:customStyle="1" w:styleId="Heading3Char">
    <w:name w:val="Heading 3 Char"/>
    <w:basedOn w:val="DefaultParagraphFont"/>
    <w:link w:val="Heading3"/>
    <w:uiPriority w:val="9"/>
    <w:semiHidden/>
    <w:rsid w:val="00A11C65"/>
    <w:rPr>
      <w:rFonts w:asciiTheme="majorHAnsi" w:eastAsiaTheme="majorEastAsia" w:hAnsiTheme="majorHAnsi" w:cstheme="majorBidi"/>
      <w:color w:val="1F3763" w:themeColor="accent1" w:themeShade="7F"/>
    </w:rPr>
  </w:style>
  <w:style w:type="character" w:customStyle="1" w:styleId="Heading1Char">
    <w:name w:val="Heading 1 Char"/>
    <w:basedOn w:val="DefaultParagraphFont"/>
    <w:link w:val="Heading1"/>
    <w:uiPriority w:val="9"/>
    <w:rsid w:val="00FC018A"/>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FC018A"/>
  </w:style>
  <w:style w:type="character" w:customStyle="1" w:styleId="Heading2Char">
    <w:name w:val="Heading 2 Char"/>
    <w:basedOn w:val="DefaultParagraphFont"/>
    <w:link w:val="Heading2"/>
    <w:uiPriority w:val="9"/>
    <w:rsid w:val="00F012A1"/>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6688">
      <w:bodyDiv w:val="1"/>
      <w:marLeft w:val="0"/>
      <w:marRight w:val="0"/>
      <w:marTop w:val="0"/>
      <w:marBottom w:val="0"/>
      <w:divBdr>
        <w:top w:val="none" w:sz="0" w:space="0" w:color="auto"/>
        <w:left w:val="none" w:sz="0" w:space="0" w:color="auto"/>
        <w:bottom w:val="none" w:sz="0" w:space="0" w:color="auto"/>
        <w:right w:val="none" w:sz="0" w:space="0" w:color="auto"/>
      </w:divBdr>
    </w:div>
    <w:div w:id="35469455">
      <w:bodyDiv w:val="1"/>
      <w:marLeft w:val="0"/>
      <w:marRight w:val="0"/>
      <w:marTop w:val="0"/>
      <w:marBottom w:val="0"/>
      <w:divBdr>
        <w:top w:val="none" w:sz="0" w:space="0" w:color="auto"/>
        <w:left w:val="none" w:sz="0" w:space="0" w:color="auto"/>
        <w:bottom w:val="none" w:sz="0" w:space="0" w:color="auto"/>
        <w:right w:val="none" w:sz="0" w:space="0" w:color="auto"/>
      </w:divBdr>
    </w:div>
    <w:div w:id="45959638">
      <w:bodyDiv w:val="1"/>
      <w:marLeft w:val="0"/>
      <w:marRight w:val="0"/>
      <w:marTop w:val="0"/>
      <w:marBottom w:val="0"/>
      <w:divBdr>
        <w:top w:val="none" w:sz="0" w:space="0" w:color="auto"/>
        <w:left w:val="none" w:sz="0" w:space="0" w:color="auto"/>
        <w:bottom w:val="none" w:sz="0" w:space="0" w:color="auto"/>
        <w:right w:val="none" w:sz="0" w:space="0" w:color="auto"/>
      </w:divBdr>
    </w:div>
    <w:div w:id="104885472">
      <w:bodyDiv w:val="1"/>
      <w:marLeft w:val="0"/>
      <w:marRight w:val="0"/>
      <w:marTop w:val="0"/>
      <w:marBottom w:val="0"/>
      <w:divBdr>
        <w:top w:val="none" w:sz="0" w:space="0" w:color="auto"/>
        <w:left w:val="none" w:sz="0" w:space="0" w:color="auto"/>
        <w:bottom w:val="none" w:sz="0" w:space="0" w:color="auto"/>
        <w:right w:val="none" w:sz="0" w:space="0" w:color="auto"/>
      </w:divBdr>
    </w:div>
    <w:div w:id="126047180">
      <w:bodyDiv w:val="1"/>
      <w:marLeft w:val="0"/>
      <w:marRight w:val="0"/>
      <w:marTop w:val="0"/>
      <w:marBottom w:val="0"/>
      <w:divBdr>
        <w:top w:val="none" w:sz="0" w:space="0" w:color="auto"/>
        <w:left w:val="none" w:sz="0" w:space="0" w:color="auto"/>
        <w:bottom w:val="none" w:sz="0" w:space="0" w:color="auto"/>
        <w:right w:val="none" w:sz="0" w:space="0" w:color="auto"/>
      </w:divBdr>
    </w:div>
    <w:div w:id="159808641">
      <w:bodyDiv w:val="1"/>
      <w:marLeft w:val="0"/>
      <w:marRight w:val="0"/>
      <w:marTop w:val="0"/>
      <w:marBottom w:val="0"/>
      <w:divBdr>
        <w:top w:val="none" w:sz="0" w:space="0" w:color="auto"/>
        <w:left w:val="none" w:sz="0" w:space="0" w:color="auto"/>
        <w:bottom w:val="none" w:sz="0" w:space="0" w:color="auto"/>
        <w:right w:val="none" w:sz="0" w:space="0" w:color="auto"/>
      </w:divBdr>
    </w:div>
    <w:div w:id="177931185">
      <w:bodyDiv w:val="1"/>
      <w:marLeft w:val="0"/>
      <w:marRight w:val="0"/>
      <w:marTop w:val="0"/>
      <w:marBottom w:val="0"/>
      <w:divBdr>
        <w:top w:val="none" w:sz="0" w:space="0" w:color="auto"/>
        <w:left w:val="none" w:sz="0" w:space="0" w:color="auto"/>
        <w:bottom w:val="none" w:sz="0" w:space="0" w:color="auto"/>
        <w:right w:val="none" w:sz="0" w:space="0" w:color="auto"/>
      </w:divBdr>
    </w:div>
    <w:div w:id="288829015">
      <w:bodyDiv w:val="1"/>
      <w:marLeft w:val="0"/>
      <w:marRight w:val="0"/>
      <w:marTop w:val="0"/>
      <w:marBottom w:val="0"/>
      <w:divBdr>
        <w:top w:val="none" w:sz="0" w:space="0" w:color="auto"/>
        <w:left w:val="none" w:sz="0" w:space="0" w:color="auto"/>
        <w:bottom w:val="none" w:sz="0" w:space="0" w:color="auto"/>
        <w:right w:val="none" w:sz="0" w:space="0" w:color="auto"/>
      </w:divBdr>
    </w:div>
    <w:div w:id="321742310">
      <w:bodyDiv w:val="1"/>
      <w:marLeft w:val="0"/>
      <w:marRight w:val="0"/>
      <w:marTop w:val="0"/>
      <w:marBottom w:val="0"/>
      <w:divBdr>
        <w:top w:val="none" w:sz="0" w:space="0" w:color="auto"/>
        <w:left w:val="none" w:sz="0" w:space="0" w:color="auto"/>
        <w:bottom w:val="none" w:sz="0" w:space="0" w:color="auto"/>
        <w:right w:val="none" w:sz="0" w:space="0" w:color="auto"/>
      </w:divBdr>
    </w:div>
    <w:div w:id="345835454">
      <w:bodyDiv w:val="1"/>
      <w:marLeft w:val="0"/>
      <w:marRight w:val="0"/>
      <w:marTop w:val="0"/>
      <w:marBottom w:val="0"/>
      <w:divBdr>
        <w:top w:val="none" w:sz="0" w:space="0" w:color="auto"/>
        <w:left w:val="none" w:sz="0" w:space="0" w:color="auto"/>
        <w:bottom w:val="none" w:sz="0" w:space="0" w:color="auto"/>
        <w:right w:val="none" w:sz="0" w:space="0" w:color="auto"/>
      </w:divBdr>
    </w:div>
    <w:div w:id="383287128">
      <w:bodyDiv w:val="1"/>
      <w:marLeft w:val="0"/>
      <w:marRight w:val="0"/>
      <w:marTop w:val="0"/>
      <w:marBottom w:val="0"/>
      <w:divBdr>
        <w:top w:val="none" w:sz="0" w:space="0" w:color="auto"/>
        <w:left w:val="none" w:sz="0" w:space="0" w:color="auto"/>
        <w:bottom w:val="none" w:sz="0" w:space="0" w:color="auto"/>
        <w:right w:val="none" w:sz="0" w:space="0" w:color="auto"/>
      </w:divBdr>
    </w:div>
    <w:div w:id="391318935">
      <w:bodyDiv w:val="1"/>
      <w:marLeft w:val="0"/>
      <w:marRight w:val="0"/>
      <w:marTop w:val="0"/>
      <w:marBottom w:val="0"/>
      <w:divBdr>
        <w:top w:val="none" w:sz="0" w:space="0" w:color="auto"/>
        <w:left w:val="none" w:sz="0" w:space="0" w:color="auto"/>
        <w:bottom w:val="none" w:sz="0" w:space="0" w:color="auto"/>
        <w:right w:val="none" w:sz="0" w:space="0" w:color="auto"/>
      </w:divBdr>
    </w:div>
    <w:div w:id="412967594">
      <w:bodyDiv w:val="1"/>
      <w:marLeft w:val="0"/>
      <w:marRight w:val="0"/>
      <w:marTop w:val="0"/>
      <w:marBottom w:val="0"/>
      <w:divBdr>
        <w:top w:val="none" w:sz="0" w:space="0" w:color="auto"/>
        <w:left w:val="none" w:sz="0" w:space="0" w:color="auto"/>
        <w:bottom w:val="none" w:sz="0" w:space="0" w:color="auto"/>
        <w:right w:val="none" w:sz="0" w:space="0" w:color="auto"/>
      </w:divBdr>
    </w:div>
    <w:div w:id="458187382">
      <w:bodyDiv w:val="1"/>
      <w:marLeft w:val="0"/>
      <w:marRight w:val="0"/>
      <w:marTop w:val="0"/>
      <w:marBottom w:val="0"/>
      <w:divBdr>
        <w:top w:val="none" w:sz="0" w:space="0" w:color="auto"/>
        <w:left w:val="none" w:sz="0" w:space="0" w:color="auto"/>
        <w:bottom w:val="none" w:sz="0" w:space="0" w:color="auto"/>
        <w:right w:val="none" w:sz="0" w:space="0" w:color="auto"/>
      </w:divBdr>
    </w:div>
    <w:div w:id="467555803">
      <w:bodyDiv w:val="1"/>
      <w:marLeft w:val="0"/>
      <w:marRight w:val="0"/>
      <w:marTop w:val="0"/>
      <w:marBottom w:val="0"/>
      <w:divBdr>
        <w:top w:val="none" w:sz="0" w:space="0" w:color="auto"/>
        <w:left w:val="none" w:sz="0" w:space="0" w:color="auto"/>
        <w:bottom w:val="none" w:sz="0" w:space="0" w:color="auto"/>
        <w:right w:val="none" w:sz="0" w:space="0" w:color="auto"/>
      </w:divBdr>
    </w:div>
    <w:div w:id="479033115">
      <w:bodyDiv w:val="1"/>
      <w:marLeft w:val="0"/>
      <w:marRight w:val="0"/>
      <w:marTop w:val="0"/>
      <w:marBottom w:val="0"/>
      <w:divBdr>
        <w:top w:val="none" w:sz="0" w:space="0" w:color="auto"/>
        <w:left w:val="none" w:sz="0" w:space="0" w:color="auto"/>
        <w:bottom w:val="none" w:sz="0" w:space="0" w:color="auto"/>
        <w:right w:val="none" w:sz="0" w:space="0" w:color="auto"/>
      </w:divBdr>
    </w:div>
    <w:div w:id="506795634">
      <w:bodyDiv w:val="1"/>
      <w:marLeft w:val="0"/>
      <w:marRight w:val="0"/>
      <w:marTop w:val="0"/>
      <w:marBottom w:val="0"/>
      <w:divBdr>
        <w:top w:val="none" w:sz="0" w:space="0" w:color="auto"/>
        <w:left w:val="none" w:sz="0" w:space="0" w:color="auto"/>
        <w:bottom w:val="none" w:sz="0" w:space="0" w:color="auto"/>
        <w:right w:val="none" w:sz="0" w:space="0" w:color="auto"/>
      </w:divBdr>
    </w:div>
    <w:div w:id="514081608">
      <w:bodyDiv w:val="1"/>
      <w:marLeft w:val="0"/>
      <w:marRight w:val="0"/>
      <w:marTop w:val="0"/>
      <w:marBottom w:val="0"/>
      <w:divBdr>
        <w:top w:val="none" w:sz="0" w:space="0" w:color="auto"/>
        <w:left w:val="none" w:sz="0" w:space="0" w:color="auto"/>
        <w:bottom w:val="none" w:sz="0" w:space="0" w:color="auto"/>
        <w:right w:val="none" w:sz="0" w:space="0" w:color="auto"/>
      </w:divBdr>
    </w:div>
    <w:div w:id="580024045">
      <w:bodyDiv w:val="1"/>
      <w:marLeft w:val="0"/>
      <w:marRight w:val="0"/>
      <w:marTop w:val="0"/>
      <w:marBottom w:val="0"/>
      <w:divBdr>
        <w:top w:val="none" w:sz="0" w:space="0" w:color="auto"/>
        <w:left w:val="none" w:sz="0" w:space="0" w:color="auto"/>
        <w:bottom w:val="none" w:sz="0" w:space="0" w:color="auto"/>
        <w:right w:val="none" w:sz="0" w:space="0" w:color="auto"/>
      </w:divBdr>
    </w:div>
    <w:div w:id="602810450">
      <w:bodyDiv w:val="1"/>
      <w:marLeft w:val="0"/>
      <w:marRight w:val="0"/>
      <w:marTop w:val="0"/>
      <w:marBottom w:val="0"/>
      <w:divBdr>
        <w:top w:val="none" w:sz="0" w:space="0" w:color="auto"/>
        <w:left w:val="none" w:sz="0" w:space="0" w:color="auto"/>
        <w:bottom w:val="none" w:sz="0" w:space="0" w:color="auto"/>
        <w:right w:val="none" w:sz="0" w:space="0" w:color="auto"/>
      </w:divBdr>
    </w:div>
    <w:div w:id="647365699">
      <w:bodyDiv w:val="1"/>
      <w:marLeft w:val="0"/>
      <w:marRight w:val="0"/>
      <w:marTop w:val="0"/>
      <w:marBottom w:val="0"/>
      <w:divBdr>
        <w:top w:val="none" w:sz="0" w:space="0" w:color="auto"/>
        <w:left w:val="none" w:sz="0" w:space="0" w:color="auto"/>
        <w:bottom w:val="none" w:sz="0" w:space="0" w:color="auto"/>
        <w:right w:val="none" w:sz="0" w:space="0" w:color="auto"/>
      </w:divBdr>
    </w:div>
    <w:div w:id="651060377">
      <w:bodyDiv w:val="1"/>
      <w:marLeft w:val="0"/>
      <w:marRight w:val="0"/>
      <w:marTop w:val="0"/>
      <w:marBottom w:val="0"/>
      <w:divBdr>
        <w:top w:val="none" w:sz="0" w:space="0" w:color="auto"/>
        <w:left w:val="none" w:sz="0" w:space="0" w:color="auto"/>
        <w:bottom w:val="none" w:sz="0" w:space="0" w:color="auto"/>
        <w:right w:val="none" w:sz="0" w:space="0" w:color="auto"/>
      </w:divBdr>
    </w:div>
    <w:div w:id="674502603">
      <w:bodyDiv w:val="1"/>
      <w:marLeft w:val="0"/>
      <w:marRight w:val="0"/>
      <w:marTop w:val="0"/>
      <w:marBottom w:val="0"/>
      <w:divBdr>
        <w:top w:val="none" w:sz="0" w:space="0" w:color="auto"/>
        <w:left w:val="none" w:sz="0" w:space="0" w:color="auto"/>
        <w:bottom w:val="none" w:sz="0" w:space="0" w:color="auto"/>
        <w:right w:val="none" w:sz="0" w:space="0" w:color="auto"/>
      </w:divBdr>
    </w:div>
    <w:div w:id="677080090">
      <w:bodyDiv w:val="1"/>
      <w:marLeft w:val="0"/>
      <w:marRight w:val="0"/>
      <w:marTop w:val="0"/>
      <w:marBottom w:val="0"/>
      <w:divBdr>
        <w:top w:val="none" w:sz="0" w:space="0" w:color="auto"/>
        <w:left w:val="none" w:sz="0" w:space="0" w:color="auto"/>
        <w:bottom w:val="none" w:sz="0" w:space="0" w:color="auto"/>
        <w:right w:val="none" w:sz="0" w:space="0" w:color="auto"/>
      </w:divBdr>
    </w:div>
    <w:div w:id="691031429">
      <w:bodyDiv w:val="1"/>
      <w:marLeft w:val="0"/>
      <w:marRight w:val="0"/>
      <w:marTop w:val="0"/>
      <w:marBottom w:val="0"/>
      <w:divBdr>
        <w:top w:val="none" w:sz="0" w:space="0" w:color="auto"/>
        <w:left w:val="none" w:sz="0" w:space="0" w:color="auto"/>
        <w:bottom w:val="none" w:sz="0" w:space="0" w:color="auto"/>
        <w:right w:val="none" w:sz="0" w:space="0" w:color="auto"/>
      </w:divBdr>
    </w:div>
    <w:div w:id="711417695">
      <w:bodyDiv w:val="1"/>
      <w:marLeft w:val="0"/>
      <w:marRight w:val="0"/>
      <w:marTop w:val="0"/>
      <w:marBottom w:val="0"/>
      <w:divBdr>
        <w:top w:val="none" w:sz="0" w:space="0" w:color="auto"/>
        <w:left w:val="none" w:sz="0" w:space="0" w:color="auto"/>
        <w:bottom w:val="none" w:sz="0" w:space="0" w:color="auto"/>
        <w:right w:val="none" w:sz="0" w:space="0" w:color="auto"/>
      </w:divBdr>
    </w:div>
    <w:div w:id="725959145">
      <w:bodyDiv w:val="1"/>
      <w:marLeft w:val="0"/>
      <w:marRight w:val="0"/>
      <w:marTop w:val="0"/>
      <w:marBottom w:val="0"/>
      <w:divBdr>
        <w:top w:val="none" w:sz="0" w:space="0" w:color="auto"/>
        <w:left w:val="none" w:sz="0" w:space="0" w:color="auto"/>
        <w:bottom w:val="none" w:sz="0" w:space="0" w:color="auto"/>
        <w:right w:val="none" w:sz="0" w:space="0" w:color="auto"/>
      </w:divBdr>
    </w:div>
    <w:div w:id="735319227">
      <w:bodyDiv w:val="1"/>
      <w:marLeft w:val="0"/>
      <w:marRight w:val="0"/>
      <w:marTop w:val="0"/>
      <w:marBottom w:val="0"/>
      <w:divBdr>
        <w:top w:val="none" w:sz="0" w:space="0" w:color="auto"/>
        <w:left w:val="none" w:sz="0" w:space="0" w:color="auto"/>
        <w:bottom w:val="none" w:sz="0" w:space="0" w:color="auto"/>
        <w:right w:val="none" w:sz="0" w:space="0" w:color="auto"/>
      </w:divBdr>
    </w:div>
    <w:div w:id="743065220">
      <w:bodyDiv w:val="1"/>
      <w:marLeft w:val="0"/>
      <w:marRight w:val="0"/>
      <w:marTop w:val="0"/>
      <w:marBottom w:val="0"/>
      <w:divBdr>
        <w:top w:val="none" w:sz="0" w:space="0" w:color="auto"/>
        <w:left w:val="none" w:sz="0" w:space="0" w:color="auto"/>
        <w:bottom w:val="none" w:sz="0" w:space="0" w:color="auto"/>
        <w:right w:val="none" w:sz="0" w:space="0" w:color="auto"/>
      </w:divBdr>
    </w:div>
    <w:div w:id="795565189">
      <w:bodyDiv w:val="1"/>
      <w:marLeft w:val="0"/>
      <w:marRight w:val="0"/>
      <w:marTop w:val="0"/>
      <w:marBottom w:val="0"/>
      <w:divBdr>
        <w:top w:val="none" w:sz="0" w:space="0" w:color="auto"/>
        <w:left w:val="none" w:sz="0" w:space="0" w:color="auto"/>
        <w:bottom w:val="none" w:sz="0" w:space="0" w:color="auto"/>
        <w:right w:val="none" w:sz="0" w:space="0" w:color="auto"/>
      </w:divBdr>
    </w:div>
    <w:div w:id="808938212">
      <w:bodyDiv w:val="1"/>
      <w:marLeft w:val="0"/>
      <w:marRight w:val="0"/>
      <w:marTop w:val="0"/>
      <w:marBottom w:val="0"/>
      <w:divBdr>
        <w:top w:val="none" w:sz="0" w:space="0" w:color="auto"/>
        <w:left w:val="none" w:sz="0" w:space="0" w:color="auto"/>
        <w:bottom w:val="none" w:sz="0" w:space="0" w:color="auto"/>
        <w:right w:val="none" w:sz="0" w:space="0" w:color="auto"/>
      </w:divBdr>
    </w:div>
    <w:div w:id="819151201">
      <w:bodyDiv w:val="1"/>
      <w:marLeft w:val="0"/>
      <w:marRight w:val="0"/>
      <w:marTop w:val="0"/>
      <w:marBottom w:val="0"/>
      <w:divBdr>
        <w:top w:val="none" w:sz="0" w:space="0" w:color="auto"/>
        <w:left w:val="none" w:sz="0" w:space="0" w:color="auto"/>
        <w:bottom w:val="none" w:sz="0" w:space="0" w:color="auto"/>
        <w:right w:val="none" w:sz="0" w:space="0" w:color="auto"/>
      </w:divBdr>
    </w:div>
    <w:div w:id="875389627">
      <w:bodyDiv w:val="1"/>
      <w:marLeft w:val="0"/>
      <w:marRight w:val="0"/>
      <w:marTop w:val="0"/>
      <w:marBottom w:val="0"/>
      <w:divBdr>
        <w:top w:val="none" w:sz="0" w:space="0" w:color="auto"/>
        <w:left w:val="none" w:sz="0" w:space="0" w:color="auto"/>
        <w:bottom w:val="none" w:sz="0" w:space="0" w:color="auto"/>
        <w:right w:val="none" w:sz="0" w:space="0" w:color="auto"/>
      </w:divBdr>
    </w:div>
    <w:div w:id="898787323">
      <w:bodyDiv w:val="1"/>
      <w:marLeft w:val="0"/>
      <w:marRight w:val="0"/>
      <w:marTop w:val="0"/>
      <w:marBottom w:val="0"/>
      <w:divBdr>
        <w:top w:val="none" w:sz="0" w:space="0" w:color="auto"/>
        <w:left w:val="none" w:sz="0" w:space="0" w:color="auto"/>
        <w:bottom w:val="none" w:sz="0" w:space="0" w:color="auto"/>
        <w:right w:val="none" w:sz="0" w:space="0" w:color="auto"/>
      </w:divBdr>
    </w:div>
    <w:div w:id="953899248">
      <w:bodyDiv w:val="1"/>
      <w:marLeft w:val="0"/>
      <w:marRight w:val="0"/>
      <w:marTop w:val="0"/>
      <w:marBottom w:val="0"/>
      <w:divBdr>
        <w:top w:val="none" w:sz="0" w:space="0" w:color="auto"/>
        <w:left w:val="none" w:sz="0" w:space="0" w:color="auto"/>
        <w:bottom w:val="none" w:sz="0" w:space="0" w:color="auto"/>
        <w:right w:val="none" w:sz="0" w:space="0" w:color="auto"/>
      </w:divBdr>
    </w:div>
    <w:div w:id="963074235">
      <w:bodyDiv w:val="1"/>
      <w:marLeft w:val="0"/>
      <w:marRight w:val="0"/>
      <w:marTop w:val="0"/>
      <w:marBottom w:val="0"/>
      <w:divBdr>
        <w:top w:val="none" w:sz="0" w:space="0" w:color="auto"/>
        <w:left w:val="none" w:sz="0" w:space="0" w:color="auto"/>
        <w:bottom w:val="none" w:sz="0" w:space="0" w:color="auto"/>
        <w:right w:val="none" w:sz="0" w:space="0" w:color="auto"/>
      </w:divBdr>
    </w:div>
    <w:div w:id="978220920">
      <w:bodyDiv w:val="1"/>
      <w:marLeft w:val="0"/>
      <w:marRight w:val="0"/>
      <w:marTop w:val="0"/>
      <w:marBottom w:val="0"/>
      <w:divBdr>
        <w:top w:val="none" w:sz="0" w:space="0" w:color="auto"/>
        <w:left w:val="none" w:sz="0" w:space="0" w:color="auto"/>
        <w:bottom w:val="none" w:sz="0" w:space="0" w:color="auto"/>
        <w:right w:val="none" w:sz="0" w:space="0" w:color="auto"/>
      </w:divBdr>
    </w:div>
    <w:div w:id="993804179">
      <w:bodyDiv w:val="1"/>
      <w:marLeft w:val="0"/>
      <w:marRight w:val="0"/>
      <w:marTop w:val="0"/>
      <w:marBottom w:val="0"/>
      <w:divBdr>
        <w:top w:val="none" w:sz="0" w:space="0" w:color="auto"/>
        <w:left w:val="none" w:sz="0" w:space="0" w:color="auto"/>
        <w:bottom w:val="none" w:sz="0" w:space="0" w:color="auto"/>
        <w:right w:val="none" w:sz="0" w:space="0" w:color="auto"/>
      </w:divBdr>
    </w:div>
    <w:div w:id="997684243">
      <w:bodyDiv w:val="1"/>
      <w:marLeft w:val="0"/>
      <w:marRight w:val="0"/>
      <w:marTop w:val="0"/>
      <w:marBottom w:val="0"/>
      <w:divBdr>
        <w:top w:val="none" w:sz="0" w:space="0" w:color="auto"/>
        <w:left w:val="none" w:sz="0" w:space="0" w:color="auto"/>
        <w:bottom w:val="none" w:sz="0" w:space="0" w:color="auto"/>
        <w:right w:val="none" w:sz="0" w:space="0" w:color="auto"/>
      </w:divBdr>
    </w:div>
    <w:div w:id="1020933830">
      <w:bodyDiv w:val="1"/>
      <w:marLeft w:val="0"/>
      <w:marRight w:val="0"/>
      <w:marTop w:val="0"/>
      <w:marBottom w:val="0"/>
      <w:divBdr>
        <w:top w:val="none" w:sz="0" w:space="0" w:color="auto"/>
        <w:left w:val="none" w:sz="0" w:space="0" w:color="auto"/>
        <w:bottom w:val="none" w:sz="0" w:space="0" w:color="auto"/>
        <w:right w:val="none" w:sz="0" w:space="0" w:color="auto"/>
      </w:divBdr>
    </w:div>
    <w:div w:id="1066416602">
      <w:bodyDiv w:val="1"/>
      <w:marLeft w:val="0"/>
      <w:marRight w:val="0"/>
      <w:marTop w:val="0"/>
      <w:marBottom w:val="0"/>
      <w:divBdr>
        <w:top w:val="none" w:sz="0" w:space="0" w:color="auto"/>
        <w:left w:val="none" w:sz="0" w:space="0" w:color="auto"/>
        <w:bottom w:val="none" w:sz="0" w:space="0" w:color="auto"/>
        <w:right w:val="none" w:sz="0" w:space="0" w:color="auto"/>
      </w:divBdr>
    </w:div>
    <w:div w:id="1075279919">
      <w:bodyDiv w:val="1"/>
      <w:marLeft w:val="0"/>
      <w:marRight w:val="0"/>
      <w:marTop w:val="0"/>
      <w:marBottom w:val="0"/>
      <w:divBdr>
        <w:top w:val="none" w:sz="0" w:space="0" w:color="auto"/>
        <w:left w:val="none" w:sz="0" w:space="0" w:color="auto"/>
        <w:bottom w:val="none" w:sz="0" w:space="0" w:color="auto"/>
        <w:right w:val="none" w:sz="0" w:space="0" w:color="auto"/>
      </w:divBdr>
    </w:div>
    <w:div w:id="1076785407">
      <w:bodyDiv w:val="1"/>
      <w:marLeft w:val="0"/>
      <w:marRight w:val="0"/>
      <w:marTop w:val="0"/>
      <w:marBottom w:val="0"/>
      <w:divBdr>
        <w:top w:val="none" w:sz="0" w:space="0" w:color="auto"/>
        <w:left w:val="none" w:sz="0" w:space="0" w:color="auto"/>
        <w:bottom w:val="none" w:sz="0" w:space="0" w:color="auto"/>
        <w:right w:val="none" w:sz="0" w:space="0" w:color="auto"/>
      </w:divBdr>
    </w:div>
    <w:div w:id="1104837515">
      <w:bodyDiv w:val="1"/>
      <w:marLeft w:val="0"/>
      <w:marRight w:val="0"/>
      <w:marTop w:val="0"/>
      <w:marBottom w:val="0"/>
      <w:divBdr>
        <w:top w:val="none" w:sz="0" w:space="0" w:color="auto"/>
        <w:left w:val="none" w:sz="0" w:space="0" w:color="auto"/>
        <w:bottom w:val="none" w:sz="0" w:space="0" w:color="auto"/>
        <w:right w:val="none" w:sz="0" w:space="0" w:color="auto"/>
      </w:divBdr>
    </w:div>
    <w:div w:id="1110273800">
      <w:bodyDiv w:val="1"/>
      <w:marLeft w:val="0"/>
      <w:marRight w:val="0"/>
      <w:marTop w:val="0"/>
      <w:marBottom w:val="0"/>
      <w:divBdr>
        <w:top w:val="none" w:sz="0" w:space="0" w:color="auto"/>
        <w:left w:val="none" w:sz="0" w:space="0" w:color="auto"/>
        <w:bottom w:val="none" w:sz="0" w:space="0" w:color="auto"/>
        <w:right w:val="none" w:sz="0" w:space="0" w:color="auto"/>
      </w:divBdr>
    </w:div>
    <w:div w:id="1117875493">
      <w:bodyDiv w:val="1"/>
      <w:marLeft w:val="0"/>
      <w:marRight w:val="0"/>
      <w:marTop w:val="0"/>
      <w:marBottom w:val="0"/>
      <w:divBdr>
        <w:top w:val="none" w:sz="0" w:space="0" w:color="auto"/>
        <w:left w:val="none" w:sz="0" w:space="0" w:color="auto"/>
        <w:bottom w:val="none" w:sz="0" w:space="0" w:color="auto"/>
        <w:right w:val="none" w:sz="0" w:space="0" w:color="auto"/>
      </w:divBdr>
    </w:div>
    <w:div w:id="1129933158">
      <w:bodyDiv w:val="1"/>
      <w:marLeft w:val="0"/>
      <w:marRight w:val="0"/>
      <w:marTop w:val="0"/>
      <w:marBottom w:val="0"/>
      <w:divBdr>
        <w:top w:val="none" w:sz="0" w:space="0" w:color="auto"/>
        <w:left w:val="none" w:sz="0" w:space="0" w:color="auto"/>
        <w:bottom w:val="none" w:sz="0" w:space="0" w:color="auto"/>
        <w:right w:val="none" w:sz="0" w:space="0" w:color="auto"/>
      </w:divBdr>
    </w:div>
    <w:div w:id="1161240354">
      <w:bodyDiv w:val="1"/>
      <w:marLeft w:val="0"/>
      <w:marRight w:val="0"/>
      <w:marTop w:val="0"/>
      <w:marBottom w:val="0"/>
      <w:divBdr>
        <w:top w:val="none" w:sz="0" w:space="0" w:color="auto"/>
        <w:left w:val="none" w:sz="0" w:space="0" w:color="auto"/>
        <w:bottom w:val="none" w:sz="0" w:space="0" w:color="auto"/>
        <w:right w:val="none" w:sz="0" w:space="0" w:color="auto"/>
      </w:divBdr>
    </w:div>
    <w:div w:id="1181354005">
      <w:bodyDiv w:val="1"/>
      <w:marLeft w:val="0"/>
      <w:marRight w:val="0"/>
      <w:marTop w:val="0"/>
      <w:marBottom w:val="0"/>
      <w:divBdr>
        <w:top w:val="none" w:sz="0" w:space="0" w:color="auto"/>
        <w:left w:val="none" w:sz="0" w:space="0" w:color="auto"/>
        <w:bottom w:val="none" w:sz="0" w:space="0" w:color="auto"/>
        <w:right w:val="none" w:sz="0" w:space="0" w:color="auto"/>
      </w:divBdr>
    </w:div>
    <w:div w:id="1212228455">
      <w:bodyDiv w:val="1"/>
      <w:marLeft w:val="0"/>
      <w:marRight w:val="0"/>
      <w:marTop w:val="0"/>
      <w:marBottom w:val="0"/>
      <w:divBdr>
        <w:top w:val="none" w:sz="0" w:space="0" w:color="auto"/>
        <w:left w:val="none" w:sz="0" w:space="0" w:color="auto"/>
        <w:bottom w:val="none" w:sz="0" w:space="0" w:color="auto"/>
        <w:right w:val="none" w:sz="0" w:space="0" w:color="auto"/>
      </w:divBdr>
    </w:div>
    <w:div w:id="1298755165">
      <w:bodyDiv w:val="1"/>
      <w:marLeft w:val="0"/>
      <w:marRight w:val="0"/>
      <w:marTop w:val="0"/>
      <w:marBottom w:val="0"/>
      <w:divBdr>
        <w:top w:val="none" w:sz="0" w:space="0" w:color="auto"/>
        <w:left w:val="none" w:sz="0" w:space="0" w:color="auto"/>
        <w:bottom w:val="none" w:sz="0" w:space="0" w:color="auto"/>
        <w:right w:val="none" w:sz="0" w:space="0" w:color="auto"/>
      </w:divBdr>
    </w:div>
    <w:div w:id="1307710866">
      <w:bodyDiv w:val="1"/>
      <w:marLeft w:val="0"/>
      <w:marRight w:val="0"/>
      <w:marTop w:val="0"/>
      <w:marBottom w:val="0"/>
      <w:divBdr>
        <w:top w:val="none" w:sz="0" w:space="0" w:color="auto"/>
        <w:left w:val="none" w:sz="0" w:space="0" w:color="auto"/>
        <w:bottom w:val="none" w:sz="0" w:space="0" w:color="auto"/>
        <w:right w:val="none" w:sz="0" w:space="0" w:color="auto"/>
      </w:divBdr>
    </w:div>
    <w:div w:id="1356881071">
      <w:bodyDiv w:val="1"/>
      <w:marLeft w:val="0"/>
      <w:marRight w:val="0"/>
      <w:marTop w:val="0"/>
      <w:marBottom w:val="0"/>
      <w:divBdr>
        <w:top w:val="none" w:sz="0" w:space="0" w:color="auto"/>
        <w:left w:val="none" w:sz="0" w:space="0" w:color="auto"/>
        <w:bottom w:val="none" w:sz="0" w:space="0" w:color="auto"/>
        <w:right w:val="none" w:sz="0" w:space="0" w:color="auto"/>
      </w:divBdr>
    </w:div>
    <w:div w:id="1368991138">
      <w:bodyDiv w:val="1"/>
      <w:marLeft w:val="0"/>
      <w:marRight w:val="0"/>
      <w:marTop w:val="0"/>
      <w:marBottom w:val="0"/>
      <w:divBdr>
        <w:top w:val="none" w:sz="0" w:space="0" w:color="auto"/>
        <w:left w:val="none" w:sz="0" w:space="0" w:color="auto"/>
        <w:bottom w:val="none" w:sz="0" w:space="0" w:color="auto"/>
        <w:right w:val="none" w:sz="0" w:space="0" w:color="auto"/>
      </w:divBdr>
    </w:div>
    <w:div w:id="1397899659">
      <w:bodyDiv w:val="1"/>
      <w:marLeft w:val="0"/>
      <w:marRight w:val="0"/>
      <w:marTop w:val="0"/>
      <w:marBottom w:val="0"/>
      <w:divBdr>
        <w:top w:val="none" w:sz="0" w:space="0" w:color="auto"/>
        <w:left w:val="none" w:sz="0" w:space="0" w:color="auto"/>
        <w:bottom w:val="none" w:sz="0" w:space="0" w:color="auto"/>
        <w:right w:val="none" w:sz="0" w:space="0" w:color="auto"/>
      </w:divBdr>
    </w:div>
    <w:div w:id="1399357425">
      <w:bodyDiv w:val="1"/>
      <w:marLeft w:val="0"/>
      <w:marRight w:val="0"/>
      <w:marTop w:val="0"/>
      <w:marBottom w:val="0"/>
      <w:divBdr>
        <w:top w:val="none" w:sz="0" w:space="0" w:color="auto"/>
        <w:left w:val="none" w:sz="0" w:space="0" w:color="auto"/>
        <w:bottom w:val="none" w:sz="0" w:space="0" w:color="auto"/>
        <w:right w:val="none" w:sz="0" w:space="0" w:color="auto"/>
      </w:divBdr>
    </w:div>
    <w:div w:id="1402748837">
      <w:bodyDiv w:val="1"/>
      <w:marLeft w:val="0"/>
      <w:marRight w:val="0"/>
      <w:marTop w:val="0"/>
      <w:marBottom w:val="0"/>
      <w:divBdr>
        <w:top w:val="none" w:sz="0" w:space="0" w:color="auto"/>
        <w:left w:val="none" w:sz="0" w:space="0" w:color="auto"/>
        <w:bottom w:val="none" w:sz="0" w:space="0" w:color="auto"/>
        <w:right w:val="none" w:sz="0" w:space="0" w:color="auto"/>
      </w:divBdr>
    </w:div>
    <w:div w:id="1420061877">
      <w:bodyDiv w:val="1"/>
      <w:marLeft w:val="0"/>
      <w:marRight w:val="0"/>
      <w:marTop w:val="0"/>
      <w:marBottom w:val="0"/>
      <w:divBdr>
        <w:top w:val="none" w:sz="0" w:space="0" w:color="auto"/>
        <w:left w:val="none" w:sz="0" w:space="0" w:color="auto"/>
        <w:bottom w:val="none" w:sz="0" w:space="0" w:color="auto"/>
        <w:right w:val="none" w:sz="0" w:space="0" w:color="auto"/>
      </w:divBdr>
    </w:div>
    <w:div w:id="1479415475">
      <w:bodyDiv w:val="1"/>
      <w:marLeft w:val="0"/>
      <w:marRight w:val="0"/>
      <w:marTop w:val="0"/>
      <w:marBottom w:val="0"/>
      <w:divBdr>
        <w:top w:val="none" w:sz="0" w:space="0" w:color="auto"/>
        <w:left w:val="none" w:sz="0" w:space="0" w:color="auto"/>
        <w:bottom w:val="none" w:sz="0" w:space="0" w:color="auto"/>
        <w:right w:val="none" w:sz="0" w:space="0" w:color="auto"/>
      </w:divBdr>
    </w:div>
    <w:div w:id="1490442394">
      <w:bodyDiv w:val="1"/>
      <w:marLeft w:val="0"/>
      <w:marRight w:val="0"/>
      <w:marTop w:val="0"/>
      <w:marBottom w:val="0"/>
      <w:divBdr>
        <w:top w:val="none" w:sz="0" w:space="0" w:color="auto"/>
        <w:left w:val="none" w:sz="0" w:space="0" w:color="auto"/>
        <w:bottom w:val="none" w:sz="0" w:space="0" w:color="auto"/>
        <w:right w:val="none" w:sz="0" w:space="0" w:color="auto"/>
      </w:divBdr>
    </w:div>
    <w:div w:id="1554349548">
      <w:bodyDiv w:val="1"/>
      <w:marLeft w:val="0"/>
      <w:marRight w:val="0"/>
      <w:marTop w:val="0"/>
      <w:marBottom w:val="0"/>
      <w:divBdr>
        <w:top w:val="none" w:sz="0" w:space="0" w:color="auto"/>
        <w:left w:val="none" w:sz="0" w:space="0" w:color="auto"/>
        <w:bottom w:val="none" w:sz="0" w:space="0" w:color="auto"/>
        <w:right w:val="none" w:sz="0" w:space="0" w:color="auto"/>
      </w:divBdr>
    </w:div>
    <w:div w:id="1579437221">
      <w:bodyDiv w:val="1"/>
      <w:marLeft w:val="0"/>
      <w:marRight w:val="0"/>
      <w:marTop w:val="0"/>
      <w:marBottom w:val="0"/>
      <w:divBdr>
        <w:top w:val="none" w:sz="0" w:space="0" w:color="auto"/>
        <w:left w:val="none" w:sz="0" w:space="0" w:color="auto"/>
        <w:bottom w:val="none" w:sz="0" w:space="0" w:color="auto"/>
        <w:right w:val="none" w:sz="0" w:space="0" w:color="auto"/>
      </w:divBdr>
    </w:div>
    <w:div w:id="1592739249">
      <w:bodyDiv w:val="1"/>
      <w:marLeft w:val="0"/>
      <w:marRight w:val="0"/>
      <w:marTop w:val="0"/>
      <w:marBottom w:val="0"/>
      <w:divBdr>
        <w:top w:val="none" w:sz="0" w:space="0" w:color="auto"/>
        <w:left w:val="none" w:sz="0" w:space="0" w:color="auto"/>
        <w:bottom w:val="none" w:sz="0" w:space="0" w:color="auto"/>
        <w:right w:val="none" w:sz="0" w:space="0" w:color="auto"/>
      </w:divBdr>
    </w:div>
    <w:div w:id="1656296707">
      <w:bodyDiv w:val="1"/>
      <w:marLeft w:val="0"/>
      <w:marRight w:val="0"/>
      <w:marTop w:val="0"/>
      <w:marBottom w:val="0"/>
      <w:divBdr>
        <w:top w:val="none" w:sz="0" w:space="0" w:color="auto"/>
        <w:left w:val="none" w:sz="0" w:space="0" w:color="auto"/>
        <w:bottom w:val="none" w:sz="0" w:space="0" w:color="auto"/>
        <w:right w:val="none" w:sz="0" w:space="0" w:color="auto"/>
      </w:divBdr>
    </w:div>
    <w:div w:id="1741100753">
      <w:bodyDiv w:val="1"/>
      <w:marLeft w:val="0"/>
      <w:marRight w:val="0"/>
      <w:marTop w:val="0"/>
      <w:marBottom w:val="0"/>
      <w:divBdr>
        <w:top w:val="none" w:sz="0" w:space="0" w:color="auto"/>
        <w:left w:val="none" w:sz="0" w:space="0" w:color="auto"/>
        <w:bottom w:val="none" w:sz="0" w:space="0" w:color="auto"/>
        <w:right w:val="none" w:sz="0" w:space="0" w:color="auto"/>
      </w:divBdr>
    </w:div>
    <w:div w:id="1769306037">
      <w:bodyDiv w:val="1"/>
      <w:marLeft w:val="0"/>
      <w:marRight w:val="0"/>
      <w:marTop w:val="0"/>
      <w:marBottom w:val="0"/>
      <w:divBdr>
        <w:top w:val="none" w:sz="0" w:space="0" w:color="auto"/>
        <w:left w:val="none" w:sz="0" w:space="0" w:color="auto"/>
        <w:bottom w:val="none" w:sz="0" w:space="0" w:color="auto"/>
        <w:right w:val="none" w:sz="0" w:space="0" w:color="auto"/>
      </w:divBdr>
    </w:div>
    <w:div w:id="1790271517">
      <w:bodyDiv w:val="1"/>
      <w:marLeft w:val="0"/>
      <w:marRight w:val="0"/>
      <w:marTop w:val="0"/>
      <w:marBottom w:val="0"/>
      <w:divBdr>
        <w:top w:val="none" w:sz="0" w:space="0" w:color="auto"/>
        <w:left w:val="none" w:sz="0" w:space="0" w:color="auto"/>
        <w:bottom w:val="none" w:sz="0" w:space="0" w:color="auto"/>
        <w:right w:val="none" w:sz="0" w:space="0" w:color="auto"/>
      </w:divBdr>
    </w:div>
    <w:div w:id="1803689923">
      <w:bodyDiv w:val="1"/>
      <w:marLeft w:val="0"/>
      <w:marRight w:val="0"/>
      <w:marTop w:val="0"/>
      <w:marBottom w:val="0"/>
      <w:divBdr>
        <w:top w:val="none" w:sz="0" w:space="0" w:color="auto"/>
        <w:left w:val="none" w:sz="0" w:space="0" w:color="auto"/>
        <w:bottom w:val="none" w:sz="0" w:space="0" w:color="auto"/>
        <w:right w:val="none" w:sz="0" w:space="0" w:color="auto"/>
      </w:divBdr>
    </w:div>
    <w:div w:id="1892693231">
      <w:bodyDiv w:val="1"/>
      <w:marLeft w:val="0"/>
      <w:marRight w:val="0"/>
      <w:marTop w:val="0"/>
      <w:marBottom w:val="0"/>
      <w:divBdr>
        <w:top w:val="none" w:sz="0" w:space="0" w:color="auto"/>
        <w:left w:val="none" w:sz="0" w:space="0" w:color="auto"/>
        <w:bottom w:val="none" w:sz="0" w:space="0" w:color="auto"/>
        <w:right w:val="none" w:sz="0" w:space="0" w:color="auto"/>
      </w:divBdr>
    </w:div>
    <w:div w:id="1912499442">
      <w:bodyDiv w:val="1"/>
      <w:marLeft w:val="0"/>
      <w:marRight w:val="0"/>
      <w:marTop w:val="0"/>
      <w:marBottom w:val="0"/>
      <w:divBdr>
        <w:top w:val="none" w:sz="0" w:space="0" w:color="auto"/>
        <w:left w:val="none" w:sz="0" w:space="0" w:color="auto"/>
        <w:bottom w:val="none" w:sz="0" w:space="0" w:color="auto"/>
        <w:right w:val="none" w:sz="0" w:space="0" w:color="auto"/>
      </w:divBdr>
    </w:div>
    <w:div w:id="1922981074">
      <w:bodyDiv w:val="1"/>
      <w:marLeft w:val="0"/>
      <w:marRight w:val="0"/>
      <w:marTop w:val="0"/>
      <w:marBottom w:val="0"/>
      <w:divBdr>
        <w:top w:val="none" w:sz="0" w:space="0" w:color="auto"/>
        <w:left w:val="none" w:sz="0" w:space="0" w:color="auto"/>
        <w:bottom w:val="none" w:sz="0" w:space="0" w:color="auto"/>
        <w:right w:val="none" w:sz="0" w:space="0" w:color="auto"/>
      </w:divBdr>
    </w:div>
    <w:div w:id="1953366935">
      <w:bodyDiv w:val="1"/>
      <w:marLeft w:val="0"/>
      <w:marRight w:val="0"/>
      <w:marTop w:val="0"/>
      <w:marBottom w:val="0"/>
      <w:divBdr>
        <w:top w:val="none" w:sz="0" w:space="0" w:color="auto"/>
        <w:left w:val="none" w:sz="0" w:space="0" w:color="auto"/>
        <w:bottom w:val="none" w:sz="0" w:space="0" w:color="auto"/>
        <w:right w:val="none" w:sz="0" w:space="0" w:color="auto"/>
      </w:divBdr>
    </w:div>
    <w:div w:id="1979022649">
      <w:bodyDiv w:val="1"/>
      <w:marLeft w:val="0"/>
      <w:marRight w:val="0"/>
      <w:marTop w:val="0"/>
      <w:marBottom w:val="0"/>
      <w:divBdr>
        <w:top w:val="none" w:sz="0" w:space="0" w:color="auto"/>
        <w:left w:val="none" w:sz="0" w:space="0" w:color="auto"/>
        <w:bottom w:val="none" w:sz="0" w:space="0" w:color="auto"/>
        <w:right w:val="none" w:sz="0" w:space="0" w:color="auto"/>
      </w:divBdr>
    </w:div>
    <w:div w:id="1984122106">
      <w:bodyDiv w:val="1"/>
      <w:marLeft w:val="0"/>
      <w:marRight w:val="0"/>
      <w:marTop w:val="0"/>
      <w:marBottom w:val="0"/>
      <w:divBdr>
        <w:top w:val="none" w:sz="0" w:space="0" w:color="auto"/>
        <w:left w:val="none" w:sz="0" w:space="0" w:color="auto"/>
        <w:bottom w:val="none" w:sz="0" w:space="0" w:color="auto"/>
        <w:right w:val="none" w:sz="0" w:space="0" w:color="auto"/>
      </w:divBdr>
    </w:div>
    <w:div w:id="1992980235">
      <w:bodyDiv w:val="1"/>
      <w:marLeft w:val="0"/>
      <w:marRight w:val="0"/>
      <w:marTop w:val="0"/>
      <w:marBottom w:val="0"/>
      <w:divBdr>
        <w:top w:val="none" w:sz="0" w:space="0" w:color="auto"/>
        <w:left w:val="none" w:sz="0" w:space="0" w:color="auto"/>
        <w:bottom w:val="none" w:sz="0" w:space="0" w:color="auto"/>
        <w:right w:val="none" w:sz="0" w:space="0" w:color="auto"/>
      </w:divBdr>
    </w:div>
    <w:div w:id="2014795134">
      <w:bodyDiv w:val="1"/>
      <w:marLeft w:val="0"/>
      <w:marRight w:val="0"/>
      <w:marTop w:val="0"/>
      <w:marBottom w:val="0"/>
      <w:divBdr>
        <w:top w:val="none" w:sz="0" w:space="0" w:color="auto"/>
        <w:left w:val="none" w:sz="0" w:space="0" w:color="auto"/>
        <w:bottom w:val="none" w:sz="0" w:space="0" w:color="auto"/>
        <w:right w:val="none" w:sz="0" w:space="0" w:color="auto"/>
      </w:divBdr>
    </w:div>
    <w:div w:id="2057005306">
      <w:bodyDiv w:val="1"/>
      <w:marLeft w:val="0"/>
      <w:marRight w:val="0"/>
      <w:marTop w:val="0"/>
      <w:marBottom w:val="0"/>
      <w:divBdr>
        <w:top w:val="none" w:sz="0" w:space="0" w:color="auto"/>
        <w:left w:val="none" w:sz="0" w:space="0" w:color="auto"/>
        <w:bottom w:val="none" w:sz="0" w:space="0" w:color="auto"/>
        <w:right w:val="none" w:sz="0" w:space="0" w:color="auto"/>
      </w:divBdr>
    </w:div>
    <w:div w:id="2059551018">
      <w:bodyDiv w:val="1"/>
      <w:marLeft w:val="0"/>
      <w:marRight w:val="0"/>
      <w:marTop w:val="0"/>
      <w:marBottom w:val="0"/>
      <w:divBdr>
        <w:top w:val="none" w:sz="0" w:space="0" w:color="auto"/>
        <w:left w:val="none" w:sz="0" w:space="0" w:color="auto"/>
        <w:bottom w:val="none" w:sz="0" w:space="0" w:color="auto"/>
        <w:right w:val="none" w:sz="0" w:space="0" w:color="auto"/>
      </w:divBdr>
    </w:div>
    <w:div w:id="2075002880">
      <w:bodyDiv w:val="1"/>
      <w:marLeft w:val="0"/>
      <w:marRight w:val="0"/>
      <w:marTop w:val="0"/>
      <w:marBottom w:val="0"/>
      <w:divBdr>
        <w:top w:val="none" w:sz="0" w:space="0" w:color="auto"/>
        <w:left w:val="none" w:sz="0" w:space="0" w:color="auto"/>
        <w:bottom w:val="none" w:sz="0" w:space="0" w:color="auto"/>
        <w:right w:val="none" w:sz="0" w:space="0" w:color="auto"/>
      </w:divBdr>
    </w:div>
    <w:div w:id="2083553245">
      <w:bodyDiv w:val="1"/>
      <w:marLeft w:val="0"/>
      <w:marRight w:val="0"/>
      <w:marTop w:val="0"/>
      <w:marBottom w:val="0"/>
      <w:divBdr>
        <w:top w:val="none" w:sz="0" w:space="0" w:color="auto"/>
        <w:left w:val="none" w:sz="0" w:space="0" w:color="auto"/>
        <w:bottom w:val="none" w:sz="0" w:space="0" w:color="auto"/>
        <w:right w:val="none" w:sz="0" w:space="0" w:color="auto"/>
      </w:divBdr>
    </w:div>
    <w:div w:id="2087191633">
      <w:bodyDiv w:val="1"/>
      <w:marLeft w:val="0"/>
      <w:marRight w:val="0"/>
      <w:marTop w:val="0"/>
      <w:marBottom w:val="0"/>
      <w:divBdr>
        <w:top w:val="none" w:sz="0" w:space="0" w:color="auto"/>
        <w:left w:val="none" w:sz="0" w:space="0" w:color="auto"/>
        <w:bottom w:val="none" w:sz="0" w:space="0" w:color="auto"/>
        <w:right w:val="none" w:sz="0" w:space="0" w:color="auto"/>
      </w:divBdr>
    </w:div>
    <w:div w:id="2096004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CIP223</b:Tag>
    <b:SourceType>InternetSite</b:SourceType>
    <b:Guid>{2112A3E6-105C-FE4A-8B08-4C7BF33D104D}</b:Guid>
    <b:Author>
      <b:Author>
        <b:Corporate>CIPD</b:Corporate>
      </b:Author>
    </b:Author>
    <b:Title>Settlement and compromise agreements Q&amp;As</b:Title>
    <b:Year>2022</b:Year>
    <b:URL>https://www.cipd.co.uk/knowledge/fundamentals/emp-law/dismissal/settlement-compromise-agreements-questions</b:URL>
    <b:YearAccessed>2023</b:YearAccessed>
    <b:MonthAccessed>April</b:MonthAccessed>
    <b:DayAccessed>2</b:DayAccessed>
    <b:RefOrder>8</b:RefOrder>
  </b:Source>
  <b:Source>
    <b:Tag>ACA14</b:Tag>
    <b:SourceType>InternetSite</b:SourceType>
    <b:Guid>{1287FEF2-1B68-3F4D-86F8-01017824B414}</b:Guid>
    <b:Author>
      <b:Author>
        <b:Corporate>ACAS</b:Corporate>
      </b:Author>
    </b:Author>
    <b:Title>acas code of practice on flexible working requests</b:Title>
    <b:URL>https://www.acas.org.uk/acas-code-of-practice-on-flexible-working-requests/html</b:URL>
    <b:Year>2014</b:Year>
    <b:YearAccessed>2023</b:YearAccessed>
    <b:MonthAccessed>June</b:MonthAccessed>
    <b:DayAccessed>12</b:DayAccessed>
    <b:RefOrder>9</b:RefOrder>
  </b:Source>
  <b:Source>
    <b:Tag>ACA23</b:Tag>
    <b:SourceType>InternetSite</b:SourceType>
    <b:Guid>{4C09F771-785D-834C-BF6D-659E4B459B42}</b:Guid>
    <b:Author>
      <b:Author>
        <b:Corporate>ACAS</b:Corporate>
      </b:Author>
    </b:Author>
    <b:Title>Working Time Rules</b:Title>
    <b:URL>https://www.acas.org.uk/working-time-rules</b:URL>
    <b:Year>2023</b:Year>
    <b:YearAccessed>2023</b:YearAccessed>
    <b:MonthAccessed>April</b:MonthAccessed>
    <b:DayAccessed>3</b:DayAccessed>
    <b:RefOrder>10</b:RefOrder>
  </b:Source>
  <b:Source>
    <b:Tag>Han19</b:Tag>
    <b:SourceType>InternetSite</b:SourceType>
    <b:Guid>{62BCCA2A-F337-0443-9223-4DF8E0EF312C}</b:Guid>
    <b:Title>The Working Time Directive explained</b:Title>
    <b:URL>https://citrushr.com/blog/day-to-day-hr/working-time-directive-explained/#:~:text=1.-,Health%20and%20Safety,lead%20to%20accidents%20or%20injuries.</b:URL>
    <b:Year>2019</b:Year>
    <b:YearAccessed>2023</b:YearAccessed>
    <b:MonthAccessed>April</b:MonthAccessed>
    <b:DayAccessed>3</b:DayAccessed>
    <b:Author>
      <b:Author>
        <b:NameList>
          <b:Person>
            <b:Last>Hancock</b:Last>
            <b:First>Helen</b:First>
          </b:Person>
        </b:NameList>
      </b:Author>
    </b:Author>
    <b:RefOrder>11</b:RefOrder>
  </b:Source>
  <b:Source>
    <b:Tag>ACA22</b:Tag>
    <b:SourceType>InternetSite</b:SourceType>
    <b:Guid>{3FB719F2-F617-0A41-BEAF-8211323C578A}</b:Guid>
    <b:Author>
      <b:Author>
        <b:Corporate>ACAS</b:Corporate>
      </b:Author>
    </b:Author>
    <b:Title>young workers apprentices and work experience</b:Title>
    <b:URL>https://www.acas.org.uk/young-workers-apprentices-and-work-experience</b:URL>
    <b:Year>2022</b:Year>
    <b:YearAccessed>2023</b:YearAccessed>
    <b:MonthAccessed>April</b:MonthAccessed>
    <b:DayAccessed>8</b:DayAccessed>
    <b:RefOrder>12</b:RefOrder>
  </b:Source>
  <b:Source>
    <b:Tag>ACA21</b:Tag>
    <b:SourceType>InternetSite</b:SourceType>
    <b:Guid>{18A4B477-17B8-674C-AB18-D9DE0D8662CC}</b:Guid>
    <b:Author>
      <b:Author>
        <b:Corporate>ACAS</b:Corporate>
      </b:Author>
    </b:Author>
    <b:Title>Employee rights during a tupe transfer</b:Title>
    <b:URL>https://www.acas.org.uk/employee-rights-during-a-tupe-transfer</b:URL>
    <b:Year>2021</b:Year>
    <b:YearAccessed>2023</b:YearAccessed>
    <b:MonthAccessed>April</b:MonthAccessed>
    <b:DayAccessed>9</b:DayAccessed>
    <b:RefOrder>13</b:RefOrder>
  </b:Source>
  <b:Source>
    <b:Tag>CIP224</b:Tag>
    <b:SourceType>InternetSite</b:SourceType>
    <b:Guid>{CDB3979F-68F8-D243-AF13-A463BBB7DFD7}</b:Guid>
    <b:Author>
      <b:Author>
        <b:Corporate>CIPD</b:Corporate>
      </b:Author>
    </b:Author>
    <b:Title>TUPE Factsheet</b:Title>
    <b:URL>https://www.cipd.co.uk/knowledge/fundamentals/emp-law/tupe/factsheet#gref</b:URL>
    <b:Year>2022</b:Year>
    <b:YearAccessed>2023</b:YearAccessed>
    <b:MonthAccessed>April</b:MonthAccessed>
    <b:DayAccessed>10</b:DayAccessed>
    <b:RefOrder>14</b:RefOrder>
  </b:Source>
  <b:Source>
    <b:Tag>ACA231</b:Tag>
    <b:SourceType>InternetSite</b:SourceType>
    <b:Guid>{995235A0-5C8C-5B44-93C5-8840B416340B}</b:Guid>
    <b:Author>
      <b:Author>
        <b:Corporate>ACAS</b:Corporate>
      </b:Author>
    </b:Author>
    <b:Title>Your adoption leave pay and other rights</b:Title>
    <b:URL>https://www.acas.org.uk/your-adoption-leave-pay-and-other-rights</b:URL>
    <b:Year>2023</b:Year>
    <b:YearAccessed>2023</b:YearAccessed>
    <b:MonthAccessed>April</b:MonthAccessed>
    <b:DayAccessed>12</b:DayAccessed>
    <b:RefOrder>15</b:RefOrder>
  </b:Source>
  <b:Source>
    <b:Tag>Equ11</b:Tag>
    <b:SourceType>Misc</b:SourceType>
    <b:Guid>{AD1C714B-2E7C-5345-BD2D-751BBD811636}</b:Guid>
    <b:Title>Equality Act 2010 Statutory Code of Practice</b:Title>
    <b:Year>2011</b:Year>
    <b:Author>
      <b:Author>
        <b:Corporate>Equality and Human Right Commission</b:Corporate>
      </b:Author>
    </b:Author>
    <b:City>London</b:City>
    <b:Publisher>Equality and Human Right Commission</b:Publisher>
    <b:RefOrder>5</b:RefOrder>
  </b:Source>
  <b:Source>
    <b:Tag>ACA221</b:Tag>
    <b:SourceType>InternetSite</b:SourceType>
    <b:Guid>{DDF59E0E-677C-5F43-85BD-93980849A285}</b:Guid>
    <b:Author>
      <b:Author>
        <b:Corporate>ACAS</b:Corporate>
      </b:Author>
    </b:Author>
    <b:Title>Equal Pay by Law</b:Title>
    <b:Year>2022</b:Year>
    <b:URL>https://www.acas.org.uk/equal-pay/equal-pay-law#:~:text=By%20law%2C%20'equal%20work',do%20the%20work%20are%20equivalent</b:URL>
    <b:YearAccessed>2023</b:YearAccessed>
    <b:MonthAccessed>April</b:MonthAccessed>
    <b:DayAccessed>12</b:DayAccessed>
    <b:RefOrder>16</b:RefOrder>
  </b:Source>
  <b:Source>
    <b:Tag>Dun22</b:Tag>
    <b:SourceType>InternetSite</b:SourceType>
    <b:Guid>{283BB4A7-2EF6-8245-A1C2-5A332FC7DA17}</b:Guid>
    <b:Author>
      <b:Author>
        <b:NameList>
          <b:Person>
            <b:Last>Duncan</b:Last>
            <b:First>Pamela</b:First>
          </b:Person>
        </b:NameList>
      </b:Author>
    </b:Author>
    <b:Title>UK Gener Pay Gap</b:Title>
    <b:URL>https://www.theguardian.com/world/2022/apr/06/uk-gender-pay-gap-women-paid-90p-for-1-earned-by-men</b:URL>
    <b:Year>2022</b:Year>
    <b:YearAccessed>2023</b:YearAccessed>
    <b:MonthAccessed>April</b:MonthAccessed>
    <b:DayAccessed>12</b:DayAccessed>
    <b:RefOrder>17</b:RefOrder>
  </b:Source>
  <b:Source>
    <b:Tag>CIP211</b:Tag>
    <b:SourceType>InternetSite</b:SourceType>
    <b:Guid>{35845442-E952-3A44-A3E9-759D40051EB0}</b:Guid>
    <b:Author>
      <b:Author>
        <b:Corporate>CIPD</b:Corporate>
      </b:Author>
    </b:Author>
    <b:Title>UK Courts System</b:Title>
    <b:URL>https://www.cipd.co.uk/knowledge/fundamentals/emp-law/about/uk-court-system-factsheet</b:URL>
    <b:Year>2021</b:Year>
    <b:YearAccessed>2023</b:YearAccessed>
    <b:MonthAccessed>April </b:MonthAccessed>
    <b:DayAccessed>1</b:DayAccessed>
    <b:RefOrder>18</b:RefOrder>
  </b:Source>
  <b:Source>
    <b:Tag>For16</b:Tag>
    <b:SourceType>InternetSite</b:SourceType>
    <b:Guid>{3C7EC083-5374-F745-B1FA-4269B10EF75C}</b:Guid>
    <b:Author>
      <b:Author>
        <b:Corporate>Fortunato</b:Corporate>
      </b:Author>
    </b:Author>
    <b:Title>Importanc of employment laws</b:Title>
    <b:URL>https://www.bf-law.com/blog/the-importance-of-employment-laws/</b:URL>
    <b:Year>2016</b:Year>
    <b:YearAccessed>2023</b:YearAccessed>
    <b:MonthAccessed>April</b:MonthAccessed>
    <b:DayAccessed>1</b:DayAccessed>
    <b:RefOrder>19</b:RefOrder>
  </b:Source>
  <b:Source>
    <b:Tag>UKG23</b:Tag>
    <b:SourceType>InternetSite</b:SourceType>
    <b:Guid>{C5C90DF5-FFC2-5649-BD2A-206769659831}</b:Guid>
    <b:Author>
      <b:Author>
        <b:Corporate>UK Government</b:Corporate>
      </b:Author>
    </b:Author>
    <b:Title>Dicrimination at work</b:Title>
    <b:URL>https://www.gov.uk/discrimination-your-rights/discrimination-at-work</b:URL>
    <b:YearAccessed>2023</b:YearAccessed>
    <b:MonthAccessed>April</b:MonthAccessed>
    <b:DayAccessed>2</b:DayAccessed>
    <b:RefOrder>20</b:RefOrder>
  </b:Source>
  <b:Source>
    <b:Tag>ACA232</b:Tag>
    <b:SourceType>InternetSite</b:SourceType>
    <b:Guid>{218B55F8-A9BA-0741-BAB2-F56F9AA8EF90}</b:Guid>
    <b:Author>
      <b:Author>
        <b:Corporate>ACAS</b:Corporate>
      </b:Author>
    </b:Author>
    <b:Title>Making a claim to an employment tribunal</b:Title>
    <b:URL>https://www.acas.org.uk/making-a-claim-to-an-employment-tribunal</b:URL>
    <b:YearAccessed>2023</b:YearAccessed>
    <b:MonthAccessed>April</b:MonthAccessed>
    <b:DayAccessed>4</b:DayAccessed>
    <b:RefOrder>3</b:RefOrder>
  </b:Source>
  <b:Source>
    <b:Tag>CIP225</b:Tag>
    <b:SourceType>InternetSite</b:SourceType>
    <b:Guid>{087FD362-F113-854E-8C0D-F8991A3C31D3}</b:Guid>
    <b:Author>
      <b:Author>
        <b:Corporate>CIPD</b:Corporate>
      </b:Author>
    </b:Author>
    <b:Title>Employment Tribunals</b:Title>
    <b:URL>https://www.cipd.co.uk/knowledge/fundamentals/emp-law/tribunals/factsheet#gref</b:URL>
    <b:Year>2022</b:Year>
    <b:YearAccessed>2023</b:YearAccessed>
    <b:MonthAccessed>April</b:MonthAccessed>
    <b:DayAccessed>4</b:DayAccessed>
    <b:RefOrder>21</b:RefOrder>
  </b:Source>
  <b:Source>
    <b:Tag>Fal20</b:Tag>
    <b:SourceType>InternetSite</b:SourceType>
    <b:Guid>{CC74FE88-CA37-2A45-8DB6-439756ECA0BD}</b:Guid>
    <b:Author>
      <b:Author>
        <b:NameList>
          <b:Person>
            <b:Last>Falconer</b:Last>
            <b:First>Karen</b:First>
          </b:Person>
        </b:NameList>
      </b:Author>
    </b:Author>
    <b:Title>Types of discrimination</b:Title>
    <b:URL>https://www.hrsolutions-uk.com/4-types-of-discrimination/</b:URL>
    <b:Year>2020</b:Year>
    <b:YearAccessed>2023</b:YearAccessed>
    <b:MonthAccessed>April</b:MonthAccessed>
    <b:DayAccessed>6</b:DayAccessed>
    <b:RefOrder>22</b:RefOrder>
  </b:Source>
  <b:Source>
    <b:Tag>Uni23</b:Tag>
    <b:SourceType>InternetSite</b:SourceType>
    <b:Guid>{CE0F90BD-2F00-6740-A92F-656B9DCB3D3A}</b:Guid>
    <b:Author>
      <b:Author>
        <b:Corporate>University Of Cambridge</b:Corporate>
      </b:Author>
    </b:Author>
    <b:Title>Public Equality Duties &amp; Protected Characteristics</b:Title>
    <b:URL>https://www.equality.admin.cam.ac.uk/training/equalities-law/key-principles/associative-discrimination#:~:text=Associative%20discrimination%20is%20the%20legal,under%20the%20Equality%20Act%202010.</b:URL>
    <b:Year>2023</b:Year>
    <b:YearAccessed>2023</b:YearAccessed>
    <b:MonthAccessed>April</b:MonthAccessed>
    <b:DayAccessed>6</b:DayAccessed>
    <b:RefOrder>4</b:RefOrder>
  </b:Source>
  <b:Source>
    <b:Tag>Peo23</b:Tag>
    <b:SourceType>InternetSite</b:SourceType>
    <b:Guid>{2A846F0A-BE62-D94E-BD9E-989759BD7B73}</b:Guid>
    <b:Author>
      <b:Author>
        <b:Corporate>PeopleHR</b:Corporate>
      </b:Author>
    </b:Author>
    <b:Title>How blind recruitment software can optimise your recruitment process</b:Title>
    <b:URL>https://www.peoplehr.com/en-gb/resources/blog/how-blind-recruitment-software-can-optimise-your-recruitment-process/#:~:text=Blind%20recruitment%20may%20help%20reduce,invited%20for%20an%20interview%20increased.</b:URL>
    <b:Year>2023</b:Year>
    <b:YearAccessed>2023</b:YearAccessed>
    <b:MonthAccessed>April</b:MonthAccessed>
    <b:DayAccessed>10</b:DayAccessed>
    <b:RefOrder>23</b:RefOrder>
  </b:Source>
  <b:Source>
    <b:Tag>Pin231</b:Tag>
    <b:SourceType>InternetSite</b:SourceType>
    <b:Guid>{3F4C1E21-93D4-E34C-9F33-78E434D2506F}</b:Guid>
    <b:Author>
      <b:Author>
        <b:Corporate>PinpointHQ</b:Corporate>
      </b:Author>
    </b:Author>
    <b:Title>Blind recruitment software</b:Title>
    <b:URL>https://www.pinpointhq.com/features/blind-recruitment-software</b:URL>
    <b:Year>2023</b:Year>
    <b:YearAccessed>2023</b:YearAccessed>
    <b:MonthAccessed>April</b:MonthAccessed>
    <b:DayAccessed>12</b:DayAccessed>
    <b:RefOrder>24</b:RefOrder>
  </b:Source>
  <b:Source>
    <b:Tag>ACA211</b:Tag>
    <b:SourceType>InternetSite</b:SourceType>
    <b:Guid>{F63728FB-11FA-6244-A1F0-D46E6C04E419}</b:Guid>
    <b:Author>
      <b:Author>
        <b:Corporate>ACAS</b:Corporate>
      </b:Author>
    </b:Author>
    <b:Title>Consulting employees and their representatives</b:Title>
    <b:URL>https://www.acas.org.uk/consulting-employees/when-consultation-is-legally-required</b:URL>
    <b:Year>2021</b:Year>
    <b:YearAccessed>2023</b:YearAccessed>
    <b:MonthAccessed>April</b:MonthAccessed>
    <b:DayAccessed>12</b:DayAccessed>
    <b:RefOrder>25</b:RefOrder>
  </b:Source>
  <b:Source>
    <b:Tag>CIP226</b:Tag>
    <b:SourceType>InternetSite</b:SourceType>
    <b:Guid>{788AEEDC-99C1-5547-88CD-28D9F89BB1B5}</b:Guid>
    <b:Author>
      <b:Author>
        <b:Corporate>CIPD</b:Corporate>
      </b:Author>
    </b:Author>
    <b:Title>Redundancy Factsheet</b:Title>
    <b:URL>https://www.cipd.co.uk/knowledge/fundamentals/emp-law/redundancy/factsheet</b:URL>
    <b:Year>2022</b:Year>
    <b:YearAccessed>2023</b:YearAccessed>
    <b:MonthAccessed>April</b:MonthAccessed>
    <b:DayAccessed>12</b:DayAccessed>
    <b:RefOrder>7</b:RefOrder>
  </b:Source>
  <b:Source>
    <b:Tag>UKG231</b:Tag>
    <b:SourceType>InternetSite</b:SourceType>
    <b:Guid>{7491438A-F725-1B41-B000-1471D8FD796D}</b:Guid>
    <b:Author>
      <b:Author>
        <b:Corporate>UK Government</b:Corporate>
      </b:Author>
    </b:Author>
    <b:Title>National Minimum Wage Rates</b:Title>
    <b:URL>https://www.gov.uk/national-minimum-wage-rates</b:URL>
    <b:Year>2023</b:Year>
    <b:YearAccessed>2023</b:YearAccessed>
    <b:MonthAccessed>April</b:MonthAccessed>
    <b:DayAccessed>14</b:DayAccessed>
    <b:RefOrder>26</b:RefOrder>
  </b:Source>
  <b:Source>
    <b:Tag>CIP227</b:Tag>
    <b:SourceType>InternetSite</b:SourceType>
    <b:Guid>{75D06E63-7DCD-5743-A31B-88F7F95A6804}</b:Guid>
    <b:Author>
      <b:Author>
        <b:Corporate>CIPD</b:Corporate>
      </b:Author>
    </b:Author>
    <b:Title>Maternity Paternity Factsheet</b:Title>
    <b:URL>https://www.cipd.co.uk/knowledge/fundamentals/emp-law/maternity-paternity-rights/factsheet</b:URL>
    <b:Year>2022</b:Year>
    <b:YearAccessed>2023</b:YearAccessed>
    <b:MonthAccessed>April</b:MonthAccessed>
    <b:DayAccessed>16</b:DayAccessed>
    <b:RefOrder>27</b:RefOrder>
  </b:Source>
  <b:Source>
    <b:Tag>ACA233</b:Tag>
    <b:SourceType>InternetSite</b:SourceType>
    <b:Guid>{614C4D38-5304-E443-BF30-A3FA02169A71}</b:Guid>
    <b:Author>
      <b:Author>
        <b:Corporate>ACAS</b:Corporate>
      </b:Author>
    </b:Author>
    <b:Title>Maternity leave pay and other rights</b:Title>
    <b:URL>https://www.acas.org.uk/your-maternity-leave-pay-and-other-rights</b:URL>
    <b:Year>2023</b:Year>
    <b:YearAccessed>2023</b:YearAccessed>
    <b:MonthAccessed>April</b:MonthAccessed>
    <b:DayAccessed>16</b:DayAccessed>
    <b:RefOrder>28</b:RefOrder>
  </b:Source>
  <b:Source>
    <b:Tag>CIP228</b:Tag>
    <b:SourceType>InternetSite</b:SourceType>
    <b:Guid>{E625520C-7A9E-5F4A-9682-251E1B021C1E}</b:Guid>
    <b:Author>
      <b:Author>
        <b:Corporate>CIPD</b:Corporate>
      </b:Author>
    </b:Author>
    <b:Title>Flexible Working Factsheet</b:Title>
    <b:URL>https://www.cipd.co.uk/knowledge/fundamentals/relations/flexible-working/factsheet#gref</b:URL>
    <b:Year>2022</b:Year>
    <b:YearAccessed>2023</b:YearAccessed>
    <b:MonthAccessed>April</b:MonthAccessed>
    <b:DayAccessed>17</b:DayAccessed>
    <b:RefOrder>29</b:RefOrder>
  </b:Source>
  <b:Source>
    <b:Tag>ACA20</b:Tag>
    <b:SourceType>InternetSite</b:SourceType>
    <b:Guid>{A8049EF9-AAB2-7F42-94D8-1E543D1F094D}</b:Guid>
    <b:Author>
      <b:Author>
        <b:Corporate>ACAS</b:Corporate>
      </b:Author>
    </b:Author>
    <b:Title>Responding to a flexible working request</b:Title>
    <b:URL>https://www.acas.org.uk/responding-to-a-flexible-working-request</b:URL>
    <b:Year>2020</b:Year>
    <b:YearAccessed>2023</b:YearAccessed>
    <b:MonthAccessed>April</b:MonthAccessed>
    <b:DayAccessed>17</b:DayAccessed>
    <b:RefOrder>30</b:RefOrder>
  </b:Source>
  <b:Source>
    <b:Tag>HMC17</b:Tag>
    <b:SourceType>InternetSite</b:SourceType>
    <b:Guid>{56C9CFCF-FF5C-DF49-9F87-CFB3E327BC29}</b:Guid>
    <b:Author>
      <b:Author>
        <b:Corporate>HM Courts &amp; Tribunals Service</b:Corporate>
      </b:Author>
    </b:Author>
    <b:Title>Make a claim to an employment tribunal</b:Title>
    <b:URL>https://www.gov.uk/government/publications/make-a-claim-to-an-employment-tribunal-form-et1#:~:text=Use%20the%20ET1%20claim%20form,Get%20emails%20about%20this%20page</b:URL>
    <b:Year>2017</b:Year>
    <b:YearAccessed>2023</b:YearAccessed>
    <b:MonthAccessed>April</b:MonthAccessed>
    <b:DayAccessed>14</b:DayAccessed>
    <b:RefOrder>31</b:RefOrder>
  </b:Source>
  <b:Source>
    <b:Tag>ACA234</b:Tag>
    <b:SourceType>InternetSite</b:SourceType>
    <b:Guid>{41851833-FD9E-6E46-AFAF-E76E2BC1E9EF}</b:Guid>
    <b:Author>
      <b:Author>
        <b:Corporate>ACAS</b:Corporate>
      </b:Author>
    </b:Author>
    <b:Title>National Minimum Wage Entitlement</b:Title>
    <b:URL>https://www.acas.org.uk/national-minimum-wage-entitlement</b:URL>
    <b:Year>2023</b:Year>
    <b:YearAccessed>2023</b:YearAccessed>
    <b:MonthAccessed>June</b:MonthAccessed>
    <b:DayAccessed>8</b:DayAccessed>
    <b:RefOrder>32</b:RefOrder>
  </b:Source>
  <b:Source>
    <b:Tag>Nat98</b:Tag>
    <b:SourceType>InternetSite</b:SourceType>
    <b:Guid>{B3402690-B689-514E-94BE-23B162E1C004}</b:Guid>
    <b:Author>
      <b:Author>
        <b:Corporate>National Minimum Wage Act</b:Corporate>
      </b:Author>
    </b:Author>
    <b:Title>National Minimum Wage Act</b:Title>
    <b:URL>https://www.legislation.gov.uk/ukpga/1998/39/section/1</b:URL>
    <b:Year>1998</b:Year>
    <b:YearAccessed>2023</b:YearAccessed>
    <b:MonthAccessed>June</b:MonthAccessed>
    <b:DayAccessed>8</b:DayAccessed>
    <b:RefOrder>33</b:RefOrder>
  </b:Source>
  <b:Source>
    <b:Tag>CIP212</b:Tag>
    <b:SourceType>InternetSite</b:SourceType>
    <b:Guid>{EA3D733F-AFA2-6D44-98FF-015303B5801B}</b:Guid>
    <b:Author>
      <b:Author>
        <b:Corporate>CIPD</b:Corporate>
      </b:Author>
    </b:Author>
    <b:Title>UK Court System Factsheets</b:Title>
    <b:URL>https://www.cipd.org/uk/knowledge/factsheets/uk-court-system-factsheet/#county-courts-and-the-high-court</b:URL>
    <b:Year>2021</b:Year>
    <b:YearAccessed>2023</b:YearAccessed>
    <b:MonthAccessed>June</b:MonthAccessed>
    <b:DayAccessed>16</b:DayAccessed>
    <b:RefOrder>2</b:RefOrder>
  </b:Source>
  <b:Source>
    <b:Tag>Dan19</b:Tag>
    <b:SourceType>Book</b:SourceType>
    <b:Guid>{9142CF97-E757-7340-A135-9824EA4087F1}</b:Guid>
    <b:Title>Introduction to Employment Law: Fundamentals for HR and Business Students</b:Title>
    <b:Year>2019</b:Year>
    <b:City>London</b:City>
    <b:Publisher>CIPD - Kogan Page</b:Publisher>
    <b:Edition>5th</b:Edition>
    <b:Author>
      <b:Author>
        <b:NameList>
          <b:Person>
            <b:Last>Daniels</b:Last>
            <b:First>Kathy</b:First>
          </b:Person>
        </b:NameList>
      </b:Author>
    </b:Author>
    <b:RefOrder>1</b:RefOrder>
  </b:Source>
  <b:Source>
    <b:Tag>Emp96</b:Tag>
    <b:SourceType>InternetSite</b:SourceType>
    <b:Guid>{45B6F47E-8041-2C47-AFF7-E8CC79EEB165}</b:Guid>
    <b:Author>
      <b:Author>
        <b:Corporate>Employment Rights Act</b:Corporate>
      </b:Author>
    </b:Author>
    <b:Title>Dismissal by reason of redundancy</b:Title>
    <b:Year>1996</b:Year>
    <b:URL>https://www.legislation.gov.uk/ukpga/1996/18/part/XI/chapter/II/crossheading/dismissal-by-reason-of-redundancy</b:URL>
    <b:YearAccessed>2023</b:YearAccessed>
    <b:MonthAccessed>June</b:MonthAccessed>
    <b:DayAccessed>9</b:DayAccessed>
    <b:RefOrder>34</b:RefOrder>
  </b:Source>
  <b:Source>
    <b:Tag>Dav14</b:Tag>
    <b:SourceType>InternetSite</b:SourceType>
    <b:Guid>{42005A45-B8CE-D941-8ECF-CBAE5DAB254F}</b:Guid>
    <b:Author>
      <b:Author>
        <b:NameList>
          <b:Person>
            <b:Last>Davies</b:Last>
            <b:First>Caroline</b:First>
          </b:Person>
        </b:NameList>
      </b:Author>
    </b:Author>
    <b:Title>Equal pay: the women who won case against Birmingham city council</b:Title>
    <b:URL>https://www.theguardian.com/money/2014/apr/11/equal-pay-women-birmingham-city-council</b:URL>
    <b:Year>2014</b:Year>
    <b:YearAccessed>2023</b:YearAccessed>
    <b:MonthAccessed>June</b:MonthAccessed>
    <b:DayAccessed>10</b:DayAccessed>
    <b:RefOrder>6</b:RefOrder>
  </b:Source>
</b:Sources>
</file>

<file path=customXml/itemProps1.xml><?xml version="1.0" encoding="utf-8"?>
<ds:datastoreItem xmlns:ds="http://schemas.openxmlformats.org/officeDocument/2006/customXml" ds:itemID="{7C2C1360-145D-804C-93D5-BDF79E4DF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642</TotalTime>
  <Pages>16</Pages>
  <Words>5456</Words>
  <Characters>31104</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Braddock</dc:creator>
  <cp:keywords/>
  <dc:description/>
  <cp:lastModifiedBy>Tom Braddock</cp:lastModifiedBy>
  <cp:revision>8</cp:revision>
  <dcterms:created xsi:type="dcterms:W3CDTF">2023-06-13T21:19:00Z</dcterms:created>
  <dcterms:modified xsi:type="dcterms:W3CDTF">2023-07-07T17:35:00Z</dcterms:modified>
</cp:coreProperties>
</file>