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4344897"/>
        <w:docPartObj>
          <w:docPartGallery w:val="Cover Pages"/>
          <w:docPartUnique/>
        </w:docPartObj>
      </w:sdtPr>
      <w:sdtEndPr>
        <w:rPr>
          <w:rFonts w:ascii="Arial" w:hAnsi="Arial" w:cs="Arial"/>
        </w:rPr>
      </w:sdtEndPr>
      <w:sdtContent>
        <w:p w14:paraId="49C7770E" w14:textId="054E1A01" w:rsidR="00681985" w:rsidRPr="00681985" w:rsidRDefault="00681985" w:rsidP="00681985">
          <w:pPr>
            <w:rPr>
              <w:rFonts w:ascii="Arial" w:hAnsi="Arial" w:cs="Arial"/>
              <w:b/>
              <w:bCs/>
            </w:rPr>
          </w:pPr>
          <w:r w:rsidRPr="00681985">
            <w:rPr>
              <w:rFonts w:ascii="Arial" w:hAnsi="Arial" w:cs="Arial"/>
              <w:b/>
              <w:bCs/>
            </w:rPr>
            <w:t>Student name:</w:t>
          </w:r>
          <w:r w:rsidRPr="00681985">
            <w:rPr>
              <w:rFonts w:ascii="Arial" w:hAnsi="Arial" w:cs="Arial"/>
              <w:b/>
              <w:bCs/>
            </w:rPr>
            <w:t xml:space="preserve"> Ciprian Fichitiu </w:t>
          </w:r>
          <w:r w:rsidRPr="00681985">
            <w:rPr>
              <w:rFonts w:ascii="Arial" w:hAnsi="Arial" w:cs="Arial"/>
              <w:b/>
              <w:bCs/>
            </w:rPr>
            <w:tab/>
            <w:t xml:space="preserve">     </w:t>
          </w:r>
        </w:p>
        <w:p w14:paraId="042F2649" w14:textId="2FFC198D" w:rsidR="00681985" w:rsidRPr="00681985" w:rsidRDefault="00681985" w:rsidP="00681985">
          <w:pPr>
            <w:rPr>
              <w:rFonts w:ascii="Arial" w:hAnsi="Arial" w:cs="Arial"/>
              <w:b/>
              <w:bCs/>
            </w:rPr>
          </w:pPr>
          <w:r w:rsidRPr="00681985">
            <w:rPr>
              <w:rFonts w:ascii="Arial" w:hAnsi="Arial" w:cs="Arial"/>
              <w:b/>
              <w:bCs/>
            </w:rPr>
            <w:t>Programme: A</w:t>
          </w:r>
          <w:r w:rsidRPr="00681985">
            <w:rPr>
              <w:rFonts w:ascii="Arial" w:hAnsi="Arial" w:cs="Arial"/>
              <w:b/>
              <w:bCs/>
            </w:rPr>
            <w:t>/HND Business and Management</w:t>
          </w:r>
        </w:p>
        <w:p w14:paraId="1FDC7BF7" w14:textId="00EEF733" w:rsidR="00681985" w:rsidRPr="00681985" w:rsidRDefault="00681985" w:rsidP="00681985">
          <w:pPr>
            <w:rPr>
              <w:rFonts w:ascii="Arial" w:hAnsi="Arial" w:cs="Arial"/>
              <w:b/>
              <w:bCs/>
            </w:rPr>
          </w:pPr>
          <w:r w:rsidRPr="00681985">
            <w:rPr>
              <w:rFonts w:ascii="Arial" w:hAnsi="Arial" w:cs="Arial"/>
              <w:b/>
              <w:bCs/>
            </w:rPr>
            <w:t>Module:</w:t>
          </w:r>
          <w:r w:rsidRPr="00681985">
            <w:rPr>
              <w:rFonts w:ascii="Arial" w:hAnsi="Arial" w:cs="Arial"/>
              <w:b/>
              <w:bCs/>
            </w:rPr>
            <w:t xml:space="preserve"> </w:t>
          </w:r>
          <w:r w:rsidRPr="00681985">
            <w:rPr>
              <w:rFonts w:ascii="Arial" w:hAnsi="Arial" w:cs="Arial"/>
              <w:b/>
              <w:bCs/>
            </w:rPr>
            <w:t xml:space="preserve">Financial Management </w:t>
          </w:r>
          <w:r w:rsidRPr="00681985">
            <w:rPr>
              <w:rFonts w:ascii="Arial" w:hAnsi="Arial" w:cs="Arial"/>
              <w:b/>
              <w:bCs/>
            </w:rPr>
            <w:t>for</w:t>
          </w:r>
          <w:r w:rsidRPr="00681985">
            <w:rPr>
              <w:rFonts w:ascii="Arial" w:hAnsi="Arial" w:cs="Arial"/>
              <w:b/>
              <w:bCs/>
            </w:rPr>
            <w:t xml:space="preserve"> Business Sustainability</w:t>
          </w:r>
        </w:p>
        <w:p w14:paraId="688C641B" w14:textId="3331A004" w:rsidR="00681985" w:rsidRPr="00681985" w:rsidRDefault="00681985" w:rsidP="00681985">
          <w:pPr>
            <w:rPr>
              <w:rFonts w:ascii="Arial" w:hAnsi="Arial" w:cs="Arial"/>
              <w:b/>
              <w:bCs/>
            </w:rPr>
          </w:pPr>
          <w:r w:rsidRPr="00681985">
            <w:rPr>
              <w:rFonts w:ascii="Arial" w:hAnsi="Arial" w:cs="Arial"/>
              <w:b/>
              <w:bCs/>
            </w:rPr>
            <w:t>Module code</w:t>
          </w:r>
          <w:r>
            <w:rPr>
              <w:rFonts w:ascii="Arial" w:hAnsi="Arial" w:cs="Arial"/>
              <w:b/>
              <w:bCs/>
            </w:rPr>
            <w:t xml:space="preserve">: </w:t>
          </w:r>
          <w:r w:rsidRPr="00681985">
            <w:rPr>
              <w:rFonts w:ascii="Arial" w:hAnsi="Arial" w:cs="Arial"/>
              <w:b/>
              <w:bCs/>
            </w:rPr>
            <w:t>BMSP4011D</w:t>
          </w:r>
        </w:p>
        <w:p w14:paraId="5BD31E4F" w14:textId="337DC860" w:rsidR="00681985" w:rsidRPr="00681985" w:rsidRDefault="00681985" w:rsidP="00681985">
          <w:pPr>
            <w:rPr>
              <w:rFonts w:ascii="Arial" w:hAnsi="Arial" w:cs="Arial"/>
              <w:b/>
              <w:bCs/>
            </w:rPr>
          </w:pPr>
          <w:r w:rsidRPr="00681985">
            <w:rPr>
              <w:rFonts w:ascii="Arial" w:hAnsi="Arial" w:cs="Arial"/>
              <w:b/>
              <w:bCs/>
            </w:rPr>
            <w:t>Lecturer:</w:t>
          </w:r>
          <w:r w:rsidRPr="00681985">
            <w:rPr>
              <w:rFonts w:ascii="Arial" w:hAnsi="Arial" w:cs="Arial"/>
              <w:b/>
              <w:bCs/>
            </w:rPr>
            <w:t xml:space="preserve"> </w:t>
          </w:r>
          <w:r w:rsidRPr="00681985">
            <w:rPr>
              <w:rFonts w:ascii="Arial" w:hAnsi="Arial" w:cs="Arial"/>
              <w:b/>
              <w:bCs/>
            </w:rPr>
            <w:t>Navdeep Randhawa</w:t>
          </w:r>
        </w:p>
        <w:p w14:paraId="4A4C302D" w14:textId="0BEE404C" w:rsidR="00681985" w:rsidRDefault="00681985">
          <w:pPr>
            <w:rPr>
              <w:rFonts w:ascii="Arial" w:hAnsi="Arial" w:cs="Arial"/>
            </w:rPr>
          </w:pPr>
          <w:r>
            <w:rPr>
              <w:noProof/>
            </w:rPr>
            <mc:AlternateContent>
              <mc:Choice Requires="wps">
                <w:drawing>
                  <wp:anchor distT="0" distB="0" distL="182880" distR="182880" simplePos="0" relativeHeight="251660288" behindDoc="0" locked="0" layoutInCell="1" allowOverlap="1" wp14:anchorId="769D6CBB" wp14:editId="72EE5358">
                    <wp:simplePos x="0" y="0"/>
                    <wp:positionH relativeFrom="margin">
                      <wp:align>left</wp:align>
                    </wp:positionH>
                    <wp:positionV relativeFrom="page">
                      <wp:posOffset>5772150</wp:posOffset>
                    </wp:positionV>
                    <wp:extent cx="6210300" cy="6720840"/>
                    <wp:effectExtent l="0" t="0" r="0" b="8255"/>
                    <wp:wrapSquare wrapText="bothSides"/>
                    <wp:docPr id="131" name="Text Box 131"/>
                    <wp:cNvGraphicFramePr/>
                    <a:graphic xmlns:a="http://schemas.openxmlformats.org/drawingml/2006/main">
                      <a:graphicData uri="http://schemas.microsoft.com/office/word/2010/wordprocessingShape">
                        <wps:wsp>
                          <wps:cNvSpPr txBox="1"/>
                          <wps:spPr>
                            <a:xfrm>
                              <a:off x="0" y="0"/>
                              <a:ext cx="6210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D9A7CC" w14:textId="65A012D9" w:rsidR="00681985" w:rsidRPr="00681985" w:rsidRDefault="00681985" w:rsidP="00681985">
                                <w:pPr>
                                  <w:pStyle w:val="NoSpacing"/>
                                  <w:spacing w:before="40" w:after="560" w:line="216" w:lineRule="auto"/>
                                  <w:jc w:val="center"/>
                                  <w:rPr>
                                    <w:rFonts w:ascii="Arial Black" w:hAnsi="Arial Black"/>
                                    <w:color w:val="156082" w:themeColor="accent1"/>
                                    <w:sz w:val="96"/>
                                    <w:szCs w:val="96"/>
                                  </w:rPr>
                                </w:pPr>
                                <w:sdt>
                                  <w:sdtPr>
                                    <w:rPr>
                                      <w:rFonts w:ascii="Arial Black" w:hAnsi="Arial Black"/>
                                      <w:color w:val="156082" w:themeColor="accen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681985">
                                      <w:rPr>
                                        <w:rFonts w:ascii="Arial Black" w:hAnsi="Arial Black"/>
                                        <w:color w:val="156082" w:themeColor="accent1"/>
                                        <w:sz w:val="96"/>
                                        <w:szCs w:val="96"/>
                                      </w:rPr>
                                      <w:t xml:space="preserve">Financial Analysis for Amazon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769D6CBB" id="_x0000_t202" coordsize="21600,21600" o:spt="202" path="m,l,21600r21600,l21600,xe">
                    <v:stroke joinstyle="miter"/>
                    <v:path gradientshapeok="t" o:connecttype="rect"/>
                  </v:shapetype>
                  <v:shape id="Text Box 131" o:spid="_x0000_s1026" type="#_x0000_t202" style="position:absolute;margin-left:0;margin-top:454.5pt;width:489pt;height:529.2pt;z-index:251660288;visibility:visible;mso-wrap-style:square;mso-width-percent:0;mso-height-percent:350;mso-wrap-distance-left:14.4pt;mso-wrap-distance-top:0;mso-wrap-distance-right:14.4pt;mso-wrap-distance-bottom:0;mso-position-horizontal:left;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" filled="f" stroked="f" strokeweight=".5pt">
                    <v:textbox style="mso-fit-shape-to-text:t" inset="0,0,0,0">
                      <w:txbxContent>
                        <w:p w14:paraId="64D9A7CC" w14:textId="65A012D9" w:rsidR="00681985" w:rsidRPr="00681985" w:rsidRDefault="00681985" w:rsidP="00681985">
                          <w:pPr>
                            <w:pStyle w:val="NoSpacing"/>
                            <w:spacing w:before="40" w:after="560" w:line="216" w:lineRule="auto"/>
                            <w:jc w:val="center"/>
                            <w:rPr>
                              <w:rFonts w:ascii="Arial Black" w:hAnsi="Arial Black"/>
                              <w:color w:val="156082" w:themeColor="accent1"/>
                              <w:sz w:val="96"/>
                              <w:szCs w:val="96"/>
                            </w:rPr>
                          </w:pPr>
                          <w:sdt>
                            <w:sdtPr>
                              <w:rPr>
                                <w:rFonts w:ascii="Arial Black" w:hAnsi="Arial Black"/>
                                <w:color w:val="156082" w:themeColor="accent1"/>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681985">
                                <w:rPr>
                                  <w:rFonts w:ascii="Arial Black" w:hAnsi="Arial Black"/>
                                  <w:color w:val="156082" w:themeColor="accent1"/>
                                  <w:sz w:val="96"/>
                                  <w:szCs w:val="96"/>
                                </w:rPr>
                                <w:t xml:space="preserve">Financial Analysis for Amazon </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D195722" wp14:editId="5030A7F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4-11T00:00:00Z">
                                    <w:dateFormat w:val="yyyy"/>
                                    <w:lid w:val="en-US"/>
                                    <w:storeMappedDataAs w:val="dateTime"/>
                                    <w:calendar w:val="gregorian"/>
                                  </w:date>
                                </w:sdtPr>
                                <w:sdtContent>
                                  <w:p w14:paraId="6946A904" w14:textId="71F57131" w:rsidR="00681985" w:rsidRPr="00681985" w:rsidRDefault="00681985">
                                    <w:pPr>
                                      <w:pStyle w:val="NoSpacing"/>
                                      <w:jc w:val="right"/>
                                      <w:rPr>
                                        <w:rFonts w:ascii="Arial Black" w:hAnsi="Arial Black"/>
                                        <w:color w:val="FFFFFF" w:themeColor="background1"/>
                                        <w:sz w:val="24"/>
                                        <w:szCs w:val="24"/>
                                      </w:rPr>
                                    </w:pPr>
                                    <w:r w:rsidRPr="00681985">
                                      <w:rPr>
                                        <w:rFonts w:ascii="Arial Black" w:hAnsi="Arial Black"/>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D195722"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4-11T00:00:00Z">
                              <w:dateFormat w:val="yyyy"/>
                              <w:lid w:val="en-US"/>
                              <w:storeMappedDataAs w:val="dateTime"/>
                              <w:calendar w:val="gregorian"/>
                            </w:date>
                          </w:sdtPr>
                          <w:sdtContent>
                            <w:p w14:paraId="6946A904" w14:textId="71F57131" w:rsidR="00681985" w:rsidRPr="00681985" w:rsidRDefault="00681985">
                              <w:pPr>
                                <w:pStyle w:val="NoSpacing"/>
                                <w:jc w:val="right"/>
                                <w:rPr>
                                  <w:rFonts w:ascii="Arial Black" w:hAnsi="Arial Black"/>
                                  <w:color w:val="FFFFFF" w:themeColor="background1"/>
                                  <w:sz w:val="24"/>
                                  <w:szCs w:val="24"/>
                                </w:rPr>
                              </w:pPr>
                              <w:r w:rsidRPr="00681985">
                                <w:rPr>
                                  <w:rFonts w:ascii="Arial Black" w:hAnsi="Arial Black"/>
                                  <w:color w:val="FFFFFF" w:themeColor="background1"/>
                                  <w:sz w:val="24"/>
                                  <w:szCs w:val="24"/>
                                </w:rPr>
                                <w:t>2025</w:t>
                              </w:r>
                            </w:p>
                          </w:sdtContent>
                        </w:sdt>
                      </w:txbxContent>
                    </v:textbox>
                    <w10:wrap anchorx="margin" anchory="page"/>
                  </v:rect>
                </w:pict>
              </mc:Fallback>
            </mc:AlternateContent>
          </w:r>
          <w:r>
            <w:rPr>
              <w:rFonts w:ascii="Arial" w:hAnsi="Arial" w:cs="Arial"/>
            </w:rPr>
            <w:br w:type="page"/>
          </w:r>
        </w:p>
      </w:sdtContent>
    </w:sdt>
    <w:p w14:paraId="7CCD6C3F" w14:textId="2E27DCBE" w:rsidR="00CD04B0" w:rsidRPr="00681985" w:rsidRDefault="00CD04B0" w:rsidP="00CD04B0">
      <w:pPr>
        <w:pStyle w:val="ListParagraph"/>
        <w:numPr>
          <w:ilvl w:val="0"/>
          <w:numId w:val="1"/>
        </w:numPr>
        <w:spacing w:line="480" w:lineRule="auto"/>
        <w:jc w:val="both"/>
        <w:rPr>
          <w:rFonts w:ascii="Arial" w:hAnsi="Arial" w:cs="Arial"/>
          <w:b/>
          <w:bCs/>
          <w:color w:val="4C94D8" w:themeColor="text2" w:themeTint="80"/>
        </w:rPr>
      </w:pPr>
      <w:r w:rsidRPr="00681985">
        <w:rPr>
          <w:rFonts w:ascii="Arial" w:hAnsi="Arial" w:cs="Arial"/>
          <w:b/>
          <w:bCs/>
          <w:color w:val="4C94D8" w:themeColor="text2" w:themeTint="80"/>
        </w:rPr>
        <w:lastRenderedPageBreak/>
        <w:t>Introduction</w:t>
      </w:r>
    </w:p>
    <w:p w14:paraId="4E2D85C2" w14:textId="77777777" w:rsidR="00CD04B0" w:rsidRDefault="00CD04B0" w:rsidP="00CD04B0">
      <w:pPr>
        <w:spacing w:line="480" w:lineRule="auto"/>
        <w:jc w:val="both"/>
        <w:rPr>
          <w:rFonts w:ascii="Arial" w:hAnsi="Arial" w:cs="Arial"/>
        </w:rPr>
      </w:pPr>
      <w:r w:rsidRPr="00CD04B0">
        <w:rPr>
          <w:rFonts w:ascii="Arial" w:hAnsi="Arial" w:cs="Arial"/>
        </w:rPr>
        <w:t>Analysing</w:t>
      </w:r>
      <w:r w:rsidRPr="00CD04B0">
        <w:rPr>
          <w:rFonts w:ascii="Arial" w:hAnsi="Arial" w:cs="Arial"/>
        </w:rPr>
        <w:t xml:space="preserve"> financial performance allows one to understand how a company is efficiently using its resources to create a return, manage operations, and grow its business over time (Tracy, 2012). Through financial ratios, one can assess indicators of Amazon's resilience, efficiency, and competitiveness in a rapidly changing market as a global technology and retail </w:t>
      </w:r>
      <w:r w:rsidRPr="00CD04B0">
        <w:rPr>
          <w:rFonts w:ascii="Arial" w:hAnsi="Arial" w:cs="Arial"/>
        </w:rPr>
        <w:t>leader. Amazon</w:t>
      </w:r>
      <w:r w:rsidRPr="00CD04B0">
        <w:rPr>
          <w:rFonts w:ascii="Arial" w:hAnsi="Arial" w:cs="Arial"/>
        </w:rPr>
        <w:t xml:space="preserve"> was established by Jeff Bezos in 1994 as an online bookseller. Over the last 29 years, Amazon has evolved into one of the largest companies in the </w:t>
      </w:r>
      <w:r w:rsidRPr="00CD04B0">
        <w:rPr>
          <w:rFonts w:ascii="Arial" w:hAnsi="Arial" w:cs="Arial"/>
        </w:rPr>
        <w:t>number</w:t>
      </w:r>
      <w:r w:rsidRPr="00CD04B0">
        <w:rPr>
          <w:rFonts w:ascii="Arial" w:hAnsi="Arial" w:cs="Arial"/>
        </w:rPr>
        <w:t xml:space="preserve"> of services it provides across the e-commerce, logistics, cloud computing (AWS), advertising, and artificial intelligence technologies. Over the years, Amazon has shown an ability to provide and adapt to changing consumer habits and market conditions. However, 2022 was a year like no other for Amazon, experiencing a fluctuation in the stock market, indicating potential changes, Amazon's first net loss since 2014, and implementing a strategic reallocation of its workforce. </w:t>
      </w:r>
    </w:p>
    <w:p w14:paraId="77110E86" w14:textId="701CD092" w:rsidR="00CD04B0" w:rsidRDefault="00CD04B0" w:rsidP="00CD04B0">
      <w:pPr>
        <w:spacing w:line="480" w:lineRule="auto"/>
        <w:jc w:val="both"/>
        <w:rPr>
          <w:rFonts w:ascii="Arial" w:hAnsi="Arial" w:cs="Arial"/>
        </w:rPr>
      </w:pPr>
      <w:r w:rsidRPr="00CD04B0">
        <w:rPr>
          <w:rFonts w:ascii="Arial" w:hAnsi="Arial" w:cs="Arial"/>
        </w:rPr>
        <w:t xml:space="preserve">On the positive side of things, there was a quick recovery towards the end of financial year 2023 with a positive change in financial profitability and operational metrics from the previous </w:t>
      </w:r>
      <w:r w:rsidRPr="00CD04B0">
        <w:rPr>
          <w:rFonts w:ascii="Arial" w:hAnsi="Arial" w:cs="Arial"/>
        </w:rPr>
        <w:t xml:space="preserve">year. </w:t>
      </w:r>
      <w:r>
        <w:rPr>
          <w:rFonts w:ascii="Arial" w:hAnsi="Arial" w:cs="Arial"/>
        </w:rPr>
        <w:t>T</w:t>
      </w:r>
      <w:r w:rsidRPr="00CD04B0">
        <w:rPr>
          <w:rFonts w:ascii="Arial" w:hAnsi="Arial" w:cs="Arial"/>
        </w:rPr>
        <w:t xml:space="preserve">his report, will assess the financial performance of the </w:t>
      </w:r>
      <w:r w:rsidRPr="00CD04B0">
        <w:rPr>
          <w:rFonts w:ascii="Arial" w:hAnsi="Arial" w:cs="Arial"/>
        </w:rPr>
        <w:t>company Amazon</w:t>
      </w:r>
      <w:r w:rsidRPr="00CD04B0">
        <w:rPr>
          <w:rFonts w:ascii="Arial" w:hAnsi="Arial" w:cs="Arial"/>
        </w:rPr>
        <w:t xml:space="preserve">, using financial data from the fiscal years of 2022 and 2023 and employing ratio analysis in a </w:t>
      </w:r>
      <w:r w:rsidRPr="00CD04B0">
        <w:rPr>
          <w:rFonts w:ascii="Arial" w:hAnsi="Arial" w:cs="Arial"/>
        </w:rPr>
        <w:t>real</w:t>
      </w:r>
      <w:r w:rsidRPr="00CD04B0">
        <w:rPr>
          <w:rFonts w:ascii="Arial" w:hAnsi="Arial" w:cs="Arial"/>
        </w:rPr>
        <w:t xml:space="preserve"> time manner. The objective of the report is to determine the financial position of Amazon, the trending of financial performance over time, the components that impacted that performance, and make recommendations going forward.</w:t>
      </w:r>
    </w:p>
    <w:p w14:paraId="6363C32D" w14:textId="77777777" w:rsidR="00CD04B0" w:rsidRDefault="00CD04B0" w:rsidP="00CD04B0">
      <w:pPr>
        <w:spacing w:line="480" w:lineRule="auto"/>
        <w:jc w:val="both"/>
        <w:rPr>
          <w:rFonts w:ascii="Arial" w:hAnsi="Arial" w:cs="Arial"/>
        </w:rPr>
      </w:pPr>
    </w:p>
    <w:p w14:paraId="0A4C10BD" w14:textId="77777777" w:rsidR="00CD04B0" w:rsidRDefault="00CD04B0" w:rsidP="00CD04B0">
      <w:pPr>
        <w:spacing w:line="480" w:lineRule="auto"/>
        <w:jc w:val="both"/>
        <w:rPr>
          <w:rFonts w:ascii="Arial" w:hAnsi="Arial" w:cs="Arial"/>
        </w:rPr>
      </w:pPr>
    </w:p>
    <w:p w14:paraId="2C843EA2" w14:textId="77777777" w:rsidR="00CD04B0" w:rsidRDefault="00CD04B0" w:rsidP="00CD04B0">
      <w:pPr>
        <w:spacing w:line="480" w:lineRule="auto"/>
        <w:jc w:val="both"/>
        <w:rPr>
          <w:rFonts w:ascii="Arial" w:hAnsi="Arial" w:cs="Arial"/>
        </w:rPr>
      </w:pPr>
    </w:p>
    <w:p w14:paraId="0B945A31" w14:textId="23B9C0FC" w:rsidR="00CD04B0" w:rsidRPr="00681985" w:rsidRDefault="00CD04B0" w:rsidP="00CD04B0">
      <w:pPr>
        <w:pStyle w:val="ListParagraph"/>
        <w:numPr>
          <w:ilvl w:val="0"/>
          <w:numId w:val="1"/>
        </w:numPr>
        <w:spacing w:line="480" w:lineRule="auto"/>
        <w:jc w:val="both"/>
        <w:rPr>
          <w:rFonts w:ascii="Arial" w:hAnsi="Arial" w:cs="Arial"/>
          <w:b/>
          <w:bCs/>
          <w:color w:val="4C94D8" w:themeColor="text2" w:themeTint="80"/>
        </w:rPr>
      </w:pPr>
      <w:r w:rsidRPr="00681985">
        <w:rPr>
          <w:rFonts w:ascii="Arial" w:hAnsi="Arial" w:cs="Arial"/>
          <w:b/>
          <w:bCs/>
          <w:color w:val="4C94D8" w:themeColor="text2" w:themeTint="80"/>
        </w:rPr>
        <w:lastRenderedPageBreak/>
        <w:t>Overview of Financial Position</w:t>
      </w:r>
    </w:p>
    <w:p w14:paraId="01E4D56B" w14:textId="77777777" w:rsidR="00CD04B0" w:rsidRDefault="00CD04B0" w:rsidP="00CD04B0">
      <w:pPr>
        <w:spacing w:line="480" w:lineRule="auto"/>
        <w:jc w:val="both"/>
        <w:rPr>
          <w:rFonts w:ascii="Arial" w:hAnsi="Arial" w:cs="Arial"/>
        </w:rPr>
      </w:pPr>
      <w:r w:rsidRPr="00CD04B0">
        <w:rPr>
          <w:rFonts w:ascii="Arial" w:hAnsi="Arial" w:cs="Arial"/>
        </w:rPr>
        <w:t>The table shows Amazon's key financial information for 2022 and 2023 from its most recent public financial statements (Amazon Annual Reports, 2022-2023):</w:t>
      </w:r>
    </w:p>
    <w:tbl>
      <w:tblPr>
        <w:tblW w:w="0" w:type="auto"/>
        <w:tblCellSpacing w:w="15"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15" w:type="dxa"/>
          <w:left w:w="15" w:type="dxa"/>
          <w:bottom w:w="15" w:type="dxa"/>
          <w:right w:w="15" w:type="dxa"/>
        </w:tblCellMar>
        <w:tblLook w:val="04A0" w:firstRow="1" w:lastRow="0" w:firstColumn="1" w:lastColumn="0" w:noHBand="0" w:noVBand="1"/>
      </w:tblPr>
      <w:tblGrid>
        <w:gridCol w:w="3536"/>
        <w:gridCol w:w="2268"/>
        <w:gridCol w:w="2268"/>
      </w:tblGrid>
      <w:tr w:rsidR="00CD04B0" w:rsidRPr="00CD04B0" w14:paraId="66A14A03" w14:textId="77777777" w:rsidTr="00CD04B0">
        <w:trPr>
          <w:tblHeader/>
          <w:tblCellSpacing w:w="15" w:type="dxa"/>
        </w:trPr>
        <w:tc>
          <w:tcPr>
            <w:tcW w:w="3491" w:type="dxa"/>
            <w:vAlign w:val="center"/>
            <w:hideMark/>
          </w:tcPr>
          <w:p w14:paraId="6C0E7FD7" w14:textId="77777777" w:rsidR="00CD04B0" w:rsidRPr="00CD04B0" w:rsidRDefault="00CD04B0" w:rsidP="00CD04B0">
            <w:pPr>
              <w:spacing w:after="0" w:line="240" w:lineRule="auto"/>
              <w:jc w:val="center"/>
              <w:rPr>
                <w:rFonts w:ascii="Arial" w:eastAsia="Times New Roman" w:hAnsi="Arial" w:cs="Arial"/>
                <w:b/>
                <w:bCs/>
                <w:kern w:val="0"/>
                <w:lang w:eastAsia="en-GB"/>
                <w14:ligatures w14:val="none"/>
              </w:rPr>
            </w:pPr>
            <w:r w:rsidRPr="00CD04B0">
              <w:rPr>
                <w:rFonts w:ascii="Arial" w:eastAsia="Times New Roman" w:hAnsi="Arial" w:cs="Arial"/>
                <w:b/>
                <w:bCs/>
                <w:kern w:val="0"/>
                <w:lang w:eastAsia="en-GB"/>
                <w14:ligatures w14:val="none"/>
              </w:rPr>
              <w:t>Metric</w:t>
            </w:r>
          </w:p>
        </w:tc>
        <w:tc>
          <w:tcPr>
            <w:tcW w:w="2238" w:type="dxa"/>
            <w:vAlign w:val="center"/>
            <w:hideMark/>
          </w:tcPr>
          <w:p w14:paraId="034B5C79" w14:textId="77777777" w:rsidR="00CD04B0" w:rsidRPr="00CD04B0" w:rsidRDefault="00CD04B0" w:rsidP="00CD04B0">
            <w:pPr>
              <w:spacing w:after="0" w:line="240" w:lineRule="auto"/>
              <w:jc w:val="center"/>
              <w:rPr>
                <w:rFonts w:ascii="Arial" w:eastAsia="Times New Roman" w:hAnsi="Arial" w:cs="Arial"/>
                <w:b/>
                <w:bCs/>
                <w:kern w:val="0"/>
                <w:lang w:eastAsia="en-GB"/>
                <w14:ligatures w14:val="none"/>
              </w:rPr>
            </w:pPr>
            <w:r w:rsidRPr="00CD04B0">
              <w:rPr>
                <w:rFonts w:ascii="Arial" w:eastAsia="Times New Roman" w:hAnsi="Arial" w:cs="Arial"/>
                <w:b/>
                <w:bCs/>
                <w:kern w:val="0"/>
                <w:lang w:eastAsia="en-GB"/>
                <w14:ligatures w14:val="none"/>
              </w:rPr>
              <w:t>2023</w:t>
            </w:r>
          </w:p>
        </w:tc>
        <w:tc>
          <w:tcPr>
            <w:tcW w:w="2223" w:type="dxa"/>
            <w:vAlign w:val="center"/>
            <w:hideMark/>
          </w:tcPr>
          <w:p w14:paraId="7D27457A" w14:textId="77777777" w:rsidR="00CD04B0" w:rsidRPr="00CD04B0" w:rsidRDefault="00CD04B0" w:rsidP="00CD04B0">
            <w:pPr>
              <w:spacing w:after="0" w:line="240" w:lineRule="auto"/>
              <w:jc w:val="center"/>
              <w:rPr>
                <w:rFonts w:ascii="Arial" w:eastAsia="Times New Roman" w:hAnsi="Arial" w:cs="Arial"/>
                <w:b/>
                <w:bCs/>
                <w:kern w:val="0"/>
                <w:lang w:eastAsia="en-GB"/>
                <w14:ligatures w14:val="none"/>
              </w:rPr>
            </w:pPr>
            <w:r w:rsidRPr="00CD04B0">
              <w:rPr>
                <w:rFonts w:ascii="Arial" w:eastAsia="Times New Roman" w:hAnsi="Arial" w:cs="Arial"/>
                <w:b/>
                <w:bCs/>
                <w:kern w:val="0"/>
                <w:lang w:eastAsia="en-GB"/>
                <w14:ligatures w14:val="none"/>
              </w:rPr>
              <w:t>2022</w:t>
            </w:r>
          </w:p>
        </w:tc>
      </w:tr>
      <w:tr w:rsidR="00CD04B0" w:rsidRPr="00CD04B0" w14:paraId="7495A82A" w14:textId="77777777" w:rsidTr="00CD04B0">
        <w:trPr>
          <w:tblCellSpacing w:w="15" w:type="dxa"/>
        </w:trPr>
        <w:tc>
          <w:tcPr>
            <w:tcW w:w="3491" w:type="dxa"/>
            <w:vAlign w:val="center"/>
            <w:hideMark/>
          </w:tcPr>
          <w:p w14:paraId="54A14D33"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Revenue</w:t>
            </w:r>
          </w:p>
        </w:tc>
        <w:tc>
          <w:tcPr>
            <w:tcW w:w="2238" w:type="dxa"/>
            <w:vAlign w:val="center"/>
            <w:hideMark/>
          </w:tcPr>
          <w:p w14:paraId="4B1B7DE3"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$574.8B</w:t>
            </w:r>
          </w:p>
        </w:tc>
        <w:tc>
          <w:tcPr>
            <w:tcW w:w="2223" w:type="dxa"/>
            <w:vAlign w:val="center"/>
            <w:hideMark/>
          </w:tcPr>
          <w:p w14:paraId="78B93791"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$513.9B</w:t>
            </w:r>
          </w:p>
        </w:tc>
      </w:tr>
      <w:tr w:rsidR="00CD04B0" w:rsidRPr="00CD04B0" w14:paraId="00A7C7C2" w14:textId="77777777" w:rsidTr="00CD04B0">
        <w:trPr>
          <w:tblCellSpacing w:w="15" w:type="dxa"/>
        </w:trPr>
        <w:tc>
          <w:tcPr>
            <w:tcW w:w="3491" w:type="dxa"/>
            <w:vAlign w:val="center"/>
            <w:hideMark/>
          </w:tcPr>
          <w:p w14:paraId="2C614214"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Cost of Goods Sold</w:t>
            </w:r>
          </w:p>
        </w:tc>
        <w:tc>
          <w:tcPr>
            <w:tcW w:w="2238" w:type="dxa"/>
            <w:vAlign w:val="center"/>
            <w:hideMark/>
          </w:tcPr>
          <w:p w14:paraId="2A30C59F"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$344.4B</w:t>
            </w:r>
          </w:p>
        </w:tc>
        <w:tc>
          <w:tcPr>
            <w:tcW w:w="2223" w:type="dxa"/>
            <w:vAlign w:val="center"/>
            <w:hideMark/>
          </w:tcPr>
          <w:p w14:paraId="2C1A1BC3"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$330.0B</w:t>
            </w:r>
          </w:p>
        </w:tc>
      </w:tr>
      <w:tr w:rsidR="00CD04B0" w:rsidRPr="00CD04B0" w14:paraId="1E45464C" w14:textId="77777777" w:rsidTr="00CD04B0">
        <w:trPr>
          <w:tblCellSpacing w:w="15" w:type="dxa"/>
        </w:trPr>
        <w:tc>
          <w:tcPr>
            <w:tcW w:w="3491" w:type="dxa"/>
            <w:vAlign w:val="center"/>
            <w:hideMark/>
          </w:tcPr>
          <w:p w14:paraId="3FA70EA1"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Gross Profit</w:t>
            </w:r>
          </w:p>
        </w:tc>
        <w:tc>
          <w:tcPr>
            <w:tcW w:w="2238" w:type="dxa"/>
            <w:vAlign w:val="center"/>
            <w:hideMark/>
          </w:tcPr>
          <w:p w14:paraId="06E91654"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$230.4B</w:t>
            </w:r>
          </w:p>
        </w:tc>
        <w:tc>
          <w:tcPr>
            <w:tcW w:w="2223" w:type="dxa"/>
            <w:vAlign w:val="center"/>
            <w:hideMark/>
          </w:tcPr>
          <w:p w14:paraId="370A394E"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$183.9B</w:t>
            </w:r>
          </w:p>
        </w:tc>
      </w:tr>
      <w:tr w:rsidR="00CD04B0" w:rsidRPr="00CD04B0" w14:paraId="5D17E97D" w14:textId="77777777" w:rsidTr="00CD04B0">
        <w:trPr>
          <w:tblCellSpacing w:w="15" w:type="dxa"/>
        </w:trPr>
        <w:tc>
          <w:tcPr>
            <w:tcW w:w="3491" w:type="dxa"/>
            <w:vAlign w:val="center"/>
            <w:hideMark/>
          </w:tcPr>
          <w:p w14:paraId="62A686BB"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Operating Income</w:t>
            </w:r>
          </w:p>
        </w:tc>
        <w:tc>
          <w:tcPr>
            <w:tcW w:w="2238" w:type="dxa"/>
            <w:vAlign w:val="center"/>
            <w:hideMark/>
          </w:tcPr>
          <w:p w14:paraId="298BABD2"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$36.0B</w:t>
            </w:r>
          </w:p>
        </w:tc>
        <w:tc>
          <w:tcPr>
            <w:tcW w:w="2223" w:type="dxa"/>
            <w:vAlign w:val="center"/>
            <w:hideMark/>
          </w:tcPr>
          <w:p w14:paraId="6E4B62BD"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$12.2B</w:t>
            </w:r>
          </w:p>
        </w:tc>
      </w:tr>
      <w:tr w:rsidR="00CD04B0" w:rsidRPr="00CD04B0" w14:paraId="5FA21EAA" w14:textId="77777777" w:rsidTr="00CD04B0">
        <w:trPr>
          <w:tblCellSpacing w:w="15" w:type="dxa"/>
        </w:trPr>
        <w:tc>
          <w:tcPr>
            <w:tcW w:w="3491" w:type="dxa"/>
            <w:vAlign w:val="center"/>
            <w:hideMark/>
          </w:tcPr>
          <w:p w14:paraId="796551EC"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Net Income</w:t>
            </w:r>
          </w:p>
        </w:tc>
        <w:tc>
          <w:tcPr>
            <w:tcW w:w="2238" w:type="dxa"/>
            <w:vAlign w:val="center"/>
            <w:hideMark/>
          </w:tcPr>
          <w:p w14:paraId="3F04D20E"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$30.4B</w:t>
            </w:r>
          </w:p>
        </w:tc>
        <w:tc>
          <w:tcPr>
            <w:tcW w:w="2223" w:type="dxa"/>
            <w:vAlign w:val="center"/>
            <w:hideMark/>
          </w:tcPr>
          <w:p w14:paraId="36FB3EB9"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-$2.7B</w:t>
            </w:r>
          </w:p>
        </w:tc>
      </w:tr>
      <w:tr w:rsidR="00CD04B0" w:rsidRPr="00CD04B0" w14:paraId="245DAE2C" w14:textId="77777777" w:rsidTr="00CD04B0">
        <w:trPr>
          <w:tblCellSpacing w:w="15" w:type="dxa"/>
        </w:trPr>
        <w:tc>
          <w:tcPr>
            <w:tcW w:w="3491" w:type="dxa"/>
            <w:vAlign w:val="center"/>
            <w:hideMark/>
          </w:tcPr>
          <w:p w14:paraId="697F4954"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Total Assets</w:t>
            </w:r>
          </w:p>
        </w:tc>
        <w:tc>
          <w:tcPr>
            <w:tcW w:w="2238" w:type="dxa"/>
            <w:vAlign w:val="center"/>
            <w:hideMark/>
          </w:tcPr>
          <w:p w14:paraId="532D1918"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$527.0B</w:t>
            </w:r>
          </w:p>
        </w:tc>
        <w:tc>
          <w:tcPr>
            <w:tcW w:w="2223" w:type="dxa"/>
            <w:vAlign w:val="center"/>
            <w:hideMark/>
          </w:tcPr>
          <w:p w14:paraId="0428980C"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$462.7B</w:t>
            </w:r>
          </w:p>
        </w:tc>
      </w:tr>
      <w:tr w:rsidR="00CD04B0" w:rsidRPr="00CD04B0" w14:paraId="2481F7CF" w14:textId="77777777" w:rsidTr="00CD04B0">
        <w:trPr>
          <w:tblCellSpacing w:w="15" w:type="dxa"/>
        </w:trPr>
        <w:tc>
          <w:tcPr>
            <w:tcW w:w="3491" w:type="dxa"/>
            <w:vAlign w:val="center"/>
            <w:hideMark/>
          </w:tcPr>
          <w:p w14:paraId="38EF8F19"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Total Liabilities</w:t>
            </w:r>
          </w:p>
        </w:tc>
        <w:tc>
          <w:tcPr>
            <w:tcW w:w="2238" w:type="dxa"/>
            <w:vAlign w:val="center"/>
            <w:hideMark/>
          </w:tcPr>
          <w:p w14:paraId="59518600"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$320.0B</w:t>
            </w:r>
          </w:p>
        </w:tc>
        <w:tc>
          <w:tcPr>
            <w:tcW w:w="2223" w:type="dxa"/>
            <w:vAlign w:val="center"/>
            <w:hideMark/>
          </w:tcPr>
          <w:p w14:paraId="278E98A0"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$302.0B</w:t>
            </w:r>
          </w:p>
        </w:tc>
      </w:tr>
      <w:tr w:rsidR="00CD04B0" w:rsidRPr="00CD04B0" w14:paraId="6CAE2617" w14:textId="77777777" w:rsidTr="00CD04B0">
        <w:trPr>
          <w:tblCellSpacing w:w="15" w:type="dxa"/>
        </w:trPr>
        <w:tc>
          <w:tcPr>
            <w:tcW w:w="3491" w:type="dxa"/>
            <w:vAlign w:val="center"/>
            <w:hideMark/>
          </w:tcPr>
          <w:p w14:paraId="290C9731"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Equity</w:t>
            </w:r>
          </w:p>
        </w:tc>
        <w:tc>
          <w:tcPr>
            <w:tcW w:w="2238" w:type="dxa"/>
            <w:vAlign w:val="center"/>
            <w:hideMark/>
          </w:tcPr>
          <w:p w14:paraId="63110838"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$207.0B</w:t>
            </w:r>
          </w:p>
        </w:tc>
        <w:tc>
          <w:tcPr>
            <w:tcW w:w="2223" w:type="dxa"/>
            <w:vAlign w:val="center"/>
            <w:hideMark/>
          </w:tcPr>
          <w:p w14:paraId="1F7528E2"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$160.7B</w:t>
            </w:r>
          </w:p>
        </w:tc>
      </w:tr>
      <w:tr w:rsidR="00CD04B0" w:rsidRPr="00CD04B0" w14:paraId="047784EA" w14:textId="77777777" w:rsidTr="00CD04B0">
        <w:trPr>
          <w:tblCellSpacing w:w="15" w:type="dxa"/>
        </w:trPr>
        <w:tc>
          <w:tcPr>
            <w:tcW w:w="3491" w:type="dxa"/>
            <w:vAlign w:val="center"/>
            <w:hideMark/>
          </w:tcPr>
          <w:p w14:paraId="6FF81ED6"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Current Assets</w:t>
            </w:r>
          </w:p>
        </w:tc>
        <w:tc>
          <w:tcPr>
            <w:tcW w:w="2238" w:type="dxa"/>
            <w:vAlign w:val="center"/>
            <w:hideMark/>
          </w:tcPr>
          <w:p w14:paraId="1CC3F9E5"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$143.3B</w:t>
            </w:r>
          </w:p>
        </w:tc>
        <w:tc>
          <w:tcPr>
            <w:tcW w:w="2223" w:type="dxa"/>
            <w:vAlign w:val="center"/>
            <w:hideMark/>
          </w:tcPr>
          <w:p w14:paraId="25568D4D"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$134.5B</w:t>
            </w:r>
          </w:p>
        </w:tc>
      </w:tr>
      <w:tr w:rsidR="00CD04B0" w:rsidRPr="00CD04B0" w14:paraId="25AC658B" w14:textId="77777777" w:rsidTr="00CD04B0">
        <w:trPr>
          <w:tblCellSpacing w:w="15" w:type="dxa"/>
        </w:trPr>
        <w:tc>
          <w:tcPr>
            <w:tcW w:w="3491" w:type="dxa"/>
            <w:vAlign w:val="center"/>
            <w:hideMark/>
          </w:tcPr>
          <w:p w14:paraId="7832B27C"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Current Liabilities</w:t>
            </w:r>
          </w:p>
        </w:tc>
        <w:tc>
          <w:tcPr>
            <w:tcW w:w="2238" w:type="dxa"/>
            <w:vAlign w:val="center"/>
            <w:hideMark/>
          </w:tcPr>
          <w:p w14:paraId="4BF64910"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$137.4B</w:t>
            </w:r>
          </w:p>
        </w:tc>
        <w:tc>
          <w:tcPr>
            <w:tcW w:w="2223" w:type="dxa"/>
            <w:vAlign w:val="center"/>
            <w:hideMark/>
          </w:tcPr>
          <w:p w14:paraId="425DDB21" w14:textId="77777777" w:rsidR="00CD04B0" w:rsidRPr="00CD04B0" w:rsidRDefault="00CD04B0" w:rsidP="00CD04B0">
            <w:pPr>
              <w:spacing w:after="0" w:line="240" w:lineRule="auto"/>
              <w:rPr>
                <w:rFonts w:ascii="Arial" w:eastAsia="Times New Roman" w:hAnsi="Arial" w:cs="Arial"/>
                <w:kern w:val="0"/>
                <w:lang w:eastAsia="en-GB"/>
                <w14:ligatures w14:val="none"/>
              </w:rPr>
            </w:pPr>
            <w:r w:rsidRPr="00CD04B0">
              <w:rPr>
                <w:rFonts w:ascii="Arial" w:eastAsia="Times New Roman" w:hAnsi="Arial" w:cs="Arial"/>
                <w:kern w:val="0"/>
                <w:lang w:eastAsia="en-GB"/>
                <w14:ligatures w14:val="none"/>
              </w:rPr>
              <w:t>$127.8B</w:t>
            </w:r>
          </w:p>
        </w:tc>
      </w:tr>
    </w:tbl>
    <w:p w14:paraId="01788CBF" w14:textId="77777777" w:rsidR="00CD04B0" w:rsidRDefault="00CD04B0" w:rsidP="00CD04B0">
      <w:pPr>
        <w:spacing w:line="480" w:lineRule="auto"/>
        <w:jc w:val="both"/>
        <w:rPr>
          <w:rFonts w:ascii="Arial" w:hAnsi="Arial" w:cs="Arial"/>
        </w:rPr>
      </w:pPr>
    </w:p>
    <w:p w14:paraId="57ED20AE" w14:textId="77777777" w:rsidR="001C4543" w:rsidRDefault="00CD04B0" w:rsidP="00CD04B0">
      <w:pPr>
        <w:spacing w:line="480" w:lineRule="auto"/>
        <w:jc w:val="both"/>
        <w:rPr>
          <w:rFonts w:ascii="Arial" w:hAnsi="Arial" w:cs="Arial"/>
        </w:rPr>
      </w:pPr>
      <w:r w:rsidRPr="00CD04B0">
        <w:rPr>
          <w:rFonts w:ascii="Arial" w:hAnsi="Arial" w:cs="Arial"/>
        </w:rPr>
        <w:t>Amazon faced significant difficulties in 2022, including high inflation, major supply chain challenges, and the write-down of its Rivian investment. By 2023, the macroeconomic environment was much more stable, and with the execution of cost-cutting initiatives, Amazon was able to return to profitability.</w:t>
      </w:r>
    </w:p>
    <w:p w14:paraId="3A42FF5E" w14:textId="3A2B814F" w:rsidR="001C4543" w:rsidRPr="00681985" w:rsidRDefault="00CD04B0" w:rsidP="001C4543">
      <w:pPr>
        <w:pStyle w:val="ListParagraph"/>
        <w:numPr>
          <w:ilvl w:val="0"/>
          <w:numId w:val="1"/>
        </w:numPr>
        <w:spacing w:line="480" w:lineRule="auto"/>
        <w:jc w:val="both"/>
        <w:rPr>
          <w:rFonts w:ascii="Arial" w:hAnsi="Arial" w:cs="Arial"/>
          <w:b/>
          <w:bCs/>
          <w:color w:val="4C94D8" w:themeColor="text2" w:themeTint="80"/>
        </w:rPr>
      </w:pPr>
      <w:r w:rsidRPr="00681985">
        <w:rPr>
          <w:rFonts w:ascii="Arial" w:hAnsi="Arial" w:cs="Arial"/>
          <w:b/>
          <w:bCs/>
          <w:color w:val="4C94D8" w:themeColor="text2" w:themeTint="80"/>
        </w:rPr>
        <w:t>Ratio Analysis</w:t>
      </w:r>
    </w:p>
    <w:p w14:paraId="4FEC7CC7" w14:textId="3E7BD175" w:rsidR="001C4543" w:rsidRPr="00681985" w:rsidRDefault="00CD04B0" w:rsidP="001C4543">
      <w:pPr>
        <w:pStyle w:val="ListParagraph"/>
        <w:numPr>
          <w:ilvl w:val="1"/>
          <w:numId w:val="1"/>
        </w:numPr>
        <w:spacing w:line="480" w:lineRule="auto"/>
        <w:jc w:val="both"/>
        <w:rPr>
          <w:rFonts w:ascii="Arial" w:hAnsi="Arial" w:cs="Arial"/>
          <w:b/>
          <w:bCs/>
          <w:color w:val="4C94D8" w:themeColor="text2" w:themeTint="80"/>
        </w:rPr>
      </w:pPr>
      <w:r w:rsidRPr="00681985">
        <w:rPr>
          <w:rFonts w:ascii="Arial" w:hAnsi="Arial" w:cs="Arial"/>
          <w:b/>
          <w:bCs/>
          <w:color w:val="4C94D8" w:themeColor="text2" w:themeTint="80"/>
        </w:rPr>
        <w:t>Profitability Ratios</w:t>
      </w:r>
    </w:p>
    <w:p w14:paraId="5636BEA5" w14:textId="7CAFC39E" w:rsidR="001C4543" w:rsidRPr="00681985" w:rsidRDefault="00CD04B0" w:rsidP="001C4543">
      <w:pPr>
        <w:pStyle w:val="ListParagraph"/>
        <w:numPr>
          <w:ilvl w:val="0"/>
          <w:numId w:val="2"/>
        </w:numPr>
        <w:spacing w:line="480" w:lineRule="auto"/>
        <w:jc w:val="both"/>
        <w:rPr>
          <w:rFonts w:ascii="Arial" w:hAnsi="Arial" w:cs="Arial"/>
          <w:b/>
          <w:bCs/>
          <w:color w:val="4C94D8" w:themeColor="text2" w:themeTint="80"/>
        </w:rPr>
      </w:pPr>
      <w:r w:rsidRPr="00681985">
        <w:rPr>
          <w:rFonts w:ascii="Arial" w:hAnsi="Arial" w:cs="Arial"/>
          <w:b/>
          <w:bCs/>
          <w:color w:val="4C94D8" w:themeColor="text2" w:themeTint="80"/>
        </w:rPr>
        <w:t>Gross Profit Margin</w:t>
      </w:r>
    </w:p>
    <w:p w14:paraId="6BDB2EE6" w14:textId="52A31A5A" w:rsidR="001C4543" w:rsidRDefault="00CD04B0" w:rsidP="001C4543">
      <w:pPr>
        <w:spacing w:line="480" w:lineRule="auto"/>
        <w:jc w:val="both"/>
        <w:rPr>
          <w:rFonts w:ascii="Arial" w:hAnsi="Arial" w:cs="Arial"/>
        </w:rPr>
      </w:pPr>
      <w:r w:rsidRPr="001C4543">
        <w:rPr>
          <w:rFonts w:ascii="Arial" w:hAnsi="Arial" w:cs="Arial"/>
        </w:rPr>
        <w:t>2022 = 35.8%</w:t>
      </w:r>
    </w:p>
    <w:p w14:paraId="67CD8BDF" w14:textId="77777777" w:rsidR="001C4543" w:rsidRDefault="00CD04B0" w:rsidP="001C4543">
      <w:pPr>
        <w:spacing w:line="480" w:lineRule="auto"/>
        <w:jc w:val="both"/>
        <w:rPr>
          <w:rFonts w:ascii="Arial" w:hAnsi="Arial" w:cs="Arial"/>
        </w:rPr>
      </w:pPr>
      <w:r w:rsidRPr="001C4543">
        <w:rPr>
          <w:rFonts w:ascii="Arial" w:hAnsi="Arial" w:cs="Arial"/>
        </w:rPr>
        <w:t>2023 = 40.1%</w:t>
      </w:r>
    </w:p>
    <w:p w14:paraId="506E18D6" w14:textId="77777777" w:rsidR="001C4543" w:rsidRDefault="00CD04B0" w:rsidP="001C4543">
      <w:pPr>
        <w:spacing w:line="480" w:lineRule="auto"/>
        <w:jc w:val="both"/>
        <w:rPr>
          <w:rFonts w:ascii="Arial" w:hAnsi="Arial" w:cs="Arial"/>
        </w:rPr>
      </w:pPr>
      <w:r w:rsidRPr="001C4543">
        <w:rPr>
          <w:rFonts w:ascii="Arial" w:hAnsi="Arial" w:cs="Arial"/>
        </w:rPr>
        <w:t xml:space="preserve">The increase stems from better cost containment and a shift toward higher-margin growth revenue streams (AWS and advertising) (Charles &amp; </w:t>
      </w:r>
      <w:proofErr w:type="spellStart"/>
      <w:r w:rsidRPr="001C4543">
        <w:rPr>
          <w:rFonts w:ascii="Arial" w:hAnsi="Arial" w:cs="Arial"/>
        </w:rPr>
        <w:t>Uford</w:t>
      </w:r>
      <w:proofErr w:type="spellEnd"/>
      <w:r w:rsidRPr="001C4543">
        <w:rPr>
          <w:rFonts w:ascii="Arial" w:hAnsi="Arial" w:cs="Arial"/>
        </w:rPr>
        <w:t>, 2023).</w:t>
      </w:r>
    </w:p>
    <w:p w14:paraId="60EE60EF" w14:textId="77777777" w:rsidR="001C4543" w:rsidRDefault="001C4543" w:rsidP="001C4543">
      <w:pPr>
        <w:spacing w:line="480" w:lineRule="auto"/>
        <w:jc w:val="both"/>
        <w:rPr>
          <w:rFonts w:ascii="Arial" w:hAnsi="Arial" w:cs="Arial"/>
        </w:rPr>
      </w:pPr>
    </w:p>
    <w:p w14:paraId="7E95D93C" w14:textId="31EBF4E0" w:rsidR="001C4543" w:rsidRPr="00681985" w:rsidRDefault="00CD04B0" w:rsidP="001C4543">
      <w:pPr>
        <w:pStyle w:val="ListParagraph"/>
        <w:numPr>
          <w:ilvl w:val="0"/>
          <w:numId w:val="2"/>
        </w:numPr>
        <w:spacing w:line="480" w:lineRule="auto"/>
        <w:jc w:val="both"/>
        <w:rPr>
          <w:rFonts w:ascii="Arial" w:hAnsi="Arial" w:cs="Arial"/>
          <w:b/>
          <w:bCs/>
          <w:color w:val="4C94D8" w:themeColor="text2" w:themeTint="80"/>
        </w:rPr>
      </w:pPr>
      <w:r w:rsidRPr="00681985">
        <w:rPr>
          <w:rFonts w:ascii="Arial" w:hAnsi="Arial" w:cs="Arial"/>
          <w:b/>
          <w:bCs/>
          <w:color w:val="4C94D8" w:themeColor="text2" w:themeTint="80"/>
        </w:rPr>
        <w:lastRenderedPageBreak/>
        <w:t>Operating Profit Margin</w:t>
      </w:r>
    </w:p>
    <w:p w14:paraId="3CC27C46" w14:textId="77777777" w:rsidR="001C4543" w:rsidRDefault="00CD04B0" w:rsidP="001C4543">
      <w:pPr>
        <w:spacing w:line="480" w:lineRule="auto"/>
        <w:jc w:val="both"/>
        <w:rPr>
          <w:rFonts w:ascii="Arial" w:hAnsi="Arial" w:cs="Arial"/>
        </w:rPr>
      </w:pPr>
      <w:r w:rsidRPr="001C4543">
        <w:rPr>
          <w:rFonts w:ascii="Arial" w:hAnsi="Arial" w:cs="Arial"/>
        </w:rPr>
        <w:t>2022 = 2.4%</w:t>
      </w:r>
    </w:p>
    <w:p w14:paraId="35AA4E8A" w14:textId="77777777" w:rsidR="001C4543" w:rsidRDefault="00CD04B0" w:rsidP="001C4543">
      <w:pPr>
        <w:spacing w:line="480" w:lineRule="auto"/>
        <w:jc w:val="both"/>
        <w:rPr>
          <w:rFonts w:ascii="Arial" w:hAnsi="Arial" w:cs="Arial"/>
        </w:rPr>
      </w:pPr>
      <w:r w:rsidRPr="001C4543">
        <w:rPr>
          <w:rFonts w:ascii="Arial" w:hAnsi="Arial" w:cs="Arial"/>
        </w:rPr>
        <w:t>2023 = 6.3%</w:t>
      </w:r>
    </w:p>
    <w:p w14:paraId="7DF16B12" w14:textId="77777777" w:rsidR="001C4543" w:rsidRDefault="00CD04B0" w:rsidP="001C4543">
      <w:pPr>
        <w:spacing w:line="480" w:lineRule="auto"/>
        <w:jc w:val="both"/>
        <w:rPr>
          <w:rFonts w:ascii="Arial" w:hAnsi="Arial" w:cs="Arial"/>
        </w:rPr>
      </w:pPr>
      <w:r w:rsidRPr="001C4543">
        <w:rPr>
          <w:rFonts w:ascii="Arial" w:hAnsi="Arial" w:cs="Arial"/>
        </w:rPr>
        <w:t>The improvement is attributed to reduced headcount and restructuring logistics that improved efficiency.</w:t>
      </w:r>
    </w:p>
    <w:p w14:paraId="3514B788" w14:textId="5873DBBA" w:rsidR="001C4543" w:rsidRPr="00681985" w:rsidRDefault="00CD04B0" w:rsidP="001C4543">
      <w:pPr>
        <w:pStyle w:val="ListParagraph"/>
        <w:numPr>
          <w:ilvl w:val="0"/>
          <w:numId w:val="2"/>
        </w:numPr>
        <w:spacing w:line="480" w:lineRule="auto"/>
        <w:jc w:val="both"/>
        <w:rPr>
          <w:rFonts w:ascii="Arial" w:hAnsi="Arial" w:cs="Arial"/>
          <w:b/>
          <w:bCs/>
          <w:color w:val="4C94D8" w:themeColor="text2" w:themeTint="80"/>
        </w:rPr>
      </w:pPr>
      <w:r w:rsidRPr="00681985">
        <w:rPr>
          <w:rFonts w:ascii="Arial" w:hAnsi="Arial" w:cs="Arial"/>
          <w:b/>
          <w:bCs/>
          <w:color w:val="4C94D8" w:themeColor="text2" w:themeTint="80"/>
        </w:rPr>
        <w:t>Net Profit Margin</w:t>
      </w:r>
    </w:p>
    <w:p w14:paraId="7B35F06E" w14:textId="77777777" w:rsidR="001C4543" w:rsidRDefault="00CD04B0" w:rsidP="001C4543">
      <w:pPr>
        <w:spacing w:line="480" w:lineRule="auto"/>
        <w:jc w:val="both"/>
        <w:rPr>
          <w:rFonts w:ascii="Arial" w:hAnsi="Arial" w:cs="Arial"/>
        </w:rPr>
      </w:pPr>
      <w:r w:rsidRPr="001C4543">
        <w:rPr>
          <w:rFonts w:ascii="Arial" w:hAnsi="Arial" w:cs="Arial"/>
        </w:rPr>
        <w:t xml:space="preserve">2022 = -0.5% </w:t>
      </w:r>
    </w:p>
    <w:p w14:paraId="74F4166A" w14:textId="77777777" w:rsidR="001C4543" w:rsidRDefault="00CD04B0" w:rsidP="001C4543">
      <w:pPr>
        <w:spacing w:line="480" w:lineRule="auto"/>
        <w:jc w:val="both"/>
        <w:rPr>
          <w:rFonts w:ascii="Arial" w:hAnsi="Arial" w:cs="Arial"/>
        </w:rPr>
      </w:pPr>
      <w:r w:rsidRPr="001C4543">
        <w:rPr>
          <w:rFonts w:ascii="Arial" w:hAnsi="Arial" w:cs="Arial"/>
        </w:rPr>
        <w:t>2023 = 5.3%</w:t>
      </w:r>
    </w:p>
    <w:p w14:paraId="30351685" w14:textId="77777777" w:rsidR="001C4543" w:rsidRDefault="00CD04B0" w:rsidP="001C4543">
      <w:pPr>
        <w:spacing w:line="480" w:lineRule="auto"/>
        <w:jc w:val="both"/>
        <w:rPr>
          <w:rFonts w:ascii="Arial" w:hAnsi="Arial" w:cs="Arial"/>
        </w:rPr>
      </w:pPr>
      <w:r w:rsidRPr="001C4543">
        <w:rPr>
          <w:rFonts w:ascii="Arial" w:hAnsi="Arial" w:cs="Arial"/>
        </w:rPr>
        <w:t>The overall return to net profit margin is representative of completing the losses from Rivian and reductions in expenses incurred during the pandemic (Cruz Lopez, 2023).</w:t>
      </w:r>
    </w:p>
    <w:p w14:paraId="43D2152B" w14:textId="6D82DED2" w:rsidR="001C4543" w:rsidRPr="00681985" w:rsidRDefault="00CD04B0" w:rsidP="001C4543">
      <w:pPr>
        <w:pStyle w:val="ListParagraph"/>
        <w:numPr>
          <w:ilvl w:val="1"/>
          <w:numId w:val="1"/>
        </w:numPr>
        <w:spacing w:line="480" w:lineRule="auto"/>
        <w:jc w:val="both"/>
        <w:rPr>
          <w:rFonts w:ascii="Arial" w:hAnsi="Arial" w:cs="Arial"/>
          <w:b/>
          <w:bCs/>
          <w:color w:val="4C94D8" w:themeColor="text2" w:themeTint="80"/>
        </w:rPr>
      </w:pPr>
      <w:r w:rsidRPr="00681985">
        <w:rPr>
          <w:rFonts w:ascii="Arial" w:hAnsi="Arial" w:cs="Arial"/>
          <w:b/>
          <w:bCs/>
          <w:color w:val="4C94D8" w:themeColor="text2" w:themeTint="80"/>
        </w:rPr>
        <w:t>Efficiency Ratios</w:t>
      </w:r>
    </w:p>
    <w:p w14:paraId="1B8249C7" w14:textId="4455F426" w:rsidR="001C4543" w:rsidRPr="00681985" w:rsidRDefault="00CD04B0" w:rsidP="001C4543">
      <w:pPr>
        <w:pStyle w:val="ListParagraph"/>
        <w:numPr>
          <w:ilvl w:val="0"/>
          <w:numId w:val="3"/>
        </w:numPr>
        <w:spacing w:line="480" w:lineRule="auto"/>
        <w:jc w:val="both"/>
        <w:rPr>
          <w:rFonts w:ascii="Arial" w:hAnsi="Arial" w:cs="Arial"/>
          <w:b/>
          <w:bCs/>
          <w:color w:val="4C94D8" w:themeColor="text2" w:themeTint="80"/>
        </w:rPr>
      </w:pPr>
      <w:r w:rsidRPr="00681985">
        <w:rPr>
          <w:rFonts w:ascii="Arial" w:hAnsi="Arial" w:cs="Arial"/>
          <w:b/>
          <w:bCs/>
          <w:color w:val="4C94D8" w:themeColor="text2" w:themeTint="80"/>
        </w:rPr>
        <w:t>Return on Assets (ROA)</w:t>
      </w:r>
    </w:p>
    <w:p w14:paraId="452722FF" w14:textId="77777777" w:rsidR="001C4543" w:rsidRDefault="00CD04B0" w:rsidP="001C4543">
      <w:pPr>
        <w:spacing w:line="480" w:lineRule="auto"/>
        <w:jc w:val="both"/>
        <w:rPr>
          <w:rFonts w:ascii="Arial" w:hAnsi="Arial" w:cs="Arial"/>
        </w:rPr>
      </w:pPr>
      <w:r w:rsidRPr="001C4543">
        <w:rPr>
          <w:rFonts w:ascii="Arial" w:hAnsi="Arial" w:cs="Arial"/>
        </w:rPr>
        <w:t xml:space="preserve">2022 = -0.6% </w:t>
      </w:r>
    </w:p>
    <w:p w14:paraId="1EEB1B7A" w14:textId="77777777" w:rsidR="001C4543" w:rsidRDefault="00CD04B0" w:rsidP="001C4543">
      <w:pPr>
        <w:spacing w:line="480" w:lineRule="auto"/>
        <w:jc w:val="both"/>
        <w:rPr>
          <w:rFonts w:ascii="Arial" w:hAnsi="Arial" w:cs="Arial"/>
        </w:rPr>
      </w:pPr>
      <w:r w:rsidRPr="001C4543">
        <w:rPr>
          <w:rFonts w:ascii="Arial" w:hAnsi="Arial" w:cs="Arial"/>
        </w:rPr>
        <w:t>2023 = 5.8%</w:t>
      </w:r>
    </w:p>
    <w:p w14:paraId="10B32B94" w14:textId="77777777" w:rsidR="001C4543" w:rsidRDefault="00CD04B0" w:rsidP="001C4543">
      <w:pPr>
        <w:spacing w:line="480" w:lineRule="auto"/>
        <w:jc w:val="both"/>
        <w:rPr>
          <w:rFonts w:ascii="Arial" w:hAnsi="Arial" w:cs="Arial"/>
        </w:rPr>
      </w:pPr>
      <w:r w:rsidRPr="001C4543">
        <w:rPr>
          <w:rFonts w:ascii="Arial" w:hAnsi="Arial" w:cs="Arial"/>
        </w:rPr>
        <w:t>This illustrates that the company's asset utili</w:t>
      </w:r>
      <w:r w:rsidR="001C4543">
        <w:rPr>
          <w:rFonts w:ascii="Arial" w:hAnsi="Arial" w:cs="Arial"/>
        </w:rPr>
        <w:t>s</w:t>
      </w:r>
      <w:r w:rsidRPr="001C4543">
        <w:rPr>
          <w:rFonts w:ascii="Arial" w:hAnsi="Arial" w:cs="Arial"/>
        </w:rPr>
        <w:t>ation was significantly better in 2023 as the company restructured its supply chain and made investments in automation (Antonopoulos, 2023).</w:t>
      </w:r>
    </w:p>
    <w:p w14:paraId="16564896" w14:textId="4B7D8D6C" w:rsidR="001C4543" w:rsidRPr="00681985" w:rsidRDefault="00CD04B0" w:rsidP="001C4543">
      <w:pPr>
        <w:pStyle w:val="ListParagraph"/>
        <w:numPr>
          <w:ilvl w:val="0"/>
          <w:numId w:val="3"/>
        </w:numPr>
        <w:spacing w:line="480" w:lineRule="auto"/>
        <w:jc w:val="both"/>
        <w:rPr>
          <w:rFonts w:ascii="Arial" w:hAnsi="Arial" w:cs="Arial"/>
          <w:b/>
          <w:bCs/>
          <w:color w:val="4C94D8" w:themeColor="text2" w:themeTint="80"/>
        </w:rPr>
      </w:pPr>
      <w:r w:rsidRPr="00681985">
        <w:rPr>
          <w:rFonts w:ascii="Arial" w:hAnsi="Arial" w:cs="Arial"/>
          <w:b/>
          <w:bCs/>
          <w:color w:val="4C94D8" w:themeColor="text2" w:themeTint="80"/>
        </w:rPr>
        <w:t>Return on Equity (ROE)</w:t>
      </w:r>
    </w:p>
    <w:p w14:paraId="6AAA0F1C" w14:textId="77777777" w:rsidR="001C4543" w:rsidRDefault="00CD04B0" w:rsidP="001C4543">
      <w:pPr>
        <w:spacing w:line="480" w:lineRule="auto"/>
        <w:jc w:val="both"/>
        <w:rPr>
          <w:rFonts w:ascii="Arial" w:hAnsi="Arial" w:cs="Arial"/>
        </w:rPr>
      </w:pPr>
      <w:r w:rsidRPr="001C4543">
        <w:rPr>
          <w:rFonts w:ascii="Arial" w:hAnsi="Arial" w:cs="Arial"/>
        </w:rPr>
        <w:t xml:space="preserve">2022 = -1.7% </w:t>
      </w:r>
    </w:p>
    <w:p w14:paraId="7998F9FA" w14:textId="77777777" w:rsidR="001C4543" w:rsidRDefault="00CD04B0" w:rsidP="001C4543">
      <w:pPr>
        <w:spacing w:line="480" w:lineRule="auto"/>
        <w:jc w:val="both"/>
        <w:rPr>
          <w:rFonts w:ascii="Arial" w:hAnsi="Arial" w:cs="Arial"/>
        </w:rPr>
      </w:pPr>
      <w:r w:rsidRPr="001C4543">
        <w:rPr>
          <w:rFonts w:ascii="Arial" w:hAnsi="Arial" w:cs="Arial"/>
        </w:rPr>
        <w:t>2023 = 14.7%</w:t>
      </w:r>
    </w:p>
    <w:p w14:paraId="47CFA4B9" w14:textId="77777777" w:rsidR="001C4543" w:rsidRDefault="00CD04B0" w:rsidP="001C4543">
      <w:pPr>
        <w:spacing w:line="480" w:lineRule="auto"/>
        <w:jc w:val="both"/>
        <w:rPr>
          <w:rFonts w:ascii="Arial" w:hAnsi="Arial" w:cs="Arial"/>
        </w:rPr>
      </w:pPr>
      <w:r w:rsidRPr="001C4543">
        <w:rPr>
          <w:rFonts w:ascii="Arial" w:hAnsi="Arial" w:cs="Arial"/>
        </w:rPr>
        <w:lastRenderedPageBreak/>
        <w:t>The increase indicates a strong improvement in return on equity, which shows the management is now providing adequate return levels on investment to shareholders, leading to improved investor confidence (Ohlson, 1995).</w:t>
      </w:r>
    </w:p>
    <w:p w14:paraId="1010FEAB" w14:textId="7706AD3A" w:rsidR="00600E25" w:rsidRPr="00681985" w:rsidRDefault="00CD04B0" w:rsidP="00600E25">
      <w:pPr>
        <w:pStyle w:val="ListParagraph"/>
        <w:numPr>
          <w:ilvl w:val="1"/>
          <w:numId w:val="1"/>
        </w:numPr>
        <w:spacing w:line="480" w:lineRule="auto"/>
        <w:jc w:val="both"/>
        <w:rPr>
          <w:rFonts w:ascii="Arial" w:hAnsi="Arial" w:cs="Arial"/>
          <w:b/>
          <w:bCs/>
          <w:color w:val="4C94D8" w:themeColor="text2" w:themeTint="80"/>
        </w:rPr>
      </w:pPr>
      <w:r w:rsidRPr="00681985">
        <w:rPr>
          <w:rFonts w:ascii="Arial" w:hAnsi="Arial" w:cs="Arial"/>
          <w:b/>
          <w:bCs/>
          <w:color w:val="4C94D8" w:themeColor="text2" w:themeTint="80"/>
        </w:rPr>
        <w:t>Liquidity and Leverage</w:t>
      </w:r>
    </w:p>
    <w:p w14:paraId="2B1D1CDC" w14:textId="7F96248B" w:rsidR="00600E25" w:rsidRPr="00681985" w:rsidRDefault="00CD04B0" w:rsidP="00600E25">
      <w:pPr>
        <w:pStyle w:val="ListParagraph"/>
        <w:numPr>
          <w:ilvl w:val="0"/>
          <w:numId w:val="4"/>
        </w:numPr>
        <w:spacing w:line="480" w:lineRule="auto"/>
        <w:jc w:val="both"/>
        <w:rPr>
          <w:rFonts w:ascii="Arial" w:hAnsi="Arial" w:cs="Arial"/>
          <w:b/>
          <w:bCs/>
          <w:color w:val="4C94D8" w:themeColor="text2" w:themeTint="80"/>
        </w:rPr>
      </w:pPr>
      <w:r w:rsidRPr="00681985">
        <w:rPr>
          <w:rFonts w:ascii="Arial" w:hAnsi="Arial" w:cs="Arial"/>
          <w:b/>
          <w:bCs/>
          <w:color w:val="4C94D8" w:themeColor="text2" w:themeTint="80"/>
        </w:rPr>
        <w:t>Current Ratio</w:t>
      </w:r>
    </w:p>
    <w:p w14:paraId="489624AA" w14:textId="77777777" w:rsidR="00600E25" w:rsidRDefault="00CD04B0" w:rsidP="00600E25">
      <w:pPr>
        <w:spacing w:line="480" w:lineRule="auto"/>
        <w:jc w:val="both"/>
        <w:rPr>
          <w:rFonts w:ascii="Arial" w:hAnsi="Arial" w:cs="Arial"/>
        </w:rPr>
      </w:pPr>
      <w:r w:rsidRPr="00600E25">
        <w:rPr>
          <w:rFonts w:ascii="Arial" w:hAnsi="Arial" w:cs="Arial"/>
        </w:rPr>
        <w:t xml:space="preserve">2022: 1.05 </w:t>
      </w:r>
    </w:p>
    <w:p w14:paraId="5DFA262C" w14:textId="77777777" w:rsidR="00600E25" w:rsidRDefault="00CD04B0" w:rsidP="00600E25">
      <w:pPr>
        <w:spacing w:line="480" w:lineRule="auto"/>
        <w:jc w:val="both"/>
        <w:rPr>
          <w:rFonts w:ascii="Arial" w:hAnsi="Arial" w:cs="Arial"/>
        </w:rPr>
      </w:pPr>
      <w:r w:rsidRPr="00600E25">
        <w:rPr>
          <w:rFonts w:ascii="Arial" w:hAnsi="Arial" w:cs="Arial"/>
        </w:rPr>
        <w:t>2023: 1.04</w:t>
      </w:r>
    </w:p>
    <w:p w14:paraId="0A576759" w14:textId="77777777" w:rsidR="00600E25" w:rsidRDefault="00CD04B0" w:rsidP="00600E25">
      <w:pPr>
        <w:spacing w:line="480" w:lineRule="auto"/>
        <w:jc w:val="both"/>
        <w:rPr>
          <w:rFonts w:ascii="Arial" w:hAnsi="Arial" w:cs="Arial"/>
        </w:rPr>
      </w:pPr>
      <w:r w:rsidRPr="00600E25">
        <w:rPr>
          <w:rFonts w:ascii="Arial" w:hAnsi="Arial" w:cs="Arial"/>
        </w:rPr>
        <w:t>Amazon's liquidity position has remained consistent despite a narrow margin that reflects tight cash constraints.</w:t>
      </w:r>
    </w:p>
    <w:p w14:paraId="511D69CD" w14:textId="66739273" w:rsidR="00600E25" w:rsidRPr="00681985" w:rsidRDefault="00CD04B0" w:rsidP="00600E25">
      <w:pPr>
        <w:pStyle w:val="ListParagraph"/>
        <w:numPr>
          <w:ilvl w:val="0"/>
          <w:numId w:val="4"/>
        </w:numPr>
        <w:spacing w:line="480" w:lineRule="auto"/>
        <w:jc w:val="both"/>
        <w:rPr>
          <w:rFonts w:ascii="Arial" w:hAnsi="Arial" w:cs="Arial"/>
          <w:b/>
          <w:bCs/>
          <w:color w:val="4C94D8" w:themeColor="text2" w:themeTint="80"/>
        </w:rPr>
      </w:pPr>
      <w:r w:rsidRPr="00681985">
        <w:rPr>
          <w:rFonts w:ascii="Arial" w:hAnsi="Arial" w:cs="Arial"/>
          <w:b/>
          <w:bCs/>
          <w:color w:val="4C94D8" w:themeColor="text2" w:themeTint="80"/>
        </w:rPr>
        <w:t>Debt to Equity Ratio</w:t>
      </w:r>
    </w:p>
    <w:p w14:paraId="4E88B4FF" w14:textId="77777777" w:rsidR="00600E25" w:rsidRDefault="00CD04B0" w:rsidP="00600E25">
      <w:pPr>
        <w:spacing w:line="480" w:lineRule="auto"/>
        <w:jc w:val="both"/>
        <w:rPr>
          <w:rFonts w:ascii="Arial" w:hAnsi="Arial" w:cs="Arial"/>
        </w:rPr>
      </w:pPr>
      <w:r w:rsidRPr="00600E25">
        <w:rPr>
          <w:rFonts w:ascii="Arial" w:hAnsi="Arial" w:cs="Arial"/>
        </w:rPr>
        <w:t>2022: 1.88</w:t>
      </w:r>
    </w:p>
    <w:p w14:paraId="76F133B3" w14:textId="77777777" w:rsidR="00600E25" w:rsidRDefault="00CD04B0" w:rsidP="00600E25">
      <w:pPr>
        <w:spacing w:line="480" w:lineRule="auto"/>
        <w:jc w:val="both"/>
        <w:rPr>
          <w:rFonts w:ascii="Arial" w:hAnsi="Arial" w:cs="Arial"/>
        </w:rPr>
      </w:pPr>
      <w:r w:rsidRPr="00600E25">
        <w:rPr>
          <w:rFonts w:ascii="Arial" w:hAnsi="Arial" w:cs="Arial"/>
        </w:rPr>
        <w:t>2023: 1.55</w:t>
      </w:r>
    </w:p>
    <w:p w14:paraId="3A3CA82C" w14:textId="77777777" w:rsidR="00600E25" w:rsidRDefault="00CD04B0" w:rsidP="00600E25">
      <w:pPr>
        <w:spacing w:line="480" w:lineRule="auto"/>
        <w:jc w:val="both"/>
        <w:rPr>
          <w:rFonts w:ascii="Arial" w:hAnsi="Arial" w:cs="Arial"/>
        </w:rPr>
      </w:pPr>
      <w:r w:rsidRPr="00600E25">
        <w:rPr>
          <w:rFonts w:ascii="Arial" w:hAnsi="Arial" w:cs="Arial"/>
        </w:rPr>
        <w:t>This factor demonstrates enhanced capital structure, thus decreasing reliance on external debt and subsequently lowering financial risk (Kapoor et al., 2015).</w:t>
      </w:r>
    </w:p>
    <w:p w14:paraId="2EE0D75C" w14:textId="02B2A6BD" w:rsidR="00600E25" w:rsidRPr="00681985" w:rsidRDefault="00CD04B0" w:rsidP="00600E25">
      <w:pPr>
        <w:pStyle w:val="ListParagraph"/>
        <w:numPr>
          <w:ilvl w:val="0"/>
          <w:numId w:val="1"/>
        </w:numPr>
        <w:spacing w:line="480" w:lineRule="auto"/>
        <w:jc w:val="both"/>
        <w:rPr>
          <w:rFonts w:ascii="Arial" w:hAnsi="Arial" w:cs="Arial"/>
          <w:b/>
          <w:bCs/>
          <w:color w:val="4C94D8" w:themeColor="text2" w:themeTint="80"/>
        </w:rPr>
      </w:pPr>
      <w:r w:rsidRPr="00681985">
        <w:rPr>
          <w:rFonts w:ascii="Arial" w:hAnsi="Arial" w:cs="Arial"/>
          <w:b/>
          <w:bCs/>
          <w:color w:val="4C94D8" w:themeColor="text2" w:themeTint="80"/>
        </w:rPr>
        <w:t>External Context and Business Segments</w:t>
      </w:r>
    </w:p>
    <w:p w14:paraId="3227340B" w14:textId="77777777" w:rsidR="00DB4FB4" w:rsidRDefault="00CD04B0" w:rsidP="00600E25">
      <w:pPr>
        <w:spacing w:line="480" w:lineRule="auto"/>
        <w:jc w:val="both"/>
        <w:rPr>
          <w:rFonts w:ascii="Arial" w:hAnsi="Arial" w:cs="Arial"/>
        </w:rPr>
      </w:pPr>
      <w:r w:rsidRPr="00600E25">
        <w:rPr>
          <w:rFonts w:ascii="Arial" w:hAnsi="Arial" w:cs="Arial"/>
        </w:rPr>
        <w:t>In 2022, the global context was characteri</w:t>
      </w:r>
      <w:r w:rsidR="00600E25">
        <w:rPr>
          <w:rFonts w:ascii="Arial" w:hAnsi="Arial" w:cs="Arial"/>
        </w:rPr>
        <w:t>s</w:t>
      </w:r>
      <w:r w:rsidRPr="00600E25">
        <w:rPr>
          <w:rFonts w:ascii="Arial" w:hAnsi="Arial" w:cs="Arial"/>
        </w:rPr>
        <w:t xml:space="preserve">ed by a range of post-pandemic supply and logistics issues, inflation, and increased geopolitical uncertainty. Rising costs in areas such as fuel, </w:t>
      </w:r>
      <w:r w:rsidR="00600E25" w:rsidRPr="00600E25">
        <w:rPr>
          <w:rFonts w:ascii="Arial" w:hAnsi="Arial" w:cs="Arial"/>
        </w:rPr>
        <w:t>labour</w:t>
      </w:r>
      <w:r w:rsidRPr="00600E25">
        <w:rPr>
          <w:rFonts w:ascii="Arial" w:hAnsi="Arial" w:cs="Arial"/>
        </w:rPr>
        <w:t xml:space="preserve">, and </w:t>
      </w:r>
      <w:r w:rsidR="00600E25">
        <w:rPr>
          <w:rFonts w:ascii="Arial" w:hAnsi="Arial" w:cs="Arial"/>
        </w:rPr>
        <w:t>shipping</w:t>
      </w:r>
      <w:r w:rsidRPr="00600E25">
        <w:rPr>
          <w:rFonts w:ascii="Arial" w:hAnsi="Arial" w:cs="Arial"/>
        </w:rPr>
        <w:t xml:space="preserve"> began to affect Amazon's logistics-heavy model of business. </w:t>
      </w:r>
      <w:r w:rsidR="00600E25" w:rsidRPr="00600E25">
        <w:rPr>
          <w:rFonts w:ascii="Arial" w:hAnsi="Arial" w:cs="Arial"/>
        </w:rPr>
        <w:t>Before</w:t>
      </w:r>
      <w:r w:rsidRPr="00600E25">
        <w:rPr>
          <w:rFonts w:ascii="Arial" w:hAnsi="Arial" w:cs="Arial"/>
        </w:rPr>
        <w:t xml:space="preserve"> the pandemic, the company had demonstrated a leadership position in operating and selling products from various sources but during 2020-2021, aggressively expanded its efforts resulting in an overcapacity of warehouses and technology infrastructure (Cruz Lopez, 2023).  </w:t>
      </w:r>
    </w:p>
    <w:p w14:paraId="33F8601B" w14:textId="77777777" w:rsidR="00DB4FB4" w:rsidRDefault="00CD04B0" w:rsidP="00600E25">
      <w:pPr>
        <w:spacing w:line="480" w:lineRule="auto"/>
        <w:jc w:val="both"/>
        <w:rPr>
          <w:rFonts w:ascii="Arial" w:hAnsi="Arial" w:cs="Arial"/>
        </w:rPr>
      </w:pPr>
      <w:r w:rsidRPr="00600E25">
        <w:rPr>
          <w:rFonts w:ascii="Arial" w:hAnsi="Arial" w:cs="Arial"/>
        </w:rPr>
        <w:lastRenderedPageBreak/>
        <w:t xml:space="preserve">In 2023 the company re-focused its efforts and initiated targeting measures to adjust to the current business context. The main measures included: </w:t>
      </w:r>
    </w:p>
    <w:p w14:paraId="360572B0" w14:textId="77777777" w:rsidR="00DB4FB4" w:rsidRPr="00DB4FB4" w:rsidRDefault="00CD04B0" w:rsidP="00DB4FB4">
      <w:pPr>
        <w:pStyle w:val="ListParagraph"/>
        <w:numPr>
          <w:ilvl w:val="0"/>
          <w:numId w:val="5"/>
        </w:numPr>
        <w:spacing w:line="480" w:lineRule="auto"/>
        <w:jc w:val="both"/>
        <w:rPr>
          <w:rFonts w:ascii="Arial" w:hAnsi="Arial" w:cs="Arial"/>
        </w:rPr>
      </w:pPr>
      <w:r w:rsidRPr="00DB4FB4">
        <w:rPr>
          <w:rFonts w:ascii="Arial" w:hAnsi="Arial" w:cs="Arial"/>
        </w:rPr>
        <w:t xml:space="preserve">Layoffs impacting more than 27,000 employees. </w:t>
      </w:r>
    </w:p>
    <w:p w14:paraId="47B2C214" w14:textId="77777777" w:rsidR="00DB4FB4" w:rsidRPr="00DB4FB4" w:rsidRDefault="00CD04B0" w:rsidP="00DB4FB4">
      <w:pPr>
        <w:pStyle w:val="ListParagraph"/>
        <w:numPr>
          <w:ilvl w:val="0"/>
          <w:numId w:val="5"/>
        </w:numPr>
        <w:spacing w:line="480" w:lineRule="auto"/>
        <w:jc w:val="both"/>
        <w:rPr>
          <w:rFonts w:ascii="Arial" w:hAnsi="Arial" w:cs="Arial"/>
        </w:rPr>
      </w:pPr>
      <w:r w:rsidRPr="00DB4FB4">
        <w:rPr>
          <w:rFonts w:ascii="Arial" w:hAnsi="Arial" w:cs="Arial"/>
        </w:rPr>
        <w:t xml:space="preserve">Reduction in capital expenditures. </w:t>
      </w:r>
    </w:p>
    <w:p w14:paraId="4C04AB56" w14:textId="77777777" w:rsidR="00DB4FB4" w:rsidRPr="00DB4FB4" w:rsidRDefault="00CD04B0" w:rsidP="00DB4FB4">
      <w:pPr>
        <w:pStyle w:val="ListParagraph"/>
        <w:numPr>
          <w:ilvl w:val="0"/>
          <w:numId w:val="5"/>
        </w:numPr>
        <w:spacing w:line="480" w:lineRule="auto"/>
        <w:jc w:val="both"/>
        <w:rPr>
          <w:rFonts w:ascii="Arial" w:hAnsi="Arial" w:cs="Arial"/>
        </w:rPr>
      </w:pPr>
      <w:r w:rsidRPr="00DB4FB4">
        <w:rPr>
          <w:rFonts w:ascii="Arial" w:hAnsi="Arial" w:cs="Arial"/>
        </w:rPr>
        <w:t xml:space="preserve">Slower expansion of warehouses. </w:t>
      </w:r>
    </w:p>
    <w:p w14:paraId="7A8C5861" w14:textId="77777777" w:rsidR="00DB4FB4" w:rsidRPr="00DB4FB4" w:rsidRDefault="00CD04B0" w:rsidP="00DB4FB4">
      <w:pPr>
        <w:pStyle w:val="ListParagraph"/>
        <w:numPr>
          <w:ilvl w:val="0"/>
          <w:numId w:val="5"/>
        </w:numPr>
        <w:spacing w:line="480" w:lineRule="auto"/>
        <w:jc w:val="both"/>
        <w:rPr>
          <w:rFonts w:ascii="Arial" w:hAnsi="Arial" w:cs="Arial"/>
        </w:rPr>
      </w:pPr>
      <w:r w:rsidRPr="00DB4FB4">
        <w:rPr>
          <w:rFonts w:ascii="Arial" w:hAnsi="Arial" w:cs="Arial"/>
        </w:rPr>
        <w:t xml:space="preserve">Re-focusing on AWS, advertising and subscription services through Prime. </w:t>
      </w:r>
    </w:p>
    <w:p w14:paraId="04BADF1D" w14:textId="06293A5A" w:rsidR="00DB4FB4" w:rsidRPr="00DB4FB4" w:rsidRDefault="00CD04B0" w:rsidP="00DB4FB4">
      <w:pPr>
        <w:pStyle w:val="ListParagraph"/>
        <w:numPr>
          <w:ilvl w:val="0"/>
          <w:numId w:val="5"/>
        </w:numPr>
        <w:spacing w:line="480" w:lineRule="auto"/>
        <w:jc w:val="both"/>
        <w:rPr>
          <w:rFonts w:ascii="Arial" w:hAnsi="Arial" w:cs="Arial"/>
        </w:rPr>
      </w:pPr>
      <w:r w:rsidRPr="00DB4FB4">
        <w:rPr>
          <w:rFonts w:ascii="Arial" w:hAnsi="Arial" w:cs="Arial"/>
        </w:rPr>
        <w:t xml:space="preserve">AWS drove $90.8B of revenue </w:t>
      </w:r>
      <w:r w:rsidR="00DB4FB4" w:rsidRPr="00DB4FB4">
        <w:rPr>
          <w:rFonts w:ascii="Arial" w:hAnsi="Arial" w:cs="Arial"/>
        </w:rPr>
        <w:t>and</w:t>
      </w:r>
      <w:r w:rsidRPr="00DB4FB4">
        <w:rPr>
          <w:rFonts w:ascii="Arial" w:hAnsi="Arial" w:cs="Arial"/>
        </w:rPr>
        <w:t xml:space="preserve"> maintains high margins. </w:t>
      </w:r>
    </w:p>
    <w:p w14:paraId="1155C95C" w14:textId="77777777" w:rsidR="00DB4FB4" w:rsidRPr="00DB4FB4" w:rsidRDefault="00CD04B0" w:rsidP="00DB4FB4">
      <w:pPr>
        <w:pStyle w:val="ListParagraph"/>
        <w:numPr>
          <w:ilvl w:val="0"/>
          <w:numId w:val="5"/>
        </w:numPr>
        <w:spacing w:line="480" w:lineRule="auto"/>
        <w:jc w:val="both"/>
        <w:rPr>
          <w:rFonts w:ascii="Arial" w:hAnsi="Arial" w:cs="Arial"/>
        </w:rPr>
      </w:pPr>
      <w:r w:rsidRPr="00DB4FB4">
        <w:rPr>
          <w:rFonts w:ascii="Arial" w:hAnsi="Arial" w:cs="Arial"/>
        </w:rPr>
        <w:t>Digital advertising, which is the fastest growing area for Amazon, utili</w:t>
      </w:r>
      <w:r w:rsidR="00DB4FB4" w:rsidRPr="00DB4FB4">
        <w:rPr>
          <w:rFonts w:ascii="Arial" w:hAnsi="Arial" w:cs="Arial"/>
        </w:rPr>
        <w:t>s</w:t>
      </w:r>
      <w:r w:rsidRPr="00DB4FB4">
        <w:rPr>
          <w:rFonts w:ascii="Arial" w:hAnsi="Arial" w:cs="Arial"/>
        </w:rPr>
        <w:t xml:space="preserve">ed its vast pool of consumer data to generate nearly $46B of revenue in 2023 (Charles &amp; </w:t>
      </w:r>
      <w:proofErr w:type="spellStart"/>
      <w:r w:rsidRPr="00DB4FB4">
        <w:rPr>
          <w:rFonts w:ascii="Arial" w:hAnsi="Arial" w:cs="Arial"/>
        </w:rPr>
        <w:t>Uford</w:t>
      </w:r>
      <w:proofErr w:type="spellEnd"/>
      <w:r w:rsidRPr="00DB4FB4">
        <w:rPr>
          <w:rFonts w:ascii="Arial" w:hAnsi="Arial" w:cs="Arial"/>
        </w:rPr>
        <w:t>, 2023).</w:t>
      </w:r>
    </w:p>
    <w:p w14:paraId="3110E7AC" w14:textId="70948B52" w:rsidR="00DB4FB4" w:rsidRPr="000433E0" w:rsidRDefault="00CD04B0" w:rsidP="00DB4FB4">
      <w:pPr>
        <w:pStyle w:val="ListParagraph"/>
        <w:numPr>
          <w:ilvl w:val="0"/>
          <w:numId w:val="1"/>
        </w:numPr>
        <w:spacing w:line="480" w:lineRule="auto"/>
        <w:jc w:val="both"/>
        <w:rPr>
          <w:rFonts w:ascii="Arial" w:hAnsi="Arial" w:cs="Arial"/>
          <w:b/>
          <w:bCs/>
          <w:color w:val="4C94D8" w:themeColor="text2" w:themeTint="80"/>
        </w:rPr>
      </w:pPr>
      <w:r w:rsidRPr="000433E0">
        <w:rPr>
          <w:rFonts w:ascii="Arial" w:hAnsi="Arial" w:cs="Arial"/>
          <w:b/>
          <w:bCs/>
          <w:color w:val="4C94D8" w:themeColor="text2" w:themeTint="80"/>
        </w:rPr>
        <w:t>Strategic Recommendations</w:t>
      </w:r>
    </w:p>
    <w:p w14:paraId="3A92F278" w14:textId="0E1BD7FA" w:rsidR="00DB4FB4" w:rsidRDefault="00DB4FB4" w:rsidP="00DB4FB4">
      <w:pPr>
        <w:spacing w:line="480" w:lineRule="auto"/>
        <w:jc w:val="both"/>
        <w:rPr>
          <w:rFonts w:ascii="Arial" w:hAnsi="Arial" w:cs="Arial"/>
        </w:rPr>
      </w:pPr>
      <w:r w:rsidRPr="00DB4FB4">
        <w:rPr>
          <w:rFonts w:ascii="Arial" w:hAnsi="Arial" w:cs="Arial"/>
        </w:rPr>
        <w:t>Considering</w:t>
      </w:r>
      <w:r w:rsidR="00CD04B0" w:rsidRPr="00DB4FB4">
        <w:rPr>
          <w:rFonts w:ascii="Arial" w:hAnsi="Arial" w:cs="Arial"/>
        </w:rPr>
        <w:t xml:space="preserve"> Amazon's financial performance and changing global economic environment, the following strategic initiatives are recommended to ensure the company sustains its momentum and long-term growth. The recommendations are based on improving profitability, operational efficiency, and competition in the marketplace regarding different competitive pressures. </w:t>
      </w:r>
    </w:p>
    <w:p w14:paraId="7B54CD0F" w14:textId="7F4BBA39" w:rsidR="00DB4FB4" w:rsidRPr="000433E0" w:rsidRDefault="00CD04B0" w:rsidP="00DB4FB4">
      <w:pPr>
        <w:pStyle w:val="ListParagraph"/>
        <w:numPr>
          <w:ilvl w:val="1"/>
          <w:numId w:val="1"/>
        </w:numPr>
        <w:spacing w:line="480" w:lineRule="auto"/>
        <w:jc w:val="both"/>
        <w:rPr>
          <w:rFonts w:ascii="Arial" w:hAnsi="Arial" w:cs="Arial"/>
          <w:b/>
          <w:bCs/>
          <w:color w:val="4C94D8" w:themeColor="text2" w:themeTint="80"/>
        </w:rPr>
      </w:pPr>
      <w:r w:rsidRPr="000433E0">
        <w:rPr>
          <w:rFonts w:ascii="Arial" w:hAnsi="Arial" w:cs="Arial"/>
          <w:b/>
          <w:bCs/>
          <w:color w:val="4C94D8" w:themeColor="text2" w:themeTint="80"/>
        </w:rPr>
        <w:t>Invest in AWS and AI Capabilities</w:t>
      </w:r>
    </w:p>
    <w:p w14:paraId="146CAD52" w14:textId="77777777" w:rsidR="00A4608E" w:rsidRDefault="00CD04B0" w:rsidP="00DB4FB4">
      <w:pPr>
        <w:spacing w:line="480" w:lineRule="auto"/>
        <w:jc w:val="both"/>
        <w:rPr>
          <w:rFonts w:ascii="Arial" w:hAnsi="Arial" w:cs="Arial"/>
        </w:rPr>
      </w:pPr>
      <w:r w:rsidRPr="00DB4FB4">
        <w:rPr>
          <w:rFonts w:ascii="Arial" w:hAnsi="Arial" w:cs="Arial"/>
        </w:rPr>
        <w:t xml:space="preserve">Amazon Web Services (AWS) continues to be the business segment that provides the most scale and profitability for Amazon. As digital transformation continues to pick up speed globally, the amount of cloud computing, data analytics, and AI services appears to remain an upward trajectory. Allocating resources towards AWS's infrastructure towards </w:t>
      </w:r>
      <w:r w:rsidR="00DB4FB4" w:rsidRPr="00DB4FB4">
        <w:rPr>
          <w:rFonts w:ascii="Arial" w:hAnsi="Arial" w:cs="Arial"/>
        </w:rPr>
        <w:t>a</w:t>
      </w:r>
      <w:r w:rsidRPr="00DB4FB4">
        <w:rPr>
          <w:rFonts w:ascii="Arial" w:hAnsi="Arial" w:cs="Arial"/>
        </w:rPr>
        <w:t xml:space="preserve"> portfolio of offerings that focus on generative AI, machine learning, or cloud-based cybersecurity will ultimately create safeguards against losing </w:t>
      </w:r>
      <w:proofErr w:type="spellStart"/>
      <w:r w:rsidRPr="00DB4FB4">
        <w:rPr>
          <w:rFonts w:ascii="Arial" w:hAnsi="Arial" w:cs="Arial"/>
        </w:rPr>
        <w:t>Aspire's</w:t>
      </w:r>
      <w:proofErr w:type="spellEnd"/>
      <w:r w:rsidRPr="00DB4FB4">
        <w:rPr>
          <w:rFonts w:ascii="Arial" w:hAnsi="Arial" w:cs="Arial"/>
        </w:rPr>
        <w:t xml:space="preserve"> position at the top of the enterprise technology stack (Greiner, 1967). As AI </w:t>
      </w:r>
      <w:r w:rsidRPr="00DB4FB4">
        <w:rPr>
          <w:rFonts w:ascii="Arial" w:hAnsi="Arial" w:cs="Arial"/>
        </w:rPr>
        <w:lastRenderedPageBreak/>
        <w:t>continues to disrupt different industries, the AWS portfolio will be able to include advanced models and solutions that will unlock new capabilities across a wider range of clients and new efficiency in the company's own supply chain.</w:t>
      </w:r>
    </w:p>
    <w:p w14:paraId="02CB349A" w14:textId="48ADACBB" w:rsidR="00A4608E" w:rsidRPr="000433E0" w:rsidRDefault="00CD04B0" w:rsidP="00A4608E">
      <w:pPr>
        <w:pStyle w:val="ListParagraph"/>
        <w:numPr>
          <w:ilvl w:val="1"/>
          <w:numId w:val="1"/>
        </w:numPr>
        <w:spacing w:line="480" w:lineRule="auto"/>
        <w:jc w:val="both"/>
        <w:rPr>
          <w:rFonts w:ascii="Arial" w:hAnsi="Arial" w:cs="Arial"/>
          <w:b/>
          <w:bCs/>
          <w:color w:val="4C94D8" w:themeColor="text2" w:themeTint="80"/>
        </w:rPr>
      </w:pPr>
      <w:r w:rsidRPr="000433E0">
        <w:rPr>
          <w:rFonts w:ascii="Arial" w:hAnsi="Arial" w:cs="Arial"/>
          <w:b/>
          <w:bCs/>
          <w:color w:val="4C94D8" w:themeColor="text2" w:themeTint="80"/>
        </w:rPr>
        <w:t>Improve Working Capital Efficiency</w:t>
      </w:r>
    </w:p>
    <w:p w14:paraId="4063B3BB" w14:textId="77777777" w:rsidR="00A4608E" w:rsidRDefault="00CD04B0" w:rsidP="00A4608E">
      <w:pPr>
        <w:spacing w:line="480" w:lineRule="auto"/>
        <w:jc w:val="both"/>
        <w:rPr>
          <w:rFonts w:ascii="Arial" w:hAnsi="Arial" w:cs="Arial"/>
        </w:rPr>
      </w:pPr>
      <w:r w:rsidRPr="00A4608E">
        <w:rPr>
          <w:rFonts w:ascii="Arial" w:hAnsi="Arial" w:cs="Arial"/>
        </w:rPr>
        <w:t>While Amazon has demonstrated impressive capital growth in sales and very effective management of its asset base, the conservative current ratio above 1.0, which reflects its liquidity position, leaves the company relatively exposed to financial risks should anything unexpectedly disrupt the organi</w:t>
      </w:r>
      <w:r w:rsidR="00A4608E">
        <w:rPr>
          <w:rFonts w:ascii="Arial" w:hAnsi="Arial" w:cs="Arial"/>
        </w:rPr>
        <w:t>s</w:t>
      </w:r>
      <w:r w:rsidRPr="00A4608E">
        <w:rPr>
          <w:rFonts w:ascii="Arial" w:hAnsi="Arial" w:cs="Arial"/>
        </w:rPr>
        <w:t xml:space="preserve">ation in the short-term. The company should adopt measures to expedite accounts receivable and make more productive use of its inventory level, including negotiating better credit terms with vendors. </w:t>
      </w:r>
      <w:r w:rsidR="00A4608E" w:rsidRPr="00A4608E">
        <w:rPr>
          <w:rFonts w:ascii="Arial" w:hAnsi="Arial" w:cs="Arial"/>
        </w:rPr>
        <w:t>All</w:t>
      </w:r>
      <w:r w:rsidRPr="00A4608E">
        <w:rPr>
          <w:rFonts w:ascii="Arial" w:hAnsi="Arial" w:cs="Arial"/>
        </w:rPr>
        <w:t xml:space="preserve"> those practices will add to the organi</w:t>
      </w:r>
      <w:r w:rsidR="00A4608E">
        <w:rPr>
          <w:rFonts w:ascii="Arial" w:hAnsi="Arial" w:cs="Arial"/>
        </w:rPr>
        <w:t>s</w:t>
      </w:r>
      <w:r w:rsidRPr="00A4608E">
        <w:rPr>
          <w:rFonts w:ascii="Arial" w:hAnsi="Arial" w:cs="Arial"/>
        </w:rPr>
        <w:t>ation’s financial cushion and improve operational flexibility for the company overall (Garman &amp; Forgue, 2003).</w:t>
      </w:r>
    </w:p>
    <w:p w14:paraId="42CAF1BD" w14:textId="7EA8A677" w:rsidR="00A4608E" w:rsidRPr="000433E0" w:rsidRDefault="00CD04B0" w:rsidP="00A4608E">
      <w:pPr>
        <w:pStyle w:val="ListParagraph"/>
        <w:numPr>
          <w:ilvl w:val="1"/>
          <w:numId w:val="1"/>
        </w:numPr>
        <w:spacing w:line="480" w:lineRule="auto"/>
        <w:jc w:val="both"/>
        <w:rPr>
          <w:rFonts w:ascii="Arial" w:hAnsi="Arial" w:cs="Arial"/>
          <w:b/>
          <w:bCs/>
          <w:color w:val="4C94D8" w:themeColor="text2" w:themeTint="80"/>
        </w:rPr>
      </w:pPr>
      <w:r w:rsidRPr="000433E0">
        <w:rPr>
          <w:rFonts w:ascii="Arial" w:hAnsi="Arial" w:cs="Arial"/>
          <w:b/>
          <w:bCs/>
          <w:color w:val="4C94D8" w:themeColor="text2" w:themeTint="80"/>
        </w:rPr>
        <w:t>Strengthen ESG Initiatives</w:t>
      </w:r>
    </w:p>
    <w:p w14:paraId="44A7C6BA" w14:textId="010192F2" w:rsidR="00E25A50" w:rsidRDefault="00CD04B0" w:rsidP="00A4608E">
      <w:pPr>
        <w:spacing w:line="480" w:lineRule="auto"/>
        <w:jc w:val="both"/>
        <w:rPr>
          <w:rFonts w:ascii="Arial" w:hAnsi="Arial" w:cs="Arial"/>
        </w:rPr>
      </w:pPr>
      <w:r w:rsidRPr="00A4608E">
        <w:rPr>
          <w:rFonts w:ascii="Arial" w:hAnsi="Arial" w:cs="Arial"/>
        </w:rPr>
        <w:t>Environmental, social and governance (ESG) practices are also becoming more instrumental in stakeholder’s decision-making. While Amazon is making s</w:t>
      </w:r>
      <w:r w:rsidR="00E25A50">
        <w:rPr>
          <w:rFonts w:ascii="Arial" w:hAnsi="Arial" w:cs="Arial"/>
        </w:rPr>
        <w:t>hifts</w:t>
      </w:r>
      <w:r w:rsidRPr="00A4608E">
        <w:rPr>
          <w:rFonts w:ascii="Arial" w:hAnsi="Arial" w:cs="Arial"/>
        </w:rPr>
        <w:t xml:space="preserve"> with its Climate Pledge and carbon neutral agenda, there is so much more to be done. Many steps can help develop the ESG reputation for Amazon, such as expanding its e-fleet, investing into renewable energy, investing in sustainable packaging and reporting practices. Effective ESG adoption practices will not only assist the organi</w:t>
      </w:r>
      <w:r w:rsidR="00E25A50">
        <w:rPr>
          <w:rFonts w:ascii="Arial" w:hAnsi="Arial" w:cs="Arial"/>
        </w:rPr>
        <w:t>s</w:t>
      </w:r>
      <w:r w:rsidRPr="00A4608E">
        <w:rPr>
          <w:rFonts w:ascii="Arial" w:hAnsi="Arial" w:cs="Arial"/>
        </w:rPr>
        <w:t xml:space="preserve">ation with internal sustainability </w:t>
      </w:r>
      <w:r w:rsidR="00E25A50" w:rsidRPr="00A4608E">
        <w:rPr>
          <w:rFonts w:ascii="Arial" w:hAnsi="Arial" w:cs="Arial"/>
        </w:rPr>
        <w:t>targets but</w:t>
      </w:r>
      <w:r w:rsidRPr="00A4608E">
        <w:rPr>
          <w:rFonts w:ascii="Arial" w:hAnsi="Arial" w:cs="Arial"/>
        </w:rPr>
        <w:t xml:space="preserve"> may also attract a certain style of investor and provide long-lasting reputation opportunities with consumers in mind (Walls et al., 2012).</w:t>
      </w:r>
    </w:p>
    <w:p w14:paraId="21ABE045" w14:textId="77777777" w:rsidR="00E25A50" w:rsidRDefault="00E25A50" w:rsidP="00A4608E">
      <w:pPr>
        <w:spacing w:line="480" w:lineRule="auto"/>
        <w:jc w:val="both"/>
        <w:rPr>
          <w:rFonts w:ascii="Arial" w:hAnsi="Arial" w:cs="Arial"/>
        </w:rPr>
      </w:pPr>
    </w:p>
    <w:p w14:paraId="68CE3978" w14:textId="77777777" w:rsidR="000433E0" w:rsidRDefault="000433E0" w:rsidP="00A4608E">
      <w:pPr>
        <w:spacing w:line="480" w:lineRule="auto"/>
        <w:jc w:val="both"/>
        <w:rPr>
          <w:rFonts w:ascii="Arial" w:hAnsi="Arial" w:cs="Arial"/>
        </w:rPr>
      </w:pPr>
    </w:p>
    <w:p w14:paraId="1FC93FB2" w14:textId="069D5563" w:rsidR="00E25A50" w:rsidRPr="000433E0" w:rsidRDefault="00CD04B0" w:rsidP="00E25A50">
      <w:pPr>
        <w:pStyle w:val="ListParagraph"/>
        <w:numPr>
          <w:ilvl w:val="1"/>
          <w:numId w:val="1"/>
        </w:numPr>
        <w:spacing w:line="480" w:lineRule="auto"/>
        <w:jc w:val="both"/>
        <w:rPr>
          <w:rFonts w:ascii="Arial" w:hAnsi="Arial" w:cs="Arial"/>
          <w:b/>
          <w:bCs/>
          <w:color w:val="4C94D8" w:themeColor="text2" w:themeTint="80"/>
        </w:rPr>
      </w:pPr>
      <w:r w:rsidRPr="000433E0">
        <w:rPr>
          <w:rFonts w:ascii="Arial" w:hAnsi="Arial" w:cs="Arial"/>
          <w:b/>
          <w:bCs/>
          <w:color w:val="4C94D8" w:themeColor="text2" w:themeTint="80"/>
        </w:rPr>
        <w:lastRenderedPageBreak/>
        <w:t>Grow into Emerging Markets</w:t>
      </w:r>
    </w:p>
    <w:p w14:paraId="5393F98E" w14:textId="77777777" w:rsidR="00E25A50" w:rsidRDefault="00CD04B0" w:rsidP="00E25A50">
      <w:pPr>
        <w:spacing w:line="480" w:lineRule="auto"/>
        <w:jc w:val="both"/>
        <w:rPr>
          <w:rFonts w:ascii="Arial" w:hAnsi="Arial" w:cs="Arial"/>
        </w:rPr>
      </w:pPr>
      <w:r w:rsidRPr="00E25A50">
        <w:rPr>
          <w:rFonts w:ascii="Arial" w:hAnsi="Arial" w:cs="Arial"/>
        </w:rPr>
        <w:t>Africa, Southeast Asia, and Latin America, among others, present considerable growth opportunities with increasing internet penetration, younger populations, and emerging middle classes. Amazon can use its large logistics network and AWS capabilities to anchor its presence in these markets. Adapting its products and services to local cultures and economies will be an important part of their success (Edison et al., 2002).</w:t>
      </w:r>
    </w:p>
    <w:p w14:paraId="2B8F4F3B" w14:textId="33DF47F3" w:rsidR="00E25A50" w:rsidRPr="000433E0" w:rsidRDefault="00CD04B0" w:rsidP="00E25A50">
      <w:pPr>
        <w:pStyle w:val="ListParagraph"/>
        <w:numPr>
          <w:ilvl w:val="1"/>
          <w:numId w:val="1"/>
        </w:numPr>
        <w:spacing w:line="480" w:lineRule="auto"/>
        <w:jc w:val="both"/>
        <w:rPr>
          <w:rFonts w:ascii="Arial" w:hAnsi="Arial" w:cs="Arial"/>
          <w:b/>
          <w:bCs/>
          <w:color w:val="4C94D8" w:themeColor="text2" w:themeTint="80"/>
        </w:rPr>
      </w:pPr>
      <w:r w:rsidRPr="000433E0">
        <w:rPr>
          <w:rFonts w:ascii="Arial" w:hAnsi="Arial" w:cs="Arial"/>
          <w:b/>
          <w:bCs/>
          <w:color w:val="4C94D8" w:themeColor="text2" w:themeTint="80"/>
        </w:rPr>
        <w:t>Mitigate Reliance on Long-Term Debt</w:t>
      </w:r>
    </w:p>
    <w:p w14:paraId="516CB8B6" w14:textId="77777777" w:rsidR="00E25A50" w:rsidRDefault="00CD04B0" w:rsidP="00E25A50">
      <w:pPr>
        <w:spacing w:line="480" w:lineRule="auto"/>
        <w:jc w:val="both"/>
        <w:rPr>
          <w:rFonts w:ascii="Arial" w:hAnsi="Arial" w:cs="Arial"/>
        </w:rPr>
      </w:pPr>
      <w:r w:rsidRPr="00E25A50">
        <w:rPr>
          <w:rFonts w:ascii="Arial" w:hAnsi="Arial" w:cs="Arial"/>
        </w:rPr>
        <w:t>While Amazon made improvements to its debt-to-equity ratio in 2023, Amazon should reduce reliance on long-term debt. Steps such as refinancing current obligations on debt, using internal cash flow to fund capital expenditures, and increasing retained earnings will support a more stable financial condition. Having less debt in the capital structure will allow more resilience in the business in times of economic uncertainty (Gupta &amp; Huefner, 1972).</w:t>
      </w:r>
    </w:p>
    <w:p w14:paraId="68623A5D" w14:textId="77777777" w:rsidR="00E25A50" w:rsidRDefault="00E25A50" w:rsidP="00E25A50">
      <w:pPr>
        <w:spacing w:line="480" w:lineRule="auto"/>
        <w:jc w:val="both"/>
        <w:rPr>
          <w:rFonts w:ascii="Arial" w:hAnsi="Arial" w:cs="Arial"/>
        </w:rPr>
      </w:pPr>
    </w:p>
    <w:p w14:paraId="2F1D09FC" w14:textId="77777777" w:rsidR="00E25A50" w:rsidRDefault="00E25A50" w:rsidP="00E25A50">
      <w:pPr>
        <w:spacing w:line="480" w:lineRule="auto"/>
        <w:jc w:val="both"/>
        <w:rPr>
          <w:rFonts w:ascii="Arial" w:hAnsi="Arial" w:cs="Arial"/>
        </w:rPr>
      </w:pPr>
    </w:p>
    <w:p w14:paraId="24604016" w14:textId="77777777" w:rsidR="00E25A50" w:rsidRDefault="00E25A50" w:rsidP="00E25A50">
      <w:pPr>
        <w:spacing w:line="480" w:lineRule="auto"/>
        <w:jc w:val="both"/>
        <w:rPr>
          <w:rFonts w:ascii="Arial" w:hAnsi="Arial" w:cs="Arial"/>
        </w:rPr>
      </w:pPr>
    </w:p>
    <w:p w14:paraId="329FC1F8" w14:textId="77777777" w:rsidR="00E25A50" w:rsidRDefault="00E25A50" w:rsidP="00E25A50">
      <w:pPr>
        <w:spacing w:line="480" w:lineRule="auto"/>
        <w:jc w:val="both"/>
        <w:rPr>
          <w:rFonts w:ascii="Arial" w:hAnsi="Arial" w:cs="Arial"/>
        </w:rPr>
      </w:pPr>
    </w:p>
    <w:p w14:paraId="1607618A" w14:textId="77777777" w:rsidR="00E25A50" w:rsidRDefault="00E25A50" w:rsidP="00E25A50">
      <w:pPr>
        <w:spacing w:line="480" w:lineRule="auto"/>
        <w:jc w:val="both"/>
        <w:rPr>
          <w:rFonts w:ascii="Arial" w:hAnsi="Arial" w:cs="Arial"/>
        </w:rPr>
      </w:pPr>
    </w:p>
    <w:p w14:paraId="06BF679C" w14:textId="77777777" w:rsidR="00E25A50" w:rsidRDefault="00E25A50" w:rsidP="00E25A50">
      <w:pPr>
        <w:spacing w:line="480" w:lineRule="auto"/>
        <w:jc w:val="both"/>
        <w:rPr>
          <w:rFonts w:ascii="Arial" w:hAnsi="Arial" w:cs="Arial"/>
        </w:rPr>
      </w:pPr>
    </w:p>
    <w:p w14:paraId="448A3CB8" w14:textId="77777777" w:rsidR="00E25A50" w:rsidRDefault="00E25A50" w:rsidP="00E25A50">
      <w:pPr>
        <w:spacing w:line="480" w:lineRule="auto"/>
        <w:jc w:val="both"/>
        <w:rPr>
          <w:rFonts w:ascii="Arial" w:hAnsi="Arial" w:cs="Arial"/>
        </w:rPr>
      </w:pPr>
    </w:p>
    <w:p w14:paraId="0DA9AC91" w14:textId="77777777" w:rsidR="00E25A50" w:rsidRDefault="00E25A50" w:rsidP="00E25A50">
      <w:pPr>
        <w:spacing w:line="480" w:lineRule="auto"/>
        <w:jc w:val="both"/>
        <w:rPr>
          <w:rFonts w:ascii="Arial" w:hAnsi="Arial" w:cs="Arial"/>
        </w:rPr>
      </w:pPr>
    </w:p>
    <w:p w14:paraId="28DE9C3A" w14:textId="77777777" w:rsidR="00E25A50" w:rsidRDefault="00E25A50" w:rsidP="00E25A50">
      <w:pPr>
        <w:spacing w:line="480" w:lineRule="auto"/>
        <w:jc w:val="both"/>
        <w:rPr>
          <w:rFonts w:ascii="Arial" w:hAnsi="Arial" w:cs="Arial"/>
        </w:rPr>
      </w:pPr>
    </w:p>
    <w:p w14:paraId="648CF24E" w14:textId="0E3881F7" w:rsidR="00E25A50" w:rsidRPr="000433E0" w:rsidRDefault="00CD04B0" w:rsidP="00E25A50">
      <w:pPr>
        <w:spacing w:line="480" w:lineRule="auto"/>
        <w:jc w:val="both"/>
        <w:rPr>
          <w:rFonts w:ascii="Arial" w:hAnsi="Arial" w:cs="Arial"/>
          <w:b/>
          <w:bCs/>
          <w:color w:val="4C94D8" w:themeColor="text2" w:themeTint="80"/>
        </w:rPr>
      </w:pPr>
      <w:r w:rsidRPr="000433E0">
        <w:rPr>
          <w:rFonts w:ascii="Arial" w:hAnsi="Arial" w:cs="Arial"/>
          <w:b/>
          <w:bCs/>
          <w:color w:val="4C94D8" w:themeColor="text2" w:themeTint="80"/>
        </w:rPr>
        <w:lastRenderedPageBreak/>
        <w:t>Conclusion</w:t>
      </w:r>
    </w:p>
    <w:p w14:paraId="048871DD" w14:textId="77777777" w:rsidR="00517B56" w:rsidRDefault="00CD04B0" w:rsidP="00E25A50">
      <w:pPr>
        <w:spacing w:line="480" w:lineRule="auto"/>
        <w:jc w:val="both"/>
        <w:rPr>
          <w:rFonts w:ascii="Arial" w:hAnsi="Arial" w:cs="Arial"/>
        </w:rPr>
      </w:pPr>
      <w:r w:rsidRPr="00E25A50">
        <w:rPr>
          <w:rFonts w:ascii="Arial" w:hAnsi="Arial" w:cs="Arial"/>
        </w:rPr>
        <w:t xml:space="preserve">Amazon’s performance from a financial perspective in 2022 to 2023 is an excellent example of corporate </w:t>
      </w:r>
      <w:r w:rsidR="00517B56">
        <w:rPr>
          <w:rFonts w:ascii="Arial" w:hAnsi="Arial" w:cs="Arial"/>
        </w:rPr>
        <w:t>perseverance</w:t>
      </w:r>
      <w:r w:rsidRPr="00E25A50">
        <w:rPr>
          <w:rFonts w:ascii="Arial" w:hAnsi="Arial" w:cs="Arial"/>
        </w:rPr>
        <w:t xml:space="preserve">, ESG, and financial repositioning due to changing economic conditions. The business experienced a significant financial slump in 2022, including its first year of net loss since 2014. While many factors contributed to the decline, we would note inflation, write-downs of prior investments, </w:t>
      </w:r>
      <w:r w:rsidR="00517B56" w:rsidRPr="00E25A50">
        <w:rPr>
          <w:rFonts w:ascii="Arial" w:hAnsi="Arial" w:cs="Arial"/>
        </w:rPr>
        <w:t>labour</w:t>
      </w:r>
      <w:r w:rsidRPr="00E25A50">
        <w:rPr>
          <w:rFonts w:ascii="Arial" w:hAnsi="Arial" w:cs="Arial"/>
        </w:rPr>
        <w:t>-time inefficiencies, and overexpansion post-COVID-19 pandemic. Increased operational costs and global supply chain disruptions affected profitability, increasing strain on certain financial ratios (especially return on assets and return on equity</w:t>
      </w:r>
      <w:r w:rsidR="00517B56" w:rsidRPr="00E25A50">
        <w:rPr>
          <w:rFonts w:ascii="Arial" w:hAnsi="Arial" w:cs="Arial"/>
        </w:rPr>
        <w:t xml:space="preserve">). </w:t>
      </w:r>
    </w:p>
    <w:p w14:paraId="21A7C556" w14:textId="77777777" w:rsidR="00517B56" w:rsidRDefault="00517B56" w:rsidP="00E25A50">
      <w:pPr>
        <w:spacing w:line="480" w:lineRule="auto"/>
        <w:jc w:val="both"/>
        <w:rPr>
          <w:rFonts w:ascii="Arial" w:hAnsi="Arial" w:cs="Arial"/>
        </w:rPr>
      </w:pPr>
      <w:r w:rsidRPr="00E25A50">
        <w:rPr>
          <w:rFonts w:ascii="Arial" w:hAnsi="Arial" w:cs="Arial"/>
        </w:rPr>
        <w:t>In</w:t>
      </w:r>
      <w:r w:rsidR="00CD04B0" w:rsidRPr="00E25A50">
        <w:rPr>
          <w:rFonts w:ascii="Arial" w:hAnsi="Arial" w:cs="Arial"/>
        </w:rPr>
        <w:t xml:space="preserve"> 2023, performance ensured Amazon was able to decisively show financial improvement. By streamlining operations, letting go of unnecessary workforce, optimi</w:t>
      </w:r>
      <w:r>
        <w:rPr>
          <w:rFonts w:ascii="Arial" w:hAnsi="Arial" w:cs="Arial"/>
        </w:rPr>
        <w:t>s</w:t>
      </w:r>
      <w:r w:rsidR="00CD04B0" w:rsidRPr="00E25A50">
        <w:rPr>
          <w:rFonts w:ascii="Arial" w:hAnsi="Arial" w:cs="Arial"/>
        </w:rPr>
        <w:t xml:space="preserve">ing warehouse space, and decreasing capital expenditures, Amazon was able to renew focus on its most profitable parts of the business, AWS and advertising. Performance demonstrated a bounce-back in its financial performance, efficiency, and financial stability ratios, including net profit margin, ROE, and gross profit </w:t>
      </w:r>
      <w:r w:rsidRPr="00E25A50">
        <w:rPr>
          <w:rFonts w:ascii="Arial" w:hAnsi="Arial" w:cs="Arial"/>
        </w:rPr>
        <w:t>margin. Ratio</w:t>
      </w:r>
      <w:r w:rsidR="00CD04B0" w:rsidRPr="00E25A50">
        <w:rPr>
          <w:rFonts w:ascii="Arial" w:hAnsi="Arial" w:cs="Arial"/>
        </w:rPr>
        <w:t xml:space="preserve"> analysis was also important in </w:t>
      </w:r>
      <w:r w:rsidRPr="00E25A50">
        <w:rPr>
          <w:rFonts w:ascii="Arial" w:hAnsi="Arial" w:cs="Arial"/>
        </w:rPr>
        <w:t>analysing</w:t>
      </w:r>
      <w:r w:rsidR="00CD04B0" w:rsidRPr="00E25A50">
        <w:rPr>
          <w:rFonts w:ascii="Arial" w:hAnsi="Arial" w:cs="Arial"/>
        </w:rPr>
        <w:t xml:space="preserve"> trends and understanding the financial health of Amazon. Ratio analysis signified sectors of strengths in Amazon’s performance (high returns, improved margin), with liquidity management and debt optimi</w:t>
      </w:r>
      <w:r>
        <w:rPr>
          <w:rFonts w:ascii="Arial" w:hAnsi="Arial" w:cs="Arial"/>
        </w:rPr>
        <w:t>s</w:t>
      </w:r>
      <w:r w:rsidR="00CD04B0" w:rsidRPr="00E25A50">
        <w:rPr>
          <w:rFonts w:ascii="Arial" w:hAnsi="Arial" w:cs="Arial"/>
        </w:rPr>
        <w:t xml:space="preserve">ation remaining challenges. </w:t>
      </w:r>
    </w:p>
    <w:p w14:paraId="77401E31" w14:textId="116B29FF" w:rsidR="00CD04B0" w:rsidRDefault="00CD04B0" w:rsidP="00E25A50">
      <w:pPr>
        <w:spacing w:line="480" w:lineRule="auto"/>
        <w:jc w:val="both"/>
        <w:rPr>
          <w:rFonts w:ascii="Arial" w:hAnsi="Arial" w:cs="Arial"/>
        </w:rPr>
      </w:pPr>
      <w:r w:rsidRPr="00E25A50">
        <w:rPr>
          <w:rFonts w:ascii="Arial" w:hAnsi="Arial" w:cs="Arial"/>
        </w:rPr>
        <w:t xml:space="preserve">Additionally, the analysis highlighted the need for Amazon to keep repositioning for the future (flexible) with sectors of ESG aware of and exploring for investment: artificial intelligence (AI), sustainable logistics, and global </w:t>
      </w:r>
      <w:r w:rsidR="00517B56" w:rsidRPr="00E25A50">
        <w:rPr>
          <w:rFonts w:ascii="Arial" w:hAnsi="Arial" w:cs="Arial"/>
        </w:rPr>
        <w:t>expansion. In</w:t>
      </w:r>
      <w:r w:rsidRPr="00E25A50">
        <w:rPr>
          <w:rFonts w:ascii="Arial" w:hAnsi="Arial" w:cs="Arial"/>
        </w:rPr>
        <w:t xml:space="preserve"> conclusion, Amazon’s 2023 performance was a victory of specific and targeted financial reformation and operational reforms. To sustain growth will take perseverance in innovation, </w:t>
      </w:r>
      <w:r w:rsidRPr="00E25A50">
        <w:rPr>
          <w:rFonts w:ascii="Arial" w:hAnsi="Arial" w:cs="Arial"/>
        </w:rPr>
        <w:lastRenderedPageBreak/>
        <w:t>responsible governance, environmental sustainability, and tactical investments. However, given all the context and circumstances, Amazon has positioned itself well for any uncertainties likewise ahead in the digital economy in the future and to maintain its leadership position.</w:t>
      </w:r>
    </w:p>
    <w:p w14:paraId="2AEC09F1" w14:textId="77777777" w:rsidR="00517B56" w:rsidRDefault="00517B56" w:rsidP="00E25A50">
      <w:pPr>
        <w:spacing w:line="480" w:lineRule="auto"/>
        <w:jc w:val="both"/>
        <w:rPr>
          <w:rFonts w:ascii="Arial" w:hAnsi="Arial" w:cs="Arial"/>
        </w:rPr>
      </w:pPr>
    </w:p>
    <w:p w14:paraId="6BC72E2C" w14:textId="77777777" w:rsidR="00517B56" w:rsidRDefault="00517B56" w:rsidP="00E25A50">
      <w:pPr>
        <w:spacing w:line="480" w:lineRule="auto"/>
        <w:jc w:val="both"/>
        <w:rPr>
          <w:rFonts w:ascii="Arial" w:hAnsi="Arial" w:cs="Arial"/>
        </w:rPr>
      </w:pPr>
    </w:p>
    <w:p w14:paraId="56A5A9FF" w14:textId="77777777" w:rsidR="00517B56" w:rsidRDefault="00517B56" w:rsidP="00E25A50">
      <w:pPr>
        <w:spacing w:line="480" w:lineRule="auto"/>
        <w:jc w:val="both"/>
        <w:rPr>
          <w:rFonts w:ascii="Arial" w:hAnsi="Arial" w:cs="Arial"/>
        </w:rPr>
      </w:pPr>
    </w:p>
    <w:p w14:paraId="7EA8F211" w14:textId="77777777" w:rsidR="00517B56" w:rsidRDefault="00517B56" w:rsidP="00E25A50">
      <w:pPr>
        <w:spacing w:line="480" w:lineRule="auto"/>
        <w:jc w:val="both"/>
        <w:rPr>
          <w:rFonts w:ascii="Arial" w:hAnsi="Arial" w:cs="Arial"/>
        </w:rPr>
      </w:pPr>
    </w:p>
    <w:p w14:paraId="7769751F" w14:textId="77777777" w:rsidR="00517B56" w:rsidRDefault="00517B56" w:rsidP="00E25A50">
      <w:pPr>
        <w:spacing w:line="480" w:lineRule="auto"/>
        <w:jc w:val="both"/>
        <w:rPr>
          <w:rFonts w:ascii="Arial" w:hAnsi="Arial" w:cs="Arial"/>
        </w:rPr>
      </w:pPr>
    </w:p>
    <w:p w14:paraId="75422B6C" w14:textId="77777777" w:rsidR="00517B56" w:rsidRDefault="00517B56" w:rsidP="00E25A50">
      <w:pPr>
        <w:spacing w:line="480" w:lineRule="auto"/>
        <w:jc w:val="both"/>
        <w:rPr>
          <w:rFonts w:ascii="Arial" w:hAnsi="Arial" w:cs="Arial"/>
        </w:rPr>
      </w:pPr>
    </w:p>
    <w:p w14:paraId="490594C7" w14:textId="77777777" w:rsidR="00517B56" w:rsidRDefault="00517B56" w:rsidP="00E25A50">
      <w:pPr>
        <w:spacing w:line="480" w:lineRule="auto"/>
        <w:jc w:val="both"/>
        <w:rPr>
          <w:rFonts w:ascii="Arial" w:hAnsi="Arial" w:cs="Arial"/>
        </w:rPr>
      </w:pPr>
    </w:p>
    <w:p w14:paraId="2E2740E1" w14:textId="77777777" w:rsidR="00517B56" w:rsidRDefault="00517B56" w:rsidP="00E25A50">
      <w:pPr>
        <w:spacing w:line="480" w:lineRule="auto"/>
        <w:jc w:val="both"/>
        <w:rPr>
          <w:rFonts w:ascii="Arial" w:hAnsi="Arial" w:cs="Arial"/>
        </w:rPr>
      </w:pPr>
    </w:p>
    <w:p w14:paraId="59D34163" w14:textId="77777777" w:rsidR="00517B56" w:rsidRDefault="00517B56" w:rsidP="00E25A50">
      <w:pPr>
        <w:spacing w:line="480" w:lineRule="auto"/>
        <w:jc w:val="both"/>
        <w:rPr>
          <w:rFonts w:ascii="Arial" w:hAnsi="Arial" w:cs="Arial"/>
        </w:rPr>
      </w:pPr>
    </w:p>
    <w:p w14:paraId="0F4E32A5" w14:textId="77777777" w:rsidR="00517B56" w:rsidRDefault="00517B56" w:rsidP="00E25A50">
      <w:pPr>
        <w:spacing w:line="480" w:lineRule="auto"/>
        <w:jc w:val="both"/>
        <w:rPr>
          <w:rFonts w:ascii="Arial" w:hAnsi="Arial" w:cs="Arial"/>
        </w:rPr>
      </w:pPr>
    </w:p>
    <w:p w14:paraId="1618542E" w14:textId="77777777" w:rsidR="00517B56" w:rsidRDefault="00517B56" w:rsidP="00E25A50">
      <w:pPr>
        <w:spacing w:line="480" w:lineRule="auto"/>
        <w:jc w:val="both"/>
        <w:rPr>
          <w:rFonts w:ascii="Arial" w:hAnsi="Arial" w:cs="Arial"/>
        </w:rPr>
      </w:pPr>
    </w:p>
    <w:p w14:paraId="56729D01" w14:textId="77777777" w:rsidR="00517B56" w:rsidRDefault="00517B56" w:rsidP="00E25A50">
      <w:pPr>
        <w:spacing w:line="480" w:lineRule="auto"/>
        <w:jc w:val="both"/>
        <w:rPr>
          <w:rFonts w:ascii="Arial" w:hAnsi="Arial" w:cs="Arial"/>
        </w:rPr>
      </w:pPr>
    </w:p>
    <w:p w14:paraId="7D6924EC" w14:textId="77777777" w:rsidR="00517B56" w:rsidRDefault="00517B56" w:rsidP="00E25A50">
      <w:pPr>
        <w:spacing w:line="480" w:lineRule="auto"/>
        <w:jc w:val="both"/>
        <w:rPr>
          <w:rFonts w:ascii="Arial" w:hAnsi="Arial" w:cs="Arial"/>
        </w:rPr>
      </w:pPr>
    </w:p>
    <w:p w14:paraId="1B6FE46C" w14:textId="77777777" w:rsidR="00517B56" w:rsidRDefault="00517B56" w:rsidP="00E25A50">
      <w:pPr>
        <w:spacing w:line="480" w:lineRule="auto"/>
        <w:jc w:val="both"/>
        <w:rPr>
          <w:rFonts w:ascii="Arial" w:hAnsi="Arial" w:cs="Arial"/>
        </w:rPr>
      </w:pPr>
    </w:p>
    <w:p w14:paraId="01884879" w14:textId="77777777" w:rsidR="00517B56" w:rsidRDefault="00517B56" w:rsidP="00E25A50">
      <w:pPr>
        <w:spacing w:line="480" w:lineRule="auto"/>
        <w:jc w:val="both"/>
        <w:rPr>
          <w:rFonts w:ascii="Arial" w:hAnsi="Arial" w:cs="Arial"/>
        </w:rPr>
      </w:pPr>
    </w:p>
    <w:p w14:paraId="11A7420B" w14:textId="77777777" w:rsidR="00517B56" w:rsidRDefault="00517B56" w:rsidP="00E25A50">
      <w:pPr>
        <w:spacing w:line="480" w:lineRule="auto"/>
        <w:jc w:val="both"/>
        <w:rPr>
          <w:rFonts w:ascii="Arial" w:hAnsi="Arial" w:cs="Arial"/>
        </w:rPr>
      </w:pPr>
    </w:p>
    <w:p w14:paraId="29557B13" w14:textId="476B7D5C" w:rsidR="00517B56" w:rsidRPr="000433E0" w:rsidRDefault="00517B56" w:rsidP="00E25A50">
      <w:pPr>
        <w:spacing w:line="480" w:lineRule="auto"/>
        <w:jc w:val="both"/>
        <w:rPr>
          <w:rFonts w:ascii="Arial" w:hAnsi="Arial" w:cs="Arial"/>
          <w:b/>
          <w:bCs/>
          <w:color w:val="4C94D8" w:themeColor="text2" w:themeTint="80"/>
        </w:rPr>
      </w:pPr>
      <w:r w:rsidRPr="000433E0">
        <w:rPr>
          <w:rFonts w:ascii="Arial" w:hAnsi="Arial" w:cs="Arial"/>
          <w:b/>
          <w:bCs/>
          <w:color w:val="4C94D8" w:themeColor="text2" w:themeTint="80"/>
        </w:rPr>
        <w:lastRenderedPageBreak/>
        <w:t xml:space="preserve">References </w:t>
      </w:r>
    </w:p>
    <w:p w14:paraId="402DB8FC" w14:textId="16E6A0A8" w:rsidR="00A57881" w:rsidRDefault="00A57881" w:rsidP="00E25A50">
      <w:pPr>
        <w:spacing w:line="480" w:lineRule="auto"/>
        <w:jc w:val="both"/>
        <w:rPr>
          <w:rFonts w:ascii="Arial" w:hAnsi="Arial" w:cs="Arial"/>
        </w:rPr>
      </w:pPr>
      <w:r w:rsidRPr="00A57881">
        <w:rPr>
          <w:rFonts w:ascii="Arial" w:hAnsi="Arial" w:cs="Arial"/>
        </w:rPr>
        <w:t>Amazon.com, Inc. (2023). Annual report 2023 (Form 10-K). U.S. Securities and Exchange Commission.</w:t>
      </w:r>
      <w:r w:rsidR="000A79F8">
        <w:rPr>
          <w:rFonts w:ascii="Arial" w:hAnsi="Arial" w:cs="Arial"/>
        </w:rPr>
        <w:t xml:space="preserve"> </w:t>
      </w:r>
      <w:hyperlink r:id="rId6" w:history="1">
        <w:r w:rsidR="00275345" w:rsidRPr="00932F96">
          <w:rPr>
            <w:rStyle w:val="Hyperlink"/>
            <w:rFonts w:ascii="Arial" w:hAnsi="Arial" w:cs="Arial"/>
          </w:rPr>
          <w:t>https://s2.q4cdn.com/299287126/files/doc_financials/2024/ar/Amazon-com-Inc-2023-Annual-Report.pdf</w:t>
        </w:r>
      </w:hyperlink>
      <w:r w:rsidR="000A79F8">
        <w:rPr>
          <w:rFonts w:ascii="Arial" w:hAnsi="Arial" w:cs="Arial"/>
        </w:rPr>
        <w:t xml:space="preserve"> </w:t>
      </w:r>
    </w:p>
    <w:p w14:paraId="60DBB045" w14:textId="4E7DD79A" w:rsidR="000A79F8" w:rsidRDefault="000A79F8" w:rsidP="00E25A50">
      <w:pPr>
        <w:spacing w:line="480" w:lineRule="auto"/>
        <w:jc w:val="both"/>
        <w:rPr>
          <w:rFonts w:ascii="Arial" w:hAnsi="Arial" w:cs="Arial"/>
        </w:rPr>
      </w:pPr>
      <w:r w:rsidRPr="000A79F8">
        <w:rPr>
          <w:rFonts w:ascii="Arial" w:hAnsi="Arial" w:cs="Arial"/>
        </w:rPr>
        <w:t>Amazon.com, Inc. (2022). Annual report 2022 (Form 10-K). U.S. Securities and Exchange Commission.</w:t>
      </w:r>
      <w:r>
        <w:rPr>
          <w:rFonts w:ascii="Arial" w:hAnsi="Arial" w:cs="Arial"/>
        </w:rPr>
        <w:t xml:space="preserve"> </w:t>
      </w:r>
      <w:hyperlink r:id="rId7" w:history="1">
        <w:r w:rsidRPr="00932F96">
          <w:rPr>
            <w:rStyle w:val="Hyperlink"/>
            <w:rFonts w:ascii="Arial" w:hAnsi="Arial" w:cs="Arial"/>
          </w:rPr>
          <w:t>https://www.annualreports.com/Company/amazoncom-inc</w:t>
        </w:r>
      </w:hyperlink>
      <w:r>
        <w:rPr>
          <w:rFonts w:ascii="Arial" w:hAnsi="Arial" w:cs="Arial"/>
        </w:rPr>
        <w:t xml:space="preserve"> </w:t>
      </w:r>
    </w:p>
    <w:p w14:paraId="669AC18F" w14:textId="799436CB" w:rsidR="00517B56" w:rsidRPr="00A57881" w:rsidRDefault="00517B56" w:rsidP="00517B56">
      <w:pPr>
        <w:spacing w:line="480" w:lineRule="auto"/>
        <w:jc w:val="both"/>
        <w:rPr>
          <w:rFonts w:ascii="Arial" w:hAnsi="Arial" w:cs="Arial"/>
          <w:i/>
          <w:iCs/>
        </w:rPr>
      </w:pPr>
      <w:r w:rsidRPr="00517B56">
        <w:rPr>
          <w:rFonts w:ascii="Arial" w:hAnsi="Arial" w:cs="Arial"/>
        </w:rPr>
        <w:t xml:space="preserve">Antonopoulos, D. (2023). </w:t>
      </w:r>
      <w:r w:rsidRPr="00A57881">
        <w:rPr>
          <w:rFonts w:ascii="Arial" w:hAnsi="Arial" w:cs="Arial"/>
          <w:i/>
          <w:iCs/>
        </w:rPr>
        <w:t>Financial performance and strategy for Microsoft and Amazon during Covid-19 pandemic.</w:t>
      </w:r>
    </w:p>
    <w:p w14:paraId="6D3CD04D" w14:textId="77777777" w:rsidR="00517B56" w:rsidRDefault="00517B56" w:rsidP="00517B56">
      <w:pPr>
        <w:spacing w:line="480" w:lineRule="auto"/>
        <w:jc w:val="both"/>
        <w:rPr>
          <w:rFonts w:ascii="Arial" w:hAnsi="Arial" w:cs="Arial"/>
        </w:rPr>
      </w:pPr>
      <w:r w:rsidRPr="00517B56">
        <w:rPr>
          <w:rFonts w:ascii="Arial" w:hAnsi="Arial" w:cs="Arial"/>
        </w:rPr>
        <w:t xml:space="preserve">Charles, I. I., &amp; </w:t>
      </w:r>
      <w:proofErr w:type="spellStart"/>
      <w:r w:rsidRPr="00517B56">
        <w:rPr>
          <w:rFonts w:ascii="Arial" w:hAnsi="Arial" w:cs="Arial"/>
        </w:rPr>
        <w:t>Uford</w:t>
      </w:r>
      <w:proofErr w:type="spellEnd"/>
      <w:r w:rsidRPr="00517B56">
        <w:rPr>
          <w:rFonts w:ascii="Arial" w:hAnsi="Arial" w:cs="Arial"/>
        </w:rPr>
        <w:t>, I. C. (2023). Comparative analysis and evaluation of business and financial performance of Amazon.com: A three-year period critical review of exceptional success</w:t>
      </w:r>
      <w:r w:rsidRPr="00A57881">
        <w:rPr>
          <w:rFonts w:ascii="Arial" w:hAnsi="Arial" w:cs="Arial"/>
          <w:i/>
          <w:iCs/>
        </w:rPr>
        <w:t>. European Journal of Business, Economics and Accountancy, 11</w:t>
      </w:r>
      <w:r w:rsidRPr="00517B56">
        <w:rPr>
          <w:rFonts w:ascii="Arial" w:hAnsi="Arial" w:cs="Arial"/>
        </w:rPr>
        <w:t>(2), 69–92.</w:t>
      </w:r>
    </w:p>
    <w:p w14:paraId="2307E331" w14:textId="462BFF6F" w:rsidR="00517B56" w:rsidRDefault="00517B56" w:rsidP="00517B56">
      <w:pPr>
        <w:spacing w:line="480" w:lineRule="auto"/>
        <w:jc w:val="both"/>
        <w:rPr>
          <w:rFonts w:ascii="Arial" w:hAnsi="Arial" w:cs="Arial"/>
        </w:rPr>
      </w:pPr>
      <w:r w:rsidRPr="00517B56">
        <w:rPr>
          <w:rFonts w:ascii="Arial" w:hAnsi="Arial" w:cs="Arial"/>
        </w:rPr>
        <w:t xml:space="preserve">Cruz Lopez, D. E. (2023). </w:t>
      </w:r>
      <w:r w:rsidRPr="00A57881">
        <w:rPr>
          <w:rFonts w:ascii="Arial" w:hAnsi="Arial" w:cs="Arial"/>
          <w:i/>
          <w:iCs/>
        </w:rPr>
        <w:t>Amazon corporate analysis</w:t>
      </w:r>
      <w:r w:rsidRPr="00517B56">
        <w:rPr>
          <w:rFonts w:ascii="Arial" w:hAnsi="Arial" w:cs="Arial"/>
        </w:rPr>
        <w:t xml:space="preserve">. SSRN. </w:t>
      </w:r>
      <w:hyperlink r:id="rId8" w:history="1">
        <w:r w:rsidRPr="00932F96">
          <w:rPr>
            <w:rStyle w:val="Hyperlink"/>
            <w:rFonts w:ascii="Arial" w:hAnsi="Arial" w:cs="Arial"/>
          </w:rPr>
          <w:t>https://doi.org/10.2139/ssrn.4656587</w:t>
        </w:r>
      </w:hyperlink>
    </w:p>
    <w:p w14:paraId="00B7E730" w14:textId="77777777" w:rsidR="00517B56" w:rsidRDefault="00517B56" w:rsidP="00517B56">
      <w:pPr>
        <w:spacing w:line="480" w:lineRule="auto"/>
        <w:jc w:val="both"/>
        <w:rPr>
          <w:rFonts w:ascii="Arial" w:hAnsi="Arial" w:cs="Arial"/>
        </w:rPr>
      </w:pPr>
      <w:r w:rsidRPr="00517B56">
        <w:rPr>
          <w:rFonts w:ascii="Arial" w:hAnsi="Arial" w:cs="Arial"/>
        </w:rPr>
        <w:t xml:space="preserve">Damani, A. D., Nadar, D. S., </w:t>
      </w:r>
      <w:proofErr w:type="spellStart"/>
      <w:r w:rsidRPr="00517B56">
        <w:rPr>
          <w:rFonts w:ascii="Arial" w:hAnsi="Arial" w:cs="Arial"/>
        </w:rPr>
        <w:t>Navalkha</w:t>
      </w:r>
      <w:proofErr w:type="spellEnd"/>
      <w:r w:rsidRPr="00517B56">
        <w:rPr>
          <w:rFonts w:ascii="Arial" w:hAnsi="Arial" w:cs="Arial"/>
        </w:rPr>
        <w:t xml:space="preserve">, N. R., &amp; Nair, P. R. (2021). An empirical study of the financial ratios of the Indian Information Technology sector by applying factor analysis and substantiation of the results using cluster analysis. </w:t>
      </w:r>
      <w:r w:rsidRPr="00A57881">
        <w:rPr>
          <w:rFonts w:ascii="Arial" w:hAnsi="Arial" w:cs="Arial"/>
          <w:i/>
          <w:iCs/>
        </w:rPr>
        <w:t>Finance India, 35(</w:t>
      </w:r>
      <w:r w:rsidRPr="00517B56">
        <w:rPr>
          <w:rFonts w:ascii="Arial" w:hAnsi="Arial" w:cs="Arial"/>
        </w:rPr>
        <w:t>1), 1–23.</w:t>
      </w:r>
    </w:p>
    <w:p w14:paraId="0B5C319C" w14:textId="2005230E" w:rsidR="00517B56" w:rsidRDefault="00517B56" w:rsidP="00517B56">
      <w:pPr>
        <w:spacing w:line="480" w:lineRule="auto"/>
        <w:jc w:val="both"/>
        <w:rPr>
          <w:rFonts w:ascii="Arial" w:hAnsi="Arial" w:cs="Arial"/>
        </w:rPr>
      </w:pPr>
      <w:r w:rsidRPr="00517B56">
        <w:rPr>
          <w:rFonts w:ascii="Arial" w:hAnsi="Arial" w:cs="Arial"/>
        </w:rPr>
        <w:t xml:space="preserve">Delventhal, S. (2015). </w:t>
      </w:r>
      <w:r w:rsidRPr="00A57881">
        <w:rPr>
          <w:rFonts w:ascii="Arial" w:hAnsi="Arial" w:cs="Arial"/>
          <w:i/>
          <w:iCs/>
        </w:rPr>
        <w:t>Series A, B, C funding: What it all means and how it works.</w:t>
      </w:r>
      <w:r w:rsidRPr="00517B56">
        <w:rPr>
          <w:rFonts w:ascii="Arial" w:hAnsi="Arial" w:cs="Arial"/>
        </w:rPr>
        <w:t xml:space="preserve"> Investopedia. </w:t>
      </w:r>
      <w:hyperlink r:id="rId9" w:history="1">
        <w:r w:rsidRPr="00932F96">
          <w:rPr>
            <w:rStyle w:val="Hyperlink"/>
            <w:rFonts w:ascii="Arial" w:hAnsi="Arial" w:cs="Arial"/>
          </w:rPr>
          <w:t>http://www.investopedia.com/articles/personal-finance/102015/series-b-c-funding-what-it-all-means-and-how-it-works.asp#ixzz47FO4KNhd</w:t>
        </w:r>
      </w:hyperlink>
    </w:p>
    <w:p w14:paraId="6B0C1843" w14:textId="77777777" w:rsidR="00517B56" w:rsidRDefault="00517B56" w:rsidP="00517B56">
      <w:pPr>
        <w:spacing w:line="480" w:lineRule="auto"/>
        <w:jc w:val="both"/>
        <w:rPr>
          <w:rFonts w:ascii="Arial" w:hAnsi="Arial" w:cs="Arial"/>
        </w:rPr>
      </w:pPr>
      <w:r w:rsidRPr="00517B56">
        <w:rPr>
          <w:rFonts w:ascii="Arial" w:hAnsi="Arial" w:cs="Arial"/>
        </w:rPr>
        <w:lastRenderedPageBreak/>
        <w:t xml:space="preserve">Edison, H. J., Levine, R., Ricci, L., &amp; Sløk, T. (2002). International financial integration and economic growth. </w:t>
      </w:r>
      <w:r w:rsidRPr="00A57881">
        <w:rPr>
          <w:rFonts w:ascii="Arial" w:hAnsi="Arial" w:cs="Arial"/>
          <w:i/>
          <w:iCs/>
        </w:rPr>
        <w:t>Journal of International Money and Finance, 21</w:t>
      </w:r>
      <w:r w:rsidRPr="00517B56">
        <w:rPr>
          <w:rFonts w:ascii="Arial" w:hAnsi="Arial" w:cs="Arial"/>
        </w:rPr>
        <w:t>(6), 749–776.</w:t>
      </w:r>
    </w:p>
    <w:p w14:paraId="1CB0D8EF" w14:textId="77777777" w:rsidR="00517B56" w:rsidRDefault="00517B56" w:rsidP="00517B56">
      <w:pPr>
        <w:spacing w:line="480" w:lineRule="auto"/>
        <w:jc w:val="both"/>
        <w:rPr>
          <w:rFonts w:ascii="Arial" w:hAnsi="Arial" w:cs="Arial"/>
        </w:rPr>
      </w:pPr>
      <w:r w:rsidRPr="00517B56">
        <w:rPr>
          <w:rFonts w:ascii="Arial" w:hAnsi="Arial" w:cs="Arial"/>
        </w:rPr>
        <w:t xml:space="preserve">Garman, E. T., &amp; Forgue, R. E. (2003). </w:t>
      </w:r>
      <w:r w:rsidRPr="00A57881">
        <w:rPr>
          <w:rFonts w:ascii="Arial" w:hAnsi="Arial" w:cs="Arial"/>
          <w:i/>
          <w:iCs/>
        </w:rPr>
        <w:t>Personal finance</w:t>
      </w:r>
      <w:r w:rsidRPr="00517B56">
        <w:rPr>
          <w:rFonts w:ascii="Arial" w:hAnsi="Arial" w:cs="Arial"/>
        </w:rPr>
        <w:t xml:space="preserve"> (7th ed.). Boston: Houghton Mifflin Company.</w:t>
      </w:r>
    </w:p>
    <w:p w14:paraId="2E35079E" w14:textId="3BE7E0CA" w:rsidR="00517B56" w:rsidRDefault="00517B56" w:rsidP="00517B56">
      <w:pPr>
        <w:spacing w:line="480" w:lineRule="auto"/>
        <w:jc w:val="both"/>
        <w:rPr>
          <w:rFonts w:ascii="Arial" w:hAnsi="Arial" w:cs="Arial"/>
        </w:rPr>
      </w:pPr>
      <w:r w:rsidRPr="00517B56">
        <w:rPr>
          <w:rFonts w:ascii="Arial" w:hAnsi="Arial" w:cs="Arial"/>
        </w:rPr>
        <w:t xml:space="preserve">Greiner, L. E. (1967). </w:t>
      </w:r>
      <w:r w:rsidRPr="00A57881">
        <w:rPr>
          <w:rFonts w:ascii="Arial" w:hAnsi="Arial" w:cs="Arial"/>
          <w:i/>
          <w:iCs/>
        </w:rPr>
        <w:t>Patterns of organization change</w:t>
      </w:r>
      <w:r w:rsidRPr="00517B56">
        <w:rPr>
          <w:rFonts w:ascii="Arial" w:hAnsi="Arial" w:cs="Arial"/>
        </w:rPr>
        <w:t xml:space="preserve">. Harvard Business Review. </w:t>
      </w:r>
      <w:hyperlink r:id="rId10" w:history="1">
        <w:r w:rsidRPr="00932F96">
          <w:rPr>
            <w:rStyle w:val="Hyperlink"/>
            <w:rFonts w:ascii="Arial" w:hAnsi="Arial" w:cs="Arial"/>
          </w:rPr>
          <w:t>https://hbr.org/1967/05/patterns-of-organization-change</w:t>
        </w:r>
      </w:hyperlink>
    </w:p>
    <w:p w14:paraId="58ECFE93" w14:textId="77777777" w:rsidR="00A57881" w:rsidRDefault="00517B56" w:rsidP="00517B56">
      <w:pPr>
        <w:spacing w:line="480" w:lineRule="auto"/>
        <w:jc w:val="both"/>
        <w:rPr>
          <w:rFonts w:ascii="Arial" w:hAnsi="Arial" w:cs="Arial"/>
        </w:rPr>
      </w:pPr>
      <w:r w:rsidRPr="00517B56">
        <w:rPr>
          <w:rFonts w:ascii="Arial" w:hAnsi="Arial" w:cs="Arial"/>
        </w:rPr>
        <w:t xml:space="preserve">Gupta, M. C., &amp; Huefner, R. J. (1972). A cluster analysis study of financial ratios and industry characteristics. </w:t>
      </w:r>
      <w:r w:rsidRPr="00A57881">
        <w:rPr>
          <w:rFonts w:ascii="Arial" w:hAnsi="Arial" w:cs="Arial"/>
          <w:i/>
          <w:iCs/>
        </w:rPr>
        <w:t>Journal of Accounting Research</w:t>
      </w:r>
      <w:r w:rsidRPr="00517B56">
        <w:rPr>
          <w:rFonts w:ascii="Arial" w:hAnsi="Arial" w:cs="Arial"/>
        </w:rPr>
        <w:t>, 77–95.</w:t>
      </w:r>
    </w:p>
    <w:p w14:paraId="51158B46" w14:textId="6594457C" w:rsidR="00A57881" w:rsidRDefault="00517B56" w:rsidP="00517B56">
      <w:pPr>
        <w:spacing w:line="480" w:lineRule="auto"/>
        <w:jc w:val="both"/>
        <w:rPr>
          <w:rFonts w:ascii="Arial" w:hAnsi="Arial" w:cs="Arial"/>
        </w:rPr>
      </w:pPr>
      <w:r w:rsidRPr="00517B56">
        <w:rPr>
          <w:rFonts w:ascii="Arial" w:hAnsi="Arial" w:cs="Arial"/>
        </w:rPr>
        <w:t xml:space="preserve">Harvard Business Review. (2002). </w:t>
      </w:r>
      <w:r w:rsidRPr="00A57881">
        <w:rPr>
          <w:rFonts w:ascii="Arial" w:hAnsi="Arial" w:cs="Arial"/>
          <w:i/>
          <w:iCs/>
        </w:rPr>
        <w:t>Why business models matter.</w:t>
      </w:r>
      <w:r w:rsidRPr="00517B56">
        <w:rPr>
          <w:rFonts w:ascii="Arial" w:hAnsi="Arial" w:cs="Arial"/>
        </w:rPr>
        <w:t xml:space="preserve"> </w:t>
      </w:r>
      <w:hyperlink r:id="rId11" w:history="1">
        <w:r w:rsidR="00A57881" w:rsidRPr="00932F96">
          <w:rPr>
            <w:rStyle w:val="Hyperlink"/>
            <w:rFonts w:ascii="Arial" w:hAnsi="Arial" w:cs="Arial"/>
          </w:rPr>
          <w:t>https://hbr.org/2002/05/why-business-models-matter</w:t>
        </w:r>
      </w:hyperlink>
    </w:p>
    <w:p w14:paraId="662574D6" w14:textId="520F09E3" w:rsidR="00A57881" w:rsidRDefault="00A57881" w:rsidP="00517B56">
      <w:pPr>
        <w:spacing w:line="480" w:lineRule="auto"/>
        <w:jc w:val="both"/>
        <w:rPr>
          <w:rFonts w:ascii="Arial" w:hAnsi="Arial" w:cs="Arial"/>
        </w:rPr>
      </w:pPr>
      <w:r w:rsidRPr="00517B56">
        <w:rPr>
          <w:rFonts w:ascii="Arial" w:hAnsi="Arial" w:cs="Arial"/>
        </w:rPr>
        <w:t>Investing Answers</w:t>
      </w:r>
      <w:r w:rsidR="00517B56" w:rsidRPr="00517B56">
        <w:rPr>
          <w:rFonts w:ascii="Arial" w:hAnsi="Arial" w:cs="Arial"/>
        </w:rPr>
        <w:t xml:space="preserve">. (2016). </w:t>
      </w:r>
      <w:r w:rsidR="00517B56" w:rsidRPr="00A57881">
        <w:rPr>
          <w:rFonts w:ascii="Arial" w:hAnsi="Arial" w:cs="Arial"/>
          <w:i/>
          <w:iCs/>
        </w:rPr>
        <w:t>Gross margin definition &amp; example.</w:t>
      </w:r>
      <w:r w:rsidR="00517B56" w:rsidRPr="00517B56">
        <w:rPr>
          <w:rFonts w:ascii="Arial" w:hAnsi="Arial" w:cs="Arial"/>
        </w:rPr>
        <w:t xml:space="preserve"> </w:t>
      </w:r>
      <w:hyperlink r:id="rId12" w:history="1">
        <w:r w:rsidRPr="00932F96">
          <w:rPr>
            <w:rStyle w:val="Hyperlink"/>
            <w:rFonts w:ascii="Arial" w:hAnsi="Arial" w:cs="Arial"/>
          </w:rPr>
          <w:t>http://www.investinganswers.com/financial-dictionary/financial-statement-analysis/gross-margin-974</w:t>
        </w:r>
      </w:hyperlink>
    </w:p>
    <w:p w14:paraId="6D287E42" w14:textId="461C82A8" w:rsidR="00A57881" w:rsidRDefault="00A57881" w:rsidP="00517B56">
      <w:pPr>
        <w:spacing w:line="480" w:lineRule="auto"/>
        <w:jc w:val="both"/>
        <w:rPr>
          <w:rFonts w:ascii="Arial" w:hAnsi="Arial" w:cs="Arial"/>
        </w:rPr>
      </w:pPr>
      <w:r w:rsidRPr="00517B56">
        <w:rPr>
          <w:rFonts w:ascii="Arial" w:hAnsi="Arial" w:cs="Arial"/>
        </w:rPr>
        <w:t>Investing Answers</w:t>
      </w:r>
      <w:r w:rsidR="00517B56" w:rsidRPr="00517B56">
        <w:rPr>
          <w:rFonts w:ascii="Arial" w:hAnsi="Arial" w:cs="Arial"/>
        </w:rPr>
        <w:t xml:space="preserve">. (2017). </w:t>
      </w:r>
      <w:r w:rsidR="00517B56" w:rsidRPr="00A57881">
        <w:rPr>
          <w:rFonts w:ascii="Arial" w:hAnsi="Arial" w:cs="Arial"/>
          <w:i/>
          <w:iCs/>
        </w:rPr>
        <w:t>Inflation risk definition &amp; example</w:t>
      </w:r>
      <w:r w:rsidR="00517B56" w:rsidRPr="00517B56">
        <w:rPr>
          <w:rFonts w:ascii="Arial" w:hAnsi="Arial" w:cs="Arial"/>
        </w:rPr>
        <w:t xml:space="preserve">. </w:t>
      </w:r>
      <w:hyperlink r:id="rId13" w:history="1">
        <w:r w:rsidRPr="00932F96">
          <w:rPr>
            <w:rStyle w:val="Hyperlink"/>
            <w:rFonts w:ascii="Arial" w:hAnsi="Arial" w:cs="Arial"/>
          </w:rPr>
          <w:t>http://www.investinganswers.com/inflation-risk-974</w:t>
        </w:r>
      </w:hyperlink>
    </w:p>
    <w:p w14:paraId="0ACA9475" w14:textId="77777777" w:rsidR="00A57881" w:rsidRDefault="00517B56" w:rsidP="00517B56">
      <w:pPr>
        <w:spacing w:line="480" w:lineRule="auto"/>
        <w:jc w:val="both"/>
        <w:rPr>
          <w:rFonts w:ascii="Arial" w:hAnsi="Arial" w:cs="Arial"/>
        </w:rPr>
      </w:pPr>
      <w:r w:rsidRPr="00517B56">
        <w:rPr>
          <w:rFonts w:ascii="Arial" w:hAnsi="Arial" w:cs="Arial"/>
        </w:rPr>
        <w:t xml:space="preserve">Kapoor, J., </w:t>
      </w:r>
      <w:proofErr w:type="spellStart"/>
      <w:r w:rsidRPr="00517B56">
        <w:rPr>
          <w:rFonts w:ascii="Arial" w:hAnsi="Arial" w:cs="Arial"/>
        </w:rPr>
        <w:t>Dlabay</w:t>
      </w:r>
      <w:proofErr w:type="spellEnd"/>
      <w:r w:rsidRPr="00517B56">
        <w:rPr>
          <w:rFonts w:ascii="Arial" w:hAnsi="Arial" w:cs="Arial"/>
        </w:rPr>
        <w:t>, L., &amp; Hughes, R. (2015</w:t>
      </w:r>
      <w:r w:rsidRPr="00A57881">
        <w:rPr>
          <w:rFonts w:ascii="Arial" w:hAnsi="Arial" w:cs="Arial"/>
          <w:i/>
          <w:iCs/>
        </w:rPr>
        <w:t>). Personal finance</w:t>
      </w:r>
      <w:r w:rsidRPr="00517B56">
        <w:rPr>
          <w:rFonts w:ascii="Arial" w:hAnsi="Arial" w:cs="Arial"/>
        </w:rPr>
        <w:t xml:space="preserve"> (11th ed.). Boston: McGraw-Hill/Irwin.</w:t>
      </w:r>
    </w:p>
    <w:p w14:paraId="77E83E53" w14:textId="049E5732" w:rsidR="00A57881" w:rsidRDefault="00517B56" w:rsidP="00517B56">
      <w:pPr>
        <w:spacing w:line="480" w:lineRule="auto"/>
        <w:jc w:val="both"/>
        <w:rPr>
          <w:rFonts w:ascii="Arial" w:hAnsi="Arial" w:cs="Arial"/>
        </w:rPr>
      </w:pPr>
      <w:r w:rsidRPr="00517B56">
        <w:rPr>
          <w:rFonts w:ascii="Arial" w:hAnsi="Arial" w:cs="Arial"/>
        </w:rPr>
        <w:t xml:space="preserve">ManagementHelp.org. (2016). </w:t>
      </w:r>
      <w:r w:rsidRPr="00A57881">
        <w:rPr>
          <w:rFonts w:ascii="Arial" w:hAnsi="Arial" w:cs="Arial"/>
          <w:i/>
          <w:iCs/>
        </w:rPr>
        <w:t>All about financial management in business</w:t>
      </w:r>
      <w:r w:rsidRPr="00517B56">
        <w:rPr>
          <w:rFonts w:ascii="Arial" w:hAnsi="Arial" w:cs="Arial"/>
        </w:rPr>
        <w:t xml:space="preserve">. </w:t>
      </w:r>
      <w:hyperlink r:id="rId14" w:history="1">
        <w:r w:rsidR="00A57881" w:rsidRPr="00932F96">
          <w:rPr>
            <w:rStyle w:val="Hyperlink"/>
            <w:rFonts w:ascii="Arial" w:hAnsi="Arial" w:cs="Arial"/>
          </w:rPr>
          <w:t>http://www.managementhelp.org/business-finance/</w:t>
        </w:r>
      </w:hyperlink>
    </w:p>
    <w:p w14:paraId="49EB24BB" w14:textId="77777777" w:rsidR="00A57881" w:rsidRDefault="00517B56" w:rsidP="00517B56">
      <w:pPr>
        <w:spacing w:line="480" w:lineRule="auto"/>
        <w:jc w:val="both"/>
        <w:rPr>
          <w:rFonts w:ascii="Arial" w:hAnsi="Arial" w:cs="Arial"/>
        </w:rPr>
      </w:pPr>
      <w:r w:rsidRPr="00517B56">
        <w:rPr>
          <w:rFonts w:ascii="Arial" w:hAnsi="Arial" w:cs="Arial"/>
        </w:rPr>
        <w:t xml:space="preserve">Ohlson, J. A. (1995). Earnings, book values and dividends in equity valuation. </w:t>
      </w:r>
      <w:r w:rsidRPr="00A57881">
        <w:rPr>
          <w:rFonts w:ascii="Arial" w:hAnsi="Arial" w:cs="Arial"/>
          <w:i/>
          <w:iCs/>
        </w:rPr>
        <w:t>Contemporary Accounting Research, 11</w:t>
      </w:r>
      <w:r w:rsidRPr="00517B56">
        <w:rPr>
          <w:rFonts w:ascii="Arial" w:hAnsi="Arial" w:cs="Arial"/>
        </w:rPr>
        <w:t>(2), 661–688.</w:t>
      </w:r>
    </w:p>
    <w:p w14:paraId="301D3AFC" w14:textId="77777777" w:rsidR="00A57881" w:rsidRDefault="00517B56" w:rsidP="00517B56">
      <w:pPr>
        <w:spacing w:line="480" w:lineRule="auto"/>
        <w:jc w:val="both"/>
        <w:rPr>
          <w:rFonts w:ascii="Arial" w:hAnsi="Arial" w:cs="Arial"/>
        </w:rPr>
      </w:pPr>
      <w:r w:rsidRPr="00517B56">
        <w:rPr>
          <w:rFonts w:ascii="Arial" w:hAnsi="Arial" w:cs="Arial"/>
        </w:rPr>
        <w:lastRenderedPageBreak/>
        <w:t xml:space="preserve">Thomas, J., &amp; </w:t>
      </w:r>
      <w:proofErr w:type="spellStart"/>
      <w:r w:rsidRPr="00517B56">
        <w:rPr>
          <w:rFonts w:ascii="Arial" w:hAnsi="Arial" w:cs="Arial"/>
        </w:rPr>
        <w:t>Rabiyathul</w:t>
      </w:r>
      <w:proofErr w:type="spellEnd"/>
      <w:r w:rsidRPr="00517B56">
        <w:rPr>
          <w:rFonts w:ascii="Arial" w:hAnsi="Arial" w:cs="Arial"/>
        </w:rPr>
        <w:t xml:space="preserve"> </w:t>
      </w:r>
      <w:proofErr w:type="spellStart"/>
      <w:r w:rsidRPr="00517B56">
        <w:rPr>
          <w:rFonts w:ascii="Arial" w:hAnsi="Arial" w:cs="Arial"/>
        </w:rPr>
        <w:t>Basariya</w:t>
      </w:r>
      <w:proofErr w:type="spellEnd"/>
      <w:r w:rsidRPr="00517B56">
        <w:rPr>
          <w:rFonts w:ascii="Arial" w:hAnsi="Arial" w:cs="Arial"/>
        </w:rPr>
        <w:t xml:space="preserve">, S. (2019). A study on the issues of financial ratio analysis. </w:t>
      </w:r>
      <w:r w:rsidRPr="00A57881">
        <w:rPr>
          <w:rFonts w:ascii="Arial" w:hAnsi="Arial" w:cs="Arial"/>
          <w:i/>
          <w:iCs/>
        </w:rPr>
        <w:t>Indian Journal of Public Health Research &amp; Development, 10</w:t>
      </w:r>
      <w:r w:rsidRPr="00517B56">
        <w:rPr>
          <w:rFonts w:ascii="Arial" w:hAnsi="Arial" w:cs="Arial"/>
        </w:rPr>
        <w:t>(3), 407–412.</w:t>
      </w:r>
    </w:p>
    <w:p w14:paraId="11C0F1C4" w14:textId="77777777" w:rsidR="00A57881" w:rsidRDefault="00517B56" w:rsidP="00517B56">
      <w:pPr>
        <w:spacing w:line="480" w:lineRule="auto"/>
        <w:jc w:val="both"/>
        <w:rPr>
          <w:rFonts w:ascii="Arial" w:hAnsi="Arial" w:cs="Arial"/>
        </w:rPr>
      </w:pPr>
      <w:r w:rsidRPr="00517B56">
        <w:rPr>
          <w:rFonts w:ascii="Arial" w:hAnsi="Arial" w:cs="Arial"/>
        </w:rPr>
        <w:t xml:space="preserve">Tracy, A. (2012). </w:t>
      </w:r>
      <w:r w:rsidRPr="00A57881">
        <w:rPr>
          <w:rFonts w:ascii="Arial" w:hAnsi="Arial" w:cs="Arial"/>
          <w:i/>
          <w:iCs/>
        </w:rPr>
        <w:t xml:space="preserve">Ratio analysis fundamentals: How 17 financial ratios can allow you to </w:t>
      </w:r>
      <w:r w:rsidR="00A57881" w:rsidRPr="00A57881">
        <w:rPr>
          <w:rFonts w:ascii="Arial" w:hAnsi="Arial" w:cs="Arial"/>
          <w:i/>
          <w:iCs/>
        </w:rPr>
        <w:t>analyse</w:t>
      </w:r>
      <w:r w:rsidRPr="00A57881">
        <w:rPr>
          <w:rFonts w:ascii="Arial" w:hAnsi="Arial" w:cs="Arial"/>
          <w:i/>
          <w:iCs/>
        </w:rPr>
        <w:t xml:space="preserve"> any business on the planet. </w:t>
      </w:r>
      <w:r w:rsidRPr="00517B56">
        <w:rPr>
          <w:rFonts w:ascii="Arial" w:hAnsi="Arial" w:cs="Arial"/>
        </w:rPr>
        <w:t>RatioAnalysis.net.</w:t>
      </w:r>
    </w:p>
    <w:p w14:paraId="6CE81AE0" w14:textId="58434E79" w:rsidR="00517B56" w:rsidRPr="00E25A50" w:rsidRDefault="00517B56" w:rsidP="00E25A50">
      <w:pPr>
        <w:spacing w:line="480" w:lineRule="auto"/>
        <w:jc w:val="both"/>
        <w:rPr>
          <w:rFonts w:ascii="Arial" w:hAnsi="Arial" w:cs="Arial"/>
        </w:rPr>
      </w:pPr>
      <w:r w:rsidRPr="00517B56">
        <w:rPr>
          <w:rFonts w:ascii="Arial" w:hAnsi="Arial" w:cs="Arial"/>
        </w:rPr>
        <w:t xml:space="preserve">Walls, J. L., Berrone, P., &amp; Phan, P. H. (2012). Corporate governance and environmental performance: Is there really a link? </w:t>
      </w:r>
      <w:r w:rsidRPr="00A57881">
        <w:rPr>
          <w:rFonts w:ascii="Arial" w:hAnsi="Arial" w:cs="Arial"/>
          <w:i/>
          <w:iCs/>
        </w:rPr>
        <w:t>Strategic Management Journal, 33</w:t>
      </w:r>
      <w:r w:rsidRPr="00517B56">
        <w:rPr>
          <w:rFonts w:ascii="Arial" w:hAnsi="Arial" w:cs="Arial"/>
        </w:rPr>
        <w:t>(8), 885–913.</w:t>
      </w:r>
    </w:p>
    <w:sectPr w:rsidR="00517B56" w:rsidRPr="00E25A50" w:rsidSect="0068198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46BB1"/>
    <w:multiLevelType w:val="multilevel"/>
    <w:tmpl w:val="DA72E00C"/>
    <w:lvl w:ilvl="0">
      <w:start w:val="1"/>
      <w:numFmt w:val="decimal"/>
      <w:lvlText w:val="%1."/>
      <w:lvlJc w:val="left"/>
      <w:pPr>
        <w:ind w:left="720" w:hanging="360"/>
      </w:pPr>
      <w:rPr>
        <w:rFonts w:hint="default"/>
      </w:rPr>
    </w:lvl>
    <w:lvl w:ilvl="1">
      <w:start w:val="1"/>
      <w:numFmt w:val="decimal"/>
      <w:isLgl/>
      <w:lvlText w:val="%1.%2"/>
      <w:lvlJc w:val="left"/>
      <w:pPr>
        <w:ind w:left="1534"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6AD3738"/>
    <w:multiLevelType w:val="hybridMultilevel"/>
    <w:tmpl w:val="7B804E9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3F3EB7"/>
    <w:multiLevelType w:val="hybridMultilevel"/>
    <w:tmpl w:val="8F96F99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D237BD"/>
    <w:multiLevelType w:val="hybridMultilevel"/>
    <w:tmpl w:val="B83A1DD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E4252E"/>
    <w:multiLevelType w:val="hybridMultilevel"/>
    <w:tmpl w:val="0A04A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267399">
    <w:abstractNumId w:val="0"/>
  </w:num>
  <w:num w:numId="2" w16cid:durableId="826213800">
    <w:abstractNumId w:val="1"/>
  </w:num>
  <w:num w:numId="3" w16cid:durableId="672731868">
    <w:abstractNumId w:val="2"/>
  </w:num>
  <w:num w:numId="4" w16cid:durableId="1034159656">
    <w:abstractNumId w:val="3"/>
  </w:num>
  <w:num w:numId="5" w16cid:durableId="148570673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4B0"/>
    <w:rsid w:val="000433E0"/>
    <w:rsid w:val="000A79F8"/>
    <w:rsid w:val="001C4543"/>
    <w:rsid w:val="00275345"/>
    <w:rsid w:val="00517B56"/>
    <w:rsid w:val="00600E25"/>
    <w:rsid w:val="00681985"/>
    <w:rsid w:val="00734EC2"/>
    <w:rsid w:val="00A4608E"/>
    <w:rsid w:val="00A57881"/>
    <w:rsid w:val="00CD04B0"/>
    <w:rsid w:val="00DB4FB4"/>
    <w:rsid w:val="00E25A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30A3E"/>
  <w15:chartTrackingRefBased/>
  <w15:docId w15:val="{82761CDF-2DA2-4D8A-A806-1E37736C3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04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04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04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04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04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04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04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04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04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4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04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04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04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04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04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04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04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04B0"/>
    <w:rPr>
      <w:rFonts w:eastAsiaTheme="majorEastAsia" w:cstheme="majorBidi"/>
      <w:color w:val="272727" w:themeColor="text1" w:themeTint="D8"/>
    </w:rPr>
  </w:style>
  <w:style w:type="paragraph" w:styleId="Title">
    <w:name w:val="Title"/>
    <w:basedOn w:val="Normal"/>
    <w:next w:val="Normal"/>
    <w:link w:val="TitleChar"/>
    <w:uiPriority w:val="10"/>
    <w:qFormat/>
    <w:rsid w:val="00CD04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04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04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04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04B0"/>
    <w:pPr>
      <w:spacing w:before="160"/>
      <w:jc w:val="center"/>
    </w:pPr>
    <w:rPr>
      <w:i/>
      <w:iCs/>
      <w:color w:val="404040" w:themeColor="text1" w:themeTint="BF"/>
    </w:rPr>
  </w:style>
  <w:style w:type="character" w:customStyle="1" w:styleId="QuoteChar">
    <w:name w:val="Quote Char"/>
    <w:basedOn w:val="DefaultParagraphFont"/>
    <w:link w:val="Quote"/>
    <w:uiPriority w:val="29"/>
    <w:rsid w:val="00CD04B0"/>
    <w:rPr>
      <w:i/>
      <w:iCs/>
      <w:color w:val="404040" w:themeColor="text1" w:themeTint="BF"/>
    </w:rPr>
  </w:style>
  <w:style w:type="paragraph" w:styleId="ListParagraph">
    <w:name w:val="List Paragraph"/>
    <w:basedOn w:val="Normal"/>
    <w:uiPriority w:val="34"/>
    <w:qFormat/>
    <w:rsid w:val="00CD04B0"/>
    <w:pPr>
      <w:ind w:left="720"/>
      <w:contextualSpacing/>
    </w:pPr>
  </w:style>
  <w:style w:type="character" w:styleId="IntenseEmphasis">
    <w:name w:val="Intense Emphasis"/>
    <w:basedOn w:val="DefaultParagraphFont"/>
    <w:uiPriority w:val="21"/>
    <w:qFormat/>
    <w:rsid w:val="00CD04B0"/>
    <w:rPr>
      <w:i/>
      <w:iCs/>
      <w:color w:val="0F4761" w:themeColor="accent1" w:themeShade="BF"/>
    </w:rPr>
  </w:style>
  <w:style w:type="paragraph" w:styleId="IntenseQuote">
    <w:name w:val="Intense Quote"/>
    <w:basedOn w:val="Normal"/>
    <w:next w:val="Normal"/>
    <w:link w:val="IntenseQuoteChar"/>
    <w:uiPriority w:val="30"/>
    <w:qFormat/>
    <w:rsid w:val="00CD04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04B0"/>
    <w:rPr>
      <w:i/>
      <w:iCs/>
      <w:color w:val="0F4761" w:themeColor="accent1" w:themeShade="BF"/>
    </w:rPr>
  </w:style>
  <w:style w:type="character" w:styleId="IntenseReference">
    <w:name w:val="Intense Reference"/>
    <w:basedOn w:val="DefaultParagraphFont"/>
    <w:uiPriority w:val="32"/>
    <w:qFormat/>
    <w:rsid w:val="00CD04B0"/>
    <w:rPr>
      <w:b/>
      <w:bCs/>
      <w:smallCaps/>
      <w:color w:val="0F4761" w:themeColor="accent1" w:themeShade="BF"/>
      <w:spacing w:val="5"/>
    </w:rPr>
  </w:style>
  <w:style w:type="character" w:styleId="Hyperlink">
    <w:name w:val="Hyperlink"/>
    <w:basedOn w:val="DefaultParagraphFont"/>
    <w:uiPriority w:val="99"/>
    <w:unhideWhenUsed/>
    <w:rsid w:val="00517B56"/>
    <w:rPr>
      <w:color w:val="467886" w:themeColor="hyperlink"/>
      <w:u w:val="single"/>
    </w:rPr>
  </w:style>
  <w:style w:type="character" w:styleId="UnresolvedMention">
    <w:name w:val="Unresolved Mention"/>
    <w:basedOn w:val="DefaultParagraphFont"/>
    <w:uiPriority w:val="99"/>
    <w:semiHidden/>
    <w:unhideWhenUsed/>
    <w:rsid w:val="00517B56"/>
    <w:rPr>
      <w:color w:val="605E5C"/>
      <w:shd w:val="clear" w:color="auto" w:fill="E1DFDD"/>
    </w:rPr>
  </w:style>
  <w:style w:type="paragraph" w:styleId="NoSpacing">
    <w:name w:val="No Spacing"/>
    <w:link w:val="NoSpacingChar"/>
    <w:uiPriority w:val="1"/>
    <w:qFormat/>
    <w:rsid w:val="0068198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81985"/>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9387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139/ssrn.4656587" TargetMode="External"/><Relationship Id="rId13" Type="http://schemas.openxmlformats.org/officeDocument/2006/relationships/hyperlink" Target="http://www.investinganswers.com/inflation-risk-974" TargetMode="External"/><Relationship Id="rId3" Type="http://schemas.openxmlformats.org/officeDocument/2006/relationships/styles" Target="styles.xml"/><Relationship Id="rId7" Type="http://schemas.openxmlformats.org/officeDocument/2006/relationships/hyperlink" Target="https://www.annualreports.com/Company/amazoncom-inc" TargetMode="External"/><Relationship Id="rId12" Type="http://schemas.openxmlformats.org/officeDocument/2006/relationships/hyperlink" Target="http://www.investinganswers.com/financial-dictionary/financial-statement-analysis/gross-margin-974"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s2.q4cdn.com/299287126/files/doc_financials/2024/ar/Amazon-com-Inc-2023-Annual-Report.pdf" TargetMode="External"/><Relationship Id="rId11" Type="http://schemas.openxmlformats.org/officeDocument/2006/relationships/hyperlink" Target="https://hbr.org/2002/05/why-business-models-matter"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hbr.org/1967/05/patterns-of-organization-change" TargetMode="External"/><Relationship Id="rId4" Type="http://schemas.openxmlformats.org/officeDocument/2006/relationships/settings" Target="settings.xml"/><Relationship Id="rId9" Type="http://schemas.openxmlformats.org/officeDocument/2006/relationships/hyperlink" Target="http://www.investopedia.com/articles/personal-finance/102015/series-b-c-funding-what-it-all-means-and-how-it-works.asp#ixzz47FO4KNhd" TargetMode="External"/><Relationship Id="rId14" Type="http://schemas.openxmlformats.org/officeDocument/2006/relationships/hyperlink" Target="http://www.managementhelp.org/business-fin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2025-04-11T00:00:00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2222</Words>
  <Characters>12671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Analysis for Amazon</dc:title>
  <dc:subject/>
  <dc:creator>Mirabela Voican (1907947)</dc:creator>
  <cp:keywords/>
  <dc:description/>
  <cp:lastModifiedBy>Mirabela Voican (1907947)</cp:lastModifiedBy>
  <cp:revision>2</cp:revision>
  <dcterms:created xsi:type="dcterms:W3CDTF">2025-04-09T16:44:00Z</dcterms:created>
  <dcterms:modified xsi:type="dcterms:W3CDTF">2025-04-09T16:44:00Z</dcterms:modified>
</cp:coreProperties>
</file>