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D19080" w14:textId="77777777" w:rsidR="00F91EC8" w:rsidRDefault="00F91EC8" w:rsidP="00E37EEC">
      <w:pPr>
        <w:spacing w:before="0" w:after="200"/>
        <w:jc w:val="center"/>
        <w:rPr>
          <w:sz w:val="36"/>
          <w:szCs w:val="36"/>
        </w:rPr>
      </w:pPr>
      <w:bookmarkStart w:id="0" w:name="_Toc101235767"/>
      <w:r>
        <w:rPr>
          <w:noProof/>
          <w:sz w:val="36"/>
          <w:szCs w:val="36"/>
          <w:lang w:val="en-GB" w:eastAsia="en-GB"/>
        </w:rPr>
        <w:drawing>
          <wp:inline distT="0" distB="0" distL="0" distR="0" wp14:anchorId="6837D89F" wp14:editId="417E2826">
            <wp:extent cx="2333625" cy="1296458"/>
            <wp:effectExtent l="19050" t="0" r="9525" b="0"/>
            <wp:docPr id="6" name="Picture 6" descr="D:\zarin\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zarin\university-of-wales-trinity-saint-david-logo-vector.png"/>
                    <pic:cNvPicPr>
                      <a:picLocks noChangeAspect="1" noChangeArrowheads="1"/>
                    </pic:cNvPicPr>
                  </pic:nvPicPr>
                  <pic:blipFill>
                    <a:blip r:embed="rId7" cstate="print"/>
                    <a:srcRect/>
                    <a:stretch>
                      <a:fillRect/>
                    </a:stretch>
                  </pic:blipFill>
                  <pic:spPr bwMode="auto">
                    <a:xfrm>
                      <a:off x="0" y="0"/>
                      <a:ext cx="2333625" cy="1296458"/>
                    </a:xfrm>
                    <a:prstGeom prst="rect">
                      <a:avLst/>
                    </a:prstGeom>
                    <a:noFill/>
                    <a:ln w="9525">
                      <a:noFill/>
                      <a:miter lim="800000"/>
                      <a:headEnd/>
                      <a:tailEnd/>
                    </a:ln>
                  </pic:spPr>
                </pic:pic>
              </a:graphicData>
            </a:graphic>
          </wp:inline>
        </w:drawing>
      </w:r>
    </w:p>
    <w:p w14:paraId="6A424234" w14:textId="77777777" w:rsidR="00F91EC8" w:rsidRDefault="00F91EC8" w:rsidP="00E37EEC">
      <w:pPr>
        <w:spacing w:before="0" w:after="200"/>
        <w:jc w:val="center"/>
        <w:rPr>
          <w:sz w:val="36"/>
          <w:szCs w:val="36"/>
        </w:rPr>
      </w:pPr>
    </w:p>
    <w:p w14:paraId="0AF2BDC1" w14:textId="77777777" w:rsidR="00F91EC8" w:rsidRPr="00E37EEC" w:rsidRDefault="00F91EC8" w:rsidP="00E37EEC">
      <w:pPr>
        <w:spacing w:before="0" w:after="200"/>
        <w:jc w:val="center"/>
        <w:rPr>
          <w:b/>
          <w:bCs/>
          <w:sz w:val="48"/>
          <w:szCs w:val="48"/>
        </w:rPr>
      </w:pPr>
      <w:r w:rsidRPr="00E37EEC">
        <w:rPr>
          <w:b/>
          <w:bCs/>
          <w:sz w:val="48"/>
          <w:szCs w:val="48"/>
        </w:rPr>
        <w:t>BA Business Management</w:t>
      </w:r>
    </w:p>
    <w:p w14:paraId="1D664811" w14:textId="77777777" w:rsidR="00F91EC8" w:rsidRPr="00E37EEC" w:rsidRDefault="00F91EC8" w:rsidP="00E37EEC">
      <w:pPr>
        <w:spacing w:before="0" w:after="200"/>
        <w:jc w:val="center"/>
        <w:rPr>
          <w:b/>
          <w:bCs/>
          <w:sz w:val="48"/>
          <w:szCs w:val="48"/>
        </w:rPr>
      </w:pPr>
    </w:p>
    <w:p w14:paraId="77E77B6E" w14:textId="77777777" w:rsidR="00F91EC8" w:rsidRPr="00E37EEC" w:rsidRDefault="00F91EC8" w:rsidP="00E37EEC">
      <w:pPr>
        <w:spacing w:before="0" w:after="200"/>
        <w:jc w:val="center"/>
        <w:rPr>
          <w:b/>
          <w:bCs/>
          <w:sz w:val="48"/>
          <w:szCs w:val="48"/>
        </w:rPr>
      </w:pPr>
      <w:r w:rsidRPr="00E37EEC">
        <w:rPr>
          <w:b/>
          <w:bCs/>
          <w:sz w:val="48"/>
          <w:szCs w:val="48"/>
        </w:rPr>
        <w:t>LCBB4002</w:t>
      </w:r>
    </w:p>
    <w:p w14:paraId="06772134" w14:textId="77777777" w:rsidR="00F91EC8" w:rsidRPr="00E37EEC" w:rsidRDefault="00F91EC8" w:rsidP="00E37EEC">
      <w:pPr>
        <w:spacing w:before="0" w:after="200"/>
        <w:jc w:val="center"/>
        <w:rPr>
          <w:b/>
          <w:bCs/>
          <w:sz w:val="48"/>
          <w:szCs w:val="48"/>
        </w:rPr>
      </w:pPr>
      <w:r w:rsidRPr="00E37EEC">
        <w:rPr>
          <w:b/>
          <w:bCs/>
          <w:sz w:val="48"/>
          <w:szCs w:val="48"/>
        </w:rPr>
        <w:t>Community Engagement</w:t>
      </w:r>
    </w:p>
    <w:p w14:paraId="7F215DDF" w14:textId="77777777" w:rsidR="00E37EEC" w:rsidRDefault="00E37EEC" w:rsidP="00E37EEC">
      <w:pPr>
        <w:jc w:val="center"/>
        <w:rPr>
          <w:sz w:val="40"/>
          <w:szCs w:val="40"/>
        </w:rPr>
      </w:pPr>
    </w:p>
    <w:p w14:paraId="23416D48" w14:textId="22B7C586" w:rsidR="00F91EC8" w:rsidRPr="00E37EEC" w:rsidRDefault="00F91EC8" w:rsidP="00E37EEC">
      <w:pPr>
        <w:jc w:val="center"/>
        <w:rPr>
          <w:sz w:val="40"/>
          <w:szCs w:val="40"/>
        </w:rPr>
      </w:pPr>
      <w:r w:rsidRPr="00E37EEC">
        <w:rPr>
          <w:sz w:val="40"/>
          <w:szCs w:val="40"/>
        </w:rPr>
        <w:t>Assessment 2</w:t>
      </w:r>
    </w:p>
    <w:p w14:paraId="200A2F23" w14:textId="77777777" w:rsidR="00F91EC8" w:rsidRPr="00F91EC8" w:rsidRDefault="00F91EC8" w:rsidP="00F91EC8">
      <w:pPr>
        <w:spacing w:before="0" w:after="200" w:line="276" w:lineRule="auto"/>
        <w:jc w:val="center"/>
        <w:rPr>
          <w:rFonts w:eastAsiaTheme="majorEastAsia" w:cstheme="majorBidi"/>
          <w:bCs/>
          <w:color w:val="365F91" w:themeColor="accent1" w:themeShade="BF"/>
          <w:sz w:val="36"/>
          <w:szCs w:val="36"/>
        </w:rPr>
      </w:pPr>
      <w:r w:rsidRPr="00F91EC8">
        <w:rPr>
          <w:sz w:val="36"/>
          <w:szCs w:val="36"/>
        </w:rPr>
        <w:br w:type="page"/>
      </w:r>
    </w:p>
    <w:sdt>
      <w:sdtPr>
        <w:rPr>
          <w:rFonts w:ascii="Arial" w:eastAsiaTheme="minorHAnsi" w:hAnsi="Arial" w:cstheme="minorBidi"/>
          <w:b w:val="0"/>
          <w:bCs w:val="0"/>
          <w:color w:val="auto"/>
          <w:sz w:val="24"/>
          <w:szCs w:val="22"/>
        </w:rPr>
        <w:id w:val="23519320"/>
        <w:docPartObj>
          <w:docPartGallery w:val="Table of Contents"/>
          <w:docPartUnique/>
        </w:docPartObj>
      </w:sdtPr>
      <w:sdtEndPr/>
      <w:sdtContent>
        <w:p w14:paraId="41BF0C3C" w14:textId="77777777" w:rsidR="00F91EC8" w:rsidRPr="00D50B38" w:rsidRDefault="00F91EC8">
          <w:pPr>
            <w:pStyle w:val="TOCHeading"/>
            <w:rPr>
              <w:rFonts w:ascii="Times New Roman" w:hAnsi="Times New Roman" w:cs="Times New Roman"/>
            </w:rPr>
          </w:pPr>
          <w:r w:rsidRPr="00D50B38">
            <w:rPr>
              <w:rFonts w:ascii="Times New Roman" w:hAnsi="Times New Roman" w:cs="Times New Roman"/>
            </w:rPr>
            <w:t>Table of Contents</w:t>
          </w:r>
        </w:p>
        <w:p w14:paraId="7BE78056" w14:textId="3AA98E55" w:rsidR="00E37EEC" w:rsidRDefault="00BC7FBB">
          <w:pPr>
            <w:pStyle w:val="TOC1"/>
            <w:tabs>
              <w:tab w:val="right" w:leader="dot" w:pos="9016"/>
            </w:tabs>
            <w:rPr>
              <w:rFonts w:asciiTheme="minorHAnsi" w:eastAsiaTheme="minorEastAsia" w:hAnsiTheme="minorHAnsi"/>
              <w:noProof/>
              <w:sz w:val="22"/>
              <w:lang w:val="en-GB" w:eastAsia="en-GB"/>
            </w:rPr>
          </w:pPr>
          <w:r>
            <w:fldChar w:fldCharType="begin"/>
          </w:r>
          <w:r w:rsidR="00F91EC8">
            <w:instrText xml:space="preserve"> TOC \o "1-3" \h \z \u </w:instrText>
          </w:r>
          <w:r>
            <w:fldChar w:fldCharType="separate"/>
          </w:r>
          <w:hyperlink w:anchor="_Toc101366030" w:history="1">
            <w:r w:rsidR="00E37EEC" w:rsidRPr="000D518A">
              <w:rPr>
                <w:rStyle w:val="Hyperlink"/>
                <w:noProof/>
              </w:rPr>
              <w:t>Introduction</w:t>
            </w:r>
            <w:r w:rsidR="00E37EEC">
              <w:rPr>
                <w:noProof/>
                <w:webHidden/>
              </w:rPr>
              <w:tab/>
            </w:r>
            <w:r w:rsidR="00E37EEC">
              <w:rPr>
                <w:noProof/>
                <w:webHidden/>
              </w:rPr>
              <w:fldChar w:fldCharType="begin"/>
            </w:r>
            <w:r w:rsidR="00E37EEC">
              <w:rPr>
                <w:noProof/>
                <w:webHidden/>
              </w:rPr>
              <w:instrText xml:space="preserve"> PAGEREF _Toc101366030 \h </w:instrText>
            </w:r>
            <w:r w:rsidR="00E37EEC">
              <w:rPr>
                <w:noProof/>
                <w:webHidden/>
              </w:rPr>
            </w:r>
            <w:r w:rsidR="00E37EEC">
              <w:rPr>
                <w:noProof/>
                <w:webHidden/>
              </w:rPr>
              <w:fldChar w:fldCharType="separate"/>
            </w:r>
            <w:r w:rsidR="00E37EEC">
              <w:rPr>
                <w:noProof/>
                <w:webHidden/>
              </w:rPr>
              <w:t>3</w:t>
            </w:r>
            <w:r w:rsidR="00E37EEC">
              <w:rPr>
                <w:noProof/>
                <w:webHidden/>
              </w:rPr>
              <w:fldChar w:fldCharType="end"/>
            </w:r>
          </w:hyperlink>
        </w:p>
        <w:p w14:paraId="7B335967" w14:textId="27BCB514" w:rsidR="00E37EEC" w:rsidRDefault="00D25F13">
          <w:pPr>
            <w:pStyle w:val="TOC1"/>
            <w:tabs>
              <w:tab w:val="right" w:leader="dot" w:pos="9016"/>
            </w:tabs>
            <w:rPr>
              <w:rFonts w:asciiTheme="minorHAnsi" w:eastAsiaTheme="minorEastAsia" w:hAnsiTheme="minorHAnsi"/>
              <w:noProof/>
              <w:sz w:val="22"/>
              <w:lang w:val="en-GB" w:eastAsia="en-GB"/>
            </w:rPr>
          </w:pPr>
          <w:hyperlink w:anchor="_Toc101366031" w:history="1">
            <w:r w:rsidR="00E37EEC" w:rsidRPr="000D518A">
              <w:rPr>
                <w:rStyle w:val="Hyperlink"/>
                <w:noProof/>
              </w:rPr>
              <w:t>Comparison, analysis, and evaluation of the community engagement approaches</w:t>
            </w:r>
            <w:r w:rsidR="00E37EEC">
              <w:rPr>
                <w:noProof/>
                <w:webHidden/>
              </w:rPr>
              <w:tab/>
            </w:r>
            <w:r w:rsidR="00E37EEC">
              <w:rPr>
                <w:noProof/>
                <w:webHidden/>
              </w:rPr>
              <w:fldChar w:fldCharType="begin"/>
            </w:r>
            <w:r w:rsidR="00E37EEC">
              <w:rPr>
                <w:noProof/>
                <w:webHidden/>
              </w:rPr>
              <w:instrText xml:space="preserve"> PAGEREF _Toc101366031 \h </w:instrText>
            </w:r>
            <w:r w:rsidR="00E37EEC">
              <w:rPr>
                <w:noProof/>
                <w:webHidden/>
              </w:rPr>
            </w:r>
            <w:r w:rsidR="00E37EEC">
              <w:rPr>
                <w:noProof/>
                <w:webHidden/>
              </w:rPr>
              <w:fldChar w:fldCharType="separate"/>
            </w:r>
            <w:r w:rsidR="00E37EEC">
              <w:rPr>
                <w:noProof/>
                <w:webHidden/>
              </w:rPr>
              <w:t>4</w:t>
            </w:r>
            <w:r w:rsidR="00E37EEC">
              <w:rPr>
                <w:noProof/>
                <w:webHidden/>
              </w:rPr>
              <w:fldChar w:fldCharType="end"/>
            </w:r>
          </w:hyperlink>
        </w:p>
        <w:p w14:paraId="7BF9AF7D" w14:textId="70C0023C" w:rsidR="00E37EEC" w:rsidRDefault="00D25F13">
          <w:pPr>
            <w:pStyle w:val="TOC1"/>
            <w:tabs>
              <w:tab w:val="right" w:leader="dot" w:pos="9016"/>
            </w:tabs>
            <w:rPr>
              <w:rFonts w:asciiTheme="minorHAnsi" w:eastAsiaTheme="minorEastAsia" w:hAnsiTheme="minorHAnsi"/>
              <w:noProof/>
              <w:sz w:val="22"/>
              <w:lang w:val="en-GB" w:eastAsia="en-GB"/>
            </w:rPr>
          </w:pPr>
          <w:hyperlink w:anchor="_Toc101366032" w:history="1">
            <w:r w:rsidR="00E37EEC" w:rsidRPr="000D518A">
              <w:rPr>
                <w:rStyle w:val="Hyperlink"/>
                <w:noProof/>
              </w:rPr>
              <w:t>Roles of different aspects in community engagement</w:t>
            </w:r>
            <w:r w:rsidR="00E37EEC">
              <w:rPr>
                <w:noProof/>
                <w:webHidden/>
              </w:rPr>
              <w:tab/>
            </w:r>
            <w:r w:rsidR="00E37EEC">
              <w:rPr>
                <w:noProof/>
                <w:webHidden/>
              </w:rPr>
              <w:fldChar w:fldCharType="begin"/>
            </w:r>
            <w:r w:rsidR="00E37EEC">
              <w:rPr>
                <w:noProof/>
                <w:webHidden/>
              </w:rPr>
              <w:instrText xml:space="preserve"> PAGEREF _Toc101366032 \h </w:instrText>
            </w:r>
            <w:r w:rsidR="00E37EEC">
              <w:rPr>
                <w:noProof/>
                <w:webHidden/>
              </w:rPr>
            </w:r>
            <w:r w:rsidR="00E37EEC">
              <w:rPr>
                <w:noProof/>
                <w:webHidden/>
              </w:rPr>
              <w:fldChar w:fldCharType="separate"/>
            </w:r>
            <w:r w:rsidR="00E37EEC">
              <w:rPr>
                <w:noProof/>
                <w:webHidden/>
              </w:rPr>
              <w:t>4</w:t>
            </w:r>
            <w:r w:rsidR="00E37EEC">
              <w:rPr>
                <w:noProof/>
                <w:webHidden/>
              </w:rPr>
              <w:fldChar w:fldCharType="end"/>
            </w:r>
          </w:hyperlink>
        </w:p>
        <w:p w14:paraId="34CE3DFB" w14:textId="1ED3B63D" w:rsidR="00E37EEC" w:rsidRDefault="00D25F13">
          <w:pPr>
            <w:pStyle w:val="TOC2"/>
            <w:tabs>
              <w:tab w:val="right" w:leader="dot" w:pos="9016"/>
            </w:tabs>
            <w:rPr>
              <w:rFonts w:asciiTheme="minorHAnsi" w:eastAsiaTheme="minorEastAsia" w:hAnsiTheme="minorHAnsi"/>
              <w:noProof/>
              <w:sz w:val="22"/>
              <w:lang w:val="en-GB" w:eastAsia="en-GB"/>
            </w:rPr>
          </w:pPr>
          <w:hyperlink w:anchor="_Toc101366033" w:history="1">
            <w:r w:rsidR="00E37EEC" w:rsidRPr="000D518A">
              <w:rPr>
                <w:rStyle w:val="Hyperlink"/>
                <w:noProof/>
              </w:rPr>
              <w:t>Active consultation</w:t>
            </w:r>
            <w:r w:rsidR="00E37EEC">
              <w:rPr>
                <w:noProof/>
                <w:webHidden/>
              </w:rPr>
              <w:tab/>
            </w:r>
            <w:r w:rsidR="00E37EEC">
              <w:rPr>
                <w:noProof/>
                <w:webHidden/>
              </w:rPr>
              <w:fldChar w:fldCharType="begin"/>
            </w:r>
            <w:r w:rsidR="00E37EEC">
              <w:rPr>
                <w:noProof/>
                <w:webHidden/>
              </w:rPr>
              <w:instrText xml:space="preserve"> PAGEREF _Toc101366033 \h </w:instrText>
            </w:r>
            <w:r w:rsidR="00E37EEC">
              <w:rPr>
                <w:noProof/>
                <w:webHidden/>
              </w:rPr>
            </w:r>
            <w:r w:rsidR="00E37EEC">
              <w:rPr>
                <w:noProof/>
                <w:webHidden/>
              </w:rPr>
              <w:fldChar w:fldCharType="separate"/>
            </w:r>
            <w:r w:rsidR="00E37EEC">
              <w:rPr>
                <w:noProof/>
                <w:webHidden/>
              </w:rPr>
              <w:t>4</w:t>
            </w:r>
            <w:r w:rsidR="00E37EEC">
              <w:rPr>
                <w:noProof/>
                <w:webHidden/>
              </w:rPr>
              <w:fldChar w:fldCharType="end"/>
            </w:r>
          </w:hyperlink>
        </w:p>
        <w:p w14:paraId="672C8B7D" w14:textId="24D25694" w:rsidR="00E37EEC" w:rsidRDefault="00D25F13">
          <w:pPr>
            <w:pStyle w:val="TOC2"/>
            <w:tabs>
              <w:tab w:val="right" w:leader="dot" w:pos="9016"/>
            </w:tabs>
            <w:rPr>
              <w:rFonts w:asciiTheme="minorHAnsi" w:eastAsiaTheme="minorEastAsia" w:hAnsiTheme="minorHAnsi"/>
              <w:noProof/>
              <w:sz w:val="22"/>
              <w:lang w:val="en-GB" w:eastAsia="en-GB"/>
            </w:rPr>
          </w:pPr>
          <w:hyperlink w:anchor="_Toc101366034" w:history="1">
            <w:r w:rsidR="00E37EEC" w:rsidRPr="000D518A">
              <w:rPr>
                <w:rStyle w:val="Hyperlink"/>
                <w:noProof/>
              </w:rPr>
              <w:t>Effective communication</w:t>
            </w:r>
            <w:r w:rsidR="00E37EEC">
              <w:rPr>
                <w:noProof/>
                <w:webHidden/>
              </w:rPr>
              <w:tab/>
            </w:r>
            <w:r w:rsidR="00E37EEC">
              <w:rPr>
                <w:noProof/>
                <w:webHidden/>
              </w:rPr>
              <w:fldChar w:fldCharType="begin"/>
            </w:r>
            <w:r w:rsidR="00E37EEC">
              <w:rPr>
                <w:noProof/>
                <w:webHidden/>
              </w:rPr>
              <w:instrText xml:space="preserve"> PAGEREF _Toc101366034 \h </w:instrText>
            </w:r>
            <w:r w:rsidR="00E37EEC">
              <w:rPr>
                <w:noProof/>
                <w:webHidden/>
              </w:rPr>
            </w:r>
            <w:r w:rsidR="00E37EEC">
              <w:rPr>
                <w:noProof/>
                <w:webHidden/>
              </w:rPr>
              <w:fldChar w:fldCharType="separate"/>
            </w:r>
            <w:r w:rsidR="00E37EEC">
              <w:rPr>
                <w:noProof/>
                <w:webHidden/>
              </w:rPr>
              <w:t>5</w:t>
            </w:r>
            <w:r w:rsidR="00E37EEC">
              <w:rPr>
                <w:noProof/>
                <w:webHidden/>
              </w:rPr>
              <w:fldChar w:fldCharType="end"/>
            </w:r>
          </w:hyperlink>
        </w:p>
        <w:p w14:paraId="32F03B4A" w14:textId="44D11151" w:rsidR="00E37EEC" w:rsidRDefault="00D25F13">
          <w:pPr>
            <w:pStyle w:val="TOC2"/>
            <w:tabs>
              <w:tab w:val="right" w:leader="dot" w:pos="9016"/>
            </w:tabs>
            <w:rPr>
              <w:rFonts w:asciiTheme="minorHAnsi" w:eastAsiaTheme="minorEastAsia" w:hAnsiTheme="minorHAnsi"/>
              <w:noProof/>
              <w:sz w:val="22"/>
              <w:lang w:val="en-GB" w:eastAsia="en-GB"/>
            </w:rPr>
          </w:pPr>
          <w:hyperlink w:anchor="_Toc101366035" w:history="1">
            <w:r w:rsidR="00E37EEC" w:rsidRPr="000D518A">
              <w:rPr>
                <w:rStyle w:val="Hyperlink"/>
                <w:noProof/>
              </w:rPr>
              <w:t>Stakeholders’ participation</w:t>
            </w:r>
            <w:r w:rsidR="00E37EEC">
              <w:rPr>
                <w:noProof/>
                <w:webHidden/>
              </w:rPr>
              <w:tab/>
            </w:r>
            <w:r w:rsidR="00E37EEC">
              <w:rPr>
                <w:noProof/>
                <w:webHidden/>
              </w:rPr>
              <w:fldChar w:fldCharType="begin"/>
            </w:r>
            <w:r w:rsidR="00E37EEC">
              <w:rPr>
                <w:noProof/>
                <w:webHidden/>
              </w:rPr>
              <w:instrText xml:space="preserve"> PAGEREF _Toc101366035 \h </w:instrText>
            </w:r>
            <w:r w:rsidR="00E37EEC">
              <w:rPr>
                <w:noProof/>
                <w:webHidden/>
              </w:rPr>
            </w:r>
            <w:r w:rsidR="00E37EEC">
              <w:rPr>
                <w:noProof/>
                <w:webHidden/>
              </w:rPr>
              <w:fldChar w:fldCharType="separate"/>
            </w:r>
            <w:r w:rsidR="00E37EEC">
              <w:rPr>
                <w:noProof/>
                <w:webHidden/>
              </w:rPr>
              <w:t>5</w:t>
            </w:r>
            <w:r w:rsidR="00E37EEC">
              <w:rPr>
                <w:noProof/>
                <w:webHidden/>
              </w:rPr>
              <w:fldChar w:fldCharType="end"/>
            </w:r>
          </w:hyperlink>
        </w:p>
        <w:p w14:paraId="451F498B" w14:textId="7BB465EF" w:rsidR="00E37EEC" w:rsidRDefault="00D25F13">
          <w:pPr>
            <w:pStyle w:val="TOC2"/>
            <w:tabs>
              <w:tab w:val="right" w:leader="dot" w:pos="9016"/>
            </w:tabs>
            <w:rPr>
              <w:rFonts w:asciiTheme="minorHAnsi" w:eastAsiaTheme="minorEastAsia" w:hAnsiTheme="minorHAnsi"/>
              <w:noProof/>
              <w:sz w:val="22"/>
              <w:lang w:val="en-GB" w:eastAsia="en-GB"/>
            </w:rPr>
          </w:pPr>
          <w:hyperlink w:anchor="_Toc101366036" w:history="1">
            <w:r w:rsidR="00E37EEC" w:rsidRPr="000D518A">
              <w:rPr>
                <w:rStyle w:val="Hyperlink"/>
                <w:noProof/>
              </w:rPr>
              <w:t>Inclusion</w:t>
            </w:r>
            <w:r w:rsidR="00E37EEC">
              <w:rPr>
                <w:noProof/>
                <w:webHidden/>
              </w:rPr>
              <w:tab/>
            </w:r>
            <w:r w:rsidR="00E37EEC">
              <w:rPr>
                <w:noProof/>
                <w:webHidden/>
              </w:rPr>
              <w:fldChar w:fldCharType="begin"/>
            </w:r>
            <w:r w:rsidR="00E37EEC">
              <w:rPr>
                <w:noProof/>
                <w:webHidden/>
              </w:rPr>
              <w:instrText xml:space="preserve"> PAGEREF _Toc101366036 \h </w:instrText>
            </w:r>
            <w:r w:rsidR="00E37EEC">
              <w:rPr>
                <w:noProof/>
                <w:webHidden/>
              </w:rPr>
            </w:r>
            <w:r w:rsidR="00E37EEC">
              <w:rPr>
                <w:noProof/>
                <w:webHidden/>
              </w:rPr>
              <w:fldChar w:fldCharType="separate"/>
            </w:r>
            <w:r w:rsidR="00E37EEC">
              <w:rPr>
                <w:noProof/>
                <w:webHidden/>
              </w:rPr>
              <w:t>6</w:t>
            </w:r>
            <w:r w:rsidR="00E37EEC">
              <w:rPr>
                <w:noProof/>
                <w:webHidden/>
              </w:rPr>
              <w:fldChar w:fldCharType="end"/>
            </w:r>
          </w:hyperlink>
        </w:p>
        <w:p w14:paraId="5C553428" w14:textId="19626138" w:rsidR="00E37EEC" w:rsidRDefault="00D25F13">
          <w:pPr>
            <w:pStyle w:val="TOC1"/>
            <w:tabs>
              <w:tab w:val="right" w:leader="dot" w:pos="9016"/>
            </w:tabs>
            <w:rPr>
              <w:rFonts w:asciiTheme="minorHAnsi" w:eastAsiaTheme="minorEastAsia" w:hAnsiTheme="minorHAnsi"/>
              <w:noProof/>
              <w:sz w:val="22"/>
              <w:lang w:val="en-GB" w:eastAsia="en-GB"/>
            </w:rPr>
          </w:pPr>
          <w:hyperlink w:anchor="_Toc101366037" w:history="1">
            <w:r w:rsidR="00E37EEC" w:rsidRPr="000D518A">
              <w:rPr>
                <w:rStyle w:val="Hyperlink"/>
                <w:noProof/>
              </w:rPr>
              <w:t>Community mapping through social media</w:t>
            </w:r>
            <w:r w:rsidR="00E37EEC">
              <w:rPr>
                <w:noProof/>
                <w:webHidden/>
              </w:rPr>
              <w:tab/>
            </w:r>
            <w:r w:rsidR="00E37EEC">
              <w:rPr>
                <w:noProof/>
                <w:webHidden/>
              </w:rPr>
              <w:fldChar w:fldCharType="begin"/>
            </w:r>
            <w:r w:rsidR="00E37EEC">
              <w:rPr>
                <w:noProof/>
                <w:webHidden/>
              </w:rPr>
              <w:instrText xml:space="preserve"> PAGEREF _Toc101366037 \h </w:instrText>
            </w:r>
            <w:r w:rsidR="00E37EEC">
              <w:rPr>
                <w:noProof/>
                <w:webHidden/>
              </w:rPr>
            </w:r>
            <w:r w:rsidR="00E37EEC">
              <w:rPr>
                <w:noProof/>
                <w:webHidden/>
              </w:rPr>
              <w:fldChar w:fldCharType="separate"/>
            </w:r>
            <w:r w:rsidR="00E37EEC">
              <w:rPr>
                <w:noProof/>
                <w:webHidden/>
              </w:rPr>
              <w:t>7</w:t>
            </w:r>
            <w:r w:rsidR="00E37EEC">
              <w:rPr>
                <w:noProof/>
                <w:webHidden/>
              </w:rPr>
              <w:fldChar w:fldCharType="end"/>
            </w:r>
          </w:hyperlink>
        </w:p>
        <w:p w14:paraId="4BBEDA7E" w14:textId="2CFE9025" w:rsidR="00E37EEC" w:rsidRDefault="00D25F13">
          <w:pPr>
            <w:pStyle w:val="TOC1"/>
            <w:tabs>
              <w:tab w:val="right" w:leader="dot" w:pos="9016"/>
            </w:tabs>
            <w:rPr>
              <w:rFonts w:asciiTheme="minorHAnsi" w:eastAsiaTheme="minorEastAsia" w:hAnsiTheme="minorHAnsi"/>
              <w:noProof/>
              <w:sz w:val="22"/>
              <w:lang w:val="en-GB" w:eastAsia="en-GB"/>
            </w:rPr>
          </w:pPr>
          <w:hyperlink w:anchor="_Toc101366038" w:history="1">
            <w:r w:rsidR="00E37EEC" w:rsidRPr="000D518A">
              <w:rPr>
                <w:rStyle w:val="Hyperlink"/>
                <w:noProof/>
              </w:rPr>
              <w:t>Social engagement</w:t>
            </w:r>
            <w:r w:rsidR="00E37EEC">
              <w:rPr>
                <w:noProof/>
                <w:webHidden/>
              </w:rPr>
              <w:tab/>
            </w:r>
            <w:r w:rsidR="00E37EEC">
              <w:rPr>
                <w:noProof/>
                <w:webHidden/>
              </w:rPr>
              <w:fldChar w:fldCharType="begin"/>
            </w:r>
            <w:r w:rsidR="00E37EEC">
              <w:rPr>
                <w:noProof/>
                <w:webHidden/>
              </w:rPr>
              <w:instrText xml:space="preserve"> PAGEREF _Toc101366038 \h </w:instrText>
            </w:r>
            <w:r w:rsidR="00E37EEC">
              <w:rPr>
                <w:noProof/>
                <w:webHidden/>
              </w:rPr>
            </w:r>
            <w:r w:rsidR="00E37EEC">
              <w:rPr>
                <w:noProof/>
                <w:webHidden/>
              </w:rPr>
              <w:fldChar w:fldCharType="separate"/>
            </w:r>
            <w:r w:rsidR="00E37EEC">
              <w:rPr>
                <w:noProof/>
                <w:webHidden/>
              </w:rPr>
              <w:t>7</w:t>
            </w:r>
            <w:r w:rsidR="00E37EEC">
              <w:rPr>
                <w:noProof/>
                <w:webHidden/>
              </w:rPr>
              <w:fldChar w:fldCharType="end"/>
            </w:r>
          </w:hyperlink>
        </w:p>
        <w:p w14:paraId="73D0E631" w14:textId="46E54DB8" w:rsidR="00E37EEC" w:rsidRDefault="00D25F13">
          <w:pPr>
            <w:pStyle w:val="TOC1"/>
            <w:tabs>
              <w:tab w:val="right" w:leader="dot" w:pos="9016"/>
            </w:tabs>
            <w:rPr>
              <w:rFonts w:asciiTheme="minorHAnsi" w:eastAsiaTheme="minorEastAsia" w:hAnsiTheme="minorHAnsi"/>
              <w:noProof/>
              <w:sz w:val="22"/>
              <w:lang w:val="en-GB" w:eastAsia="en-GB"/>
            </w:rPr>
          </w:pPr>
          <w:hyperlink w:anchor="_Toc101366039" w:history="1">
            <w:r w:rsidR="00E37EEC" w:rsidRPr="000D518A">
              <w:rPr>
                <w:rStyle w:val="Hyperlink"/>
                <w:noProof/>
              </w:rPr>
              <w:t>Analysis, evaluation, and justification of the best practices</w:t>
            </w:r>
            <w:r w:rsidR="00E37EEC">
              <w:rPr>
                <w:noProof/>
                <w:webHidden/>
              </w:rPr>
              <w:tab/>
            </w:r>
            <w:r w:rsidR="00E37EEC">
              <w:rPr>
                <w:noProof/>
                <w:webHidden/>
              </w:rPr>
              <w:fldChar w:fldCharType="begin"/>
            </w:r>
            <w:r w:rsidR="00E37EEC">
              <w:rPr>
                <w:noProof/>
                <w:webHidden/>
              </w:rPr>
              <w:instrText xml:space="preserve"> PAGEREF _Toc101366039 \h </w:instrText>
            </w:r>
            <w:r w:rsidR="00E37EEC">
              <w:rPr>
                <w:noProof/>
                <w:webHidden/>
              </w:rPr>
            </w:r>
            <w:r w:rsidR="00E37EEC">
              <w:rPr>
                <w:noProof/>
                <w:webHidden/>
              </w:rPr>
              <w:fldChar w:fldCharType="separate"/>
            </w:r>
            <w:r w:rsidR="00E37EEC">
              <w:rPr>
                <w:noProof/>
                <w:webHidden/>
              </w:rPr>
              <w:t>8</w:t>
            </w:r>
            <w:r w:rsidR="00E37EEC">
              <w:rPr>
                <w:noProof/>
                <w:webHidden/>
              </w:rPr>
              <w:fldChar w:fldCharType="end"/>
            </w:r>
          </w:hyperlink>
        </w:p>
        <w:p w14:paraId="301BDE83" w14:textId="758748EA" w:rsidR="00E37EEC" w:rsidRDefault="00D25F13">
          <w:pPr>
            <w:pStyle w:val="TOC1"/>
            <w:tabs>
              <w:tab w:val="right" w:leader="dot" w:pos="9016"/>
            </w:tabs>
            <w:rPr>
              <w:rFonts w:asciiTheme="minorHAnsi" w:eastAsiaTheme="minorEastAsia" w:hAnsiTheme="minorHAnsi"/>
              <w:noProof/>
              <w:sz w:val="22"/>
              <w:lang w:val="en-GB" w:eastAsia="en-GB"/>
            </w:rPr>
          </w:pPr>
          <w:hyperlink w:anchor="_Toc101366040" w:history="1">
            <w:r w:rsidR="00E37EEC" w:rsidRPr="000D518A">
              <w:rPr>
                <w:rStyle w:val="Hyperlink"/>
                <w:noProof/>
              </w:rPr>
              <w:t>Conclusion</w:t>
            </w:r>
            <w:r w:rsidR="00E37EEC">
              <w:rPr>
                <w:noProof/>
                <w:webHidden/>
              </w:rPr>
              <w:tab/>
            </w:r>
            <w:r w:rsidR="00E37EEC">
              <w:rPr>
                <w:noProof/>
                <w:webHidden/>
              </w:rPr>
              <w:fldChar w:fldCharType="begin"/>
            </w:r>
            <w:r w:rsidR="00E37EEC">
              <w:rPr>
                <w:noProof/>
                <w:webHidden/>
              </w:rPr>
              <w:instrText xml:space="preserve"> PAGEREF _Toc101366040 \h </w:instrText>
            </w:r>
            <w:r w:rsidR="00E37EEC">
              <w:rPr>
                <w:noProof/>
                <w:webHidden/>
              </w:rPr>
            </w:r>
            <w:r w:rsidR="00E37EEC">
              <w:rPr>
                <w:noProof/>
                <w:webHidden/>
              </w:rPr>
              <w:fldChar w:fldCharType="separate"/>
            </w:r>
            <w:r w:rsidR="00E37EEC">
              <w:rPr>
                <w:noProof/>
                <w:webHidden/>
              </w:rPr>
              <w:t>9</w:t>
            </w:r>
            <w:r w:rsidR="00E37EEC">
              <w:rPr>
                <w:noProof/>
                <w:webHidden/>
              </w:rPr>
              <w:fldChar w:fldCharType="end"/>
            </w:r>
          </w:hyperlink>
        </w:p>
        <w:p w14:paraId="3834130B" w14:textId="21278F1F" w:rsidR="00E37EEC" w:rsidRDefault="00D25F13">
          <w:pPr>
            <w:pStyle w:val="TOC1"/>
            <w:tabs>
              <w:tab w:val="right" w:leader="dot" w:pos="9016"/>
            </w:tabs>
            <w:rPr>
              <w:rFonts w:asciiTheme="minorHAnsi" w:eastAsiaTheme="minorEastAsia" w:hAnsiTheme="minorHAnsi"/>
              <w:noProof/>
              <w:sz w:val="22"/>
              <w:lang w:val="en-GB" w:eastAsia="en-GB"/>
            </w:rPr>
          </w:pPr>
          <w:hyperlink w:anchor="_Toc101366041" w:history="1">
            <w:r w:rsidR="00E37EEC" w:rsidRPr="000D518A">
              <w:rPr>
                <w:rStyle w:val="Hyperlink"/>
                <w:noProof/>
              </w:rPr>
              <w:t>References</w:t>
            </w:r>
            <w:r w:rsidR="00E37EEC">
              <w:rPr>
                <w:noProof/>
                <w:webHidden/>
              </w:rPr>
              <w:tab/>
            </w:r>
            <w:r w:rsidR="00E37EEC">
              <w:rPr>
                <w:noProof/>
                <w:webHidden/>
              </w:rPr>
              <w:fldChar w:fldCharType="begin"/>
            </w:r>
            <w:r w:rsidR="00E37EEC">
              <w:rPr>
                <w:noProof/>
                <w:webHidden/>
              </w:rPr>
              <w:instrText xml:space="preserve"> PAGEREF _Toc101366041 \h </w:instrText>
            </w:r>
            <w:r w:rsidR="00E37EEC">
              <w:rPr>
                <w:noProof/>
                <w:webHidden/>
              </w:rPr>
            </w:r>
            <w:r w:rsidR="00E37EEC">
              <w:rPr>
                <w:noProof/>
                <w:webHidden/>
              </w:rPr>
              <w:fldChar w:fldCharType="separate"/>
            </w:r>
            <w:r w:rsidR="00E37EEC">
              <w:rPr>
                <w:noProof/>
                <w:webHidden/>
              </w:rPr>
              <w:t>10</w:t>
            </w:r>
            <w:r w:rsidR="00E37EEC">
              <w:rPr>
                <w:noProof/>
                <w:webHidden/>
              </w:rPr>
              <w:fldChar w:fldCharType="end"/>
            </w:r>
          </w:hyperlink>
        </w:p>
        <w:p w14:paraId="6084BE7C" w14:textId="40CB6377" w:rsidR="00F91EC8" w:rsidRDefault="00BC7FBB">
          <w:r>
            <w:fldChar w:fldCharType="end"/>
          </w:r>
        </w:p>
      </w:sdtContent>
    </w:sdt>
    <w:p w14:paraId="5F8C8BBD" w14:textId="77777777" w:rsidR="00F91EC8" w:rsidRDefault="00F91EC8">
      <w:pPr>
        <w:spacing w:before="0" w:after="200" w:line="276" w:lineRule="auto"/>
        <w:jc w:val="left"/>
        <w:rPr>
          <w:rFonts w:eastAsiaTheme="majorEastAsia" w:cstheme="majorBidi"/>
          <w:bCs/>
          <w:color w:val="365F91" w:themeColor="accent1" w:themeShade="BF"/>
          <w:sz w:val="32"/>
          <w:szCs w:val="28"/>
        </w:rPr>
      </w:pPr>
      <w:r>
        <w:br w:type="page"/>
      </w:r>
    </w:p>
    <w:p w14:paraId="2DD9B2B2" w14:textId="77777777" w:rsidR="00F91EC8" w:rsidRDefault="00F91EC8" w:rsidP="00F91EC8">
      <w:pPr>
        <w:pStyle w:val="Heading1"/>
      </w:pPr>
      <w:bookmarkStart w:id="1" w:name="_Toc101366030"/>
      <w:r>
        <w:lastRenderedPageBreak/>
        <w:t>Introduction</w:t>
      </w:r>
      <w:bookmarkEnd w:id="0"/>
      <w:bookmarkEnd w:id="1"/>
    </w:p>
    <w:p w14:paraId="13A912C2" w14:textId="57AAEA85" w:rsidR="00F91EC8" w:rsidRPr="00C06C56" w:rsidRDefault="00F91EC8" w:rsidP="00F91EC8">
      <w:r>
        <w:t>Participatin</w:t>
      </w:r>
      <w:r w:rsidR="00F75193">
        <w:t>g in the well-being of Barking &amp; Dagenham</w:t>
      </w:r>
      <w:r>
        <w:t xml:space="preserve"> community and assisting a specific organization is what community involvement entails. They are national standards for community involvement for the local community in the United Kingdom, allowing them to bill and promote more collaboration between public services and agencies. People who work for these communities are usually those with comparable interests, situations, and geographic proximity</w:t>
      </w:r>
      <w:r w:rsidR="00FE29CA">
        <w:t xml:space="preserve"> </w:t>
      </w:r>
      <w:r>
        <w:rPr>
          <w:rStyle w:val="selectable"/>
          <w:color w:val="000000"/>
        </w:rPr>
        <w:t>(Collins, 2017)</w:t>
      </w:r>
      <w:r>
        <w:t>. To attain their goals, these communities establish certain policies and agendas. To achieve these objectives, not only residents of the community but also community stakeholders, must step forward and use their channels to promote the community. There are different roles for different aspects, such as active consultation, effective communication, stakeholders’ participation, and inclusion. There are social media platforms for activities like social media mapping, which increase the engagement of people in communities. They create many differences in the engagement of communities. As a community engagement practitioner, it has been my task to evaluate those aspects, and this report has been organized in such a way that all these topics have been analyzed, evaluated, justified, and discussed.</w:t>
      </w:r>
    </w:p>
    <w:p w14:paraId="584169E0" w14:textId="77777777" w:rsidR="00F91EC8" w:rsidRPr="00F1132F" w:rsidRDefault="00F91EC8" w:rsidP="00F91EC8"/>
    <w:p w14:paraId="6087A890" w14:textId="77777777" w:rsidR="00F91EC8" w:rsidRDefault="00F91EC8" w:rsidP="00F91EC8">
      <w:pPr>
        <w:spacing w:before="0" w:after="200"/>
        <w:rPr>
          <w:rFonts w:eastAsiaTheme="majorEastAsia" w:cstheme="majorBidi"/>
          <w:bCs/>
          <w:color w:val="365F91" w:themeColor="accent1" w:themeShade="BF"/>
          <w:sz w:val="32"/>
          <w:szCs w:val="28"/>
        </w:rPr>
      </w:pPr>
      <w:r>
        <w:br w:type="page"/>
      </w:r>
    </w:p>
    <w:p w14:paraId="4F5A959F" w14:textId="77777777" w:rsidR="00F91EC8" w:rsidRDefault="00F91EC8" w:rsidP="00F91EC8">
      <w:pPr>
        <w:pStyle w:val="Heading1"/>
      </w:pPr>
      <w:bookmarkStart w:id="2" w:name="_Toc101235768"/>
      <w:bookmarkStart w:id="3" w:name="_Toc101366031"/>
      <w:r>
        <w:lastRenderedPageBreak/>
        <w:t>Comparison, analysis, and evaluation of the community engagement approaches</w:t>
      </w:r>
      <w:bookmarkEnd w:id="2"/>
      <w:bookmarkEnd w:id="3"/>
    </w:p>
    <w:p w14:paraId="612AD185" w14:textId="29E91D46" w:rsidR="00F91EC8" w:rsidRPr="00CB1FB0" w:rsidRDefault="00F91EC8" w:rsidP="00F91EC8">
      <w:r>
        <w:t xml:space="preserve">Community engagement means participating in the welfare of a specific community and helping a specific organization. </w:t>
      </w:r>
      <w:r w:rsidRPr="00D50B38">
        <w:rPr>
          <w:color w:val="000000" w:themeColor="text1"/>
        </w:rPr>
        <w:t xml:space="preserve">There are different types of projects that are initiated for the betterment of the people in society, and in assessment 1, a project like that has been mentioned that works with the community of unemployed people. </w:t>
      </w:r>
      <w:r w:rsidR="00813917">
        <w:rPr>
          <w:color w:val="000000" w:themeColor="text1"/>
        </w:rPr>
        <w:t xml:space="preserve">Barking &amp; Dagenham </w:t>
      </w:r>
      <w:r w:rsidRPr="00D50B38">
        <w:rPr>
          <w:color w:val="000000" w:themeColor="text1"/>
        </w:rPr>
        <w:t>Community services have been providing them with jobs in the community and the necessary supplies of items so that the unemployed can lead a good life. As a community engagement practitioner, I would have engaged them with different types of communities so that their opportunities could get broader and better. Other than that, I would have focused on the education of the kids of those families so that their education wouldn't be compromised in this difficult situation</w:t>
      </w:r>
      <w:r w:rsidRPr="00D50B38">
        <w:rPr>
          <w:rStyle w:val="selectable"/>
          <w:color w:val="000000" w:themeColor="text1"/>
        </w:rPr>
        <w:t>(Deans, Roswell, and Wurr, 2010)</w:t>
      </w:r>
      <w:r w:rsidRPr="00D50B38">
        <w:rPr>
          <w:color w:val="000000" w:themeColor="text1"/>
        </w:rPr>
        <w:t>. Some principles are followed in assessment 1, and those</w:t>
      </w:r>
      <w:r>
        <w:t xml:space="preserve"> principles mainly represent the importance of equality and diversity among people and communities. They also represent a clear sense of purpose and recognize the effective methods of achieving change. As a community engagement practitioner, I think the principles, methods, and approaches are best practices considering the projects. There were some differences among the approaches, as there are four different types of approaches, such as community meetings, focus groups, service, and web-based engagement. But for the project, the right approaches were used and the principles remain similar as the principles of community engagement remain the same for every community in maintaining equality and diversity. The approaches chosen for those exact projects should have been done more broadly, but they are still appropriate according to the projects.</w:t>
      </w:r>
    </w:p>
    <w:p w14:paraId="42B4D693" w14:textId="77777777" w:rsidR="00F91EC8" w:rsidRDefault="00F91EC8" w:rsidP="00F91EC8">
      <w:pPr>
        <w:pStyle w:val="Heading1"/>
      </w:pPr>
      <w:bookmarkStart w:id="4" w:name="_Toc101235769"/>
      <w:bookmarkStart w:id="5" w:name="_Toc101366032"/>
      <w:r>
        <w:t>Roles of different aspects in community engagement</w:t>
      </w:r>
      <w:bookmarkEnd w:id="4"/>
      <w:bookmarkEnd w:id="5"/>
    </w:p>
    <w:p w14:paraId="2E989786" w14:textId="77777777" w:rsidR="00F91EC8" w:rsidRDefault="00F91EC8" w:rsidP="00F91EC8">
      <w:pPr>
        <w:pStyle w:val="Heading2"/>
      </w:pPr>
      <w:bookmarkStart w:id="6" w:name="_Toc101235770"/>
      <w:bookmarkStart w:id="7" w:name="_Toc101366033"/>
      <w:r>
        <w:t>Active consultation</w:t>
      </w:r>
      <w:bookmarkEnd w:id="6"/>
      <w:bookmarkEnd w:id="7"/>
    </w:p>
    <w:p w14:paraId="2EF9CC84" w14:textId="7F9156D1" w:rsidR="00F91EC8" w:rsidRPr="00FE29CA" w:rsidRDefault="00F91EC8" w:rsidP="00F91EC8">
      <w:r w:rsidRPr="00FE29CA">
        <w:t>Active consultation is known as a dual relationship in which the general community provides feedback on social issues. This feedback consists of different types of perspectives and opinions on the policies, programs, and services of the communities that may affect the general population related to the community.</w:t>
      </w:r>
      <w:r w:rsidR="00394119" w:rsidRPr="00FE29CA">
        <w:t xml:space="preserve"> In my </w:t>
      </w:r>
      <w:r w:rsidR="00394119" w:rsidRPr="00FE29CA">
        <w:lastRenderedPageBreak/>
        <w:t>opinions, a</w:t>
      </w:r>
      <w:r w:rsidRPr="00FE29CA">
        <w:t>ctive consultations can also occur due to the different views on the planning process of any aspect of the community, and they can be used for framing any issue or accessing any existing policies, programs, or services</w:t>
      </w:r>
      <w:r w:rsidR="00FE29CA" w:rsidRPr="00FE29CA">
        <w:t xml:space="preserve"> </w:t>
      </w:r>
      <w:r w:rsidRPr="00FE29CA">
        <w:rPr>
          <w:rStyle w:val="selectable"/>
        </w:rPr>
        <w:t>(Edelenbos, Molenveld, and van Meerkerk, 2021)</w:t>
      </w:r>
      <w:r w:rsidRPr="00FE29CA">
        <w:t>. With the help of active consultation, the people in the community can get an outcome by contributing to the community. There are many consultation techniques, and they include focus groups, anecdote circles, discussion groups, online consultations, public scrutiny, opinion service, and more. Usually, in these types of active consultation techniques, people with the same issues regarding the services, programs, and projects of the community are supposed to get together and consult</w:t>
      </w:r>
      <w:r w:rsidR="00394119" w:rsidRPr="00FE29CA">
        <w:t xml:space="preserve"> about the topics. I have examined the issues, builded</w:t>
      </w:r>
      <w:r w:rsidRPr="00FE29CA">
        <w:t xml:space="preserve"> new ranges of communicati</w:t>
      </w:r>
      <w:r w:rsidR="00394119" w:rsidRPr="00FE29CA">
        <w:t>on, inspired</w:t>
      </w:r>
      <w:r w:rsidRPr="00FE29CA">
        <w:t xml:space="preserve"> people to </w:t>
      </w:r>
      <w:r w:rsidR="00394119" w:rsidRPr="00FE29CA">
        <w:t>state their opinions, organized</w:t>
      </w:r>
      <w:r w:rsidRPr="00FE29CA">
        <w:t xml:space="preserve"> differen</w:t>
      </w:r>
      <w:r w:rsidR="00394119" w:rsidRPr="00FE29CA">
        <w:t>t types of tasks, and discussed</w:t>
      </w:r>
      <w:r w:rsidRPr="00FE29CA">
        <w:t xml:space="preserve"> the positive and negative aspects of the agenda</w:t>
      </w:r>
      <w:r w:rsidR="00394119" w:rsidRPr="00FE29CA">
        <w:t xml:space="preserve"> with the help of active consultation</w:t>
      </w:r>
      <w:r w:rsidR="00FE29CA" w:rsidRPr="00FE29CA">
        <w:t xml:space="preserve"> </w:t>
      </w:r>
      <w:r w:rsidRPr="00FE29CA">
        <w:rPr>
          <w:rStyle w:val="selectable"/>
        </w:rPr>
        <w:t>(Norton and Hughes, 2018)</w:t>
      </w:r>
      <w:r w:rsidRPr="00FE29CA">
        <w:t xml:space="preserve">. </w:t>
      </w:r>
      <w:r w:rsidRPr="00FE29CA">
        <w:rPr>
          <w:rStyle w:val="blue-complex-underline"/>
        </w:rPr>
        <w:t>Through public and active concentration, communication among the people of the community increases as well.</w:t>
      </w:r>
    </w:p>
    <w:p w14:paraId="4027BFD1" w14:textId="77777777" w:rsidR="00F91EC8" w:rsidRDefault="00F91EC8" w:rsidP="00F91EC8">
      <w:pPr>
        <w:pStyle w:val="Heading2"/>
      </w:pPr>
      <w:bookmarkStart w:id="8" w:name="_Toc101235771"/>
      <w:bookmarkStart w:id="9" w:name="_Toc101366034"/>
      <w:r>
        <w:t>Effective communication</w:t>
      </w:r>
      <w:bookmarkEnd w:id="8"/>
      <w:bookmarkEnd w:id="9"/>
    </w:p>
    <w:p w14:paraId="4FF682ED" w14:textId="1D4F534A" w:rsidR="00F91EC8" w:rsidRPr="00CB1FB0" w:rsidRDefault="00F91EC8" w:rsidP="00F91EC8">
      <w:r>
        <w:t xml:space="preserve">Effective communication is one of the greatest ways of bringing all the people </w:t>
      </w:r>
      <w:r w:rsidRPr="00FE29CA">
        <w:t>working for the community together for the</w:t>
      </w:r>
      <w:r w:rsidR="00394119" w:rsidRPr="00FE29CA">
        <w:t xml:space="preserve"> advancement of the community. I think c</w:t>
      </w:r>
      <w:r w:rsidRPr="00FE29CA">
        <w:t>ommunication and community engagement are like umbrella terms that cover the active participation of the employees and stakeholders in sharing different types of information and providing consultation at all levels</w:t>
      </w:r>
      <w:r w:rsidR="00FE29CA" w:rsidRPr="00FE29CA">
        <w:t xml:space="preserve"> </w:t>
      </w:r>
      <w:r w:rsidRPr="00FE29CA">
        <w:rPr>
          <w:rStyle w:val="selectable"/>
        </w:rPr>
        <w:t>(WHO, 2020)</w:t>
      </w:r>
      <w:r w:rsidRPr="00FE29CA">
        <w:t>. This is the process of building a relationship of faith and trust among the people of a community and detecting the issues that affect that community to solve them. With the help of effective communication, the stakeholders can be a huge part of the community</w:t>
      </w:r>
      <w:r w:rsidR="00FE29CA" w:rsidRPr="00FE29CA">
        <w:t xml:space="preserve"> </w:t>
      </w:r>
      <w:r w:rsidRPr="00FE29CA">
        <w:rPr>
          <w:rStyle w:val="selectable"/>
        </w:rPr>
        <w:t>(Ogawa, Mundaca Shah, and Alper, 2017)</w:t>
      </w:r>
      <w:r w:rsidRPr="00FE29CA">
        <w:t>. So, with the help of effective communication,</w:t>
      </w:r>
      <w:r w:rsidR="00394119" w:rsidRPr="00FE29CA">
        <w:t xml:space="preserve"> I have brought</w:t>
      </w:r>
      <w:r w:rsidRPr="00FE29CA">
        <w:t xml:space="preserve"> </w:t>
      </w:r>
      <w:r w:rsidR="00394119" w:rsidRPr="00FE29CA">
        <w:t>the stakeholders to the community and they were</w:t>
      </w:r>
      <w:r w:rsidRPr="00FE29CA">
        <w:t xml:space="preserve"> very beneficial to the people. Thus, the effect of effective communication on community engagement is significant.</w:t>
      </w:r>
    </w:p>
    <w:p w14:paraId="3F099B4F" w14:textId="77777777" w:rsidR="00F91EC8" w:rsidRDefault="00F91EC8" w:rsidP="00F91EC8">
      <w:pPr>
        <w:pStyle w:val="Heading2"/>
      </w:pPr>
      <w:bookmarkStart w:id="10" w:name="_Toc101235772"/>
      <w:bookmarkStart w:id="11" w:name="_Toc101366035"/>
      <w:r>
        <w:t>Stakeholders’ participation</w:t>
      </w:r>
      <w:bookmarkEnd w:id="10"/>
      <w:bookmarkEnd w:id="11"/>
    </w:p>
    <w:p w14:paraId="6E97FE0A" w14:textId="4E0AC32F" w:rsidR="00F91EC8" w:rsidRPr="005A7193" w:rsidRDefault="00F91EC8" w:rsidP="00F91EC8">
      <w:r>
        <w:t xml:space="preserve">With the help of effective communication, stakeholders can easily engage with the communities so that the community can be improved. Stay an older group of people. </w:t>
      </w:r>
      <w:r>
        <w:lastRenderedPageBreak/>
        <w:t>That can be a political party, a single organization, or a single group with a sp</w:t>
      </w:r>
      <w:r w:rsidR="00AC219B">
        <w:t xml:space="preserve">ecific stake </w:t>
      </w:r>
      <w:r w:rsidR="00AC219B" w:rsidRPr="00FE29CA">
        <w:t>in the community. I think t</w:t>
      </w:r>
      <w:r w:rsidRPr="00FE29CA">
        <w:t>he engagement of stakeholders is done in an integrated manner so that the communication and policy strategies are ensured for the technical support of the community</w:t>
      </w:r>
      <w:r w:rsidR="00FE29CA">
        <w:t xml:space="preserve"> </w:t>
      </w:r>
      <w:r w:rsidRPr="00FE29CA">
        <w:rPr>
          <w:rStyle w:val="selectable"/>
        </w:rPr>
        <w:t>(WHO, 2020)</w:t>
      </w:r>
      <w:r w:rsidRPr="00FE29CA">
        <w:t xml:space="preserve">. With the help of stakeholders, a wide range of audiences can be targeted for the community so that they can join it. Stakeholders do not directly make any decisions for the community, but they take part in the decision-making and problem-solving processes. </w:t>
      </w:r>
      <w:r w:rsidR="00AC219B" w:rsidRPr="00FE29CA">
        <w:t>In my opinion, t</w:t>
      </w:r>
      <w:r w:rsidRPr="00FE29CA">
        <w:t>hey state their opinion regarding any issue, which works as a third-eye perspective and helps the people of the community resolve the issue in a better manner. They also help in initiating different projects and implementing new technology into new plans in the community. They also promote the community</w:t>
      </w:r>
      <w:r>
        <w:t xml:space="preserve"> in such a manner that people become interested in the community and work for it</w:t>
      </w:r>
      <w:r w:rsidR="00FE29CA">
        <w:t xml:space="preserve"> </w:t>
      </w:r>
      <w:r>
        <w:rPr>
          <w:rStyle w:val="selectable"/>
          <w:color w:val="000000"/>
        </w:rPr>
        <w:t>(Chauke, 2016)</w:t>
      </w:r>
      <w:r>
        <w:t>. This creates a relationship of transparency among the people of the community, and they can trust the authorities of the community in a better manner. Stakeholders play a vital role in community engagement.</w:t>
      </w:r>
    </w:p>
    <w:p w14:paraId="57F9A564" w14:textId="77777777" w:rsidR="00F91EC8" w:rsidRDefault="00F91EC8" w:rsidP="00F91EC8">
      <w:pPr>
        <w:pStyle w:val="Heading2"/>
      </w:pPr>
      <w:bookmarkStart w:id="12" w:name="_Toc101235773"/>
      <w:bookmarkStart w:id="13" w:name="_Toc101366036"/>
      <w:r>
        <w:t>Inclusion</w:t>
      </w:r>
      <w:bookmarkEnd w:id="12"/>
      <w:bookmarkEnd w:id="13"/>
    </w:p>
    <w:p w14:paraId="1F4ACC90" w14:textId="77777777" w:rsidR="00F91EC8" w:rsidRPr="005A7193" w:rsidRDefault="00F91EC8" w:rsidP="00F91EC8">
      <w:r w:rsidRPr="005A7193">
        <w:t xml:space="preserve">The possibility to live and exist as a contributing member of a community is referred to as inclusion in community engagement. Regardless of his impairments, the community member uses his strengths and skills for the development of the community in this process. The basic purpose of inclusion is to involve every member of a community in every decision made by that group for everyone to </w:t>
      </w:r>
      <w:r w:rsidRPr="00FE29CA">
        <w:t xml:space="preserve">contribute equally to society. </w:t>
      </w:r>
      <w:r w:rsidR="008713AA" w:rsidRPr="00FE29CA">
        <w:t>With the help of i</w:t>
      </w:r>
      <w:r w:rsidRPr="00FE29CA">
        <w:t>nclusion</w:t>
      </w:r>
      <w:r w:rsidR="008713AA" w:rsidRPr="00FE29CA">
        <w:t>, I have observed</w:t>
      </w:r>
      <w:r w:rsidRPr="00FE29CA">
        <w:t xml:space="preserve"> engagement encompasses a wide range of activities, including employment, housing, and more</w:t>
      </w:r>
      <w:r w:rsidR="008713AA" w:rsidRPr="00FE29CA">
        <w:t xml:space="preserve"> in community </w:t>
      </w:r>
      <w:r w:rsidRPr="00FE29CA">
        <w:rPr>
          <w:rStyle w:val="selectable"/>
        </w:rPr>
        <w:t>(Bottrell and Goodwin, 2011)</w:t>
      </w:r>
      <w:r w:rsidRPr="00FE29CA">
        <w:t xml:space="preserve">. People can have a better understanding of their community and become a part of it with the support of inclusion. </w:t>
      </w:r>
      <w:r w:rsidR="000108D0" w:rsidRPr="00FE29CA">
        <w:t>As a community engagement practitioner, I</w:t>
      </w:r>
      <w:r w:rsidRPr="00FE29CA">
        <w:t xml:space="preserve"> under</w:t>
      </w:r>
      <w:r w:rsidR="000108D0" w:rsidRPr="00FE29CA">
        <w:t>stand, care for, and respect others</w:t>
      </w:r>
      <w:r w:rsidRPr="00FE29CA">
        <w:t xml:space="preserve"> in this form of engagement, regardless of their gender, ethnicity, religion, color, caste, or nationality. To be a part of inclusion, every general member of the community must work diligently for the community. Inclusion is a powerful force for community participation, which provides</w:t>
      </w:r>
      <w:r w:rsidRPr="005A7193">
        <w:t xml:space="preserve"> chances and opportunities for community members. This eventually leads to some positive outcomes for those</w:t>
      </w:r>
      <w:r>
        <w:t xml:space="preserve"> who are part of the community.</w:t>
      </w:r>
    </w:p>
    <w:p w14:paraId="139684FC" w14:textId="77777777" w:rsidR="00F91EC8" w:rsidRDefault="00F91EC8" w:rsidP="00F91EC8">
      <w:pPr>
        <w:pStyle w:val="Heading1"/>
      </w:pPr>
      <w:bookmarkStart w:id="14" w:name="_Toc101235774"/>
      <w:bookmarkStart w:id="15" w:name="_Toc101366037"/>
      <w:r>
        <w:lastRenderedPageBreak/>
        <w:t>Community mapping through social media</w:t>
      </w:r>
      <w:bookmarkEnd w:id="14"/>
      <w:bookmarkEnd w:id="15"/>
    </w:p>
    <w:p w14:paraId="107874C4" w14:textId="4F300AE4" w:rsidR="00F91EC8" w:rsidRDefault="00F91EC8" w:rsidP="00F91EC8">
      <w:pPr>
        <w:rPr>
          <w:rStyle w:val="blue-complex-underline"/>
        </w:rPr>
      </w:pPr>
      <w:r>
        <w:t xml:space="preserve">Social media community mapping is a method that is used for determining and </w:t>
      </w:r>
      <w:r w:rsidRPr="00FE29CA">
        <w:t xml:space="preserve">understanding the types of social interactions between individuals and the groups related to their community. With the help of this method, </w:t>
      </w:r>
      <w:r w:rsidR="005B7713" w:rsidRPr="00FE29CA">
        <w:t xml:space="preserve">I have observed </w:t>
      </w:r>
      <w:r w:rsidRPr="00FE29CA">
        <w:t>the level of interaction among all the people in the community in an arranged manner. It helps the people of the community to figure out the influence of one group or individual on another group or individual</w:t>
      </w:r>
      <w:r w:rsidR="00FE29CA" w:rsidRPr="00FE29CA">
        <w:t xml:space="preserve"> </w:t>
      </w:r>
      <w:r w:rsidRPr="00FE29CA">
        <w:rPr>
          <w:rStyle w:val="selectable"/>
        </w:rPr>
        <w:t>(Inkelas, Jessup-Anger, Benjamin, and Wawrzynski, 2018)</w:t>
      </w:r>
      <w:r w:rsidRPr="00FE29CA">
        <w:t>. There is usually a flowchart of how things work in social media for a community. There are four steps to social media</w:t>
      </w:r>
      <w:r>
        <w:t xml:space="preserve"> mapping, which include listening, assessing, engaging, and repeating. </w:t>
      </w:r>
      <w:r>
        <w:rPr>
          <w:rStyle w:val="blue-complex-underline"/>
        </w:rPr>
        <w:t>Certain groups or individuals are assigned these different sets of responsibilities to build good social networking among the people of the community.</w:t>
      </w:r>
    </w:p>
    <w:p w14:paraId="78244609" w14:textId="77777777" w:rsidR="00F91EC8" w:rsidRDefault="00F91EC8" w:rsidP="005B7713">
      <w:pPr>
        <w:jc w:val="center"/>
      </w:pPr>
      <w:r>
        <w:rPr>
          <w:noProof/>
          <w:lang w:val="en-GB" w:eastAsia="en-GB"/>
        </w:rPr>
        <w:drawing>
          <wp:inline distT="0" distB="0" distL="0" distR="0" wp14:anchorId="1FD71239" wp14:editId="18E2D513">
            <wp:extent cx="3135386" cy="1981200"/>
            <wp:effectExtent l="19050" t="0" r="7864" b="0"/>
            <wp:docPr id="1" name="Picture 1" descr="D:\zarin\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zarin\Capture.PNG"/>
                    <pic:cNvPicPr>
                      <a:picLocks noChangeAspect="1" noChangeArrowheads="1"/>
                    </pic:cNvPicPr>
                  </pic:nvPicPr>
                  <pic:blipFill>
                    <a:blip r:embed="rId8"/>
                    <a:srcRect/>
                    <a:stretch>
                      <a:fillRect/>
                    </a:stretch>
                  </pic:blipFill>
                  <pic:spPr bwMode="auto">
                    <a:xfrm>
                      <a:off x="0" y="0"/>
                      <a:ext cx="3147487" cy="1988846"/>
                    </a:xfrm>
                    <a:prstGeom prst="rect">
                      <a:avLst/>
                    </a:prstGeom>
                    <a:noFill/>
                    <a:ln w="9525">
                      <a:noFill/>
                      <a:miter lim="800000"/>
                      <a:headEnd/>
                      <a:tailEnd/>
                    </a:ln>
                  </pic:spPr>
                </pic:pic>
              </a:graphicData>
            </a:graphic>
          </wp:inline>
        </w:drawing>
      </w:r>
    </w:p>
    <w:p w14:paraId="229FC860" w14:textId="77777777" w:rsidR="00F91EC8" w:rsidRPr="009F7D69" w:rsidRDefault="00F91EC8" w:rsidP="00F91EC8">
      <w:pPr>
        <w:jc w:val="center"/>
      </w:pPr>
      <w:r>
        <w:t>Figure: Social Media Mapping of Community Engagement</w:t>
      </w:r>
    </w:p>
    <w:p w14:paraId="66D6BD26" w14:textId="77777777" w:rsidR="00F91EC8" w:rsidRDefault="00F91EC8" w:rsidP="00F91EC8">
      <w:pPr>
        <w:pStyle w:val="Heading1"/>
      </w:pPr>
      <w:bookmarkStart w:id="16" w:name="_Toc101235775"/>
      <w:bookmarkStart w:id="17" w:name="_Toc101366038"/>
      <w:r>
        <w:t>Social engagement</w:t>
      </w:r>
      <w:bookmarkEnd w:id="16"/>
      <w:bookmarkEnd w:id="17"/>
    </w:p>
    <w:p w14:paraId="5723566F" w14:textId="011EAD1D" w:rsidR="00F91EC8" w:rsidRPr="009F7D69" w:rsidRDefault="00F91EC8" w:rsidP="00F91EC8">
      <w:r w:rsidRPr="009F7D69">
        <w:t xml:space="preserve">In this technological age, social media platforms are critical for community participation. On social media platforms, there are various types of engagement methods that communities can use, and each platform has its unique method of </w:t>
      </w:r>
      <w:r w:rsidRPr="00FE29CA">
        <w:t xml:space="preserve">engagement. There are tools for posting, sharing, and advertising the community's activities so that individuals may simply learn about them and, if they are interested, join. It has become easier for </w:t>
      </w:r>
      <w:r w:rsidR="00A95CD2" w:rsidRPr="00FE29CA">
        <w:t>me</w:t>
      </w:r>
      <w:r w:rsidRPr="00FE29CA">
        <w:t xml:space="preserve"> to reach out to </w:t>
      </w:r>
      <w:r w:rsidR="00A95CD2" w:rsidRPr="00FE29CA">
        <w:t>the</w:t>
      </w:r>
      <w:r w:rsidRPr="00FE29CA">
        <w:t xml:space="preserve"> audiences and stakeholders </w:t>
      </w:r>
      <w:r w:rsidR="00A95CD2" w:rsidRPr="00FE29CA">
        <w:t xml:space="preserve">of the communities </w:t>
      </w:r>
      <w:r w:rsidRPr="00FE29CA">
        <w:t xml:space="preserve">thanks to social media platforms. People may readily access the </w:t>
      </w:r>
      <w:r w:rsidRPr="00FE29CA">
        <w:lastRenderedPageBreak/>
        <w:t>communities they want to work in and contribute to the advancement of those places</w:t>
      </w:r>
      <w:r w:rsidR="00FE29CA" w:rsidRPr="00FE29CA">
        <w:t xml:space="preserve"> </w:t>
      </w:r>
      <w:r w:rsidRPr="00FE29CA">
        <w:rPr>
          <w:rStyle w:val="selectable"/>
        </w:rPr>
        <w:t>(Dostilio, Welch, and Dostilio, 2018</w:t>
      </w:r>
      <w:r>
        <w:rPr>
          <w:rStyle w:val="selectable"/>
          <w:color w:val="000000"/>
        </w:rPr>
        <w:t>)</w:t>
      </w:r>
      <w:r w:rsidRPr="009F7D69">
        <w:t>. This is why the community has grown more reachable to the wider public and why people are showing</w:t>
      </w:r>
      <w:r>
        <w:t xml:space="preserve"> an increased interest in them.</w:t>
      </w:r>
    </w:p>
    <w:p w14:paraId="01B7D54B" w14:textId="77777777" w:rsidR="00F91EC8" w:rsidRDefault="00F91EC8" w:rsidP="00F91EC8">
      <w:pPr>
        <w:pStyle w:val="Heading1"/>
      </w:pPr>
      <w:bookmarkStart w:id="18" w:name="_Toc101235776"/>
      <w:bookmarkStart w:id="19" w:name="_Toc101366039"/>
      <w:r>
        <w:t>Analysis, evaluation, and justification of the best practices</w:t>
      </w:r>
      <w:bookmarkEnd w:id="18"/>
      <w:bookmarkEnd w:id="19"/>
    </w:p>
    <w:p w14:paraId="047E401E" w14:textId="10E3F4AD" w:rsidR="00F91EC8" w:rsidRPr="00FE29CA" w:rsidRDefault="00F91EC8" w:rsidP="00F91EC8">
      <w:r w:rsidRPr="00FE29CA">
        <w:t xml:space="preserve">For fostering community engagement, social media mapping has proven a good strategy. This is one of the best examples of how social media can be used in real life. </w:t>
      </w:r>
      <w:r w:rsidR="00A95CD2" w:rsidRPr="00FE29CA">
        <w:t>I think c</w:t>
      </w:r>
      <w:r w:rsidRPr="00FE29CA">
        <w:t>ommunities have been able to improve their communication with stakeholders and contributors to the community by using social media mapping</w:t>
      </w:r>
      <w:r w:rsidR="00FE29CA" w:rsidRPr="00FE29CA">
        <w:t xml:space="preserve"> </w:t>
      </w:r>
      <w:r w:rsidRPr="00FE29CA">
        <w:rPr>
          <w:rStyle w:val="selectable"/>
        </w:rPr>
        <w:t>(Wilson, 2019)</w:t>
      </w:r>
      <w:r w:rsidRPr="00FE29CA">
        <w:t xml:space="preserve">. It has been my responsibility as a community engagement practitioner to analyze the progress of social media mapping on various social media platforms, and it has been a fruitful expedition. Although some changes might be made, the startup has been excellent. </w:t>
      </w:r>
    </w:p>
    <w:p w14:paraId="7A6E7645" w14:textId="77777777" w:rsidR="00F91EC8" w:rsidRDefault="00F91EC8">
      <w:pPr>
        <w:spacing w:before="0" w:after="200" w:line="276" w:lineRule="auto"/>
        <w:jc w:val="left"/>
        <w:rPr>
          <w:rFonts w:eastAsiaTheme="majorEastAsia" w:cstheme="majorBidi"/>
          <w:bCs/>
          <w:color w:val="365F91" w:themeColor="accent1" w:themeShade="BF"/>
          <w:sz w:val="32"/>
          <w:szCs w:val="28"/>
        </w:rPr>
      </w:pPr>
      <w:bookmarkStart w:id="20" w:name="_Toc101235777"/>
      <w:r>
        <w:br w:type="page"/>
      </w:r>
    </w:p>
    <w:p w14:paraId="7ABC2ED0" w14:textId="77777777" w:rsidR="00F91EC8" w:rsidRDefault="00F91EC8" w:rsidP="00F91EC8">
      <w:pPr>
        <w:pStyle w:val="Heading1"/>
      </w:pPr>
      <w:bookmarkStart w:id="21" w:name="_Toc101366040"/>
      <w:r>
        <w:lastRenderedPageBreak/>
        <w:t>Conclusion</w:t>
      </w:r>
      <w:bookmarkEnd w:id="20"/>
      <w:bookmarkEnd w:id="21"/>
    </w:p>
    <w:p w14:paraId="205CD8ED" w14:textId="47DEC1ED" w:rsidR="00F91EC8" w:rsidRPr="00FE29CA" w:rsidRDefault="00B55E6B" w:rsidP="00F91EC8">
      <w:r>
        <w:t xml:space="preserve">Barking &amp; Dagenham </w:t>
      </w:r>
      <w:bookmarkStart w:id="22" w:name="_GoBack"/>
      <w:bookmarkEnd w:id="22"/>
      <w:r w:rsidR="00F91EC8" w:rsidRPr="00FE29CA">
        <w:t>Community participation is defined as being affiliated with an organization that contributes to the well-being of a certain community. It is a strategy of working with and through a group of people who are interested in similar circumstances, geographical proximity, or certain activities that have an impact on their well-being. To attain their goals, these communities establish certain policies and agendas. To achieve these objectives, not only residents of the community but also community stakeholders, must step forward and use their channels to promote the community. Stakeholder engagement with the community can take a variety of forms and follow a variety of concepts. They are usually contacted through a variety of methods, one of which is through social media sites. In analyzing all of these areas of community involvement, a community engagement practitioner is essential</w:t>
      </w:r>
      <w:r w:rsidR="00FE29CA">
        <w:t xml:space="preserve"> </w:t>
      </w:r>
      <w:r w:rsidR="00F91EC8" w:rsidRPr="00FE29CA">
        <w:rPr>
          <w:rStyle w:val="selectable"/>
        </w:rPr>
        <w:t>(Sarkissian, Hurford, and Wenman, 2010)</w:t>
      </w:r>
      <w:r w:rsidR="00F91EC8" w:rsidRPr="00FE29CA">
        <w:t xml:space="preserve">. For various areas, such as active consultation, effective communication, stakeholder participation, and inclusiveness, distinct roles exist. There are social media platforms for activities such as social media mapping that help people get more involved in their communities. They have a significant impact on community engagement. Stakeholders can be invited to various community events via this platform, and they will be able to participate in community services as a result of this process. Community engagement enables people to help each other by giving access to unique resources, contributing to meaningful work, developing skills and capabilities, and participating in full-time activities. A community engagement practitioner is usually hired to help a specific community with different types of activities. </w:t>
      </w:r>
      <w:r w:rsidR="00DA6904" w:rsidRPr="00FE29CA">
        <w:t>I have presented in this report that c</w:t>
      </w:r>
      <w:r w:rsidR="00F91EC8" w:rsidRPr="00FE29CA">
        <w:t>ommunity engagement can be improved with the assistance of the</w:t>
      </w:r>
      <w:r w:rsidR="00DA6904" w:rsidRPr="00FE29CA">
        <w:t>se</w:t>
      </w:r>
      <w:r w:rsidR="00F91EC8" w:rsidRPr="00FE29CA">
        <w:t xml:space="preserve"> activities. Thus, the significance of community engagement is crucial for society as a whole.</w:t>
      </w:r>
    </w:p>
    <w:p w14:paraId="24FABD36" w14:textId="77777777" w:rsidR="00F91EC8" w:rsidRDefault="00F91EC8">
      <w:pPr>
        <w:spacing w:before="0" w:after="200" w:line="276" w:lineRule="auto"/>
        <w:jc w:val="left"/>
        <w:rPr>
          <w:rFonts w:eastAsiaTheme="majorEastAsia" w:cstheme="majorBidi"/>
          <w:bCs/>
          <w:color w:val="365F91" w:themeColor="accent1" w:themeShade="BF"/>
          <w:sz w:val="32"/>
          <w:szCs w:val="28"/>
        </w:rPr>
      </w:pPr>
      <w:r>
        <w:br w:type="page"/>
      </w:r>
    </w:p>
    <w:p w14:paraId="42399489" w14:textId="77777777" w:rsidR="00741D26" w:rsidRDefault="00F91EC8" w:rsidP="00F91EC8">
      <w:pPr>
        <w:pStyle w:val="Heading1"/>
      </w:pPr>
      <w:bookmarkStart w:id="23" w:name="_Toc101366041"/>
      <w:r>
        <w:lastRenderedPageBreak/>
        <w:t>References</w:t>
      </w:r>
      <w:bookmarkEnd w:id="23"/>
    </w:p>
    <w:p w14:paraId="62FA0F0C" w14:textId="77777777" w:rsidR="00E37EEC" w:rsidRPr="002B3958" w:rsidRDefault="00E37EEC" w:rsidP="00F91EC8">
      <w:pPr>
        <w:rPr>
          <w:rStyle w:val="selectable"/>
          <w:color w:val="000000"/>
        </w:rPr>
      </w:pPr>
      <w:r w:rsidRPr="002B3958">
        <w:rPr>
          <w:rStyle w:val="selectable"/>
          <w:color w:val="000000"/>
        </w:rPr>
        <w:t xml:space="preserve">Bottrell, D. and Goodwin, S., 2011. </w:t>
      </w:r>
      <w:r w:rsidRPr="002B3958">
        <w:rPr>
          <w:rStyle w:val="selectable"/>
          <w:i/>
          <w:iCs/>
          <w:color w:val="000000"/>
        </w:rPr>
        <w:t>Schools, communities and social inclusion</w:t>
      </w:r>
      <w:r w:rsidRPr="002B3958">
        <w:rPr>
          <w:rStyle w:val="selectable"/>
          <w:color w:val="000000"/>
        </w:rPr>
        <w:t>. South Yarra, Vic.: Palgrave Macmillan.</w:t>
      </w:r>
    </w:p>
    <w:p w14:paraId="2E202DBB" w14:textId="77777777" w:rsidR="00E37EEC" w:rsidRPr="002B3958" w:rsidRDefault="00E37EEC" w:rsidP="00F91EC8">
      <w:pPr>
        <w:rPr>
          <w:rStyle w:val="selectable"/>
          <w:color w:val="000000"/>
        </w:rPr>
      </w:pPr>
      <w:r w:rsidRPr="002B3958">
        <w:rPr>
          <w:rStyle w:val="selectable"/>
          <w:color w:val="000000"/>
        </w:rPr>
        <w:t xml:space="preserve">Chauke, W., 2016. </w:t>
      </w:r>
      <w:r w:rsidRPr="002B3958">
        <w:rPr>
          <w:rStyle w:val="selectable"/>
          <w:i/>
          <w:iCs/>
          <w:color w:val="000000"/>
        </w:rPr>
        <w:t>Community mobilization and stakeholder participation for development</w:t>
      </w:r>
      <w:r w:rsidRPr="002B3958">
        <w:rPr>
          <w:rStyle w:val="selectable"/>
          <w:color w:val="000000"/>
        </w:rPr>
        <w:t>.</w:t>
      </w:r>
    </w:p>
    <w:p w14:paraId="238727C4" w14:textId="77777777" w:rsidR="00E37EEC" w:rsidRPr="002B3958" w:rsidRDefault="00E37EEC" w:rsidP="00F91EC8">
      <w:pPr>
        <w:rPr>
          <w:rStyle w:val="selectable"/>
          <w:color w:val="000000"/>
        </w:rPr>
      </w:pPr>
      <w:r w:rsidRPr="002B3958">
        <w:rPr>
          <w:rStyle w:val="selectable"/>
          <w:color w:val="000000"/>
        </w:rPr>
        <w:t xml:space="preserve">Collins, C., 2017. </w:t>
      </w:r>
      <w:r w:rsidRPr="002B3958">
        <w:rPr>
          <w:rStyle w:val="selectable"/>
          <w:i/>
          <w:iCs/>
          <w:color w:val="000000"/>
        </w:rPr>
        <w:t>University-Community Engagement in the Asia Pacific</w:t>
      </w:r>
      <w:r w:rsidRPr="002B3958">
        <w:rPr>
          <w:rStyle w:val="selectable"/>
          <w:color w:val="000000"/>
        </w:rPr>
        <w:t>.</w:t>
      </w:r>
    </w:p>
    <w:p w14:paraId="130D52F6" w14:textId="77777777" w:rsidR="00E37EEC" w:rsidRPr="002B3958" w:rsidRDefault="00E37EEC" w:rsidP="00F91EC8">
      <w:pPr>
        <w:rPr>
          <w:rStyle w:val="selectable"/>
          <w:color w:val="000000"/>
        </w:rPr>
      </w:pPr>
      <w:r w:rsidRPr="002B3958">
        <w:rPr>
          <w:rStyle w:val="selectable"/>
          <w:color w:val="000000"/>
        </w:rPr>
        <w:t xml:space="preserve">Deans, T., Roswell, B. and Wurr, A., 2010. </w:t>
      </w:r>
      <w:r w:rsidRPr="002B3958">
        <w:rPr>
          <w:rStyle w:val="selectable"/>
          <w:i/>
          <w:iCs/>
          <w:color w:val="000000"/>
        </w:rPr>
        <w:t>Writing and community engagement</w:t>
      </w:r>
      <w:r w:rsidRPr="002B3958">
        <w:rPr>
          <w:rStyle w:val="selectable"/>
          <w:color w:val="000000"/>
        </w:rPr>
        <w:t>. Boston, MA: Bedford/St. Martin's.</w:t>
      </w:r>
    </w:p>
    <w:p w14:paraId="01346929" w14:textId="77777777" w:rsidR="00E37EEC" w:rsidRPr="002B3958" w:rsidRDefault="00E37EEC" w:rsidP="00F91EC8">
      <w:pPr>
        <w:rPr>
          <w:rStyle w:val="selectable"/>
          <w:color w:val="000000"/>
        </w:rPr>
      </w:pPr>
      <w:r w:rsidRPr="002B3958">
        <w:rPr>
          <w:rStyle w:val="selectable"/>
          <w:color w:val="000000"/>
        </w:rPr>
        <w:t xml:space="preserve">Dostilio, L., Welch, M. and Dostilio, L., 2018. </w:t>
      </w:r>
      <w:r w:rsidRPr="002B3958">
        <w:rPr>
          <w:rStyle w:val="selectable"/>
          <w:i/>
          <w:iCs/>
          <w:color w:val="000000"/>
        </w:rPr>
        <w:t>The community engagement professional's guidebook</w:t>
      </w:r>
      <w:r w:rsidRPr="002B3958">
        <w:rPr>
          <w:rStyle w:val="selectable"/>
          <w:color w:val="000000"/>
        </w:rPr>
        <w:t>.</w:t>
      </w:r>
    </w:p>
    <w:p w14:paraId="52B2E970" w14:textId="77777777" w:rsidR="00E37EEC" w:rsidRPr="002B3958" w:rsidRDefault="00E37EEC" w:rsidP="00F91EC8">
      <w:pPr>
        <w:rPr>
          <w:rStyle w:val="selectable"/>
          <w:color w:val="000000"/>
        </w:rPr>
      </w:pPr>
      <w:r w:rsidRPr="002B3958">
        <w:rPr>
          <w:rStyle w:val="selectable"/>
          <w:color w:val="000000"/>
        </w:rPr>
        <w:t xml:space="preserve">Edelenbos, J., Molenveld, A. and van Meerkerk, I., 2021. </w:t>
      </w:r>
      <w:r w:rsidRPr="002B3958">
        <w:rPr>
          <w:rStyle w:val="selectable"/>
          <w:i/>
          <w:iCs/>
          <w:color w:val="000000"/>
        </w:rPr>
        <w:t>Civic Engagement, Community-Based Initiatives and Governance Capacity</w:t>
      </w:r>
      <w:r w:rsidRPr="002B3958">
        <w:rPr>
          <w:rStyle w:val="selectable"/>
          <w:color w:val="000000"/>
        </w:rPr>
        <w:t>. Milton: Taylor &amp; Francis Group.</w:t>
      </w:r>
    </w:p>
    <w:p w14:paraId="34B25996" w14:textId="77777777" w:rsidR="00E37EEC" w:rsidRPr="002B3958" w:rsidRDefault="00E37EEC" w:rsidP="00F91EC8">
      <w:pPr>
        <w:rPr>
          <w:rStyle w:val="selectable"/>
          <w:color w:val="000000"/>
        </w:rPr>
      </w:pPr>
      <w:r w:rsidRPr="002B3958">
        <w:rPr>
          <w:rStyle w:val="selectable"/>
          <w:color w:val="000000"/>
        </w:rPr>
        <w:t xml:space="preserve">Inkelas, K., Jessup-Anger, J., Benjamin, M. and Wawrzynski, M., 2018. </w:t>
      </w:r>
      <w:r w:rsidRPr="002B3958">
        <w:rPr>
          <w:rStyle w:val="selectable"/>
          <w:i/>
          <w:iCs/>
          <w:color w:val="000000"/>
        </w:rPr>
        <w:t>Living-learning communities that work</w:t>
      </w:r>
      <w:r w:rsidRPr="002B3958">
        <w:rPr>
          <w:rStyle w:val="selectable"/>
          <w:color w:val="000000"/>
        </w:rPr>
        <w:t>.</w:t>
      </w:r>
    </w:p>
    <w:p w14:paraId="3923A403" w14:textId="77777777" w:rsidR="00E37EEC" w:rsidRPr="002B3958" w:rsidRDefault="00E37EEC" w:rsidP="00F91EC8">
      <w:pPr>
        <w:rPr>
          <w:rStyle w:val="selectable"/>
          <w:color w:val="000000"/>
        </w:rPr>
      </w:pPr>
      <w:r w:rsidRPr="002B3958">
        <w:rPr>
          <w:rStyle w:val="selectable"/>
          <w:color w:val="000000"/>
        </w:rPr>
        <w:t xml:space="preserve">Norton, P. and Hughes, M., 2018. </w:t>
      </w:r>
      <w:r w:rsidRPr="002B3958">
        <w:rPr>
          <w:rStyle w:val="selectable"/>
          <w:i/>
          <w:iCs/>
          <w:color w:val="000000"/>
        </w:rPr>
        <w:t>Public consultation and community involvement in planning</w:t>
      </w:r>
      <w:r w:rsidRPr="002B3958">
        <w:rPr>
          <w:rStyle w:val="selectable"/>
          <w:color w:val="000000"/>
        </w:rPr>
        <w:t>. Abingdon, Oxon: Routledge.</w:t>
      </w:r>
    </w:p>
    <w:p w14:paraId="2757DCBC" w14:textId="77777777" w:rsidR="00E37EEC" w:rsidRPr="002B3958" w:rsidRDefault="00E37EEC" w:rsidP="00F91EC8">
      <w:pPr>
        <w:rPr>
          <w:rStyle w:val="selectable"/>
          <w:color w:val="000000"/>
        </w:rPr>
      </w:pPr>
      <w:r w:rsidRPr="002B3958">
        <w:rPr>
          <w:rStyle w:val="selectable"/>
          <w:color w:val="000000"/>
        </w:rPr>
        <w:t xml:space="preserve">Ogawa, V., Mundaca Shah, C. and Alper, J., 2017. </w:t>
      </w:r>
      <w:r w:rsidRPr="002B3958">
        <w:rPr>
          <w:rStyle w:val="selectable"/>
          <w:i/>
          <w:iCs/>
          <w:color w:val="000000"/>
        </w:rPr>
        <w:t>Building communication capacity to counter infectious disease threats</w:t>
      </w:r>
      <w:r w:rsidRPr="002B3958">
        <w:rPr>
          <w:rStyle w:val="selectable"/>
          <w:color w:val="000000"/>
        </w:rPr>
        <w:t>.</w:t>
      </w:r>
    </w:p>
    <w:p w14:paraId="70BBE35F" w14:textId="77777777" w:rsidR="00E37EEC" w:rsidRPr="002B3958" w:rsidRDefault="00E37EEC" w:rsidP="00F91EC8">
      <w:pPr>
        <w:rPr>
          <w:rStyle w:val="selectable"/>
          <w:color w:val="000000"/>
        </w:rPr>
      </w:pPr>
      <w:r w:rsidRPr="002B3958">
        <w:rPr>
          <w:rStyle w:val="selectable"/>
          <w:color w:val="000000"/>
        </w:rPr>
        <w:t xml:space="preserve">Sarkissian, W., Hurford, D. and Wenman, C., 2010. </w:t>
      </w:r>
      <w:r w:rsidRPr="002B3958">
        <w:rPr>
          <w:rStyle w:val="selectable"/>
          <w:i/>
          <w:iCs/>
          <w:color w:val="000000"/>
        </w:rPr>
        <w:t>Creative community planning</w:t>
      </w:r>
      <w:r w:rsidRPr="002B3958">
        <w:rPr>
          <w:rStyle w:val="selectable"/>
          <w:color w:val="000000"/>
        </w:rPr>
        <w:t>. London: Earthscan.</w:t>
      </w:r>
    </w:p>
    <w:p w14:paraId="730EB3DC" w14:textId="77777777" w:rsidR="00E37EEC" w:rsidRPr="002B3958" w:rsidRDefault="00E37EEC" w:rsidP="00F91EC8">
      <w:pPr>
        <w:rPr>
          <w:rStyle w:val="selectable"/>
          <w:color w:val="000000"/>
        </w:rPr>
      </w:pPr>
      <w:r w:rsidRPr="002B3958">
        <w:rPr>
          <w:rStyle w:val="selectable"/>
          <w:color w:val="000000"/>
        </w:rPr>
        <w:t>WHO, 2020.</w:t>
      </w:r>
      <w:r w:rsidRPr="002B3958">
        <w:rPr>
          <w:rStyle w:val="selectable"/>
          <w:i/>
          <w:iCs/>
          <w:color w:val="000000"/>
        </w:rPr>
        <w:t>Community engagement: a health promotion guide for universal health coverage in the hands of the people</w:t>
      </w:r>
      <w:r w:rsidRPr="002B3958">
        <w:rPr>
          <w:rStyle w:val="selectable"/>
          <w:color w:val="000000"/>
        </w:rPr>
        <w:t>.</w:t>
      </w:r>
    </w:p>
    <w:p w14:paraId="161704F9" w14:textId="77777777" w:rsidR="00E37EEC" w:rsidRPr="002B3958" w:rsidRDefault="00E37EEC" w:rsidP="00F91EC8">
      <w:pPr>
        <w:rPr>
          <w:rStyle w:val="selectable"/>
          <w:color w:val="000000"/>
        </w:rPr>
      </w:pPr>
      <w:r w:rsidRPr="002B3958">
        <w:rPr>
          <w:rStyle w:val="selectable"/>
          <w:color w:val="000000"/>
        </w:rPr>
        <w:lastRenderedPageBreak/>
        <w:t>WHO, 2020.</w:t>
      </w:r>
      <w:r w:rsidRPr="002B3958">
        <w:rPr>
          <w:rStyle w:val="selectable"/>
          <w:i/>
          <w:iCs/>
          <w:color w:val="000000"/>
        </w:rPr>
        <w:t>Integrating stakeholder and community engagement in quality of care initiatives for maternal, newborn and child health</w:t>
      </w:r>
      <w:r w:rsidRPr="002B3958">
        <w:rPr>
          <w:rStyle w:val="selectable"/>
          <w:color w:val="000000"/>
        </w:rPr>
        <w:t>.</w:t>
      </w:r>
    </w:p>
    <w:p w14:paraId="0C26764A" w14:textId="77777777" w:rsidR="00E37EEC" w:rsidRPr="002B3958" w:rsidRDefault="00E37EEC" w:rsidP="00F91EC8">
      <w:pPr>
        <w:rPr>
          <w:rStyle w:val="selectable"/>
          <w:color w:val="000000"/>
        </w:rPr>
      </w:pPr>
      <w:r w:rsidRPr="002B3958">
        <w:rPr>
          <w:rStyle w:val="selectable"/>
          <w:color w:val="000000"/>
        </w:rPr>
        <w:t xml:space="preserve">Wilson, P., 2019. </w:t>
      </w:r>
      <w:r w:rsidRPr="002B3958">
        <w:rPr>
          <w:rStyle w:val="selectable"/>
          <w:i/>
          <w:iCs/>
          <w:color w:val="000000"/>
        </w:rPr>
        <w:t>The heart of community engagement</w:t>
      </w:r>
      <w:r w:rsidRPr="002B3958">
        <w:rPr>
          <w:rStyle w:val="selectable"/>
          <w:color w:val="000000"/>
        </w:rPr>
        <w:t>.</w:t>
      </w:r>
    </w:p>
    <w:p w14:paraId="624E12E5" w14:textId="77777777" w:rsidR="00F91EC8" w:rsidRPr="00F91EC8" w:rsidRDefault="00F91EC8" w:rsidP="00F91EC8"/>
    <w:sectPr w:rsidR="00F91EC8" w:rsidRPr="00F91EC8" w:rsidSect="00FE29CA">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E93176" w14:textId="77777777" w:rsidR="00D25F13" w:rsidRDefault="00D25F13" w:rsidP="00D2440B">
      <w:pPr>
        <w:spacing w:before="0" w:after="0" w:line="240" w:lineRule="auto"/>
      </w:pPr>
      <w:r>
        <w:separator/>
      </w:r>
    </w:p>
  </w:endnote>
  <w:endnote w:type="continuationSeparator" w:id="0">
    <w:p w14:paraId="1CDBB999" w14:textId="77777777" w:rsidR="00D25F13" w:rsidRDefault="00D25F13" w:rsidP="00D2440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519321"/>
      <w:docPartObj>
        <w:docPartGallery w:val="Page Numbers (Bottom of Page)"/>
        <w:docPartUnique/>
      </w:docPartObj>
    </w:sdtPr>
    <w:sdtEndPr/>
    <w:sdtContent>
      <w:p w14:paraId="47A87466" w14:textId="4691BF14" w:rsidR="00D2440B" w:rsidRDefault="00BC7FBB">
        <w:pPr>
          <w:pStyle w:val="Footer"/>
          <w:jc w:val="center"/>
        </w:pPr>
        <w:r>
          <w:fldChar w:fldCharType="begin"/>
        </w:r>
        <w:r w:rsidR="009307CE">
          <w:instrText xml:space="preserve"> PAGE   \* MERGEFORMAT </w:instrText>
        </w:r>
        <w:r>
          <w:fldChar w:fldCharType="separate"/>
        </w:r>
        <w:r w:rsidR="00B55E6B">
          <w:rPr>
            <w:noProof/>
          </w:rPr>
          <w:t>9</w:t>
        </w:r>
        <w:r>
          <w:rPr>
            <w:noProof/>
          </w:rPr>
          <w:fldChar w:fldCharType="end"/>
        </w:r>
      </w:p>
    </w:sdtContent>
  </w:sdt>
  <w:p w14:paraId="24864878" w14:textId="77777777" w:rsidR="00D2440B" w:rsidRDefault="00D2440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C70B9C" w14:textId="77777777" w:rsidR="00D25F13" w:rsidRDefault="00D25F13" w:rsidP="00D2440B">
      <w:pPr>
        <w:spacing w:before="0" w:after="0" w:line="240" w:lineRule="auto"/>
      </w:pPr>
      <w:r>
        <w:separator/>
      </w:r>
    </w:p>
  </w:footnote>
  <w:footnote w:type="continuationSeparator" w:id="0">
    <w:p w14:paraId="12A8D22B" w14:textId="77777777" w:rsidR="00D25F13" w:rsidRDefault="00D25F13" w:rsidP="00D2440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F91EC8"/>
    <w:rsid w:val="000108D0"/>
    <w:rsid w:val="00394119"/>
    <w:rsid w:val="005B5398"/>
    <w:rsid w:val="005B7713"/>
    <w:rsid w:val="00681640"/>
    <w:rsid w:val="00741D26"/>
    <w:rsid w:val="00813917"/>
    <w:rsid w:val="008572D6"/>
    <w:rsid w:val="008713AA"/>
    <w:rsid w:val="009307CE"/>
    <w:rsid w:val="00991963"/>
    <w:rsid w:val="00A95CD2"/>
    <w:rsid w:val="00AC219B"/>
    <w:rsid w:val="00B55E6B"/>
    <w:rsid w:val="00BC7FBB"/>
    <w:rsid w:val="00D2440B"/>
    <w:rsid w:val="00D25F13"/>
    <w:rsid w:val="00D50B38"/>
    <w:rsid w:val="00DA6904"/>
    <w:rsid w:val="00E37EEC"/>
    <w:rsid w:val="00E7536F"/>
    <w:rsid w:val="00F75193"/>
    <w:rsid w:val="00F91EC8"/>
    <w:rsid w:val="00FE29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CBF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1EC8"/>
    <w:pPr>
      <w:spacing w:before="120" w:after="320" w:line="360" w:lineRule="auto"/>
      <w:jc w:val="both"/>
    </w:pPr>
    <w:rPr>
      <w:rFonts w:ascii="Arial" w:hAnsi="Arial"/>
      <w:sz w:val="24"/>
    </w:rPr>
  </w:style>
  <w:style w:type="paragraph" w:styleId="Heading1">
    <w:name w:val="heading 1"/>
    <w:basedOn w:val="Normal"/>
    <w:next w:val="Normal"/>
    <w:link w:val="Heading1Char"/>
    <w:uiPriority w:val="9"/>
    <w:qFormat/>
    <w:rsid w:val="00F91EC8"/>
    <w:pPr>
      <w:keepNext/>
      <w:keepLines/>
      <w:spacing w:before="600" w:after="120"/>
      <w:outlineLvl w:val="0"/>
    </w:pPr>
    <w:rPr>
      <w:rFonts w:eastAsiaTheme="majorEastAsia" w:cstheme="majorBidi"/>
      <w:bCs/>
      <w:color w:val="365F91" w:themeColor="accent1" w:themeShade="BF"/>
      <w:sz w:val="32"/>
      <w:szCs w:val="28"/>
    </w:rPr>
  </w:style>
  <w:style w:type="paragraph" w:styleId="Heading2">
    <w:name w:val="heading 2"/>
    <w:basedOn w:val="Normal"/>
    <w:next w:val="Normal"/>
    <w:link w:val="Heading2Char"/>
    <w:uiPriority w:val="9"/>
    <w:unhideWhenUsed/>
    <w:qFormat/>
    <w:rsid w:val="00F91EC8"/>
    <w:pPr>
      <w:keepNext/>
      <w:keepLines/>
      <w:spacing w:before="320" w:after="120"/>
      <w:outlineLvl w:val="1"/>
    </w:pPr>
    <w:rPr>
      <w:rFonts w:eastAsiaTheme="majorEastAsia" w:cstheme="majorBidi"/>
      <w:bCs/>
      <w:color w:val="4F81BD" w:themeColor="accent1"/>
      <w:sz w:val="28"/>
      <w:szCs w:val="26"/>
    </w:rPr>
  </w:style>
  <w:style w:type="paragraph" w:styleId="Heading3">
    <w:name w:val="heading 3"/>
    <w:basedOn w:val="Normal"/>
    <w:next w:val="Normal"/>
    <w:link w:val="Heading3Char"/>
    <w:uiPriority w:val="9"/>
    <w:unhideWhenUsed/>
    <w:qFormat/>
    <w:rsid w:val="00F91EC8"/>
    <w:pPr>
      <w:keepNext/>
      <w:keepLines/>
      <w:spacing w:before="200" w:after="0"/>
      <w:outlineLvl w:val="2"/>
    </w:pPr>
    <w:rPr>
      <w:rFonts w:eastAsiaTheme="majorEastAsia" w:cstheme="majorBidi"/>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EC8"/>
    <w:rPr>
      <w:rFonts w:ascii="Arial" w:eastAsiaTheme="majorEastAsia" w:hAnsi="Arial" w:cstheme="majorBidi"/>
      <w:bCs/>
      <w:color w:val="365F91" w:themeColor="accent1" w:themeShade="BF"/>
      <w:sz w:val="32"/>
      <w:szCs w:val="28"/>
    </w:rPr>
  </w:style>
  <w:style w:type="character" w:customStyle="1" w:styleId="Heading2Char">
    <w:name w:val="Heading 2 Char"/>
    <w:basedOn w:val="DefaultParagraphFont"/>
    <w:link w:val="Heading2"/>
    <w:uiPriority w:val="9"/>
    <w:rsid w:val="00F91EC8"/>
    <w:rPr>
      <w:rFonts w:ascii="Arial" w:eastAsiaTheme="majorEastAsia" w:hAnsi="Arial" w:cstheme="majorBidi"/>
      <w:bCs/>
      <w:color w:val="4F81BD" w:themeColor="accent1"/>
      <w:sz w:val="28"/>
      <w:szCs w:val="26"/>
    </w:rPr>
  </w:style>
  <w:style w:type="character" w:customStyle="1" w:styleId="Heading3Char">
    <w:name w:val="Heading 3 Char"/>
    <w:basedOn w:val="DefaultParagraphFont"/>
    <w:link w:val="Heading3"/>
    <w:uiPriority w:val="9"/>
    <w:rsid w:val="00F91EC8"/>
    <w:rPr>
      <w:rFonts w:ascii="Arial" w:eastAsiaTheme="majorEastAsia" w:hAnsi="Arial" w:cstheme="majorBidi"/>
      <w:bCs/>
      <w:color w:val="4F81BD" w:themeColor="accent1"/>
      <w:sz w:val="24"/>
    </w:rPr>
  </w:style>
  <w:style w:type="character" w:customStyle="1" w:styleId="selectable">
    <w:name w:val="selectable"/>
    <w:basedOn w:val="DefaultParagraphFont"/>
    <w:rsid w:val="00F91EC8"/>
  </w:style>
  <w:style w:type="character" w:customStyle="1" w:styleId="blue-complex-underline">
    <w:name w:val="blue-complex-underline"/>
    <w:basedOn w:val="DefaultParagraphFont"/>
    <w:rsid w:val="00F91EC8"/>
  </w:style>
  <w:style w:type="paragraph" w:styleId="BalloonText">
    <w:name w:val="Balloon Text"/>
    <w:basedOn w:val="Normal"/>
    <w:link w:val="BalloonTextChar"/>
    <w:uiPriority w:val="99"/>
    <w:semiHidden/>
    <w:unhideWhenUsed/>
    <w:rsid w:val="00F91EC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1EC8"/>
    <w:rPr>
      <w:rFonts w:ascii="Tahoma" w:hAnsi="Tahoma" w:cs="Tahoma"/>
      <w:sz w:val="16"/>
      <w:szCs w:val="16"/>
    </w:rPr>
  </w:style>
  <w:style w:type="paragraph" w:styleId="TOCHeading">
    <w:name w:val="TOC Heading"/>
    <w:basedOn w:val="Heading1"/>
    <w:next w:val="Normal"/>
    <w:uiPriority w:val="39"/>
    <w:semiHidden/>
    <w:unhideWhenUsed/>
    <w:qFormat/>
    <w:rsid w:val="00F91EC8"/>
    <w:pPr>
      <w:spacing w:before="480" w:after="0" w:line="276" w:lineRule="auto"/>
      <w:jc w:val="left"/>
      <w:outlineLvl w:val="9"/>
    </w:pPr>
    <w:rPr>
      <w:rFonts w:asciiTheme="majorHAnsi" w:hAnsiTheme="majorHAnsi"/>
      <w:b/>
      <w:sz w:val="28"/>
    </w:rPr>
  </w:style>
  <w:style w:type="paragraph" w:styleId="TOC1">
    <w:name w:val="toc 1"/>
    <w:basedOn w:val="Normal"/>
    <w:next w:val="Normal"/>
    <w:autoRedefine/>
    <w:uiPriority w:val="39"/>
    <w:unhideWhenUsed/>
    <w:rsid w:val="00F91EC8"/>
    <w:pPr>
      <w:spacing w:after="100"/>
    </w:pPr>
  </w:style>
  <w:style w:type="paragraph" w:styleId="TOC2">
    <w:name w:val="toc 2"/>
    <w:basedOn w:val="Normal"/>
    <w:next w:val="Normal"/>
    <w:autoRedefine/>
    <w:uiPriority w:val="39"/>
    <w:unhideWhenUsed/>
    <w:rsid w:val="00F91EC8"/>
    <w:pPr>
      <w:spacing w:after="100"/>
      <w:ind w:left="240"/>
    </w:pPr>
  </w:style>
  <w:style w:type="character" w:styleId="Hyperlink">
    <w:name w:val="Hyperlink"/>
    <w:basedOn w:val="DefaultParagraphFont"/>
    <w:uiPriority w:val="99"/>
    <w:unhideWhenUsed/>
    <w:rsid w:val="00F91EC8"/>
    <w:rPr>
      <w:color w:val="0000FF" w:themeColor="hyperlink"/>
      <w:u w:val="single"/>
    </w:rPr>
  </w:style>
  <w:style w:type="paragraph" w:styleId="Header">
    <w:name w:val="header"/>
    <w:basedOn w:val="Normal"/>
    <w:link w:val="HeaderChar"/>
    <w:uiPriority w:val="99"/>
    <w:unhideWhenUsed/>
    <w:rsid w:val="00D2440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2440B"/>
    <w:rPr>
      <w:rFonts w:ascii="Arial" w:hAnsi="Arial"/>
      <w:sz w:val="24"/>
    </w:rPr>
  </w:style>
  <w:style w:type="paragraph" w:styleId="Footer">
    <w:name w:val="footer"/>
    <w:basedOn w:val="Normal"/>
    <w:link w:val="FooterChar"/>
    <w:uiPriority w:val="99"/>
    <w:unhideWhenUsed/>
    <w:rsid w:val="00D2440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2440B"/>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469C55-CFCF-4539-8E16-D2EC50B20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2280</Words>
  <Characters>13001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2022-04-19T10:07:00Z</dcterms:created>
  <dcterms:modified xsi:type="dcterms:W3CDTF">2022-05-05T19:54:00Z</dcterms:modified>
</cp:coreProperties>
</file>