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0E6D6D0" w14:textId="586EA79E" w:rsidR="00D87D5C" w:rsidRDefault="000F2C7A" w:rsidP="00FD4BC1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  <w:r w:rsidRPr="00FD4BC1">
        <w:rPr>
          <w:rFonts w:ascii="Arial" w:hAnsi="Arial" w:cs="Arial"/>
          <w:b/>
          <w:bCs/>
          <w:sz w:val="24"/>
          <w:szCs w:val="24"/>
          <w:u w:val="single"/>
        </w:rPr>
        <w:t>Multilingualism and Multi-thinking Reference List</w:t>
      </w:r>
    </w:p>
    <w:p w14:paraId="28213BFB" w14:textId="77777777" w:rsidR="00FD4BC1" w:rsidRPr="00FD4BC1" w:rsidRDefault="00FD4BC1" w:rsidP="00FD4BC1">
      <w:pPr>
        <w:jc w:val="center"/>
        <w:rPr>
          <w:rFonts w:ascii="Arial" w:hAnsi="Arial" w:cs="Arial"/>
          <w:b/>
          <w:bCs/>
          <w:sz w:val="24"/>
          <w:szCs w:val="24"/>
          <w:u w:val="single"/>
        </w:rPr>
      </w:pPr>
    </w:p>
    <w:p w14:paraId="459ADC77" w14:textId="77777777" w:rsidR="0083192B" w:rsidRPr="00FD4BC1" w:rsidRDefault="0083192B" w:rsidP="0083192B">
      <w:pPr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FD4BC1">
        <w:rPr>
          <w:rFonts w:ascii="Arial" w:hAnsi="Arial" w:cs="Arial"/>
          <w:color w:val="222222"/>
          <w:sz w:val="24"/>
          <w:szCs w:val="24"/>
          <w:shd w:val="clear" w:color="auto" w:fill="FFFFFF"/>
        </w:rPr>
        <w:t>Baker, C. (2014) </w:t>
      </w:r>
      <w:r w:rsidRPr="00FD4BC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A Parents' and Teachers' Guide to Bilingualism</w:t>
      </w:r>
      <w:r w:rsidRPr="00FD4BC1">
        <w:rPr>
          <w:rFonts w:ascii="Arial" w:hAnsi="Arial" w:cs="Arial"/>
          <w:color w:val="222222"/>
          <w:sz w:val="24"/>
          <w:szCs w:val="24"/>
          <w:shd w:val="clear" w:color="auto" w:fill="FFFFFF"/>
        </w:rPr>
        <w:t>. Multilingual Matters.</w:t>
      </w:r>
    </w:p>
    <w:p w14:paraId="29B0CC6E" w14:textId="329C2FA8" w:rsidR="0083192B" w:rsidRDefault="0083192B" w:rsidP="0083192B">
      <w:pPr>
        <w:rPr>
          <w:rFonts w:ascii="Arial" w:hAnsi="Arial" w:cs="Arial"/>
          <w:sz w:val="24"/>
          <w:szCs w:val="24"/>
        </w:rPr>
      </w:pPr>
      <w:r w:rsidRPr="00FD4BC1">
        <w:rPr>
          <w:rFonts w:ascii="Arial" w:hAnsi="Arial" w:cs="Arial"/>
          <w:color w:val="222222"/>
          <w:sz w:val="24"/>
          <w:szCs w:val="24"/>
          <w:shd w:val="clear" w:color="auto" w:fill="FFFFFF"/>
        </w:rPr>
        <w:t>Bialystok, E. (2011) ‘Reshaping the mind: the benefits of bilingualism’, </w:t>
      </w:r>
      <w:r w:rsidRPr="00FD4BC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Canadian Journal of Experimental Psychology/Revue canadienne de psychologie expérimentale</w:t>
      </w:r>
      <w:r w:rsidRPr="00FD4BC1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FD4BC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65</w:t>
      </w:r>
      <w:r w:rsidRPr="00FD4BC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(4), p.229. Available at: </w:t>
      </w:r>
      <w:hyperlink r:id="rId6" w:history="1">
        <w:r w:rsidRPr="00FD4BC1">
          <w:rPr>
            <w:rStyle w:val="Hyperlink"/>
            <w:rFonts w:ascii="Arial" w:hAnsi="Arial" w:cs="Arial"/>
            <w:sz w:val="24"/>
            <w:szCs w:val="24"/>
          </w:rPr>
          <w:t>Reshaping the Mind: The Benefits of Bilingualism - PMC (nih.gov)</w:t>
        </w:r>
      </w:hyperlink>
      <w:r w:rsidRPr="00FD4BC1">
        <w:rPr>
          <w:rFonts w:ascii="Arial" w:hAnsi="Arial" w:cs="Arial"/>
          <w:sz w:val="24"/>
          <w:szCs w:val="24"/>
        </w:rPr>
        <w:t xml:space="preserve"> (Accessed: 26/3/22).</w:t>
      </w:r>
    </w:p>
    <w:p w14:paraId="399AED28" w14:textId="77777777" w:rsidR="0083192B" w:rsidRPr="00FD4BC1" w:rsidRDefault="0083192B" w:rsidP="0083192B">
      <w:pPr>
        <w:rPr>
          <w:rFonts w:ascii="Arial" w:hAnsi="Arial" w:cs="Arial"/>
          <w:sz w:val="24"/>
          <w:szCs w:val="24"/>
        </w:rPr>
      </w:pPr>
      <w:r w:rsidRPr="00FD4BC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Booton, S. </w:t>
      </w:r>
      <w:r w:rsidRPr="00FD4BC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et al</w:t>
      </w:r>
      <w:r w:rsidRPr="00FD4BC1">
        <w:rPr>
          <w:rFonts w:ascii="Arial" w:hAnsi="Arial" w:cs="Arial"/>
          <w:color w:val="222222"/>
          <w:sz w:val="24"/>
          <w:szCs w:val="24"/>
          <w:shd w:val="clear" w:color="auto" w:fill="FFFFFF"/>
        </w:rPr>
        <w:t>. (2021) ‘Children's divergent thinking and bilingualism’, </w:t>
      </w:r>
      <w:r w:rsidRPr="00FD4BC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Thinking Skills and Creativity</w:t>
      </w:r>
      <w:r w:rsidRPr="00FD4BC1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FD4BC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41</w:t>
      </w:r>
      <w:r w:rsidRPr="00FD4BC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p.100918. Available at: </w:t>
      </w:r>
      <w:hyperlink r:id="rId7" w:history="1">
        <w:r w:rsidRPr="00FD4BC1">
          <w:rPr>
            <w:rStyle w:val="Hyperlink"/>
            <w:rFonts w:ascii="Arial" w:hAnsi="Arial" w:cs="Arial"/>
            <w:sz w:val="24"/>
            <w:szCs w:val="24"/>
          </w:rPr>
          <w:t>Children's divergent thinking and bilingualism - ScienceDirect</w:t>
        </w:r>
      </w:hyperlink>
      <w:r w:rsidRPr="00FD4BC1">
        <w:rPr>
          <w:rFonts w:ascii="Arial" w:hAnsi="Arial" w:cs="Arial"/>
          <w:sz w:val="24"/>
          <w:szCs w:val="24"/>
        </w:rPr>
        <w:t xml:space="preserve"> (Accessed: 26/3/22).</w:t>
      </w:r>
    </w:p>
    <w:p w14:paraId="444EBF84" w14:textId="77777777" w:rsidR="0083192B" w:rsidRPr="00FD4BC1" w:rsidRDefault="0083192B" w:rsidP="0083192B">
      <w:pPr>
        <w:rPr>
          <w:rFonts w:ascii="Arial" w:hAnsi="Arial" w:cs="Arial"/>
          <w:sz w:val="24"/>
          <w:szCs w:val="24"/>
        </w:rPr>
      </w:pPr>
      <w:r w:rsidRPr="00FD4BC1">
        <w:rPr>
          <w:rFonts w:ascii="Arial" w:hAnsi="Arial" w:cs="Arial"/>
          <w:color w:val="222222"/>
          <w:sz w:val="24"/>
          <w:szCs w:val="24"/>
          <w:shd w:val="clear" w:color="auto" w:fill="FFFFFF"/>
        </w:rPr>
        <w:t>Hickey, T. and de Mejía, A., (2014) ‘Immersion education in the early years: A special issue’, </w:t>
      </w:r>
      <w:r w:rsidRPr="00FD4BC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International Journal of Bilingual Education and Bilingualism</w:t>
      </w:r>
      <w:r w:rsidRPr="00FD4BC1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FD4BC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17</w:t>
      </w:r>
      <w:r w:rsidRPr="00FD4BC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(2), pp.131-143. Available at: </w:t>
      </w:r>
      <w:hyperlink r:id="rId8" w:history="1">
        <w:r w:rsidRPr="00FD4BC1">
          <w:rPr>
            <w:rStyle w:val="Hyperlink"/>
            <w:rFonts w:ascii="Arial" w:hAnsi="Arial" w:cs="Arial"/>
            <w:sz w:val="24"/>
            <w:szCs w:val="24"/>
          </w:rPr>
          <w:t>Immersion education in the early years: a special issue: International Journal of Bilingual Education and Bilingualism: Vol 17, No 2 (tandfonline.com)</w:t>
        </w:r>
      </w:hyperlink>
      <w:r w:rsidRPr="00FD4BC1">
        <w:rPr>
          <w:rFonts w:ascii="Arial" w:hAnsi="Arial" w:cs="Arial"/>
          <w:sz w:val="24"/>
          <w:szCs w:val="24"/>
        </w:rPr>
        <w:t xml:space="preserve"> (Accessed: 26/3/22).</w:t>
      </w:r>
    </w:p>
    <w:p w14:paraId="4BB79B56" w14:textId="46D47B34" w:rsidR="000F2C7A" w:rsidRPr="00FD4BC1" w:rsidRDefault="00693EDC">
      <w:pPr>
        <w:rPr>
          <w:rFonts w:ascii="Arial" w:hAnsi="Arial" w:cs="Arial"/>
          <w:sz w:val="24"/>
          <w:szCs w:val="24"/>
        </w:rPr>
      </w:pPr>
      <w:r w:rsidRPr="00FD4BC1">
        <w:rPr>
          <w:rFonts w:ascii="Arial" w:hAnsi="Arial" w:cs="Arial"/>
          <w:sz w:val="24"/>
          <w:szCs w:val="24"/>
        </w:rPr>
        <w:t xml:space="preserve">Lindon, J. (2012) ‘Cultural diversity in the early years’, </w:t>
      </w:r>
      <w:r w:rsidRPr="00FD4BC1">
        <w:rPr>
          <w:rFonts w:ascii="Arial" w:hAnsi="Arial" w:cs="Arial"/>
          <w:i/>
          <w:iCs/>
          <w:sz w:val="24"/>
          <w:szCs w:val="24"/>
        </w:rPr>
        <w:t xml:space="preserve">Community Playthings. </w:t>
      </w:r>
      <w:r w:rsidR="00B96601" w:rsidRPr="00FD4BC1">
        <w:rPr>
          <w:rFonts w:ascii="Arial" w:hAnsi="Arial" w:cs="Arial"/>
          <w:sz w:val="24"/>
          <w:szCs w:val="24"/>
        </w:rPr>
        <w:t xml:space="preserve">Available at: </w:t>
      </w:r>
      <w:hyperlink r:id="rId9" w:history="1">
        <w:r w:rsidR="00B96601" w:rsidRPr="00FD4BC1">
          <w:rPr>
            <w:rStyle w:val="Hyperlink"/>
            <w:rFonts w:ascii="Arial" w:hAnsi="Arial" w:cs="Arial"/>
            <w:sz w:val="24"/>
            <w:szCs w:val="24"/>
          </w:rPr>
          <w:t>Cultural diversity in the early years | Community Playthings</w:t>
        </w:r>
      </w:hyperlink>
      <w:r w:rsidR="00B96601" w:rsidRPr="00FD4BC1">
        <w:rPr>
          <w:rFonts w:ascii="Arial" w:hAnsi="Arial" w:cs="Arial"/>
          <w:sz w:val="24"/>
          <w:szCs w:val="24"/>
        </w:rPr>
        <w:t xml:space="preserve"> (Accessed: 26/3/22).</w:t>
      </w:r>
    </w:p>
    <w:p w14:paraId="5AADAF89" w14:textId="77777777" w:rsidR="0083192B" w:rsidRPr="00FD4BC1" w:rsidRDefault="0083192B" w:rsidP="0083192B">
      <w:pPr>
        <w:rPr>
          <w:rFonts w:ascii="Arial" w:hAnsi="Arial" w:cs="Arial"/>
          <w:sz w:val="24"/>
          <w:szCs w:val="24"/>
        </w:rPr>
      </w:pPr>
      <w:r w:rsidRPr="00FD4BC1">
        <w:rPr>
          <w:rFonts w:ascii="Arial" w:hAnsi="Arial" w:cs="Arial"/>
          <w:sz w:val="24"/>
          <w:szCs w:val="24"/>
        </w:rPr>
        <w:t xml:space="preserve">Llari, B., Chen-Hafteck, L. and Crawford, L. (2013) ‘Singing and Cultural Understanding: A Music Education Perspective’, </w:t>
      </w:r>
      <w:r w:rsidRPr="00FD4BC1">
        <w:rPr>
          <w:rFonts w:ascii="Arial" w:hAnsi="Arial" w:cs="Arial"/>
          <w:i/>
          <w:iCs/>
          <w:sz w:val="24"/>
          <w:szCs w:val="24"/>
        </w:rPr>
        <w:t>International Journal of Music Edition</w:t>
      </w:r>
      <w:r w:rsidRPr="00FD4BC1">
        <w:rPr>
          <w:rFonts w:ascii="Arial" w:hAnsi="Arial" w:cs="Arial"/>
          <w:sz w:val="24"/>
          <w:szCs w:val="24"/>
        </w:rPr>
        <w:t xml:space="preserve">, 31(2), pp.202-216. Available at: </w:t>
      </w:r>
      <w:hyperlink r:id="rId10" w:history="1">
        <w:r w:rsidRPr="00FD4BC1">
          <w:rPr>
            <w:rStyle w:val="Hyperlink"/>
            <w:rFonts w:ascii="Arial" w:hAnsi="Arial" w:cs="Arial"/>
            <w:sz w:val="24"/>
            <w:szCs w:val="24"/>
          </w:rPr>
          <w:t>Singing and cultural understanding: A music education perspective - Beatriz Ilari, Lily Chen-Hafteck, Lisa Crawford, 2013 (sagepub.com)</w:t>
        </w:r>
      </w:hyperlink>
      <w:r w:rsidRPr="00FD4BC1">
        <w:rPr>
          <w:rFonts w:ascii="Arial" w:hAnsi="Arial" w:cs="Arial"/>
          <w:sz w:val="24"/>
          <w:szCs w:val="24"/>
        </w:rPr>
        <w:t xml:space="preserve"> (Accessed: 26/3/22).</w:t>
      </w:r>
    </w:p>
    <w:p w14:paraId="0402CD8A" w14:textId="4B0CBBC3" w:rsidR="00273A68" w:rsidRPr="00FD4BC1" w:rsidRDefault="00273A68">
      <w:pPr>
        <w:rPr>
          <w:rFonts w:ascii="Arial" w:hAnsi="Arial" w:cs="Arial"/>
          <w:sz w:val="24"/>
          <w:szCs w:val="24"/>
        </w:rPr>
      </w:pPr>
      <w:r w:rsidRPr="00FD4BC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Marian, V. and Shook, A. </w:t>
      </w:r>
      <w:r w:rsidRPr="00FD4BC1">
        <w:rPr>
          <w:rFonts w:ascii="Arial" w:hAnsi="Arial" w:cs="Arial"/>
          <w:color w:val="222222"/>
          <w:sz w:val="24"/>
          <w:szCs w:val="24"/>
          <w:shd w:val="clear" w:color="auto" w:fill="FFFFFF"/>
        </w:rPr>
        <w:t>(</w:t>
      </w:r>
      <w:r w:rsidRPr="00FD4BC1">
        <w:rPr>
          <w:rFonts w:ascii="Arial" w:hAnsi="Arial" w:cs="Arial"/>
          <w:color w:val="222222"/>
          <w:sz w:val="24"/>
          <w:szCs w:val="24"/>
          <w:shd w:val="clear" w:color="auto" w:fill="FFFFFF"/>
        </w:rPr>
        <w:t>2012</w:t>
      </w:r>
      <w:r w:rsidRPr="00FD4BC1">
        <w:rPr>
          <w:rFonts w:ascii="Arial" w:hAnsi="Arial" w:cs="Arial"/>
          <w:color w:val="222222"/>
          <w:sz w:val="24"/>
          <w:szCs w:val="24"/>
          <w:shd w:val="clear" w:color="auto" w:fill="FFFFFF"/>
        </w:rPr>
        <w:t>) ‘</w:t>
      </w:r>
      <w:r w:rsidRPr="00FD4BC1">
        <w:rPr>
          <w:rFonts w:ascii="Arial" w:hAnsi="Arial" w:cs="Arial"/>
          <w:color w:val="222222"/>
          <w:sz w:val="24"/>
          <w:szCs w:val="24"/>
          <w:shd w:val="clear" w:color="auto" w:fill="FFFFFF"/>
        </w:rPr>
        <w:t>The cognitive benefits of being bilingual</w:t>
      </w:r>
      <w:r w:rsidRPr="00FD4BC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’, </w:t>
      </w:r>
      <w:r w:rsidRPr="00FD4BC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Cerebrum: the Dana forum on brain science</w:t>
      </w:r>
      <w:r w:rsidRPr="00FD4BC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2012. Available at: </w:t>
      </w:r>
      <w:hyperlink r:id="rId11" w:history="1">
        <w:r w:rsidRPr="00FD4BC1">
          <w:rPr>
            <w:rStyle w:val="Hyperlink"/>
            <w:rFonts w:ascii="Arial" w:hAnsi="Arial" w:cs="Arial"/>
            <w:sz w:val="24"/>
            <w:szCs w:val="24"/>
          </w:rPr>
          <w:t>The Cognitive Benefits of Being Bilingual - PMC (nih.gov)</w:t>
        </w:r>
      </w:hyperlink>
      <w:r w:rsidRPr="00FD4BC1">
        <w:rPr>
          <w:rFonts w:ascii="Arial" w:hAnsi="Arial" w:cs="Arial"/>
          <w:sz w:val="24"/>
          <w:szCs w:val="24"/>
        </w:rPr>
        <w:t xml:space="preserve"> (Accessed: 26/3/22).</w:t>
      </w:r>
    </w:p>
    <w:p w14:paraId="6C254299" w14:textId="0A6BD42B" w:rsidR="00E96E13" w:rsidRPr="00FD4BC1" w:rsidRDefault="00E96E13">
      <w:pPr>
        <w:rPr>
          <w:rFonts w:ascii="Arial" w:hAnsi="Arial" w:cs="Arial"/>
          <w:sz w:val="24"/>
          <w:szCs w:val="24"/>
        </w:rPr>
      </w:pPr>
      <w:r w:rsidRPr="00FD4BC1">
        <w:rPr>
          <w:rFonts w:ascii="Arial" w:hAnsi="Arial" w:cs="Arial"/>
          <w:sz w:val="24"/>
          <w:szCs w:val="24"/>
        </w:rPr>
        <w:t xml:space="preserve">Van Dijk, M. </w:t>
      </w:r>
      <w:r w:rsidRPr="00FD4BC1">
        <w:rPr>
          <w:rFonts w:ascii="Arial" w:hAnsi="Arial" w:cs="Arial"/>
          <w:i/>
          <w:iCs/>
          <w:sz w:val="24"/>
          <w:szCs w:val="24"/>
        </w:rPr>
        <w:t xml:space="preserve">et al. </w:t>
      </w:r>
      <w:r w:rsidRPr="00FD4BC1">
        <w:rPr>
          <w:rFonts w:ascii="Arial" w:hAnsi="Arial" w:cs="Arial"/>
          <w:iCs/>
          <w:sz w:val="24"/>
          <w:szCs w:val="24"/>
        </w:rPr>
        <w:t>(</w:t>
      </w:r>
      <w:r w:rsidRPr="00FD4BC1">
        <w:rPr>
          <w:rFonts w:ascii="Arial" w:hAnsi="Arial" w:cs="Arial"/>
          <w:sz w:val="24"/>
          <w:szCs w:val="24"/>
        </w:rPr>
        <w:t>2018) ‘</w:t>
      </w:r>
      <w:r w:rsidRPr="00FD4BC1">
        <w:rPr>
          <w:rFonts w:ascii="Arial" w:hAnsi="Arial" w:cs="Arial"/>
          <w:color w:val="222222"/>
          <w:sz w:val="24"/>
          <w:szCs w:val="24"/>
          <w:shd w:val="clear" w:color="auto" w:fill="FFFFFF"/>
        </w:rPr>
        <w:t>Bilingualism and creativity: Towards a situated cognition approach</w:t>
      </w:r>
      <w:r w:rsidRPr="00FD4BC1">
        <w:rPr>
          <w:rFonts w:ascii="Arial" w:hAnsi="Arial" w:cs="Arial"/>
          <w:color w:val="222222"/>
          <w:sz w:val="24"/>
          <w:szCs w:val="24"/>
          <w:shd w:val="clear" w:color="auto" w:fill="FFFFFF"/>
        </w:rPr>
        <w:t>’,</w:t>
      </w:r>
      <w:r w:rsidRPr="00FD4BC1">
        <w:rPr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FD4BC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The Journal of Creative Behavior</w:t>
      </w:r>
      <w:r w:rsidRPr="00FD4BC1">
        <w:rPr>
          <w:rFonts w:ascii="Arial" w:hAnsi="Arial" w:cs="Arial"/>
          <w:color w:val="222222"/>
          <w:sz w:val="24"/>
          <w:szCs w:val="24"/>
          <w:shd w:val="clear" w:color="auto" w:fill="FFFFFF"/>
        </w:rPr>
        <w:t>, </w:t>
      </w:r>
      <w:r w:rsidRPr="00FD4BC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53</w:t>
      </w:r>
      <w:r w:rsidRPr="00FD4BC1">
        <w:rPr>
          <w:rFonts w:ascii="Arial" w:hAnsi="Arial" w:cs="Arial"/>
          <w:color w:val="222222"/>
          <w:sz w:val="24"/>
          <w:szCs w:val="24"/>
          <w:shd w:val="clear" w:color="auto" w:fill="FFFFFF"/>
        </w:rPr>
        <w:t>(2), pp.178-188.</w:t>
      </w:r>
      <w:r w:rsidRPr="00FD4BC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Available at: </w:t>
      </w:r>
      <w:hyperlink r:id="rId12" w:history="1">
        <w:r w:rsidRPr="00FD4BC1">
          <w:rPr>
            <w:rStyle w:val="Hyperlink"/>
            <w:rFonts w:ascii="Arial" w:hAnsi="Arial" w:cs="Arial"/>
            <w:sz w:val="24"/>
            <w:szCs w:val="24"/>
          </w:rPr>
          <w:t>Bilingualism and Creativity: Towards a Situated Cognition Approach - Dijk - 2019 - The Journal of Creative Behavior - Wiley Online Library</w:t>
        </w:r>
      </w:hyperlink>
      <w:r w:rsidRPr="00FD4BC1">
        <w:rPr>
          <w:rFonts w:ascii="Arial" w:hAnsi="Arial" w:cs="Arial"/>
          <w:sz w:val="24"/>
          <w:szCs w:val="24"/>
        </w:rPr>
        <w:t xml:space="preserve"> (Accessed: 26/3/22).</w:t>
      </w:r>
    </w:p>
    <w:p w14:paraId="65B731F0" w14:textId="48DC0DA9" w:rsidR="002C0752" w:rsidRPr="00FD4BC1" w:rsidRDefault="002C0752">
      <w:pPr>
        <w:rPr>
          <w:rFonts w:ascii="Arial" w:hAnsi="Arial" w:cs="Arial"/>
          <w:sz w:val="24"/>
          <w:szCs w:val="24"/>
        </w:rPr>
      </w:pPr>
      <w:r w:rsidRPr="00FD4BC1">
        <w:rPr>
          <w:rFonts w:ascii="Arial" w:hAnsi="Arial" w:cs="Arial"/>
          <w:color w:val="222222"/>
          <w:sz w:val="24"/>
          <w:szCs w:val="24"/>
          <w:shd w:val="clear" w:color="auto" w:fill="FFFFFF"/>
        </w:rPr>
        <w:t>Welsh Government</w:t>
      </w:r>
      <w:r w:rsidRPr="00FD4BC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(</w:t>
      </w:r>
      <w:r w:rsidRPr="00FD4BC1">
        <w:rPr>
          <w:rFonts w:ascii="Arial" w:hAnsi="Arial" w:cs="Arial"/>
          <w:color w:val="222222"/>
          <w:sz w:val="24"/>
          <w:szCs w:val="24"/>
          <w:shd w:val="clear" w:color="auto" w:fill="FFFFFF"/>
        </w:rPr>
        <w:t>2015</w:t>
      </w:r>
      <w:r w:rsidRPr="00FD4BC1">
        <w:rPr>
          <w:rFonts w:ascii="Arial" w:hAnsi="Arial" w:cs="Arial"/>
          <w:color w:val="222222"/>
          <w:sz w:val="24"/>
          <w:szCs w:val="24"/>
          <w:shd w:val="clear" w:color="auto" w:fill="FFFFFF"/>
        </w:rPr>
        <w:t>)</w:t>
      </w:r>
      <w:r w:rsidRPr="00FD4BC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</w:t>
      </w:r>
      <w:r w:rsidRPr="00FD4BC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Curriculum for Wales: Foundation Phase Framework</w:t>
      </w:r>
      <w:r w:rsidRPr="00FD4BC1">
        <w:rPr>
          <w:rFonts w:ascii="Arial" w:hAnsi="Arial" w:cs="Arial"/>
          <w:color w:val="222222"/>
          <w:sz w:val="24"/>
          <w:szCs w:val="24"/>
          <w:shd w:val="clear" w:color="auto" w:fill="FFFFFF"/>
        </w:rPr>
        <w:t>.</w:t>
      </w:r>
      <w:r w:rsidRPr="00FD4BC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Available at: </w:t>
      </w:r>
      <w:hyperlink r:id="rId13" w:history="1">
        <w:r w:rsidRPr="00FD4BC1">
          <w:rPr>
            <w:rStyle w:val="Hyperlink"/>
            <w:rFonts w:ascii="Arial" w:hAnsi="Arial" w:cs="Arial"/>
            <w:sz w:val="24"/>
            <w:szCs w:val="24"/>
          </w:rPr>
          <w:t>foundation-phase-framework.pdf (gov.wales)</w:t>
        </w:r>
      </w:hyperlink>
      <w:r w:rsidRPr="00FD4BC1">
        <w:rPr>
          <w:rFonts w:ascii="Arial" w:hAnsi="Arial" w:cs="Arial"/>
          <w:sz w:val="24"/>
          <w:szCs w:val="24"/>
        </w:rPr>
        <w:t xml:space="preserve"> (Accessed: 26/3/22).</w:t>
      </w:r>
    </w:p>
    <w:p w14:paraId="3D04DCF1" w14:textId="0BF8B2CF" w:rsidR="002C0752" w:rsidRDefault="00A13990">
      <w:pPr>
        <w:rPr>
          <w:rFonts w:ascii="Arial" w:hAnsi="Arial" w:cs="Arial"/>
          <w:sz w:val="24"/>
          <w:szCs w:val="24"/>
        </w:rPr>
      </w:pPr>
      <w:r w:rsidRPr="00FD4BC1">
        <w:rPr>
          <w:rFonts w:ascii="Arial" w:hAnsi="Arial" w:cs="Arial"/>
          <w:sz w:val="24"/>
          <w:szCs w:val="24"/>
        </w:rPr>
        <w:t>Welsh Government (200</w:t>
      </w:r>
      <w:r w:rsidR="00C92025" w:rsidRPr="00FD4BC1">
        <w:rPr>
          <w:rFonts w:ascii="Arial" w:hAnsi="Arial" w:cs="Arial"/>
          <w:sz w:val="24"/>
          <w:szCs w:val="24"/>
        </w:rPr>
        <w:t xml:space="preserve">3) </w:t>
      </w:r>
      <w:r w:rsidR="00C92025" w:rsidRPr="00FD4BC1">
        <w:rPr>
          <w:rFonts w:ascii="Arial" w:hAnsi="Arial" w:cs="Arial"/>
          <w:i/>
          <w:iCs/>
          <w:sz w:val="24"/>
          <w:szCs w:val="24"/>
        </w:rPr>
        <w:t xml:space="preserve">Developing the Curriculum Cymreig. </w:t>
      </w:r>
      <w:r w:rsidR="00C92025" w:rsidRPr="00FD4BC1">
        <w:rPr>
          <w:rFonts w:ascii="Arial" w:hAnsi="Arial" w:cs="Arial"/>
          <w:sz w:val="24"/>
          <w:szCs w:val="24"/>
        </w:rPr>
        <w:t xml:space="preserve">Available at: </w:t>
      </w:r>
      <w:hyperlink r:id="rId14" w:history="1">
        <w:r w:rsidR="00C92025" w:rsidRPr="00FD4BC1">
          <w:rPr>
            <w:rStyle w:val="Hyperlink"/>
            <w:rFonts w:ascii="Arial" w:hAnsi="Arial" w:cs="Arial"/>
            <w:sz w:val="24"/>
            <w:szCs w:val="24"/>
          </w:rPr>
          <w:t>developing-the-curriculum-cymreig.pdf (gov.wales)</w:t>
        </w:r>
      </w:hyperlink>
      <w:r w:rsidR="00C92025" w:rsidRPr="00FD4BC1">
        <w:rPr>
          <w:rFonts w:ascii="Arial" w:hAnsi="Arial" w:cs="Arial"/>
          <w:sz w:val="24"/>
          <w:szCs w:val="24"/>
        </w:rPr>
        <w:t xml:space="preserve"> (Accessed: 26/3/22).</w:t>
      </w:r>
    </w:p>
    <w:p w14:paraId="5EF06393" w14:textId="04CBB666" w:rsidR="006F2F2A" w:rsidRDefault="006F2F2A">
      <w:pPr>
        <w:rPr>
          <w:rFonts w:ascii="Arial" w:hAnsi="Arial" w:cs="Arial"/>
          <w:sz w:val="24"/>
          <w:szCs w:val="24"/>
        </w:rPr>
      </w:pPr>
      <w:r w:rsidRPr="00FD4BC1">
        <w:rPr>
          <w:rFonts w:ascii="Arial" w:hAnsi="Arial" w:cs="Arial"/>
          <w:sz w:val="24"/>
          <w:szCs w:val="24"/>
        </w:rPr>
        <w:t xml:space="preserve">Welsh Government (2014) ‘Welsh as an Additional Language: Research into the level of need and current support provided to black and minority ethnic pupils with Welsh language support needs’, </w:t>
      </w:r>
      <w:r w:rsidRPr="00FD4BC1">
        <w:rPr>
          <w:rFonts w:ascii="Arial" w:hAnsi="Arial" w:cs="Arial"/>
          <w:i/>
          <w:iCs/>
          <w:sz w:val="24"/>
          <w:szCs w:val="24"/>
        </w:rPr>
        <w:t>Government Social Research: Analysis for Policy</w:t>
      </w:r>
      <w:r w:rsidRPr="00FD4BC1">
        <w:rPr>
          <w:rFonts w:ascii="Arial" w:hAnsi="Arial" w:cs="Arial"/>
          <w:sz w:val="24"/>
          <w:szCs w:val="24"/>
        </w:rPr>
        <w:t xml:space="preserve">. Available at: </w:t>
      </w:r>
      <w:hyperlink r:id="rId15" w:history="1">
        <w:r w:rsidRPr="00FD4BC1">
          <w:rPr>
            <w:rStyle w:val="Hyperlink"/>
            <w:rFonts w:ascii="Arial" w:hAnsi="Arial" w:cs="Arial"/>
            <w:sz w:val="24"/>
            <w:szCs w:val="24"/>
          </w:rPr>
          <w:t xml:space="preserve">Welsh as an Additional Language: Research into the level of need and </w:t>
        </w:r>
        <w:r w:rsidRPr="00FD4BC1">
          <w:rPr>
            <w:rStyle w:val="Hyperlink"/>
            <w:rFonts w:ascii="Arial" w:hAnsi="Arial" w:cs="Arial"/>
            <w:sz w:val="24"/>
            <w:szCs w:val="24"/>
          </w:rPr>
          <w:lastRenderedPageBreak/>
          <w:t>current support provided to black and minority ethnic pupils with Welsh language support needs (iaith.cymru)</w:t>
        </w:r>
      </w:hyperlink>
      <w:r w:rsidRPr="00FD4BC1">
        <w:rPr>
          <w:rFonts w:ascii="Arial" w:hAnsi="Arial" w:cs="Arial"/>
          <w:sz w:val="24"/>
          <w:szCs w:val="24"/>
        </w:rPr>
        <w:t xml:space="preserve"> (Accessed: 26/3/22).</w:t>
      </w:r>
    </w:p>
    <w:p w14:paraId="2CC87958" w14:textId="77777777" w:rsidR="0083192B" w:rsidRPr="00FD4BC1" w:rsidRDefault="0083192B" w:rsidP="0083192B">
      <w:pPr>
        <w:rPr>
          <w:rFonts w:ascii="Arial" w:hAnsi="Arial" w:cs="Arial"/>
          <w:sz w:val="24"/>
          <w:szCs w:val="24"/>
        </w:rPr>
      </w:pPr>
      <w:r w:rsidRPr="00FD4BC1">
        <w:rPr>
          <w:rFonts w:ascii="Arial" w:hAnsi="Arial" w:cs="Arial"/>
          <w:color w:val="222222"/>
          <w:sz w:val="24"/>
          <w:szCs w:val="24"/>
          <w:shd w:val="clear" w:color="auto" w:fill="FFFFFF"/>
        </w:rPr>
        <w:t>Wright, W. and Baker, C. (2017) ‘Key concepts in bilingual education’, </w:t>
      </w:r>
      <w:r w:rsidRPr="00FD4BC1">
        <w:rPr>
          <w:rFonts w:ascii="Arial" w:hAnsi="Arial" w:cs="Arial"/>
          <w:i/>
          <w:iCs/>
          <w:color w:val="222222"/>
          <w:sz w:val="24"/>
          <w:szCs w:val="24"/>
          <w:shd w:val="clear" w:color="auto" w:fill="FFFFFF"/>
        </w:rPr>
        <w:t>Bilingual and multilingual education</w:t>
      </w:r>
      <w:r w:rsidRPr="00FD4BC1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, pp.65-79. Available at: </w:t>
      </w:r>
      <w:hyperlink r:id="rId16" w:anchor="page=85" w:history="1">
        <w:r w:rsidRPr="00FD4BC1">
          <w:rPr>
            <w:rStyle w:val="Hyperlink"/>
            <w:rFonts w:ascii="Arial" w:hAnsi="Arial" w:cs="Arial"/>
            <w:sz w:val="24"/>
            <w:szCs w:val="24"/>
          </w:rPr>
          <w:t>bilingual.pdf (cana1.com)</w:t>
        </w:r>
      </w:hyperlink>
      <w:r w:rsidRPr="00FD4BC1">
        <w:rPr>
          <w:rFonts w:ascii="Arial" w:hAnsi="Arial" w:cs="Arial"/>
          <w:sz w:val="24"/>
          <w:szCs w:val="24"/>
        </w:rPr>
        <w:t xml:space="preserve"> (Accessed: 26/3/22).</w:t>
      </w:r>
    </w:p>
    <w:p w14:paraId="6C737A92" w14:textId="77777777" w:rsidR="0083192B" w:rsidRPr="00FD4BC1" w:rsidRDefault="0083192B">
      <w:pPr>
        <w:rPr>
          <w:rFonts w:ascii="Arial" w:hAnsi="Arial" w:cs="Arial"/>
          <w:sz w:val="24"/>
          <w:szCs w:val="24"/>
        </w:rPr>
      </w:pPr>
    </w:p>
    <w:sectPr w:rsidR="0083192B" w:rsidRPr="00FD4BC1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9183D1C" w14:textId="77777777" w:rsidR="00565BF9" w:rsidRDefault="00565BF9" w:rsidP="00FD4BC1">
      <w:pPr>
        <w:spacing w:after="0" w:line="240" w:lineRule="auto"/>
      </w:pPr>
      <w:r>
        <w:separator/>
      </w:r>
    </w:p>
  </w:endnote>
  <w:endnote w:type="continuationSeparator" w:id="0">
    <w:p w14:paraId="43E6A7F6" w14:textId="77777777" w:rsidR="00565BF9" w:rsidRDefault="00565BF9" w:rsidP="00FD4BC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91D0DB" w14:textId="77777777" w:rsidR="00565BF9" w:rsidRDefault="00565BF9" w:rsidP="00FD4BC1">
      <w:pPr>
        <w:spacing w:after="0" w:line="240" w:lineRule="auto"/>
      </w:pPr>
      <w:r>
        <w:separator/>
      </w:r>
    </w:p>
  </w:footnote>
  <w:footnote w:type="continuationSeparator" w:id="0">
    <w:p w14:paraId="6E0DED29" w14:textId="77777777" w:rsidR="00565BF9" w:rsidRDefault="00565BF9" w:rsidP="00FD4BC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81E1D2" w14:textId="313F667F" w:rsidR="00FD4BC1" w:rsidRDefault="00FD4BC1">
    <w:pPr>
      <w:pStyle w:val="Header"/>
    </w:pPr>
    <w:r>
      <w:t>Sara King (2105395)</w:t>
    </w:r>
    <w:r>
      <w:ptab w:relativeTo="margin" w:alignment="center" w:leader="none"/>
    </w:r>
    <w:r>
      <w:ptab w:relativeTo="margin" w:alignment="right" w:leader="none"/>
    </w:r>
    <w:r>
      <w:t>ECEY4004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6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F2C7A"/>
    <w:rsid w:val="000F2C7A"/>
    <w:rsid w:val="00273A68"/>
    <w:rsid w:val="002C0752"/>
    <w:rsid w:val="003E6B56"/>
    <w:rsid w:val="00491B12"/>
    <w:rsid w:val="004F46D8"/>
    <w:rsid w:val="00565BF9"/>
    <w:rsid w:val="00685EDF"/>
    <w:rsid w:val="00693EDC"/>
    <w:rsid w:val="006D49DA"/>
    <w:rsid w:val="006F2F2A"/>
    <w:rsid w:val="0078418A"/>
    <w:rsid w:val="00793EEC"/>
    <w:rsid w:val="007F02BB"/>
    <w:rsid w:val="0083192B"/>
    <w:rsid w:val="00850ED9"/>
    <w:rsid w:val="008810D7"/>
    <w:rsid w:val="00A13990"/>
    <w:rsid w:val="00AB4F61"/>
    <w:rsid w:val="00B142B9"/>
    <w:rsid w:val="00B96601"/>
    <w:rsid w:val="00C17765"/>
    <w:rsid w:val="00C92025"/>
    <w:rsid w:val="00D87D5C"/>
    <w:rsid w:val="00E96E13"/>
    <w:rsid w:val="00F56961"/>
    <w:rsid w:val="00FD4B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24FC756"/>
  <w15:chartTrackingRefBased/>
  <w15:docId w15:val="{29953407-67EA-43DA-AC68-703FED5ECA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B96601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FD4B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4BC1"/>
  </w:style>
  <w:style w:type="paragraph" w:styleId="Footer">
    <w:name w:val="footer"/>
    <w:basedOn w:val="Normal"/>
    <w:link w:val="FooterChar"/>
    <w:uiPriority w:val="99"/>
    <w:unhideWhenUsed/>
    <w:rsid w:val="00FD4BC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4BC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tandfonline.com/doi/abs/10.1080/13670050.2013.866624" TargetMode="External"/><Relationship Id="rId13" Type="http://schemas.openxmlformats.org/officeDocument/2006/relationships/hyperlink" Target="https://hwb.gov.wales/storage/d5d8e39c-b534-40cb-a3f5-7e2e126d8077/foundation-phase-framework.pdf" TargetMode="External"/><Relationship Id="rId1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hyperlink" Target="https://www.sciencedirect.com/science/article/abs/pii/S1871187121001334?casa_token=mFXbyQSaHvYAAAAA:BTECpbqum21gOjiX-BXc0SrLvnvLlS-RpztYe0cJ4ZvQNOmf_1Qj9hg1XkYRXwTMYzO_WxFyVL8" TargetMode="External"/><Relationship Id="rId12" Type="http://schemas.openxmlformats.org/officeDocument/2006/relationships/hyperlink" Target="https://onlinelibrary.wiley.com/doi/full/10.1002/jocb.238" TargetMode="External"/><Relationship Id="rId17" Type="http://schemas.openxmlformats.org/officeDocument/2006/relationships/header" Target="header1.xml"/><Relationship Id="rId2" Type="http://schemas.openxmlformats.org/officeDocument/2006/relationships/settings" Target="settings.xml"/><Relationship Id="rId16" Type="http://schemas.openxmlformats.org/officeDocument/2006/relationships/hyperlink" Target="http://www.cana1.com/uploads/1/2/0/8/120881056/bilingual.pdf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ncbi.nlm.nih.gov/pmc/articles/PMC4341987/" TargetMode="External"/><Relationship Id="rId11" Type="http://schemas.openxmlformats.org/officeDocument/2006/relationships/hyperlink" Target="https://www.ncbi.nlm.nih.gov/pmc/articles/PMC3583091/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www.iaith.cymru/uploads/general-uploads/140430-welsh-additional-language-en1_(1).pdf" TargetMode="External"/><Relationship Id="rId10" Type="http://schemas.openxmlformats.org/officeDocument/2006/relationships/hyperlink" Target="https://journals.sagepub.com/doi/abs/10.1177/0255761413487281?casa_token=jmA-8Hey4lIAAAAA%3Ap2L_WGbSke8yxGKLNhLhrM3ypg1kuO_WSCPalNKGX3t7X-mLJ-sPpzRhN7iEpwduJjXFQfsO9OMyWmM&amp;journalCode=ijma" TargetMode="External"/><Relationship Id="rId19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hyperlink" Target="https://www.communityplaythings.co.uk/learning-library/articles/cultural-diversity-in-the-early-years" TargetMode="External"/><Relationship Id="rId14" Type="http://schemas.openxmlformats.org/officeDocument/2006/relationships/hyperlink" Target="https://hwb.gov.wales/api/storage/8e68e2f5-851f-43b8-af24-9eb38cf62482/developing-the-curriculum-cymreig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102</TotalTime>
  <Pages>2</Pages>
  <Words>633</Words>
  <Characters>3614</Characters>
  <Application>Microsoft Office Word</Application>
  <DocSecurity>0</DocSecurity>
  <Lines>30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4239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Sara King (2105395)</dc:creator>
  <cp:keywords/>
  <dc:description/>
  <cp:lastModifiedBy>Sara King (2105395)</cp:lastModifiedBy>
  <cp:revision>18</cp:revision>
  <dcterms:created xsi:type="dcterms:W3CDTF">2022-03-26T14:35:00Z</dcterms:created>
  <dcterms:modified xsi:type="dcterms:W3CDTF">2022-03-26T22:42:00Z</dcterms:modified>
</cp:coreProperties>
</file>