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A62432" w14:textId="77777777" w:rsidR="00D26CEB" w:rsidRPr="000A0554" w:rsidRDefault="00D26CEB" w:rsidP="00D26CEB">
      <w:pPr>
        <w:shd w:val="clear" w:color="auto" w:fill="C5E0B3" w:themeFill="accent6" w:themeFillTint="66"/>
        <w:rPr>
          <w:b/>
          <w:bCs/>
          <w:i/>
          <w:iCs/>
          <w:sz w:val="28"/>
          <w:szCs w:val="28"/>
        </w:rPr>
      </w:pPr>
      <w:r w:rsidRPr="000A0554">
        <w:rPr>
          <w:b/>
          <w:bCs/>
          <w:i/>
          <w:iCs/>
          <w:sz w:val="28"/>
          <w:szCs w:val="28"/>
        </w:rPr>
        <w:t xml:space="preserve">Establishing the British Circular Economy – The pioneering role of Wales and Implications for Carmarthenshire </w:t>
      </w:r>
    </w:p>
    <w:p w14:paraId="1F8F2FB3" w14:textId="77777777" w:rsidR="00AB3CA9" w:rsidRPr="00286A17" w:rsidRDefault="00AB3CA9" w:rsidP="001C09E6">
      <w:pPr>
        <w:spacing w:line="360" w:lineRule="auto"/>
        <w:rPr>
          <w:rFonts w:ascii="Arial" w:hAnsi="Arial" w:cs="Arial"/>
          <w:b/>
          <w:bCs/>
          <w:sz w:val="24"/>
          <w:szCs w:val="24"/>
        </w:rPr>
      </w:pPr>
      <w:r w:rsidRPr="00286A17">
        <w:rPr>
          <w:rFonts w:ascii="Arial" w:hAnsi="Arial" w:cs="Arial"/>
          <w:b/>
          <w:bCs/>
          <w:sz w:val="24"/>
          <w:szCs w:val="24"/>
        </w:rPr>
        <w:t xml:space="preserve">Component 1 – Written Assignment </w:t>
      </w:r>
    </w:p>
    <w:p w14:paraId="414E9ED4" w14:textId="6ED6DAAD" w:rsidR="00DF2500" w:rsidRPr="003D3A67" w:rsidRDefault="00AB3CA9" w:rsidP="001C09E6">
      <w:pPr>
        <w:spacing w:line="360" w:lineRule="auto"/>
        <w:rPr>
          <w:rFonts w:ascii="Arial" w:hAnsi="Arial" w:cs="Arial"/>
          <w:i/>
          <w:iCs/>
          <w:sz w:val="24"/>
          <w:szCs w:val="24"/>
        </w:rPr>
      </w:pPr>
      <w:r w:rsidRPr="003D3A67">
        <w:rPr>
          <w:rFonts w:ascii="Arial" w:hAnsi="Arial" w:cs="Arial"/>
          <w:i/>
          <w:iCs/>
          <w:sz w:val="24"/>
          <w:szCs w:val="24"/>
        </w:rPr>
        <w:t xml:space="preserve">2.1 </w:t>
      </w:r>
      <w:r w:rsidR="00DF2500" w:rsidRPr="003D3A67">
        <w:rPr>
          <w:rFonts w:ascii="Arial" w:hAnsi="Arial" w:cs="Arial"/>
          <w:i/>
          <w:iCs/>
          <w:sz w:val="24"/>
          <w:szCs w:val="24"/>
        </w:rPr>
        <w:t xml:space="preserve">Context of learning experience and relevance to practice area and organisational goals </w:t>
      </w:r>
    </w:p>
    <w:p w14:paraId="4F509F0C" w14:textId="2EE43345" w:rsidR="00DF2500" w:rsidRPr="00AB3CA9" w:rsidRDefault="00DF2500" w:rsidP="001C09E6">
      <w:pPr>
        <w:spacing w:line="360" w:lineRule="auto"/>
        <w:rPr>
          <w:rFonts w:ascii="Arial" w:hAnsi="Arial" w:cs="Arial"/>
          <w:noProof/>
          <w:sz w:val="24"/>
          <w:szCs w:val="24"/>
        </w:rPr>
      </w:pPr>
      <w:r w:rsidRPr="00AB3CA9">
        <w:rPr>
          <w:rFonts w:ascii="Arial" w:hAnsi="Arial" w:cs="Arial"/>
          <w:noProof/>
          <w:sz w:val="24"/>
          <w:szCs w:val="24"/>
        </w:rPr>
        <w:t>The development of a local circular economy strategy is a key organisational goal for carmarthenshire county council in my practice area (Waste Strategy and Policy). In order for this strategy to be developed, clear objectives and goals need to be set and throughough analysis needs to be conducted on the status of circular economy from a national, local authority and community perspective. Baseline information as to how other governments are advancing a CE as well as what the status is here in Carmarthenshire allow</w:t>
      </w:r>
      <w:r w:rsidR="00712933">
        <w:rPr>
          <w:rFonts w:ascii="Arial" w:hAnsi="Arial" w:cs="Arial"/>
          <w:noProof/>
          <w:sz w:val="24"/>
          <w:szCs w:val="24"/>
        </w:rPr>
        <w:t>s</w:t>
      </w:r>
      <w:r w:rsidRPr="00AB3CA9">
        <w:rPr>
          <w:rFonts w:ascii="Arial" w:hAnsi="Arial" w:cs="Arial"/>
          <w:noProof/>
          <w:sz w:val="24"/>
          <w:szCs w:val="24"/>
        </w:rPr>
        <w:t xml:space="preserve"> the </w:t>
      </w:r>
      <w:r w:rsidR="00712933">
        <w:rPr>
          <w:rFonts w:ascii="Arial" w:hAnsi="Arial" w:cs="Arial"/>
          <w:noProof/>
          <w:sz w:val="24"/>
          <w:szCs w:val="24"/>
        </w:rPr>
        <w:t xml:space="preserve">local </w:t>
      </w:r>
      <w:r w:rsidRPr="00AB3CA9">
        <w:rPr>
          <w:rFonts w:ascii="Arial" w:hAnsi="Arial" w:cs="Arial"/>
          <w:noProof/>
          <w:sz w:val="24"/>
          <w:szCs w:val="24"/>
        </w:rPr>
        <w:t xml:space="preserve">authority to identify strategic options which align with local and national goals, </w:t>
      </w:r>
      <w:r w:rsidR="00712933">
        <w:rPr>
          <w:rFonts w:ascii="Arial" w:hAnsi="Arial" w:cs="Arial"/>
          <w:noProof/>
          <w:sz w:val="24"/>
          <w:szCs w:val="24"/>
        </w:rPr>
        <w:t xml:space="preserve">as well as local </w:t>
      </w:r>
      <w:r w:rsidRPr="00AB3CA9">
        <w:rPr>
          <w:rFonts w:ascii="Arial" w:hAnsi="Arial" w:cs="Arial"/>
          <w:noProof/>
          <w:sz w:val="24"/>
          <w:szCs w:val="24"/>
        </w:rPr>
        <w:t>resources and capabilities</w:t>
      </w:r>
      <w:r w:rsidR="00712933">
        <w:rPr>
          <w:rFonts w:ascii="Arial" w:hAnsi="Arial" w:cs="Arial"/>
          <w:noProof/>
          <w:sz w:val="24"/>
          <w:szCs w:val="24"/>
        </w:rPr>
        <w:t xml:space="preserve"> here in Carmarthenshire</w:t>
      </w:r>
      <w:r w:rsidRPr="00AB3CA9">
        <w:rPr>
          <w:rFonts w:ascii="Arial" w:hAnsi="Arial" w:cs="Arial"/>
          <w:noProof/>
          <w:sz w:val="24"/>
          <w:szCs w:val="24"/>
        </w:rPr>
        <w:t xml:space="preserve">. Literature reviews have identified key indicators which provide valuable tools for decision makers in framing their CE strategy, policy and the metrics by which they use to monitor and measure CE progress (Matos </w:t>
      </w:r>
      <w:r w:rsidRPr="00AB3CA9">
        <w:rPr>
          <w:rFonts w:ascii="Arial" w:hAnsi="Arial" w:cs="Arial"/>
          <w:i/>
          <w:iCs/>
          <w:noProof/>
          <w:sz w:val="24"/>
          <w:szCs w:val="24"/>
        </w:rPr>
        <w:t>et al.,</w:t>
      </w:r>
      <w:r w:rsidRPr="00AB3CA9">
        <w:rPr>
          <w:rFonts w:ascii="Arial" w:hAnsi="Arial" w:cs="Arial"/>
          <w:noProof/>
          <w:sz w:val="24"/>
          <w:szCs w:val="24"/>
        </w:rPr>
        <w:t xml:space="preserve"> 2023). This learning experience, evidenced by the rationale and literature review, explored the status of the circular economy as effected by </w:t>
      </w:r>
      <w:r w:rsidR="00203FD6">
        <w:rPr>
          <w:rFonts w:ascii="Arial" w:hAnsi="Arial" w:cs="Arial"/>
          <w:noProof/>
          <w:sz w:val="24"/>
          <w:szCs w:val="24"/>
        </w:rPr>
        <w:t>UK governments</w:t>
      </w:r>
      <w:r w:rsidRPr="00AB3CA9">
        <w:rPr>
          <w:rFonts w:ascii="Arial" w:hAnsi="Arial" w:cs="Arial"/>
          <w:noProof/>
          <w:sz w:val="24"/>
          <w:szCs w:val="24"/>
        </w:rPr>
        <w:t xml:space="preserve">, forming the context against which our success and progress as a local authority in achieving CE can be </w:t>
      </w:r>
      <w:r w:rsidR="00203FD6">
        <w:rPr>
          <w:rFonts w:ascii="Arial" w:hAnsi="Arial" w:cs="Arial"/>
          <w:noProof/>
          <w:sz w:val="24"/>
          <w:szCs w:val="24"/>
        </w:rPr>
        <w:t>contextualised and designed</w:t>
      </w:r>
      <w:r w:rsidRPr="00AB3CA9">
        <w:rPr>
          <w:rFonts w:ascii="Arial" w:hAnsi="Arial" w:cs="Arial"/>
          <w:noProof/>
          <w:sz w:val="24"/>
          <w:szCs w:val="24"/>
        </w:rPr>
        <w:t xml:space="preserve">. This </w:t>
      </w:r>
      <w:r w:rsidR="00203FD6">
        <w:rPr>
          <w:rFonts w:ascii="Arial" w:hAnsi="Arial" w:cs="Arial"/>
          <w:noProof/>
          <w:sz w:val="24"/>
          <w:szCs w:val="24"/>
        </w:rPr>
        <w:t>helps</w:t>
      </w:r>
      <w:r w:rsidRPr="00AB3CA9">
        <w:rPr>
          <w:rFonts w:ascii="Arial" w:hAnsi="Arial" w:cs="Arial"/>
          <w:noProof/>
          <w:sz w:val="24"/>
          <w:szCs w:val="24"/>
        </w:rPr>
        <w:t xml:space="preserve"> identify potential gaps we are missing or opporutnities cuirrently being overlooked, which </w:t>
      </w:r>
      <w:r w:rsidR="00203FD6">
        <w:rPr>
          <w:rFonts w:ascii="Arial" w:hAnsi="Arial" w:cs="Arial"/>
          <w:noProof/>
          <w:sz w:val="24"/>
          <w:szCs w:val="24"/>
        </w:rPr>
        <w:t>can</w:t>
      </w:r>
      <w:r w:rsidRPr="00AB3CA9">
        <w:rPr>
          <w:rFonts w:ascii="Arial" w:hAnsi="Arial" w:cs="Arial"/>
          <w:noProof/>
          <w:sz w:val="24"/>
          <w:szCs w:val="24"/>
        </w:rPr>
        <w:t xml:space="preserve"> improve the future of our practice as it relates to advancing the circular economy here in Carmarthenshire. </w:t>
      </w:r>
      <w:r w:rsidR="00203FD6">
        <w:rPr>
          <w:rFonts w:ascii="Arial" w:hAnsi="Arial" w:cs="Arial"/>
          <w:noProof/>
          <w:sz w:val="24"/>
          <w:szCs w:val="24"/>
        </w:rPr>
        <w:t>A</w:t>
      </w:r>
      <w:r w:rsidR="00D61443">
        <w:rPr>
          <w:rFonts w:ascii="Arial" w:hAnsi="Arial" w:cs="Arial"/>
          <w:noProof/>
          <w:sz w:val="24"/>
          <w:szCs w:val="24"/>
        </w:rPr>
        <w:t xml:space="preserve">s noted by </w:t>
      </w:r>
      <w:r w:rsidR="00D61443" w:rsidRPr="00AB3CA9">
        <w:rPr>
          <w:rFonts w:ascii="Arial" w:hAnsi="Arial" w:cs="Arial"/>
          <w:noProof/>
          <w:sz w:val="24"/>
          <w:szCs w:val="24"/>
        </w:rPr>
        <w:t xml:space="preserve">Temesgen </w:t>
      </w:r>
      <w:r w:rsidR="00D61443" w:rsidRPr="00AB3CA9">
        <w:rPr>
          <w:rFonts w:ascii="Arial" w:hAnsi="Arial" w:cs="Arial"/>
          <w:i/>
          <w:iCs/>
          <w:noProof/>
          <w:sz w:val="24"/>
          <w:szCs w:val="24"/>
        </w:rPr>
        <w:t>et al.,</w:t>
      </w:r>
      <w:r w:rsidR="00D61443" w:rsidRPr="00AB3CA9">
        <w:rPr>
          <w:rFonts w:ascii="Arial" w:hAnsi="Arial" w:cs="Arial"/>
          <w:noProof/>
          <w:sz w:val="24"/>
          <w:szCs w:val="24"/>
        </w:rPr>
        <w:t xml:space="preserve"> </w:t>
      </w:r>
      <w:r w:rsidR="00D61443">
        <w:rPr>
          <w:rFonts w:ascii="Arial" w:hAnsi="Arial" w:cs="Arial"/>
          <w:noProof/>
          <w:sz w:val="24"/>
          <w:szCs w:val="24"/>
        </w:rPr>
        <w:t>(</w:t>
      </w:r>
      <w:r w:rsidR="00D61443" w:rsidRPr="00AB3CA9">
        <w:rPr>
          <w:rFonts w:ascii="Arial" w:hAnsi="Arial" w:cs="Arial"/>
          <w:noProof/>
          <w:sz w:val="24"/>
          <w:szCs w:val="24"/>
        </w:rPr>
        <w:t>2021)</w:t>
      </w:r>
      <w:r w:rsidR="00D61443">
        <w:rPr>
          <w:rFonts w:ascii="Arial" w:hAnsi="Arial" w:cs="Arial"/>
          <w:noProof/>
          <w:sz w:val="24"/>
          <w:szCs w:val="24"/>
        </w:rPr>
        <w:t xml:space="preserve">, a </w:t>
      </w:r>
      <w:r w:rsidRPr="00AB3CA9">
        <w:rPr>
          <w:rFonts w:ascii="Arial" w:hAnsi="Arial" w:cs="Arial"/>
          <w:noProof/>
          <w:sz w:val="24"/>
          <w:szCs w:val="24"/>
        </w:rPr>
        <w:t>transition to a circular economy requires the re-invogration of local economies</w:t>
      </w:r>
      <w:r w:rsidR="00D61443">
        <w:rPr>
          <w:rFonts w:ascii="Arial" w:hAnsi="Arial" w:cs="Arial"/>
          <w:noProof/>
          <w:sz w:val="24"/>
          <w:szCs w:val="24"/>
        </w:rPr>
        <w:t>,</w:t>
      </w:r>
      <w:r w:rsidRPr="00AB3CA9">
        <w:rPr>
          <w:rFonts w:ascii="Arial" w:hAnsi="Arial" w:cs="Arial"/>
          <w:noProof/>
          <w:sz w:val="24"/>
          <w:szCs w:val="24"/>
        </w:rPr>
        <w:t xml:space="preserve"> demonstrating the importance for CE policy that is tailored at the local level</w:t>
      </w:r>
      <w:r w:rsidR="00DF0C2B">
        <w:rPr>
          <w:rFonts w:ascii="Arial" w:hAnsi="Arial" w:cs="Arial"/>
          <w:noProof/>
          <w:sz w:val="24"/>
          <w:szCs w:val="24"/>
        </w:rPr>
        <w:t xml:space="preserve"> which supports </w:t>
      </w:r>
      <w:r w:rsidRPr="00AB3CA9">
        <w:rPr>
          <w:rFonts w:ascii="Arial" w:hAnsi="Arial" w:cs="Arial"/>
          <w:noProof/>
          <w:sz w:val="24"/>
          <w:szCs w:val="24"/>
        </w:rPr>
        <w:t xml:space="preserve">the status of the CE strategy as a key organisational objective. </w:t>
      </w:r>
    </w:p>
    <w:p w14:paraId="4CBD9243" w14:textId="080D299D" w:rsidR="00DF2500" w:rsidRPr="00952685" w:rsidRDefault="00DF2500" w:rsidP="001C09E6">
      <w:pPr>
        <w:spacing w:line="360" w:lineRule="auto"/>
        <w:rPr>
          <w:rFonts w:ascii="Arial" w:hAnsi="Arial" w:cs="Arial"/>
          <w:i/>
          <w:iCs/>
          <w:sz w:val="24"/>
          <w:szCs w:val="24"/>
        </w:rPr>
      </w:pPr>
      <w:r w:rsidRPr="00952685">
        <w:rPr>
          <w:rFonts w:ascii="Arial" w:hAnsi="Arial" w:cs="Arial"/>
          <w:i/>
          <w:iCs/>
          <w:sz w:val="24"/>
          <w:szCs w:val="24"/>
        </w:rPr>
        <w:t>2.</w:t>
      </w:r>
      <w:r w:rsidR="00AB3CA9" w:rsidRPr="00952685">
        <w:rPr>
          <w:rFonts w:ascii="Arial" w:hAnsi="Arial" w:cs="Arial"/>
          <w:i/>
          <w:iCs/>
          <w:sz w:val="24"/>
          <w:szCs w:val="24"/>
        </w:rPr>
        <w:t>2</w:t>
      </w:r>
      <w:r w:rsidRPr="00952685">
        <w:rPr>
          <w:rFonts w:ascii="Arial" w:hAnsi="Arial" w:cs="Arial"/>
          <w:i/>
          <w:iCs/>
          <w:sz w:val="24"/>
          <w:szCs w:val="24"/>
        </w:rPr>
        <w:t xml:space="preserve"> – </w:t>
      </w:r>
      <w:proofErr w:type="spellStart"/>
      <w:r w:rsidRPr="00952685">
        <w:rPr>
          <w:rFonts w:ascii="Arial" w:hAnsi="Arial" w:cs="Arial"/>
          <w:i/>
          <w:iCs/>
          <w:sz w:val="24"/>
          <w:szCs w:val="24"/>
        </w:rPr>
        <w:t>Wales’</w:t>
      </w:r>
      <w:proofErr w:type="spellEnd"/>
      <w:r w:rsidRPr="00952685">
        <w:rPr>
          <w:rFonts w:ascii="Arial" w:hAnsi="Arial" w:cs="Arial"/>
          <w:i/>
          <w:iCs/>
          <w:sz w:val="24"/>
          <w:szCs w:val="24"/>
        </w:rPr>
        <w:t xml:space="preserve"> pioneering role in CE advancement in the UK.</w:t>
      </w:r>
    </w:p>
    <w:p w14:paraId="7CF4FFD6" w14:textId="6B0D053D" w:rsidR="00DF2500" w:rsidRDefault="00DF2500" w:rsidP="001C09E6">
      <w:pPr>
        <w:spacing w:line="360" w:lineRule="auto"/>
        <w:rPr>
          <w:rFonts w:ascii="Arial" w:hAnsi="Arial" w:cs="Arial"/>
          <w:sz w:val="24"/>
          <w:szCs w:val="24"/>
        </w:rPr>
      </w:pPr>
      <w:r w:rsidRPr="00AB3CA9">
        <w:rPr>
          <w:rFonts w:ascii="Arial" w:hAnsi="Arial" w:cs="Arial"/>
          <w:sz w:val="24"/>
          <w:szCs w:val="24"/>
        </w:rPr>
        <w:t xml:space="preserve">The learning undertaken in component 1 included a comparative analysis of how the UK home nations are supporting the CE. As explored in element 2, the four nations have distinct approaches to the CE, with England and </w:t>
      </w:r>
      <w:r w:rsidR="00C9461A">
        <w:rPr>
          <w:rFonts w:ascii="Arial" w:hAnsi="Arial" w:cs="Arial"/>
          <w:sz w:val="24"/>
          <w:szCs w:val="24"/>
        </w:rPr>
        <w:t>Northern Ireland (</w:t>
      </w:r>
      <w:r w:rsidRPr="00AB3CA9">
        <w:rPr>
          <w:rFonts w:ascii="Arial" w:hAnsi="Arial" w:cs="Arial"/>
          <w:sz w:val="24"/>
          <w:szCs w:val="24"/>
        </w:rPr>
        <w:t>NI</w:t>
      </w:r>
      <w:r w:rsidR="00C9461A">
        <w:rPr>
          <w:rFonts w:ascii="Arial" w:hAnsi="Arial" w:cs="Arial"/>
          <w:sz w:val="24"/>
          <w:szCs w:val="24"/>
        </w:rPr>
        <w:t>)</w:t>
      </w:r>
      <w:r w:rsidRPr="00AB3CA9">
        <w:rPr>
          <w:rFonts w:ascii="Arial" w:hAnsi="Arial" w:cs="Arial"/>
          <w:sz w:val="24"/>
          <w:szCs w:val="24"/>
        </w:rPr>
        <w:t xml:space="preserve"> at one end of the spectrum</w:t>
      </w:r>
      <w:r w:rsidR="00F05781">
        <w:rPr>
          <w:rFonts w:ascii="Arial" w:hAnsi="Arial" w:cs="Arial"/>
          <w:sz w:val="24"/>
          <w:szCs w:val="24"/>
        </w:rPr>
        <w:t>, with</w:t>
      </w:r>
      <w:r w:rsidR="001E7B99">
        <w:rPr>
          <w:rFonts w:ascii="Arial" w:hAnsi="Arial" w:cs="Arial"/>
          <w:sz w:val="24"/>
          <w:szCs w:val="24"/>
        </w:rPr>
        <w:t xml:space="preserve"> fewer/weaker targets, reduced scope, and</w:t>
      </w:r>
      <w:r w:rsidR="00DA2673">
        <w:rPr>
          <w:rFonts w:ascii="Arial" w:hAnsi="Arial" w:cs="Arial"/>
          <w:sz w:val="24"/>
          <w:szCs w:val="24"/>
        </w:rPr>
        <w:t xml:space="preserve"> a continued focus on recycling rather than “beyond recycling” e.g. prevention, </w:t>
      </w:r>
      <w:proofErr w:type="spellStart"/>
      <w:r w:rsidR="00DA2673">
        <w:rPr>
          <w:rFonts w:ascii="Arial" w:hAnsi="Arial" w:cs="Arial"/>
          <w:sz w:val="24"/>
          <w:szCs w:val="24"/>
        </w:rPr>
        <w:t>re-use</w:t>
      </w:r>
      <w:proofErr w:type="spellEnd"/>
      <w:r w:rsidR="00DA2673">
        <w:rPr>
          <w:rFonts w:ascii="Arial" w:hAnsi="Arial" w:cs="Arial"/>
          <w:sz w:val="24"/>
          <w:szCs w:val="24"/>
        </w:rPr>
        <w:t xml:space="preserve">, repair and </w:t>
      </w:r>
      <w:r w:rsidR="00DA2673">
        <w:rPr>
          <w:rFonts w:ascii="Arial" w:hAnsi="Arial" w:cs="Arial"/>
          <w:sz w:val="24"/>
          <w:szCs w:val="24"/>
        </w:rPr>
        <w:lastRenderedPageBreak/>
        <w:t xml:space="preserve">remanufacture. </w:t>
      </w:r>
      <w:r w:rsidR="00E51ABD">
        <w:rPr>
          <w:rFonts w:ascii="Arial" w:hAnsi="Arial" w:cs="Arial"/>
          <w:sz w:val="24"/>
          <w:szCs w:val="24"/>
        </w:rPr>
        <w:t xml:space="preserve">Comparatively </w:t>
      </w:r>
      <w:r w:rsidRPr="00AB3CA9">
        <w:rPr>
          <w:rFonts w:ascii="Arial" w:hAnsi="Arial" w:cs="Arial"/>
          <w:sz w:val="24"/>
          <w:szCs w:val="24"/>
        </w:rPr>
        <w:t xml:space="preserve">Wales </w:t>
      </w:r>
      <w:r w:rsidR="00E51ABD">
        <w:rPr>
          <w:rFonts w:ascii="Arial" w:hAnsi="Arial" w:cs="Arial"/>
          <w:sz w:val="24"/>
          <w:szCs w:val="24"/>
        </w:rPr>
        <w:t>a</w:t>
      </w:r>
      <w:r w:rsidRPr="00AB3CA9">
        <w:rPr>
          <w:rFonts w:ascii="Arial" w:hAnsi="Arial" w:cs="Arial"/>
          <w:sz w:val="24"/>
          <w:szCs w:val="24"/>
        </w:rPr>
        <w:t xml:space="preserve">nd Scotland </w:t>
      </w:r>
      <w:r w:rsidR="00E51ABD">
        <w:rPr>
          <w:rFonts w:ascii="Arial" w:hAnsi="Arial" w:cs="Arial"/>
          <w:sz w:val="24"/>
          <w:szCs w:val="24"/>
        </w:rPr>
        <w:t xml:space="preserve">are situated </w:t>
      </w:r>
      <w:r w:rsidRPr="00AB3CA9">
        <w:rPr>
          <w:rFonts w:ascii="Arial" w:hAnsi="Arial" w:cs="Arial"/>
          <w:sz w:val="24"/>
          <w:szCs w:val="24"/>
        </w:rPr>
        <w:t>at the other end of the spectrum</w:t>
      </w:r>
      <w:r w:rsidR="00E51ABD">
        <w:rPr>
          <w:rFonts w:ascii="Arial" w:hAnsi="Arial" w:cs="Arial"/>
          <w:sz w:val="24"/>
          <w:szCs w:val="24"/>
        </w:rPr>
        <w:t xml:space="preserve"> with </w:t>
      </w:r>
      <w:r w:rsidRPr="00AB3CA9">
        <w:rPr>
          <w:rFonts w:ascii="Arial" w:hAnsi="Arial" w:cs="Arial"/>
          <w:sz w:val="24"/>
          <w:szCs w:val="24"/>
        </w:rPr>
        <w:t>more extensive and ambitious approaches to advancing the CE. As touched on in element 2, a significant recent development has transpired this</w:t>
      </w:r>
      <w:r w:rsidR="00E51ABD">
        <w:rPr>
          <w:rFonts w:ascii="Arial" w:hAnsi="Arial" w:cs="Arial"/>
          <w:sz w:val="24"/>
          <w:szCs w:val="24"/>
        </w:rPr>
        <w:t xml:space="preserve"> past</w:t>
      </w:r>
      <w:r w:rsidRPr="00AB3CA9">
        <w:rPr>
          <w:rFonts w:ascii="Arial" w:hAnsi="Arial" w:cs="Arial"/>
          <w:sz w:val="24"/>
          <w:szCs w:val="24"/>
        </w:rPr>
        <w:t xml:space="preserve"> week with the Scottish Parliament passing their Circular Economy Bill. Of note is the acknowledgement that the measures introduced in this bill are </w:t>
      </w:r>
      <w:r w:rsidRPr="00AB3CA9">
        <w:rPr>
          <w:rFonts w:ascii="Arial" w:hAnsi="Arial" w:cs="Arial"/>
          <w:i/>
          <w:iCs/>
          <w:sz w:val="24"/>
          <w:szCs w:val="24"/>
        </w:rPr>
        <w:t xml:space="preserve">“building on the experience of Wales, which has the best recycling rate in the UK”. </w:t>
      </w:r>
      <w:r w:rsidRPr="00AB3CA9">
        <w:rPr>
          <w:rFonts w:ascii="Arial" w:hAnsi="Arial" w:cs="Arial"/>
          <w:sz w:val="24"/>
          <w:szCs w:val="24"/>
        </w:rPr>
        <w:t xml:space="preserve">Scotland </w:t>
      </w:r>
      <w:r w:rsidR="00F97B90">
        <w:rPr>
          <w:rFonts w:ascii="Arial" w:hAnsi="Arial" w:cs="Arial"/>
          <w:sz w:val="24"/>
          <w:szCs w:val="24"/>
        </w:rPr>
        <w:t>pointing</w:t>
      </w:r>
      <w:r w:rsidRPr="00AB3CA9">
        <w:rPr>
          <w:rFonts w:ascii="Arial" w:hAnsi="Arial" w:cs="Arial"/>
          <w:sz w:val="24"/>
          <w:szCs w:val="24"/>
        </w:rPr>
        <w:t xml:space="preserve"> to Welsh legislation </w:t>
      </w:r>
      <w:r w:rsidR="00F97B90">
        <w:rPr>
          <w:rFonts w:ascii="Arial" w:hAnsi="Arial" w:cs="Arial"/>
          <w:sz w:val="24"/>
          <w:szCs w:val="24"/>
        </w:rPr>
        <w:t>and</w:t>
      </w:r>
      <w:r w:rsidRPr="00AB3CA9">
        <w:rPr>
          <w:rFonts w:ascii="Arial" w:hAnsi="Arial" w:cs="Arial"/>
          <w:sz w:val="24"/>
          <w:szCs w:val="24"/>
        </w:rPr>
        <w:t xml:space="preserve"> performance in their new CE bill is a testament to the pioneering role Wales is playing in setting the benchmarks for UK resource management and CE advancement, and reinforces the conclusions made by myself and other authors referenced in component 1 that Wales and Scotland are at the forefront of CE policy in the UK through innovative and ambitious policy that extends beyond targets previously set out by the EU</w:t>
      </w:r>
      <w:r w:rsidR="00F97B90">
        <w:rPr>
          <w:rFonts w:ascii="Arial" w:hAnsi="Arial" w:cs="Arial"/>
          <w:sz w:val="24"/>
          <w:szCs w:val="24"/>
        </w:rPr>
        <w:t xml:space="preserve">, and </w:t>
      </w:r>
      <w:r w:rsidR="000D2B9E">
        <w:rPr>
          <w:rFonts w:ascii="Arial" w:hAnsi="Arial" w:cs="Arial"/>
          <w:sz w:val="24"/>
          <w:szCs w:val="24"/>
        </w:rPr>
        <w:t xml:space="preserve">for Wales </w:t>
      </w:r>
      <w:r w:rsidR="003B7FCE">
        <w:rPr>
          <w:rFonts w:ascii="Arial" w:hAnsi="Arial" w:cs="Arial"/>
          <w:sz w:val="24"/>
          <w:szCs w:val="24"/>
        </w:rPr>
        <w:t>specifically</w:t>
      </w:r>
      <w:r w:rsidR="000D2B9E">
        <w:rPr>
          <w:rFonts w:ascii="Arial" w:hAnsi="Arial" w:cs="Arial"/>
          <w:sz w:val="24"/>
          <w:szCs w:val="24"/>
        </w:rPr>
        <w:t xml:space="preserve">, is championing a uniquely holistic approach </w:t>
      </w:r>
      <w:r w:rsidR="0053342B">
        <w:rPr>
          <w:rFonts w:ascii="Arial" w:hAnsi="Arial" w:cs="Arial"/>
          <w:sz w:val="24"/>
          <w:szCs w:val="24"/>
        </w:rPr>
        <w:t xml:space="preserve">associated with significant </w:t>
      </w:r>
      <w:r w:rsidR="00D3356E">
        <w:rPr>
          <w:rFonts w:ascii="Arial" w:hAnsi="Arial" w:cs="Arial"/>
          <w:sz w:val="24"/>
          <w:szCs w:val="24"/>
        </w:rPr>
        <w:t>support to the public, private and third sector which has already lead to material innovation and advancement toward a Welsh CE (</w:t>
      </w:r>
      <w:r w:rsidR="00036D54" w:rsidRPr="00645F7F">
        <w:rPr>
          <w:rFonts w:ascii="Arial" w:hAnsi="Arial" w:cs="Arial"/>
          <w:sz w:val="24"/>
          <w:szCs w:val="24"/>
        </w:rPr>
        <w:t>Fuller-Love</w:t>
      </w:r>
      <w:r w:rsidR="008A5AE1">
        <w:rPr>
          <w:rFonts w:ascii="Arial" w:hAnsi="Arial" w:cs="Arial"/>
          <w:sz w:val="24"/>
          <w:szCs w:val="24"/>
        </w:rPr>
        <w:t xml:space="preserve"> and</w:t>
      </w:r>
      <w:r w:rsidR="00036D54" w:rsidRPr="00645F7F">
        <w:rPr>
          <w:rFonts w:ascii="Arial" w:hAnsi="Arial" w:cs="Arial"/>
          <w:sz w:val="24"/>
          <w:szCs w:val="24"/>
        </w:rPr>
        <w:t xml:space="preserve"> Murphy</w:t>
      </w:r>
      <w:r w:rsidR="00036D54">
        <w:rPr>
          <w:rFonts w:ascii="Arial" w:hAnsi="Arial" w:cs="Arial"/>
          <w:sz w:val="24"/>
          <w:szCs w:val="24"/>
        </w:rPr>
        <w:t>, 2023</w:t>
      </w:r>
      <w:r w:rsidR="008A5AE1">
        <w:rPr>
          <w:rFonts w:ascii="Arial" w:hAnsi="Arial" w:cs="Arial"/>
          <w:sz w:val="24"/>
          <w:szCs w:val="24"/>
        </w:rPr>
        <w:t xml:space="preserve">; </w:t>
      </w:r>
      <w:r w:rsidR="001826DD">
        <w:rPr>
          <w:rFonts w:ascii="Arial" w:hAnsi="Arial" w:cs="Arial"/>
          <w:sz w:val="24"/>
          <w:szCs w:val="24"/>
        </w:rPr>
        <w:t xml:space="preserve">Liu </w:t>
      </w:r>
      <w:r w:rsidR="001826DD">
        <w:rPr>
          <w:rFonts w:ascii="Arial" w:hAnsi="Arial" w:cs="Arial"/>
          <w:i/>
          <w:iCs/>
          <w:sz w:val="24"/>
          <w:szCs w:val="24"/>
        </w:rPr>
        <w:t xml:space="preserve">et al., </w:t>
      </w:r>
      <w:r w:rsidR="001826DD" w:rsidRPr="001826DD">
        <w:rPr>
          <w:rFonts w:ascii="Arial" w:hAnsi="Arial" w:cs="Arial"/>
          <w:sz w:val="24"/>
          <w:szCs w:val="24"/>
        </w:rPr>
        <w:t>2023;</w:t>
      </w:r>
      <w:r w:rsidR="001826DD">
        <w:rPr>
          <w:rFonts w:ascii="Arial" w:hAnsi="Arial" w:cs="Arial"/>
          <w:sz w:val="24"/>
          <w:szCs w:val="24"/>
        </w:rPr>
        <w:t xml:space="preserve"> </w:t>
      </w:r>
      <w:r w:rsidR="00D73BAB">
        <w:rPr>
          <w:rFonts w:ascii="Arial" w:hAnsi="Arial" w:cs="Arial"/>
          <w:sz w:val="24"/>
          <w:szCs w:val="24"/>
        </w:rPr>
        <w:t xml:space="preserve">Walpole </w:t>
      </w:r>
      <w:r w:rsidR="00D73BAB" w:rsidRPr="008A5AE1">
        <w:rPr>
          <w:rFonts w:ascii="Arial" w:hAnsi="Arial" w:cs="Arial"/>
          <w:i/>
          <w:iCs/>
          <w:sz w:val="24"/>
          <w:szCs w:val="24"/>
        </w:rPr>
        <w:t>et al.,</w:t>
      </w:r>
      <w:r w:rsidR="00D73BAB">
        <w:rPr>
          <w:rFonts w:ascii="Arial" w:hAnsi="Arial" w:cs="Arial"/>
          <w:sz w:val="24"/>
          <w:szCs w:val="24"/>
        </w:rPr>
        <w:t xml:space="preserve"> 2023</w:t>
      </w:r>
      <w:r w:rsidR="00AD5B3D">
        <w:rPr>
          <w:rFonts w:ascii="Arial" w:hAnsi="Arial" w:cs="Arial"/>
          <w:sz w:val="24"/>
          <w:szCs w:val="24"/>
        </w:rPr>
        <w:t xml:space="preserve">; De-Laurentis </w:t>
      </w:r>
      <w:r w:rsidR="00AD5B3D">
        <w:rPr>
          <w:rFonts w:ascii="Arial" w:hAnsi="Arial" w:cs="Arial"/>
          <w:i/>
          <w:iCs/>
          <w:sz w:val="24"/>
          <w:szCs w:val="24"/>
        </w:rPr>
        <w:t xml:space="preserve">et al., </w:t>
      </w:r>
      <w:r w:rsidR="00AD5B3D">
        <w:rPr>
          <w:rFonts w:ascii="Arial" w:hAnsi="Arial" w:cs="Arial"/>
          <w:sz w:val="24"/>
          <w:szCs w:val="24"/>
        </w:rPr>
        <w:t>2024</w:t>
      </w:r>
      <w:r w:rsidR="00D73BAB">
        <w:rPr>
          <w:rFonts w:ascii="Arial" w:hAnsi="Arial" w:cs="Arial"/>
          <w:sz w:val="24"/>
          <w:szCs w:val="24"/>
        </w:rPr>
        <w:t>)</w:t>
      </w:r>
      <w:r w:rsidRPr="00AB3CA9">
        <w:rPr>
          <w:rFonts w:ascii="Arial" w:hAnsi="Arial" w:cs="Arial"/>
          <w:sz w:val="24"/>
          <w:szCs w:val="24"/>
        </w:rPr>
        <w:t>.</w:t>
      </w:r>
      <w:r w:rsidR="000E5130">
        <w:rPr>
          <w:rFonts w:ascii="Arial" w:hAnsi="Arial" w:cs="Arial"/>
          <w:sz w:val="24"/>
          <w:szCs w:val="24"/>
        </w:rPr>
        <w:t xml:space="preserve"> </w:t>
      </w:r>
      <w:r w:rsidRPr="00AB3CA9">
        <w:rPr>
          <w:rFonts w:ascii="Arial" w:hAnsi="Arial" w:cs="Arial"/>
          <w:sz w:val="24"/>
          <w:szCs w:val="24"/>
        </w:rPr>
        <w:t xml:space="preserve">The Welsh CE policy framework is broad in scope, addressing a diverse range of aspects including resource efficiency, waste minimization, increasing prevention </w:t>
      </w:r>
      <w:proofErr w:type="spellStart"/>
      <w:r w:rsidRPr="00AB3CA9">
        <w:rPr>
          <w:rFonts w:ascii="Arial" w:hAnsi="Arial" w:cs="Arial"/>
          <w:sz w:val="24"/>
          <w:szCs w:val="24"/>
        </w:rPr>
        <w:t>re-use</w:t>
      </w:r>
      <w:proofErr w:type="spellEnd"/>
      <w:r w:rsidRPr="00AB3CA9">
        <w:rPr>
          <w:rFonts w:ascii="Arial" w:hAnsi="Arial" w:cs="Arial"/>
          <w:sz w:val="24"/>
          <w:szCs w:val="24"/>
        </w:rPr>
        <w:t xml:space="preserve"> and recycling, enabling community </w:t>
      </w:r>
      <w:proofErr w:type="gramStart"/>
      <w:r w:rsidRPr="00AB3CA9">
        <w:rPr>
          <w:rFonts w:ascii="Arial" w:hAnsi="Arial" w:cs="Arial"/>
          <w:sz w:val="24"/>
          <w:szCs w:val="24"/>
        </w:rPr>
        <w:t>action</w:t>
      </w:r>
      <w:proofErr w:type="gramEnd"/>
      <w:r w:rsidRPr="00AB3CA9">
        <w:rPr>
          <w:rFonts w:ascii="Arial" w:hAnsi="Arial" w:cs="Arial"/>
          <w:sz w:val="24"/>
          <w:szCs w:val="24"/>
        </w:rPr>
        <w:t xml:space="preserve"> and aligning government levers, while Scotland’s strategies have tended to emphasize specific sectors like construction and manufacturing</w:t>
      </w:r>
      <w:r w:rsidR="000E5130">
        <w:rPr>
          <w:rFonts w:ascii="Arial" w:hAnsi="Arial" w:cs="Arial"/>
          <w:sz w:val="24"/>
          <w:szCs w:val="24"/>
        </w:rPr>
        <w:t xml:space="preserve"> (Fletcher, 2019).</w:t>
      </w:r>
      <w:r w:rsidR="00A36A5B">
        <w:rPr>
          <w:rFonts w:ascii="Arial" w:hAnsi="Arial" w:cs="Arial"/>
          <w:sz w:val="24"/>
          <w:szCs w:val="24"/>
        </w:rPr>
        <w:t xml:space="preserve"> </w:t>
      </w:r>
      <w:r w:rsidRPr="00AB3CA9">
        <w:rPr>
          <w:rFonts w:ascii="Arial" w:hAnsi="Arial" w:cs="Arial"/>
          <w:sz w:val="24"/>
          <w:szCs w:val="24"/>
        </w:rPr>
        <w:t xml:space="preserve">As illustrated in element B section 1.4, Welsh </w:t>
      </w:r>
      <w:r w:rsidR="00A36A5B">
        <w:rPr>
          <w:rFonts w:ascii="Arial" w:hAnsi="Arial" w:cs="Arial"/>
          <w:sz w:val="24"/>
          <w:szCs w:val="24"/>
        </w:rPr>
        <w:t>G</w:t>
      </w:r>
      <w:r w:rsidRPr="00AB3CA9">
        <w:rPr>
          <w:rFonts w:ascii="Arial" w:hAnsi="Arial" w:cs="Arial"/>
          <w:sz w:val="24"/>
          <w:szCs w:val="24"/>
        </w:rPr>
        <w:t>overnment</w:t>
      </w:r>
      <w:r w:rsidR="00AD0AF3">
        <w:rPr>
          <w:rFonts w:ascii="Arial" w:hAnsi="Arial" w:cs="Arial"/>
          <w:sz w:val="24"/>
          <w:szCs w:val="24"/>
        </w:rPr>
        <w:t xml:space="preserve"> (WG)</w:t>
      </w:r>
      <w:r w:rsidRPr="00AB3CA9">
        <w:rPr>
          <w:rFonts w:ascii="Arial" w:hAnsi="Arial" w:cs="Arial"/>
          <w:sz w:val="24"/>
          <w:szCs w:val="24"/>
        </w:rPr>
        <w:t xml:space="preserve"> have demonstrated a consistently </w:t>
      </w:r>
      <w:r w:rsidR="00880E8B">
        <w:rPr>
          <w:rFonts w:ascii="Arial" w:hAnsi="Arial" w:cs="Arial"/>
          <w:sz w:val="24"/>
          <w:szCs w:val="24"/>
        </w:rPr>
        <w:t>more ambitious</w:t>
      </w:r>
      <w:r w:rsidR="00BB46D6">
        <w:rPr>
          <w:rFonts w:ascii="Arial" w:hAnsi="Arial" w:cs="Arial"/>
          <w:sz w:val="24"/>
          <w:szCs w:val="24"/>
        </w:rPr>
        <w:t xml:space="preserve"> </w:t>
      </w:r>
      <w:r w:rsidRPr="00AB3CA9">
        <w:rPr>
          <w:rFonts w:ascii="Arial" w:hAnsi="Arial" w:cs="Arial"/>
          <w:sz w:val="24"/>
          <w:szCs w:val="24"/>
        </w:rPr>
        <w:t xml:space="preserve">approach to setting CE targets than its UK counterparts. However, while setting </w:t>
      </w:r>
      <w:r w:rsidR="00752218">
        <w:rPr>
          <w:rFonts w:ascii="Arial" w:hAnsi="Arial" w:cs="Arial"/>
          <w:sz w:val="24"/>
          <w:szCs w:val="24"/>
        </w:rPr>
        <w:t>strong</w:t>
      </w:r>
      <w:r w:rsidRPr="00AB3CA9">
        <w:rPr>
          <w:rFonts w:ascii="Arial" w:hAnsi="Arial" w:cs="Arial"/>
          <w:sz w:val="24"/>
          <w:szCs w:val="24"/>
        </w:rPr>
        <w:t xml:space="preserve"> targets is important, of equal importance is 1) ensuring these targets are fit for purpose and 2) </w:t>
      </w:r>
      <w:r w:rsidR="00752218">
        <w:rPr>
          <w:rFonts w:ascii="Arial" w:hAnsi="Arial" w:cs="Arial"/>
          <w:sz w:val="24"/>
          <w:szCs w:val="24"/>
        </w:rPr>
        <w:t>ensuring</w:t>
      </w:r>
      <w:r w:rsidRPr="00AB3CA9">
        <w:rPr>
          <w:rFonts w:ascii="Arial" w:hAnsi="Arial" w:cs="Arial"/>
          <w:sz w:val="24"/>
          <w:szCs w:val="24"/>
        </w:rPr>
        <w:t xml:space="preserve"> provision of support (in terms of money, </w:t>
      </w:r>
      <w:proofErr w:type="gramStart"/>
      <w:r w:rsidRPr="00AB3CA9">
        <w:rPr>
          <w:rFonts w:ascii="Arial" w:hAnsi="Arial" w:cs="Arial"/>
          <w:sz w:val="24"/>
          <w:szCs w:val="24"/>
        </w:rPr>
        <w:t>capacity</w:t>
      </w:r>
      <w:proofErr w:type="gramEnd"/>
      <w:r w:rsidRPr="00AB3CA9">
        <w:rPr>
          <w:rFonts w:ascii="Arial" w:hAnsi="Arial" w:cs="Arial"/>
          <w:sz w:val="24"/>
          <w:szCs w:val="24"/>
        </w:rPr>
        <w:t xml:space="preserve"> and resource) is sufficient to make meeting those targets achievable. European governments including WG have faced criticism for focussing on targets which turn recyclable waste into a traded good which leads to “waste dumping”, often in poorer countries with less infrastructure to manage the volumes they receive (Kettunen </w:t>
      </w:r>
      <w:r w:rsidRPr="007A5481">
        <w:rPr>
          <w:rFonts w:ascii="Arial" w:hAnsi="Arial" w:cs="Arial"/>
          <w:i/>
          <w:iCs/>
          <w:sz w:val="24"/>
          <w:szCs w:val="24"/>
        </w:rPr>
        <w:t>et al.,</w:t>
      </w:r>
      <w:r w:rsidRPr="00AB3CA9">
        <w:rPr>
          <w:rFonts w:ascii="Arial" w:hAnsi="Arial" w:cs="Arial"/>
          <w:sz w:val="24"/>
          <w:szCs w:val="24"/>
        </w:rPr>
        <w:t xml:space="preserve"> 2019). Welsh Government specifically has been criticised for recycling targets deemed “overambitious” due to the resource limitations of local authorities and the consequent, disproportionate burden (in terms of both finance and resource) that is placed on them in attempting to meet these targets. At present however, WG’s Circular Economy policy framework does not appear to feature this issue, instead being subject to considerably large sums of funding </w:t>
      </w:r>
      <w:r w:rsidRPr="00AB3CA9">
        <w:rPr>
          <w:rFonts w:ascii="Arial" w:hAnsi="Arial" w:cs="Arial"/>
          <w:sz w:val="24"/>
          <w:szCs w:val="24"/>
        </w:rPr>
        <w:lastRenderedPageBreak/>
        <w:t xml:space="preserve">support to local authorise comparative to other UK countries providing over £43 million in funding over the course of 2020-2021 via the Circular Economy Fund to private and public bodies including local authorities and universities to further CE innovation in Wales (Liu </w:t>
      </w:r>
      <w:r w:rsidRPr="00AB3CA9">
        <w:rPr>
          <w:rFonts w:ascii="Arial" w:hAnsi="Arial" w:cs="Arial"/>
          <w:i/>
          <w:iCs/>
          <w:sz w:val="24"/>
          <w:szCs w:val="24"/>
        </w:rPr>
        <w:t>et al.,</w:t>
      </w:r>
      <w:r w:rsidRPr="00AB3CA9">
        <w:rPr>
          <w:rFonts w:ascii="Arial" w:hAnsi="Arial" w:cs="Arial"/>
          <w:sz w:val="24"/>
          <w:szCs w:val="24"/>
        </w:rPr>
        <w:t xml:space="preserve"> 2023; Clifton </w:t>
      </w:r>
      <w:r w:rsidRPr="00AB3CA9">
        <w:rPr>
          <w:rFonts w:ascii="Arial" w:hAnsi="Arial" w:cs="Arial"/>
          <w:i/>
          <w:iCs/>
          <w:sz w:val="24"/>
          <w:szCs w:val="24"/>
        </w:rPr>
        <w:t>et al.,</w:t>
      </w:r>
      <w:r w:rsidRPr="00AB3CA9">
        <w:rPr>
          <w:rFonts w:ascii="Arial" w:hAnsi="Arial" w:cs="Arial"/>
          <w:sz w:val="24"/>
          <w:szCs w:val="24"/>
        </w:rPr>
        <w:t xml:space="preserve"> 2024). It is important therefore that this learning is considered in my practice area as it pertains to the development of our local CE strategy. </w:t>
      </w:r>
      <w:proofErr w:type="gramStart"/>
      <w:r w:rsidRPr="00AB3CA9">
        <w:rPr>
          <w:rFonts w:ascii="Arial" w:hAnsi="Arial" w:cs="Arial"/>
          <w:sz w:val="24"/>
          <w:szCs w:val="24"/>
        </w:rPr>
        <w:t>Specifically</w:t>
      </w:r>
      <w:proofErr w:type="gramEnd"/>
      <w:r w:rsidRPr="00AB3CA9">
        <w:rPr>
          <w:rFonts w:ascii="Arial" w:hAnsi="Arial" w:cs="Arial"/>
          <w:sz w:val="24"/>
          <w:szCs w:val="24"/>
        </w:rPr>
        <w:t xml:space="preserve"> this learning has emphasised the need to properly understand the socio-economic capacity and needs of Carmarthenshire’ communities and businesses in order to set targets that are sustainable, achievable and provide tangible local benefits to people who need it most. Carmarthenshire County Council established their flagship circular economy project</w:t>
      </w:r>
      <w:r w:rsidR="00646596">
        <w:rPr>
          <w:rFonts w:ascii="Arial" w:hAnsi="Arial" w:cs="Arial"/>
          <w:sz w:val="24"/>
          <w:szCs w:val="24"/>
        </w:rPr>
        <w:t xml:space="preserve"> “</w:t>
      </w:r>
      <w:proofErr w:type="spellStart"/>
      <w:r w:rsidR="00646596">
        <w:rPr>
          <w:rFonts w:ascii="Arial" w:hAnsi="Arial" w:cs="Arial"/>
          <w:sz w:val="24"/>
          <w:szCs w:val="24"/>
        </w:rPr>
        <w:t>Canolfan</w:t>
      </w:r>
      <w:proofErr w:type="spellEnd"/>
      <w:r w:rsidR="00646596">
        <w:rPr>
          <w:rFonts w:ascii="Arial" w:hAnsi="Arial" w:cs="Arial"/>
          <w:sz w:val="24"/>
          <w:szCs w:val="24"/>
        </w:rPr>
        <w:t xml:space="preserve"> </w:t>
      </w:r>
      <w:proofErr w:type="spellStart"/>
      <w:r w:rsidR="00646596">
        <w:rPr>
          <w:rFonts w:ascii="Arial" w:hAnsi="Arial" w:cs="Arial"/>
          <w:sz w:val="24"/>
          <w:szCs w:val="24"/>
        </w:rPr>
        <w:t>Eto</w:t>
      </w:r>
      <w:proofErr w:type="spellEnd"/>
      <w:r w:rsidR="00646596">
        <w:rPr>
          <w:rFonts w:ascii="Arial" w:hAnsi="Arial" w:cs="Arial"/>
          <w:sz w:val="24"/>
          <w:szCs w:val="24"/>
        </w:rPr>
        <w:t>”</w:t>
      </w:r>
      <w:r w:rsidRPr="00AB3CA9">
        <w:rPr>
          <w:rFonts w:ascii="Arial" w:hAnsi="Arial" w:cs="Arial"/>
          <w:sz w:val="24"/>
          <w:szCs w:val="24"/>
        </w:rPr>
        <w:t xml:space="preserve"> via the Welsh Government Circular Economy Fund </w:t>
      </w:r>
      <w:r w:rsidR="009D46C1">
        <w:rPr>
          <w:rFonts w:ascii="Arial" w:hAnsi="Arial" w:cs="Arial"/>
          <w:sz w:val="24"/>
          <w:szCs w:val="24"/>
        </w:rPr>
        <w:t xml:space="preserve">is a </w:t>
      </w:r>
      <w:proofErr w:type="spellStart"/>
      <w:r w:rsidR="009D46C1">
        <w:rPr>
          <w:rFonts w:ascii="Arial" w:hAnsi="Arial" w:cs="Arial"/>
          <w:sz w:val="24"/>
          <w:szCs w:val="24"/>
        </w:rPr>
        <w:t>re-use</w:t>
      </w:r>
      <w:proofErr w:type="spellEnd"/>
      <w:r w:rsidR="009D46C1">
        <w:rPr>
          <w:rFonts w:ascii="Arial" w:hAnsi="Arial" w:cs="Arial"/>
          <w:sz w:val="24"/>
          <w:szCs w:val="24"/>
        </w:rPr>
        <w:t xml:space="preserve"> village which </w:t>
      </w:r>
      <w:r w:rsidR="00387820">
        <w:rPr>
          <w:rFonts w:ascii="Arial" w:hAnsi="Arial" w:cs="Arial"/>
          <w:sz w:val="24"/>
          <w:szCs w:val="24"/>
        </w:rPr>
        <w:t xml:space="preserve">takes items donated from our household waste and recycling centres (HWRCs) and </w:t>
      </w:r>
      <w:r w:rsidR="00010ED4">
        <w:rPr>
          <w:rFonts w:ascii="Arial" w:hAnsi="Arial" w:cs="Arial"/>
          <w:sz w:val="24"/>
          <w:szCs w:val="24"/>
        </w:rPr>
        <w:t xml:space="preserve">repairs or upcycles them and sells them on at affordable prices for the local community. </w:t>
      </w:r>
      <w:r w:rsidR="0015198C">
        <w:rPr>
          <w:rFonts w:ascii="Arial" w:hAnsi="Arial" w:cs="Arial"/>
          <w:sz w:val="24"/>
          <w:szCs w:val="24"/>
        </w:rPr>
        <w:t>The enhanced understanding of</w:t>
      </w:r>
      <w:r w:rsidR="00C9461A">
        <w:rPr>
          <w:rFonts w:ascii="Arial" w:hAnsi="Arial" w:cs="Arial"/>
          <w:sz w:val="24"/>
          <w:szCs w:val="24"/>
        </w:rPr>
        <w:t xml:space="preserve"> the WG approach to CE </w:t>
      </w:r>
      <w:r w:rsidR="00AD0AF3">
        <w:rPr>
          <w:rFonts w:ascii="Arial" w:hAnsi="Arial" w:cs="Arial"/>
          <w:sz w:val="24"/>
          <w:szCs w:val="24"/>
        </w:rPr>
        <w:t xml:space="preserve">I know have from this learning </w:t>
      </w:r>
      <w:r w:rsidR="00E81936">
        <w:rPr>
          <w:rFonts w:ascii="Arial" w:hAnsi="Arial" w:cs="Arial"/>
          <w:sz w:val="24"/>
          <w:szCs w:val="24"/>
        </w:rPr>
        <w:t xml:space="preserve">has allowed me to recognise that our practice area is already in good alignment with </w:t>
      </w:r>
      <w:r w:rsidR="006826CF">
        <w:rPr>
          <w:rFonts w:ascii="Arial" w:hAnsi="Arial" w:cs="Arial"/>
          <w:sz w:val="24"/>
          <w:szCs w:val="24"/>
        </w:rPr>
        <w:t xml:space="preserve">WG’s approach in our dedication to going beyond recycling </w:t>
      </w:r>
      <w:r w:rsidR="00320FF0">
        <w:rPr>
          <w:rFonts w:ascii="Arial" w:hAnsi="Arial" w:cs="Arial"/>
          <w:sz w:val="24"/>
          <w:szCs w:val="24"/>
        </w:rPr>
        <w:t xml:space="preserve">to enable local provision at affordable cost. This is consistent with the strengths </w:t>
      </w:r>
      <w:r w:rsidR="00F14492">
        <w:rPr>
          <w:rFonts w:ascii="Arial" w:hAnsi="Arial" w:cs="Arial"/>
          <w:sz w:val="24"/>
          <w:szCs w:val="24"/>
        </w:rPr>
        <w:t xml:space="preserve">identified in WG CE policy </w:t>
      </w:r>
      <w:r w:rsidR="00524E7D">
        <w:rPr>
          <w:rFonts w:ascii="Arial" w:hAnsi="Arial" w:cs="Arial"/>
          <w:sz w:val="24"/>
          <w:szCs w:val="24"/>
        </w:rPr>
        <w:t xml:space="preserve">which calls for the advocation of sustainable consumption, </w:t>
      </w:r>
      <w:proofErr w:type="gramStart"/>
      <w:r w:rsidR="00524E7D">
        <w:rPr>
          <w:rFonts w:ascii="Arial" w:hAnsi="Arial" w:cs="Arial"/>
          <w:sz w:val="24"/>
          <w:szCs w:val="24"/>
        </w:rPr>
        <w:t>production</w:t>
      </w:r>
      <w:proofErr w:type="gramEnd"/>
      <w:r w:rsidR="00524E7D">
        <w:rPr>
          <w:rFonts w:ascii="Arial" w:hAnsi="Arial" w:cs="Arial"/>
          <w:sz w:val="24"/>
          <w:szCs w:val="24"/>
        </w:rPr>
        <w:t xml:space="preserve"> and material use (Component 1, Section </w:t>
      </w:r>
      <w:r w:rsidR="00DE754B">
        <w:rPr>
          <w:rFonts w:ascii="Arial" w:hAnsi="Arial" w:cs="Arial"/>
          <w:sz w:val="24"/>
          <w:szCs w:val="24"/>
        </w:rPr>
        <w:t xml:space="preserve">1.4). </w:t>
      </w:r>
      <w:r w:rsidR="007A3134">
        <w:rPr>
          <w:rFonts w:ascii="Arial" w:hAnsi="Arial" w:cs="Arial"/>
          <w:sz w:val="24"/>
          <w:szCs w:val="24"/>
        </w:rPr>
        <w:t xml:space="preserve">I am actively applying </w:t>
      </w:r>
      <w:r w:rsidR="001B2ADA">
        <w:rPr>
          <w:rFonts w:ascii="Arial" w:hAnsi="Arial" w:cs="Arial"/>
          <w:sz w:val="24"/>
          <w:szCs w:val="24"/>
        </w:rPr>
        <w:t xml:space="preserve">my enhanced understanding of what characterises the Welsh National CE approach to my </w:t>
      </w:r>
      <w:r w:rsidR="004770F0">
        <w:rPr>
          <w:rFonts w:ascii="Arial" w:hAnsi="Arial" w:cs="Arial"/>
          <w:sz w:val="24"/>
          <w:szCs w:val="24"/>
        </w:rPr>
        <w:t xml:space="preserve">current CE work where we </w:t>
      </w:r>
      <w:proofErr w:type="gramStart"/>
      <w:r w:rsidR="007F423E">
        <w:rPr>
          <w:rFonts w:ascii="Arial" w:hAnsi="Arial" w:cs="Arial"/>
          <w:sz w:val="24"/>
          <w:szCs w:val="24"/>
        </w:rPr>
        <w:t>delivering</w:t>
      </w:r>
      <w:proofErr w:type="gramEnd"/>
      <w:r w:rsidR="007F423E">
        <w:rPr>
          <w:rFonts w:ascii="Arial" w:hAnsi="Arial" w:cs="Arial"/>
          <w:sz w:val="24"/>
          <w:szCs w:val="24"/>
        </w:rPr>
        <w:t xml:space="preserve"> funding and support to a number of third sector groups situated across the</w:t>
      </w:r>
      <w:r w:rsidRPr="00AB3CA9">
        <w:rPr>
          <w:rFonts w:ascii="Arial" w:hAnsi="Arial" w:cs="Arial"/>
          <w:sz w:val="24"/>
          <w:szCs w:val="24"/>
        </w:rPr>
        <w:t xml:space="preserve"> Ten Towns (a Carmarthenshire County Council Initiative) through WG funding. </w:t>
      </w:r>
      <w:r w:rsidR="00A2395B">
        <w:rPr>
          <w:rFonts w:ascii="Arial" w:hAnsi="Arial" w:cs="Arial"/>
          <w:sz w:val="24"/>
          <w:szCs w:val="24"/>
        </w:rPr>
        <w:t xml:space="preserve">As identified in section 1.3 of Component 1, it is the emphasis placed on the roles </w:t>
      </w:r>
      <w:r w:rsidR="00C939B3">
        <w:rPr>
          <w:rFonts w:ascii="Arial" w:hAnsi="Arial" w:cs="Arial"/>
          <w:sz w:val="24"/>
          <w:szCs w:val="24"/>
        </w:rPr>
        <w:t>of communities and importance of en</w:t>
      </w:r>
      <w:r w:rsidR="00E755C1">
        <w:rPr>
          <w:rFonts w:ascii="Arial" w:hAnsi="Arial" w:cs="Arial"/>
          <w:sz w:val="24"/>
          <w:szCs w:val="24"/>
        </w:rPr>
        <w:t xml:space="preserve">gaging </w:t>
      </w:r>
      <w:r w:rsidR="001C6F61">
        <w:rPr>
          <w:rFonts w:ascii="Arial" w:hAnsi="Arial" w:cs="Arial"/>
          <w:sz w:val="24"/>
          <w:szCs w:val="24"/>
        </w:rPr>
        <w:t xml:space="preserve">with micro and </w:t>
      </w:r>
      <w:proofErr w:type="spellStart"/>
      <w:r w:rsidR="001C6F61">
        <w:rPr>
          <w:rFonts w:ascii="Arial" w:hAnsi="Arial" w:cs="Arial"/>
          <w:sz w:val="24"/>
          <w:szCs w:val="24"/>
        </w:rPr>
        <w:t>meso</w:t>
      </w:r>
      <w:proofErr w:type="spellEnd"/>
      <w:r w:rsidR="001C6F61">
        <w:rPr>
          <w:rFonts w:ascii="Arial" w:hAnsi="Arial" w:cs="Arial"/>
          <w:sz w:val="24"/>
          <w:szCs w:val="24"/>
        </w:rPr>
        <w:t xml:space="preserve"> stakeholders </w:t>
      </w:r>
      <w:r w:rsidR="00C939B3">
        <w:rPr>
          <w:rFonts w:ascii="Arial" w:hAnsi="Arial" w:cs="Arial"/>
          <w:sz w:val="24"/>
          <w:szCs w:val="24"/>
        </w:rPr>
        <w:t xml:space="preserve">that </w:t>
      </w:r>
      <w:r w:rsidR="00A2395B">
        <w:rPr>
          <w:rFonts w:ascii="Arial" w:hAnsi="Arial" w:cs="Arial"/>
          <w:sz w:val="24"/>
          <w:szCs w:val="24"/>
        </w:rPr>
        <w:t>is what sets Wales apart from its</w:t>
      </w:r>
      <w:r w:rsidR="00C939B3">
        <w:rPr>
          <w:rFonts w:ascii="Arial" w:hAnsi="Arial" w:cs="Arial"/>
          <w:sz w:val="24"/>
          <w:szCs w:val="24"/>
        </w:rPr>
        <w:t xml:space="preserve"> UK counterparts.</w:t>
      </w:r>
      <w:r w:rsidR="00DB7415">
        <w:rPr>
          <w:rFonts w:ascii="Arial" w:hAnsi="Arial" w:cs="Arial"/>
          <w:sz w:val="24"/>
          <w:szCs w:val="24"/>
        </w:rPr>
        <w:t xml:space="preserve"> This is exactly what we are currently achieving through our facilitation and support of these circular economy projects</w:t>
      </w:r>
      <w:r w:rsidR="005C7A2F">
        <w:rPr>
          <w:rFonts w:ascii="Arial" w:hAnsi="Arial" w:cs="Arial"/>
          <w:sz w:val="24"/>
          <w:szCs w:val="24"/>
        </w:rPr>
        <w:t xml:space="preserve">. </w:t>
      </w:r>
      <w:r w:rsidR="006A3812">
        <w:rPr>
          <w:rFonts w:ascii="Arial" w:hAnsi="Arial" w:cs="Arial"/>
          <w:sz w:val="24"/>
          <w:szCs w:val="24"/>
        </w:rPr>
        <w:t xml:space="preserve">This learning has confirmed that our current </w:t>
      </w:r>
      <w:r w:rsidR="00057CF5">
        <w:rPr>
          <w:rFonts w:ascii="Arial" w:hAnsi="Arial" w:cs="Arial"/>
          <w:sz w:val="24"/>
          <w:szCs w:val="24"/>
        </w:rPr>
        <w:t xml:space="preserve">work is in alignment with WG policy </w:t>
      </w:r>
      <w:r w:rsidR="00934DD0">
        <w:rPr>
          <w:rFonts w:ascii="Arial" w:hAnsi="Arial" w:cs="Arial"/>
          <w:sz w:val="24"/>
          <w:szCs w:val="24"/>
        </w:rPr>
        <w:t xml:space="preserve">and </w:t>
      </w:r>
      <w:r w:rsidR="00EA0D96">
        <w:rPr>
          <w:rFonts w:ascii="Arial" w:hAnsi="Arial" w:cs="Arial"/>
          <w:sz w:val="24"/>
          <w:szCs w:val="24"/>
        </w:rPr>
        <w:t xml:space="preserve">successful delivery over the funding period (ending in Q1 next year) </w:t>
      </w:r>
      <w:r w:rsidR="00934DD0">
        <w:rPr>
          <w:rFonts w:ascii="Arial" w:hAnsi="Arial" w:cs="Arial"/>
          <w:sz w:val="24"/>
          <w:szCs w:val="24"/>
        </w:rPr>
        <w:t xml:space="preserve">can serve as evidentiary support </w:t>
      </w:r>
      <w:r w:rsidR="005A7A0E">
        <w:rPr>
          <w:rFonts w:ascii="Arial" w:hAnsi="Arial" w:cs="Arial"/>
          <w:sz w:val="24"/>
          <w:szCs w:val="24"/>
        </w:rPr>
        <w:t xml:space="preserve">for </w:t>
      </w:r>
      <w:r w:rsidR="00E24B10">
        <w:rPr>
          <w:rFonts w:ascii="Arial" w:hAnsi="Arial" w:cs="Arial"/>
          <w:sz w:val="24"/>
          <w:szCs w:val="24"/>
        </w:rPr>
        <w:t xml:space="preserve">additional </w:t>
      </w:r>
      <w:r w:rsidR="005A7A0E">
        <w:rPr>
          <w:rFonts w:ascii="Arial" w:hAnsi="Arial" w:cs="Arial"/>
          <w:sz w:val="24"/>
          <w:szCs w:val="24"/>
        </w:rPr>
        <w:t>funding in future</w:t>
      </w:r>
      <w:r w:rsidR="00E24B10">
        <w:rPr>
          <w:rFonts w:ascii="Arial" w:hAnsi="Arial" w:cs="Arial"/>
          <w:sz w:val="24"/>
          <w:szCs w:val="24"/>
        </w:rPr>
        <w:t xml:space="preserve">. Not only will this </w:t>
      </w:r>
      <w:r w:rsidR="00BC597C">
        <w:rPr>
          <w:rFonts w:ascii="Arial" w:hAnsi="Arial" w:cs="Arial"/>
          <w:sz w:val="24"/>
          <w:szCs w:val="24"/>
        </w:rPr>
        <w:t xml:space="preserve">satisfy </w:t>
      </w:r>
      <w:r w:rsidR="00E24B10">
        <w:rPr>
          <w:rFonts w:ascii="Arial" w:hAnsi="Arial" w:cs="Arial"/>
          <w:sz w:val="24"/>
          <w:szCs w:val="24"/>
        </w:rPr>
        <w:t xml:space="preserve">a key organisational objective of waste minimisation and increased resource efficiency, </w:t>
      </w:r>
      <w:proofErr w:type="gramStart"/>
      <w:r w:rsidR="00E24B10">
        <w:rPr>
          <w:rFonts w:ascii="Arial" w:hAnsi="Arial" w:cs="Arial"/>
          <w:sz w:val="24"/>
          <w:szCs w:val="24"/>
        </w:rPr>
        <w:t>i</w:t>
      </w:r>
      <w:r w:rsidR="00CA3EFC">
        <w:rPr>
          <w:rFonts w:ascii="Arial" w:hAnsi="Arial" w:cs="Arial"/>
          <w:sz w:val="24"/>
          <w:szCs w:val="24"/>
        </w:rPr>
        <w:t>t</w:t>
      </w:r>
      <w:proofErr w:type="gramEnd"/>
      <w:r w:rsidR="00CA3EFC">
        <w:rPr>
          <w:rFonts w:ascii="Arial" w:hAnsi="Arial" w:cs="Arial"/>
          <w:sz w:val="24"/>
          <w:szCs w:val="24"/>
        </w:rPr>
        <w:t xml:space="preserve"> will also produce </w:t>
      </w:r>
      <w:r w:rsidR="00DD6FCB">
        <w:rPr>
          <w:rFonts w:ascii="Arial" w:hAnsi="Arial" w:cs="Arial"/>
          <w:sz w:val="24"/>
          <w:szCs w:val="24"/>
        </w:rPr>
        <w:t>a range of case studies to form a contextual basis for CE innovation at the community level in Carmarthenshire</w:t>
      </w:r>
      <w:r w:rsidR="00703AB8">
        <w:rPr>
          <w:rFonts w:ascii="Arial" w:hAnsi="Arial" w:cs="Arial"/>
          <w:sz w:val="24"/>
          <w:szCs w:val="24"/>
        </w:rPr>
        <w:t xml:space="preserve"> which will be of significant benefit to informing our local Circular Economy Strategy – a key organisational objective. </w:t>
      </w:r>
    </w:p>
    <w:p w14:paraId="6B7F6F55" w14:textId="3AE10C4D" w:rsidR="00CF1083" w:rsidRDefault="00DF2500" w:rsidP="001C09E6">
      <w:pPr>
        <w:spacing w:line="360" w:lineRule="auto"/>
        <w:rPr>
          <w:rFonts w:ascii="Arial" w:hAnsi="Arial" w:cs="Arial"/>
          <w:sz w:val="24"/>
          <w:szCs w:val="24"/>
        </w:rPr>
      </w:pPr>
      <w:r w:rsidRPr="00AB3CA9">
        <w:rPr>
          <w:rFonts w:ascii="Arial" w:hAnsi="Arial" w:cs="Arial"/>
          <w:sz w:val="24"/>
          <w:szCs w:val="24"/>
        </w:rPr>
        <w:lastRenderedPageBreak/>
        <w:t xml:space="preserve">The impression I am left with following this learning is that Wales appears to be the only UK nation that truly recognises the powerful and valuable role that individuals and communities play in driving the CE and influencing change on an industry and policy level, which has been observed already in East Wales as a direct consequence of Welsh </w:t>
      </w:r>
      <w:r w:rsidR="00EB0D2B">
        <w:rPr>
          <w:rFonts w:ascii="Arial" w:hAnsi="Arial" w:cs="Arial"/>
          <w:sz w:val="24"/>
          <w:szCs w:val="24"/>
        </w:rPr>
        <w:t>G</w:t>
      </w:r>
      <w:r w:rsidRPr="00AB3CA9">
        <w:rPr>
          <w:rFonts w:ascii="Arial" w:hAnsi="Arial" w:cs="Arial"/>
          <w:sz w:val="24"/>
          <w:szCs w:val="24"/>
        </w:rPr>
        <w:t xml:space="preserve">overnment support (Liu </w:t>
      </w:r>
      <w:r w:rsidRPr="00AB3CA9">
        <w:rPr>
          <w:rFonts w:ascii="Arial" w:hAnsi="Arial" w:cs="Arial"/>
          <w:i/>
          <w:iCs/>
          <w:sz w:val="24"/>
          <w:szCs w:val="24"/>
        </w:rPr>
        <w:t>et al.,</w:t>
      </w:r>
      <w:r w:rsidRPr="00AB3CA9">
        <w:rPr>
          <w:rFonts w:ascii="Arial" w:hAnsi="Arial" w:cs="Arial"/>
          <w:sz w:val="24"/>
          <w:szCs w:val="24"/>
        </w:rPr>
        <w:t xml:space="preserve"> 2023). The emphasis placed on communities in the CE realm by Welsh government has enhanced my professional practice as it has instilled in me a deeper sense of appreciation and value for the role of communities in advancing the CE, especially </w:t>
      </w:r>
      <w:proofErr w:type="gramStart"/>
      <w:r w:rsidRPr="00AB3CA9">
        <w:rPr>
          <w:rFonts w:ascii="Arial" w:hAnsi="Arial" w:cs="Arial"/>
          <w:sz w:val="24"/>
          <w:szCs w:val="24"/>
        </w:rPr>
        <w:t>in light of</w:t>
      </w:r>
      <w:proofErr w:type="gramEnd"/>
      <w:r w:rsidRPr="00AB3CA9">
        <w:rPr>
          <w:rFonts w:ascii="Arial" w:hAnsi="Arial" w:cs="Arial"/>
          <w:sz w:val="24"/>
          <w:szCs w:val="24"/>
        </w:rPr>
        <w:t xml:space="preserve"> some local political interests seeming to lean more in favour of focussing on large-scale, </w:t>
      </w:r>
      <w:r w:rsidR="00654F29" w:rsidRPr="00AB3CA9">
        <w:rPr>
          <w:rFonts w:ascii="Arial" w:hAnsi="Arial" w:cs="Arial"/>
          <w:sz w:val="24"/>
          <w:szCs w:val="24"/>
        </w:rPr>
        <w:t>infrastructure-oriented</w:t>
      </w:r>
      <w:r w:rsidRPr="00AB3CA9">
        <w:rPr>
          <w:rFonts w:ascii="Arial" w:hAnsi="Arial" w:cs="Arial"/>
          <w:sz w:val="24"/>
          <w:szCs w:val="24"/>
        </w:rPr>
        <w:t xml:space="preserve"> developments. </w:t>
      </w:r>
      <w:r w:rsidR="004B4966">
        <w:rPr>
          <w:rFonts w:ascii="Arial" w:hAnsi="Arial" w:cs="Arial"/>
          <w:sz w:val="24"/>
          <w:szCs w:val="24"/>
        </w:rPr>
        <w:t>The present impact this learning has had is that I</w:t>
      </w:r>
      <w:r w:rsidRPr="00AB3CA9">
        <w:rPr>
          <w:rFonts w:ascii="Arial" w:hAnsi="Arial" w:cs="Arial"/>
          <w:sz w:val="24"/>
          <w:szCs w:val="24"/>
        </w:rPr>
        <w:t xml:space="preserve"> have now been able to cite this knowledge and ensure the community engagement we are already involved in is safeguarded and supported to the best of my ability. </w:t>
      </w:r>
      <w:r w:rsidR="004B4966">
        <w:rPr>
          <w:rFonts w:ascii="Arial" w:hAnsi="Arial" w:cs="Arial"/>
          <w:sz w:val="24"/>
          <w:szCs w:val="24"/>
        </w:rPr>
        <w:t xml:space="preserve">I hope that this, in addition to the </w:t>
      </w:r>
      <w:r w:rsidR="00B631B5">
        <w:rPr>
          <w:rFonts w:ascii="Arial" w:hAnsi="Arial" w:cs="Arial"/>
          <w:sz w:val="24"/>
          <w:szCs w:val="24"/>
        </w:rPr>
        <w:t xml:space="preserve">successful delivery of the local Ten Towns CE projects I am supporting as a focal element of my role, </w:t>
      </w:r>
      <w:r w:rsidR="00844345">
        <w:rPr>
          <w:rFonts w:ascii="Arial" w:hAnsi="Arial" w:cs="Arial"/>
          <w:sz w:val="24"/>
          <w:szCs w:val="24"/>
        </w:rPr>
        <w:t xml:space="preserve">will materialise into the future impact of Carmarthenshire County Council playing a pioneering role in </w:t>
      </w:r>
      <w:r w:rsidR="00CF1083">
        <w:rPr>
          <w:rFonts w:ascii="Arial" w:hAnsi="Arial" w:cs="Arial"/>
          <w:sz w:val="24"/>
          <w:szCs w:val="24"/>
        </w:rPr>
        <w:t xml:space="preserve">community driven CE innovation in </w:t>
      </w:r>
      <w:proofErr w:type="gramStart"/>
      <w:r w:rsidR="00CF1083">
        <w:rPr>
          <w:rFonts w:ascii="Arial" w:hAnsi="Arial" w:cs="Arial"/>
          <w:sz w:val="24"/>
          <w:szCs w:val="24"/>
        </w:rPr>
        <w:t>South West</w:t>
      </w:r>
      <w:proofErr w:type="gramEnd"/>
      <w:r w:rsidR="00CF1083">
        <w:rPr>
          <w:rFonts w:ascii="Arial" w:hAnsi="Arial" w:cs="Arial"/>
          <w:sz w:val="24"/>
          <w:szCs w:val="24"/>
        </w:rPr>
        <w:t xml:space="preserve"> Wales. </w:t>
      </w:r>
    </w:p>
    <w:p w14:paraId="5E07A462" w14:textId="58748A14" w:rsidR="00DF2500" w:rsidRPr="00AB3CA9" w:rsidRDefault="00DF2500" w:rsidP="001C09E6">
      <w:pPr>
        <w:spacing w:line="360" w:lineRule="auto"/>
        <w:rPr>
          <w:rFonts w:ascii="Arial" w:hAnsi="Arial" w:cs="Arial"/>
          <w:sz w:val="24"/>
          <w:szCs w:val="24"/>
        </w:rPr>
      </w:pPr>
      <w:r w:rsidRPr="00AB3CA9">
        <w:rPr>
          <w:rFonts w:ascii="Arial" w:hAnsi="Arial" w:cs="Arial"/>
          <w:sz w:val="24"/>
          <w:szCs w:val="24"/>
        </w:rPr>
        <w:t xml:space="preserve">In terms of how this learning impacts my practice area and achievement of organisation objectives moving forward, it has highlighted the need to ensure that our CE strategy at a local level is consistent with Welsh Government in its recognition and support for the local community, comprised of stakeholders of all levels (micro, </w:t>
      </w:r>
      <w:proofErr w:type="spellStart"/>
      <w:r w:rsidRPr="00AB3CA9">
        <w:rPr>
          <w:rFonts w:ascii="Arial" w:hAnsi="Arial" w:cs="Arial"/>
          <w:sz w:val="24"/>
          <w:szCs w:val="24"/>
        </w:rPr>
        <w:t>meso</w:t>
      </w:r>
      <w:proofErr w:type="spellEnd"/>
      <w:r w:rsidRPr="00AB3CA9">
        <w:rPr>
          <w:rFonts w:ascii="Arial" w:hAnsi="Arial" w:cs="Arial"/>
          <w:sz w:val="24"/>
          <w:szCs w:val="24"/>
        </w:rPr>
        <w:t xml:space="preserve"> and macro). While a useful revelation, it is simply a jumping off point which surfaces </w:t>
      </w:r>
      <w:proofErr w:type="gramStart"/>
      <w:r w:rsidRPr="00AB3CA9">
        <w:rPr>
          <w:rFonts w:ascii="Arial" w:hAnsi="Arial" w:cs="Arial"/>
          <w:sz w:val="24"/>
          <w:szCs w:val="24"/>
        </w:rPr>
        <w:t>a number of</w:t>
      </w:r>
      <w:proofErr w:type="gramEnd"/>
      <w:r w:rsidRPr="00AB3CA9">
        <w:rPr>
          <w:rFonts w:ascii="Arial" w:hAnsi="Arial" w:cs="Arial"/>
          <w:sz w:val="24"/>
          <w:szCs w:val="24"/>
        </w:rPr>
        <w:t xml:space="preserve"> questions, such as: 1) What communities are present in Carmarthenshire? 2) What support do they need? 3) What does a local CE look like to local communities? 4) how can their skills and knowledge support the advancement of a local CE? These questions been broadly explored through previous consultation, engagement and reports published by the local authority</w:t>
      </w:r>
      <w:r w:rsidR="00C50E0C">
        <w:rPr>
          <w:rFonts w:ascii="Arial" w:hAnsi="Arial" w:cs="Arial"/>
          <w:sz w:val="24"/>
          <w:szCs w:val="24"/>
        </w:rPr>
        <w:t xml:space="preserve"> (</w:t>
      </w:r>
      <w:proofErr w:type="spellStart"/>
      <w:r w:rsidR="00C50E0C">
        <w:rPr>
          <w:rFonts w:ascii="Arial" w:hAnsi="Arial" w:cs="Arial"/>
          <w:sz w:val="24"/>
          <w:szCs w:val="24"/>
        </w:rPr>
        <w:t>Afallen</w:t>
      </w:r>
      <w:proofErr w:type="spellEnd"/>
      <w:r w:rsidR="00C50E0C">
        <w:rPr>
          <w:rFonts w:ascii="Arial" w:hAnsi="Arial" w:cs="Arial"/>
          <w:sz w:val="24"/>
          <w:szCs w:val="24"/>
        </w:rPr>
        <w:t>, 2023)</w:t>
      </w:r>
      <w:r w:rsidR="000F630A">
        <w:rPr>
          <w:rFonts w:ascii="Arial" w:hAnsi="Arial" w:cs="Arial"/>
          <w:sz w:val="24"/>
          <w:szCs w:val="24"/>
        </w:rPr>
        <w:t xml:space="preserve"> as well as in academic literature </w:t>
      </w:r>
      <w:r w:rsidR="00405D19">
        <w:rPr>
          <w:rFonts w:ascii="Arial" w:hAnsi="Arial" w:cs="Arial"/>
          <w:sz w:val="24"/>
          <w:szCs w:val="24"/>
        </w:rPr>
        <w:t>(</w:t>
      </w:r>
      <w:r w:rsidR="00E262AE">
        <w:rPr>
          <w:rFonts w:ascii="Arial" w:hAnsi="Arial" w:cs="Arial"/>
          <w:sz w:val="24"/>
          <w:szCs w:val="24"/>
        </w:rPr>
        <w:t xml:space="preserve">Woods </w:t>
      </w:r>
      <w:r w:rsidR="00E262AE" w:rsidRPr="00E262AE">
        <w:rPr>
          <w:rFonts w:ascii="Arial" w:hAnsi="Arial" w:cs="Arial"/>
          <w:i/>
          <w:iCs/>
          <w:sz w:val="24"/>
          <w:szCs w:val="24"/>
        </w:rPr>
        <w:t>et al.,</w:t>
      </w:r>
      <w:r w:rsidR="00E262AE">
        <w:rPr>
          <w:rFonts w:ascii="Arial" w:hAnsi="Arial" w:cs="Arial"/>
          <w:sz w:val="24"/>
          <w:szCs w:val="24"/>
        </w:rPr>
        <w:t xml:space="preserve"> 2021; </w:t>
      </w:r>
      <w:r w:rsidR="00405D19">
        <w:rPr>
          <w:rFonts w:ascii="Arial" w:hAnsi="Arial" w:cs="Arial"/>
          <w:sz w:val="24"/>
          <w:szCs w:val="24"/>
        </w:rPr>
        <w:t xml:space="preserve">Liu </w:t>
      </w:r>
      <w:r w:rsidR="00405D19">
        <w:rPr>
          <w:rFonts w:ascii="Arial" w:hAnsi="Arial" w:cs="Arial"/>
          <w:i/>
          <w:iCs/>
          <w:sz w:val="24"/>
          <w:szCs w:val="24"/>
        </w:rPr>
        <w:t xml:space="preserve">et al., </w:t>
      </w:r>
      <w:r w:rsidR="00405D19" w:rsidRPr="001826DD">
        <w:rPr>
          <w:rFonts w:ascii="Arial" w:hAnsi="Arial" w:cs="Arial"/>
          <w:sz w:val="24"/>
          <w:szCs w:val="24"/>
        </w:rPr>
        <w:t>2023;</w:t>
      </w:r>
      <w:r w:rsidR="00405D19">
        <w:rPr>
          <w:rFonts w:ascii="Arial" w:hAnsi="Arial" w:cs="Arial"/>
          <w:sz w:val="24"/>
          <w:szCs w:val="24"/>
        </w:rPr>
        <w:t xml:space="preserve"> </w:t>
      </w:r>
      <w:r w:rsidR="006E3362">
        <w:rPr>
          <w:rFonts w:ascii="Arial" w:hAnsi="Arial" w:cs="Arial"/>
          <w:sz w:val="24"/>
          <w:szCs w:val="24"/>
        </w:rPr>
        <w:t xml:space="preserve">Saunders, 2023; </w:t>
      </w:r>
      <w:r w:rsidR="00405D19">
        <w:rPr>
          <w:rFonts w:ascii="Arial" w:hAnsi="Arial" w:cs="Arial"/>
          <w:sz w:val="24"/>
          <w:szCs w:val="24"/>
        </w:rPr>
        <w:t xml:space="preserve">Walpole </w:t>
      </w:r>
      <w:r w:rsidR="00405D19" w:rsidRPr="008A5AE1">
        <w:rPr>
          <w:rFonts w:ascii="Arial" w:hAnsi="Arial" w:cs="Arial"/>
          <w:i/>
          <w:iCs/>
          <w:sz w:val="24"/>
          <w:szCs w:val="24"/>
        </w:rPr>
        <w:t>et al.,</w:t>
      </w:r>
      <w:r w:rsidR="00405D19">
        <w:rPr>
          <w:rFonts w:ascii="Arial" w:hAnsi="Arial" w:cs="Arial"/>
          <w:sz w:val="24"/>
          <w:szCs w:val="24"/>
        </w:rPr>
        <w:t xml:space="preserve"> 2023; De-Laurentis </w:t>
      </w:r>
      <w:r w:rsidR="00405D19">
        <w:rPr>
          <w:rFonts w:ascii="Arial" w:hAnsi="Arial" w:cs="Arial"/>
          <w:i/>
          <w:iCs/>
          <w:sz w:val="24"/>
          <w:szCs w:val="24"/>
        </w:rPr>
        <w:t xml:space="preserve">et al., </w:t>
      </w:r>
      <w:r w:rsidR="00405D19">
        <w:rPr>
          <w:rFonts w:ascii="Arial" w:hAnsi="Arial" w:cs="Arial"/>
          <w:sz w:val="24"/>
          <w:szCs w:val="24"/>
        </w:rPr>
        <w:t>2024</w:t>
      </w:r>
      <w:r w:rsidR="006E3362">
        <w:rPr>
          <w:rFonts w:ascii="Arial" w:hAnsi="Arial" w:cs="Arial"/>
          <w:sz w:val="24"/>
          <w:szCs w:val="24"/>
        </w:rPr>
        <w:t>)</w:t>
      </w:r>
      <w:r w:rsidR="00AA3D6E">
        <w:rPr>
          <w:rFonts w:ascii="Arial" w:hAnsi="Arial" w:cs="Arial"/>
          <w:sz w:val="24"/>
          <w:szCs w:val="24"/>
        </w:rPr>
        <w:t xml:space="preserve"> </w:t>
      </w:r>
      <w:r w:rsidRPr="00AB3CA9">
        <w:rPr>
          <w:rFonts w:ascii="Arial" w:hAnsi="Arial" w:cs="Arial"/>
          <w:sz w:val="24"/>
          <w:szCs w:val="24"/>
        </w:rPr>
        <w:t>however I believe more research effort is required as I do not believe previous work has captured the full spectrum of voices from local communities as</w:t>
      </w:r>
      <w:r w:rsidR="00992B73">
        <w:rPr>
          <w:rFonts w:ascii="Arial" w:hAnsi="Arial" w:cs="Arial"/>
          <w:sz w:val="24"/>
          <w:szCs w:val="24"/>
        </w:rPr>
        <w:t xml:space="preserve"> we still need to understand how local communities and businesses envision </w:t>
      </w:r>
      <w:r w:rsidR="002C675D">
        <w:rPr>
          <w:rFonts w:ascii="Arial" w:hAnsi="Arial" w:cs="Arial"/>
          <w:sz w:val="24"/>
          <w:szCs w:val="24"/>
        </w:rPr>
        <w:t>a local CE</w:t>
      </w:r>
      <w:r w:rsidRPr="00AB3CA9">
        <w:rPr>
          <w:rFonts w:ascii="Arial" w:hAnsi="Arial" w:cs="Arial"/>
          <w:sz w:val="24"/>
          <w:szCs w:val="24"/>
        </w:rPr>
        <w:t xml:space="preserve"> </w:t>
      </w:r>
      <w:r w:rsidR="002C675D">
        <w:rPr>
          <w:rFonts w:ascii="Arial" w:hAnsi="Arial" w:cs="Arial"/>
          <w:sz w:val="24"/>
          <w:szCs w:val="24"/>
        </w:rPr>
        <w:t xml:space="preserve">and the fact that </w:t>
      </w:r>
      <w:r w:rsidRPr="00AB3CA9">
        <w:rPr>
          <w:rFonts w:ascii="Arial" w:hAnsi="Arial" w:cs="Arial"/>
          <w:sz w:val="24"/>
          <w:szCs w:val="24"/>
        </w:rPr>
        <w:t xml:space="preserve">the turn-out for the one previous series of consulting with communities on CE was relatively low. This learning has reinforced my belief that we need to enhance our understanding of </w:t>
      </w:r>
      <w:r w:rsidRPr="00AB3CA9">
        <w:rPr>
          <w:rFonts w:ascii="Arial" w:hAnsi="Arial" w:cs="Arial"/>
          <w:sz w:val="24"/>
          <w:szCs w:val="24"/>
        </w:rPr>
        <w:lastRenderedPageBreak/>
        <w:t xml:space="preserve">Carmarthenshire’s communities in terms of what they want from a local CE and what they can offer to advance it further. The learning surfaced that the specific elements of community support Welsh Government aspire to build on including the involvement of children and young people in influencing positive behaviour change. This is something I have worked on first-hand in my service area, where I was the dedicated waste officer who assisted on the education department’s project of creating a film with several primary and secondary schools across Carmarthenshire for the Workplace Recycling Regulations. In Carmarthenshire and as demonstrated by this film, children were the leading examples of compliance and influencing behaviour change. This highlights the need for specific acknowledgment of the value of young people </w:t>
      </w:r>
      <w:r w:rsidR="008162E6">
        <w:rPr>
          <w:rFonts w:ascii="Arial" w:hAnsi="Arial" w:cs="Arial"/>
          <w:sz w:val="24"/>
          <w:szCs w:val="24"/>
        </w:rPr>
        <w:t>i</w:t>
      </w:r>
      <w:r w:rsidRPr="00AB3CA9">
        <w:rPr>
          <w:rFonts w:ascii="Arial" w:hAnsi="Arial" w:cs="Arial"/>
          <w:sz w:val="24"/>
          <w:szCs w:val="24"/>
        </w:rPr>
        <w:t>n the local CE strategy and a need to ensure the provision of sufficient opportunities for children and young people to engage with and shape to local CE.</w:t>
      </w:r>
      <w:r w:rsidR="008162E6">
        <w:rPr>
          <w:rFonts w:ascii="Arial" w:hAnsi="Arial" w:cs="Arial"/>
          <w:sz w:val="24"/>
          <w:szCs w:val="24"/>
        </w:rPr>
        <w:t xml:space="preserve"> I will take this enhanced understanding of the valuable role children and young people play in the local CE </w:t>
      </w:r>
      <w:r w:rsidR="00E0572F">
        <w:rPr>
          <w:rFonts w:ascii="Arial" w:hAnsi="Arial" w:cs="Arial"/>
          <w:sz w:val="24"/>
          <w:szCs w:val="24"/>
        </w:rPr>
        <w:t xml:space="preserve">by ensuring that the new educational programme we are planning on launching at </w:t>
      </w:r>
      <w:proofErr w:type="spellStart"/>
      <w:r w:rsidR="00E0572F">
        <w:rPr>
          <w:rFonts w:ascii="Arial" w:hAnsi="Arial" w:cs="Arial"/>
          <w:sz w:val="24"/>
          <w:szCs w:val="24"/>
        </w:rPr>
        <w:t>Canolfan</w:t>
      </w:r>
      <w:proofErr w:type="spellEnd"/>
      <w:r w:rsidR="00E0572F">
        <w:rPr>
          <w:rFonts w:ascii="Arial" w:hAnsi="Arial" w:cs="Arial"/>
          <w:sz w:val="24"/>
          <w:szCs w:val="24"/>
        </w:rPr>
        <w:t xml:space="preserve"> </w:t>
      </w:r>
      <w:proofErr w:type="spellStart"/>
      <w:r w:rsidR="00E0572F">
        <w:rPr>
          <w:rFonts w:ascii="Arial" w:hAnsi="Arial" w:cs="Arial"/>
          <w:sz w:val="24"/>
          <w:szCs w:val="24"/>
        </w:rPr>
        <w:t>Eto</w:t>
      </w:r>
      <w:proofErr w:type="spellEnd"/>
      <w:r w:rsidR="00E0572F">
        <w:rPr>
          <w:rFonts w:ascii="Arial" w:hAnsi="Arial" w:cs="Arial"/>
          <w:sz w:val="24"/>
          <w:szCs w:val="24"/>
        </w:rPr>
        <w:t xml:space="preserve"> in the coming months is in close alignment with </w:t>
      </w:r>
      <w:r w:rsidR="004C41F3">
        <w:rPr>
          <w:rFonts w:ascii="Arial" w:hAnsi="Arial" w:cs="Arial"/>
          <w:sz w:val="24"/>
          <w:szCs w:val="24"/>
        </w:rPr>
        <w:t xml:space="preserve">Welsh Governments CE policy which </w:t>
      </w:r>
      <w:r w:rsidR="00952685">
        <w:rPr>
          <w:rFonts w:ascii="Arial" w:hAnsi="Arial" w:cs="Arial"/>
          <w:sz w:val="24"/>
          <w:szCs w:val="24"/>
        </w:rPr>
        <w:t xml:space="preserve">emphasises the desire for more education and skill development in the CE realm. </w:t>
      </w:r>
    </w:p>
    <w:p w14:paraId="65F99838" w14:textId="16A9AE2C" w:rsidR="00531995" w:rsidRPr="00952685" w:rsidRDefault="00531995" w:rsidP="001C09E6">
      <w:pPr>
        <w:spacing w:line="360" w:lineRule="auto"/>
        <w:rPr>
          <w:rFonts w:ascii="Arial" w:hAnsi="Arial" w:cs="Arial"/>
          <w:i/>
          <w:iCs/>
          <w:sz w:val="24"/>
          <w:szCs w:val="24"/>
        </w:rPr>
      </w:pPr>
      <w:r w:rsidRPr="00952685">
        <w:rPr>
          <w:rFonts w:ascii="Arial" w:hAnsi="Arial" w:cs="Arial"/>
          <w:i/>
          <w:iCs/>
          <w:sz w:val="24"/>
          <w:szCs w:val="24"/>
        </w:rPr>
        <w:t>2.</w:t>
      </w:r>
      <w:r w:rsidR="00952685" w:rsidRPr="00952685">
        <w:rPr>
          <w:rFonts w:ascii="Arial" w:hAnsi="Arial" w:cs="Arial"/>
          <w:i/>
          <w:iCs/>
          <w:sz w:val="24"/>
          <w:szCs w:val="24"/>
        </w:rPr>
        <w:t>3</w:t>
      </w:r>
      <w:r w:rsidRPr="00952685">
        <w:rPr>
          <w:rFonts w:ascii="Arial" w:hAnsi="Arial" w:cs="Arial"/>
          <w:i/>
          <w:iCs/>
          <w:sz w:val="24"/>
          <w:szCs w:val="24"/>
        </w:rPr>
        <w:t xml:space="preserve"> </w:t>
      </w:r>
      <w:r w:rsidR="00952685">
        <w:rPr>
          <w:rFonts w:ascii="Arial" w:hAnsi="Arial" w:cs="Arial"/>
          <w:i/>
          <w:iCs/>
          <w:sz w:val="24"/>
          <w:szCs w:val="24"/>
        </w:rPr>
        <w:t xml:space="preserve">Gaps and </w:t>
      </w:r>
      <w:r w:rsidRPr="00952685">
        <w:rPr>
          <w:rFonts w:ascii="Arial" w:hAnsi="Arial" w:cs="Arial"/>
          <w:i/>
          <w:iCs/>
          <w:sz w:val="24"/>
          <w:szCs w:val="24"/>
        </w:rPr>
        <w:t>C</w:t>
      </w:r>
      <w:r w:rsidR="00DF2500" w:rsidRPr="00952685">
        <w:rPr>
          <w:rFonts w:ascii="Arial" w:hAnsi="Arial" w:cs="Arial"/>
          <w:i/>
          <w:iCs/>
          <w:sz w:val="24"/>
          <w:szCs w:val="24"/>
        </w:rPr>
        <w:t>hallenges</w:t>
      </w:r>
    </w:p>
    <w:p w14:paraId="66AE05EE" w14:textId="4A188D89" w:rsidR="00DF2500" w:rsidRPr="00AB3CA9" w:rsidRDefault="00DF2500" w:rsidP="001C09E6">
      <w:pPr>
        <w:spacing w:line="360" w:lineRule="auto"/>
        <w:rPr>
          <w:rFonts w:ascii="Arial" w:hAnsi="Arial" w:cs="Arial"/>
          <w:sz w:val="24"/>
          <w:szCs w:val="24"/>
        </w:rPr>
      </w:pPr>
      <w:r w:rsidRPr="00AB3CA9">
        <w:rPr>
          <w:rFonts w:ascii="Arial" w:hAnsi="Arial" w:cs="Arial"/>
          <w:sz w:val="24"/>
          <w:szCs w:val="24"/>
        </w:rPr>
        <w:t>Local authorities are tasked with meeting CE targets and while there has been substantial funding in Wales, there has been little guidance as to how CE is meant to be incorporated structurally, as CE staff being limited to the Waste service may not be conducive to council-wide CE adoption as they do not have the same corporate influence as other departments e.g. chief exe</w:t>
      </w:r>
      <w:r w:rsidR="00952685">
        <w:rPr>
          <w:rFonts w:ascii="Arial" w:hAnsi="Arial" w:cs="Arial"/>
          <w:sz w:val="24"/>
          <w:szCs w:val="24"/>
        </w:rPr>
        <w:t>cutives.</w:t>
      </w:r>
      <w:r w:rsidRPr="00AB3CA9">
        <w:rPr>
          <w:rFonts w:ascii="Arial" w:hAnsi="Arial" w:cs="Arial"/>
          <w:sz w:val="24"/>
          <w:szCs w:val="24"/>
        </w:rPr>
        <w:t xml:space="preserve"> Just as the UK home nations have deviated in </w:t>
      </w:r>
      <w:r w:rsidR="00952685">
        <w:rPr>
          <w:rFonts w:ascii="Arial" w:hAnsi="Arial" w:cs="Arial"/>
          <w:sz w:val="24"/>
          <w:szCs w:val="24"/>
        </w:rPr>
        <w:t xml:space="preserve">their </w:t>
      </w:r>
      <w:r w:rsidRPr="00AB3CA9">
        <w:rPr>
          <w:rFonts w:ascii="Arial" w:hAnsi="Arial" w:cs="Arial"/>
          <w:sz w:val="24"/>
          <w:szCs w:val="24"/>
        </w:rPr>
        <w:t>approach</w:t>
      </w:r>
      <w:r w:rsidR="00952685">
        <w:rPr>
          <w:rFonts w:ascii="Arial" w:hAnsi="Arial" w:cs="Arial"/>
          <w:sz w:val="24"/>
          <w:szCs w:val="24"/>
        </w:rPr>
        <w:t xml:space="preserve"> to advancing the CE</w:t>
      </w:r>
      <w:r w:rsidRPr="00AB3CA9">
        <w:rPr>
          <w:rFonts w:ascii="Arial" w:hAnsi="Arial" w:cs="Arial"/>
          <w:sz w:val="24"/>
          <w:szCs w:val="24"/>
        </w:rPr>
        <w:t xml:space="preserve">, Welsh </w:t>
      </w:r>
      <w:r w:rsidR="00952685">
        <w:rPr>
          <w:rFonts w:ascii="Arial" w:hAnsi="Arial" w:cs="Arial"/>
          <w:sz w:val="24"/>
          <w:szCs w:val="24"/>
        </w:rPr>
        <w:t>local authorities</w:t>
      </w:r>
      <w:r w:rsidRPr="00AB3CA9">
        <w:rPr>
          <w:rFonts w:ascii="Arial" w:hAnsi="Arial" w:cs="Arial"/>
          <w:sz w:val="24"/>
          <w:szCs w:val="24"/>
        </w:rPr>
        <w:t xml:space="preserve"> will likewise deviate in their approach to integrating circular economy staff and teams across their organisations. Future research should explore to how these changes may lead to varying degrees of success </w:t>
      </w:r>
      <w:proofErr w:type="gramStart"/>
      <w:r w:rsidRPr="00AB3CA9">
        <w:rPr>
          <w:rFonts w:ascii="Arial" w:hAnsi="Arial" w:cs="Arial"/>
          <w:sz w:val="24"/>
          <w:szCs w:val="24"/>
        </w:rPr>
        <w:t>with regard to</w:t>
      </w:r>
      <w:proofErr w:type="gramEnd"/>
      <w:r w:rsidRPr="00AB3CA9">
        <w:rPr>
          <w:rFonts w:ascii="Arial" w:hAnsi="Arial" w:cs="Arial"/>
          <w:sz w:val="24"/>
          <w:szCs w:val="24"/>
        </w:rPr>
        <w:t xml:space="preserve"> advancing the circular economy at the local level. </w:t>
      </w:r>
    </w:p>
    <w:p w14:paraId="3D2665C9" w14:textId="4DAFBF74" w:rsidR="00DF2500" w:rsidRPr="00AB3CA9" w:rsidRDefault="00DF2500" w:rsidP="001C09E6">
      <w:pPr>
        <w:spacing w:line="360" w:lineRule="auto"/>
        <w:rPr>
          <w:rFonts w:ascii="Arial" w:hAnsi="Arial" w:cs="Arial"/>
          <w:sz w:val="24"/>
          <w:szCs w:val="24"/>
        </w:rPr>
      </w:pPr>
      <w:r w:rsidRPr="00AB3CA9">
        <w:rPr>
          <w:rFonts w:ascii="Arial" w:hAnsi="Arial" w:cs="Arial"/>
          <w:sz w:val="24"/>
          <w:szCs w:val="24"/>
        </w:rPr>
        <w:t xml:space="preserve">Another challenge </w:t>
      </w:r>
      <w:proofErr w:type="gramStart"/>
      <w:r w:rsidRPr="00AB3CA9">
        <w:rPr>
          <w:rFonts w:ascii="Arial" w:hAnsi="Arial" w:cs="Arial"/>
          <w:sz w:val="24"/>
          <w:szCs w:val="24"/>
        </w:rPr>
        <w:t>with regard to</w:t>
      </w:r>
      <w:proofErr w:type="gramEnd"/>
      <w:r w:rsidRPr="00AB3CA9">
        <w:rPr>
          <w:rFonts w:ascii="Arial" w:hAnsi="Arial" w:cs="Arial"/>
          <w:sz w:val="24"/>
          <w:szCs w:val="24"/>
        </w:rPr>
        <w:t xml:space="preserve"> applying the learning to my practice is the significant budget and resource restraints local authorities has increasingly endured in the past decade of austerity (Bees and Williams, 2017). As explored in depth above this learning has facilitated the identification of multiple factors that influence </w:t>
      </w:r>
      <w:r w:rsidRPr="00AB3CA9">
        <w:rPr>
          <w:rFonts w:ascii="Arial" w:hAnsi="Arial" w:cs="Arial"/>
          <w:sz w:val="24"/>
          <w:szCs w:val="24"/>
        </w:rPr>
        <w:lastRenderedPageBreak/>
        <w:t xml:space="preserve">the strength of governmental action towards advancing the CE, but a concern </w:t>
      </w:r>
      <w:proofErr w:type="gramStart"/>
      <w:r w:rsidRPr="00AB3CA9">
        <w:rPr>
          <w:rFonts w:ascii="Arial" w:hAnsi="Arial" w:cs="Arial"/>
          <w:sz w:val="24"/>
          <w:szCs w:val="24"/>
        </w:rPr>
        <w:t>in light of</w:t>
      </w:r>
      <w:proofErr w:type="gramEnd"/>
      <w:r w:rsidRPr="00AB3CA9">
        <w:rPr>
          <w:rFonts w:ascii="Arial" w:hAnsi="Arial" w:cs="Arial"/>
          <w:sz w:val="24"/>
          <w:szCs w:val="24"/>
        </w:rPr>
        <w:t xml:space="preserve"> recent budget consultations and financial </w:t>
      </w:r>
      <w:r w:rsidR="00673092">
        <w:rPr>
          <w:rFonts w:ascii="Arial" w:hAnsi="Arial" w:cs="Arial"/>
          <w:sz w:val="24"/>
          <w:szCs w:val="24"/>
        </w:rPr>
        <w:t>pressures</w:t>
      </w:r>
      <w:r w:rsidRPr="00AB3CA9">
        <w:rPr>
          <w:rFonts w:ascii="Arial" w:hAnsi="Arial" w:cs="Arial"/>
          <w:sz w:val="24"/>
          <w:szCs w:val="24"/>
        </w:rPr>
        <w:t xml:space="preserve"> set by cabinet, </w:t>
      </w:r>
      <w:r w:rsidR="00673092">
        <w:rPr>
          <w:rFonts w:ascii="Arial" w:hAnsi="Arial" w:cs="Arial"/>
          <w:sz w:val="24"/>
          <w:szCs w:val="24"/>
        </w:rPr>
        <w:t xml:space="preserve">one could argue </w:t>
      </w:r>
      <w:r w:rsidR="003A71F8">
        <w:rPr>
          <w:rFonts w:ascii="Arial" w:hAnsi="Arial" w:cs="Arial"/>
          <w:sz w:val="24"/>
          <w:szCs w:val="24"/>
        </w:rPr>
        <w:t xml:space="preserve">it is questionable as to whether </w:t>
      </w:r>
      <w:r w:rsidRPr="00AB3CA9">
        <w:rPr>
          <w:rFonts w:ascii="Arial" w:hAnsi="Arial" w:cs="Arial"/>
          <w:sz w:val="24"/>
          <w:szCs w:val="24"/>
        </w:rPr>
        <w:t>the council</w:t>
      </w:r>
      <w:r w:rsidR="003A71F8">
        <w:rPr>
          <w:rFonts w:ascii="Arial" w:hAnsi="Arial" w:cs="Arial"/>
          <w:sz w:val="24"/>
          <w:szCs w:val="24"/>
        </w:rPr>
        <w:t xml:space="preserve"> now</w:t>
      </w:r>
      <w:r w:rsidRPr="00AB3CA9">
        <w:rPr>
          <w:rFonts w:ascii="Arial" w:hAnsi="Arial" w:cs="Arial"/>
          <w:sz w:val="24"/>
          <w:szCs w:val="24"/>
        </w:rPr>
        <w:t xml:space="preserve"> possesses the resource and budget to implement this knowledge effectively. </w:t>
      </w:r>
    </w:p>
    <w:p w14:paraId="0FDD5F48" w14:textId="50AA9E77" w:rsidR="00DF2500" w:rsidRPr="00952685" w:rsidRDefault="00952685" w:rsidP="00952685">
      <w:pPr>
        <w:spacing w:line="360" w:lineRule="auto"/>
        <w:rPr>
          <w:rFonts w:ascii="Arial" w:hAnsi="Arial" w:cs="Arial"/>
          <w:i/>
          <w:iCs/>
          <w:sz w:val="24"/>
          <w:szCs w:val="24"/>
        </w:rPr>
      </w:pPr>
      <w:r w:rsidRPr="00952685">
        <w:rPr>
          <w:rFonts w:ascii="Arial" w:hAnsi="Arial" w:cs="Arial"/>
          <w:i/>
          <w:iCs/>
          <w:sz w:val="24"/>
          <w:szCs w:val="24"/>
        </w:rPr>
        <w:t>2.4 C</w:t>
      </w:r>
      <w:r w:rsidR="00DF2500" w:rsidRPr="00952685">
        <w:rPr>
          <w:rFonts w:ascii="Arial" w:hAnsi="Arial" w:cs="Arial"/>
          <w:i/>
          <w:iCs/>
          <w:sz w:val="24"/>
          <w:szCs w:val="24"/>
        </w:rPr>
        <w:t>onclusion</w:t>
      </w:r>
    </w:p>
    <w:p w14:paraId="5FB4F8B5" w14:textId="216C47D4" w:rsidR="00DF2500" w:rsidRPr="00AB3CA9" w:rsidRDefault="00DF2500" w:rsidP="001C09E6">
      <w:pPr>
        <w:spacing w:line="360" w:lineRule="auto"/>
        <w:rPr>
          <w:rFonts w:ascii="Arial" w:hAnsi="Arial" w:cs="Arial"/>
          <w:sz w:val="24"/>
          <w:szCs w:val="24"/>
        </w:rPr>
      </w:pPr>
      <w:r w:rsidRPr="00AB3CA9">
        <w:rPr>
          <w:rFonts w:ascii="Arial" w:hAnsi="Arial" w:cs="Arial"/>
          <w:sz w:val="24"/>
          <w:szCs w:val="24"/>
        </w:rPr>
        <w:t xml:space="preserve">The difference this learning has made to CCC waste service and its objective of creating a CE strategy is that it has identified the key elements that characterise the Welsh (governmental) approach to circular economy. </w:t>
      </w:r>
      <w:r w:rsidR="001B2332">
        <w:rPr>
          <w:rFonts w:ascii="Arial" w:hAnsi="Arial" w:cs="Arial"/>
          <w:sz w:val="24"/>
          <w:szCs w:val="24"/>
        </w:rPr>
        <w:t xml:space="preserve">This learning was extremely useful in providing me with a foundational understanding of the history and evolution of waste management over the past thirty years in the face of major </w:t>
      </w:r>
      <w:r w:rsidR="009561E6">
        <w:rPr>
          <w:rFonts w:ascii="Arial" w:hAnsi="Arial" w:cs="Arial"/>
          <w:sz w:val="24"/>
          <w:szCs w:val="24"/>
        </w:rPr>
        <w:t xml:space="preserve">political, </w:t>
      </w:r>
      <w:proofErr w:type="gramStart"/>
      <w:r w:rsidR="009561E6">
        <w:rPr>
          <w:rFonts w:ascii="Arial" w:hAnsi="Arial" w:cs="Arial"/>
          <w:sz w:val="24"/>
          <w:szCs w:val="24"/>
        </w:rPr>
        <w:t>social</w:t>
      </w:r>
      <w:proofErr w:type="gramEnd"/>
      <w:r w:rsidR="009561E6">
        <w:rPr>
          <w:rFonts w:ascii="Arial" w:hAnsi="Arial" w:cs="Arial"/>
          <w:sz w:val="24"/>
          <w:szCs w:val="24"/>
        </w:rPr>
        <w:t xml:space="preserve"> and climatic change. It showed me that u</w:t>
      </w:r>
      <w:r w:rsidRPr="00AB3CA9">
        <w:rPr>
          <w:rFonts w:ascii="Arial" w:hAnsi="Arial" w:cs="Arial"/>
          <w:sz w:val="24"/>
          <w:szCs w:val="24"/>
        </w:rPr>
        <w:t xml:space="preserve">p until recently, waste policy was largely isolated from other elements of environmental legislation e.g. climate and biodiversity. As time has gone on, society has become increasingly aware of the impact our waste has on the environment, and in turn human health and wellbeing. Circular economy is the framework that ties this all together; it is the holistic approach that recognises the complex web of interactions between human activity and the resources we rely on for survival. The introduction of CE concepts in modern resource management legislation is a testament to a critical juncture in how we perceive and manage our resources, recognising that what we formerly considered “rubbish” is </w:t>
      </w:r>
      <w:proofErr w:type="gramStart"/>
      <w:r w:rsidRPr="00AB3CA9">
        <w:rPr>
          <w:rFonts w:ascii="Arial" w:hAnsi="Arial" w:cs="Arial"/>
          <w:sz w:val="24"/>
          <w:szCs w:val="24"/>
        </w:rPr>
        <w:t>actually a</w:t>
      </w:r>
      <w:proofErr w:type="gramEnd"/>
      <w:r w:rsidRPr="00AB3CA9">
        <w:rPr>
          <w:rFonts w:ascii="Arial" w:hAnsi="Arial" w:cs="Arial"/>
          <w:sz w:val="24"/>
          <w:szCs w:val="24"/>
        </w:rPr>
        <w:t xml:space="preserve"> resource with value. I posit that circular economy legislation represents some of the most progressive environmental legislation to emerge in recent years, and there in my opinion is no country that encapsulates and builds upon the progressive and innovative nature of CE policy more than Wales. What set Wales apart in its commitment to advancing the CE is the holistic approach by which Wales aims to achieve it. Unlike other nations, achieving CE is not only a vehicle for resource efficiency and economic growth (the main emphasis in other national policy)</w:t>
      </w:r>
      <w:r w:rsidR="00F526C6">
        <w:rPr>
          <w:rFonts w:ascii="Arial" w:hAnsi="Arial" w:cs="Arial"/>
          <w:sz w:val="24"/>
          <w:szCs w:val="24"/>
        </w:rPr>
        <w:t xml:space="preserve"> </w:t>
      </w:r>
      <w:r w:rsidRPr="00AB3CA9">
        <w:rPr>
          <w:rFonts w:ascii="Arial" w:hAnsi="Arial" w:cs="Arial"/>
          <w:sz w:val="24"/>
          <w:szCs w:val="24"/>
        </w:rPr>
        <w:t xml:space="preserve">(Fletcher, 2019), but culture, heritage, </w:t>
      </w:r>
      <w:proofErr w:type="gramStart"/>
      <w:r w:rsidRPr="00AB3CA9">
        <w:rPr>
          <w:rFonts w:ascii="Arial" w:hAnsi="Arial" w:cs="Arial"/>
          <w:sz w:val="24"/>
          <w:szCs w:val="24"/>
        </w:rPr>
        <w:t>wellbeing</w:t>
      </w:r>
      <w:proofErr w:type="gramEnd"/>
      <w:r w:rsidRPr="00AB3CA9">
        <w:rPr>
          <w:rFonts w:ascii="Arial" w:hAnsi="Arial" w:cs="Arial"/>
          <w:sz w:val="24"/>
          <w:szCs w:val="24"/>
        </w:rPr>
        <w:t xml:space="preserve"> and social justice. This is an approach that I believe is the most reflective of and conducive to achieving a circular economy, because the productivity and efficiency of our resources are founded on the respective wellbeing of our environment (the organisms, </w:t>
      </w:r>
      <w:proofErr w:type="gramStart"/>
      <w:r w:rsidRPr="00AB3CA9">
        <w:rPr>
          <w:rFonts w:ascii="Arial" w:hAnsi="Arial" w:cs="Arial"/>
          <w:sz w:val="24"/>
          <w:szCs w:val="24"/>
        </w:rPr>
        <w:t>ecosystems</w:t>
      </w:r>
      <w:proofErr w:type="gramEnd"/>
      <w:r w:rsidRPr="00AB3CA9">
        <w:rPr>
          <w:rFonts w:ascii="Arial" w:hAnsi="Arial" w:cs="Arial"/>
          <w:sz w:val="24"/>
          <w:szCs w:val="24"/>
        </w:rPr>
        <w:t xml:space="preserve"> and abiotic resources) which is inextricably linked to human heritage and health and wealth. The circular economy asks us to confront our modern habits of high consumption and </w:t>
      </w:r>
      <w:proofErr w:type="gramStart"/>
      <w:r w:rsidRPr="00AB3CA9">
        <w:rPr>
          <w:rFonts w:ascii="Arial" w:hAnsi="Arial" w:cs="Arial"/>
          <w:sz w:val="24"/>
          <w:szCs w:val="24"/>
        </w:rPr>
        <w:t>disposal, and</w:t>
      </w:r>
      <w:proofErr w:type="gramEnd"/>
      <w:r w:rsidRPr="00AB3CA9">
        <w:rPr>
          <w:rFonts w:ascii="Arial" w:hAnsi="Arial" w:cs="Arial"/>
          <w:sz w:val="24"/>
          <w:szCs w:val="24"/>
        </w:rPr>
        <w:t xml:space="preserve"> return to a model of value and sustainability once prevalent in human </w:t>
      </w:r>
      <w:r w:rsidRPr="00AB3CA9">
        <w:rPr>
          <w:rFonts w:ascii="Arial" w:hAnsi="Arial" w:cs="Arial"/>
          <w:sz w:val="24"/>
          <w:szCs w:val="24"/>
        </w:rPr>
        <w:lastRenderedPageBreak/>
        <w:t xml:space="preserve">society. With this comes a perfect opportunity to recognise all the value and wisdom of our ancestors, not only in how they managed their resources, but the culture, language, </w:t>
      </w:r>
      <w:proofErr w:type="gramStart"/>
      <w:r w:rsidRPr="00AB3CA9">
        <w:rPr>
          <w:rFonts w:ascii="Arial" w:hAnsi="Arial" w:cs="Arial"/>
          <w:sz w:val="24"/>
          <w:szCs w:val="24"/>
        </w:rPr>
        <w:t>art</w:t>
      </w:r>
      <w:proofErr w:type="gramEnd"/>
      <w:r w:rsidRPr="00AB3CA9">
        <w:rPr>
          <w:rFonts w:ascii="Arial" w:hAnsi="Arial" w:cs="Arial"/>
          <w:sz w:val="24"/>
          <w:szCs w:val="24"/>
        </w:rPr>
        <w:t xml:space="preserve"> and wisdom gained through the use of these resources. On this basis I believe Welsh government is currently the only nation to truly recognise this bigger picture and fully weave that wider cultural and social context into their legislative framework. It is advisable therefore that Carmarthenshire County Council champion this approach in their local strategy in a manner which is tailored to the specific landscape and needs of the county. </w:t>
      </w:r>
    </w:p>
    <w:p w14:paraId="19C8DCB7" w14:textId="77777777" w:rsidR="008B6C70" w:rsidRPr="00A54D2E" w:rsidRDefault="008B6C70" w:rsidP="008B6C70">
      <w:pPr>
        <w:rPr>
          <w:rFonts w:ascii="Arial" w:hAnsi="Arial" w:cs="Arial"/>
          <w:b/>
          <w:bCs/>
          <w:sz w:val="24"/>
          <w:szCs w:val="24"/>
        </w:rPr>
      </w:pPr>
      <w:r w:rsidRPr="00A54D2E">
        <w:rPr>
          <w:rFonts w:ascii="Arial" w:hAnsi="Arial" w:cs="Arial"/>
          <w:b/>
          <w:bCs/>
          <w:sz w:val="24"/>
          <w:szCs w:val="24"/>
        </w:rPr>
        <w:t xml:space="preserve">References </w:t>
      </w:r>
    </w:p>
    <w:p w14:paraId="49C82488" w14:textId="77777777" w:rsidR="008B6C70" w:rsidRDefault="008B6C70" w:rsidP="008B6C70">
      <w:pPr>
        <w:rPr>
          <w:rFonts w:ascii="Arial" w:hAnsi="Arial" w:cs="Arial"/>
          <w:sz w:val="24"/>
          <w:szCs w:val="24"/>
        </w:rPr>
      </w:pPr>
      <w:proofErr w:type="spellStart"/>
      <w:r w:rsidRPr="00103921">
        <w:rPr>
          <w:rFonts w:ascii="Arial" w:hAnsi="Arial" w:cs="Arial"/>
          <w:sz w:val="24"/>
          <w:szCs w:val="24"/>
        </w:rPr>
        <w:t>Afallen</w:t>
      </w:r>
      <w:proofErr w:type="spellEnd"/>
      <w:r>
        <w:rPr>
          <w:rFonts w:ascii="Arial" w:hAnsi="Arial" w:cs="Arial"/>
          <w:sz w:val="24"/>
          <w:szCs w:val="24"/>
        </w:rPr>
        <w:t xml:space="preserve">, </w:t>
      </w:r>
      <w:r w:rsidRPr="00103921">
        <w:rPr>
          <w:rFonts w:ascii="Arial" w:hAnsi="Arial" w:cs="Arial"/>
          <w:sz w:val="24"/>
          <w:szCs w:val="24"/>
        </w:rPr>
        <w:t>2023</w:t>
      </w:r>
      <w:r>
        <w:rPr>
          <w:rFonts w:ascii="Arial" w:hAnsi="Arial" w:cs="Arial"/>
          <w:sz w:val="24"/>
          <w:szCs w:val="24"/>
        </w:rPr>
        <w:t>.</w:t>
      </w:r>
      <w:r w:rsidRPr="00103921">
        <w:rPr>
          <w:rFonts w:ascii="Arial" w:hAnsi="Arial" w:cs="Arial"/>
          <w:sz w:val="24"/>
          <w:szCs w:val="24"/>
        </w:rPr>
        <w:t xml:space="preserve"> </w:t>
      </w:r>
      <w:r w:rsidRPr="00A26B29">
        <w:rPr>
          <w:rFonts w:ascii="Arial" w:hAnsi="Arial" w:cs="Arial"/>
          <w:i/>
          <w:iCs/>
          <w:sz w:val="24"/>
          <w:szCs w:val="24"/>
        </w:rPr>
        <w:t>Carmarthenshire Ten Towns Circular Economy Final Report</w:t>
      </w:r>
      <w:r w:rsidRPr="00103921">
        <w:rPr>
          <w:rFonts w:ascii="Arial" w:hAnsi="Arial" w:cs="Arial"/>
          <w:sz w:val="24"/>
          <w:szCs w:val="24"/>
        </w:rPr>
        <w:t xml:space="preserve"> </w:t>
      </w:r>
      <w:r>
        <w:rPr>
          <w:rFonts w:ascii="Arial" w:hAnsi="Arial" w:cs="Arial"/>
          <w:sz w:val="24"/>
          <w:szCs w:val="24"/>
        </w:rPr>
        <w:t xml:space="preserve">– Unpublished </w:t>
      </w:r>
    </w:p>
    <w:p w14:paraId="1E2E5D42" w14:textId="77777777" w:rsidR="008B6C70" w:rsidRDefault="008B6C70" w:rsidP="008B6C70">
      <w:pPr>
        <w:rPr>
          <w:rFonts w:ascii="Arial" w:hAnsi="Arial" w:cs="Arial"/>
          <w:sz w:val="24"/>
          <w:szCs w:val="24"/>
        </w:rPr>
      </w:pPr>
      <w:r w:rsidRPr="00E94338">
        <w:rPr>
          <w:rFonts w:ascii="Arial" w:hAnsi="Arial" w:cs="Arial"/>
          <w:sz w:val="24"/>
          <w:szCs w:val="24"/>
        </w:rPr>
        <w:t xml:space="preserve">Arruda, E.H., </w:t>
      </w:r>
      <w:proofErr w:type="spellStart"/>
      <w:r w:rsidRPr="00E94338">
        <w:rPr>
          <w:rFonts w:ascii="Arial" w:hAnsi="Arial" w:cs="Arial"/>
          <w:sz w:val="24"/>
          <w:szCs w:val="24"/>
        </w:rPr>
        <w:t>Melatto</w:t>
      </w:r>
      <w:proofErr w:type="spellEnd"/>
      <w:r w:rsidRPr="00E94338">
        <w:rPr>
          <w:rFonts w:ascii="Arial" w:hAnsi="Arial" w:cs="Arial"/>
          <w:sz w:val="24"/>
          <w:szCs w:val="24"/>
        </w:rPr>
        <w:t xml:space="preserve">, R.A.P.B., Levy, </w:t>
      </w:r>
      <w:proofErr w:type="gramStart"/>
      <w:r w:rsidRPr="00E94338">
        <w:rPr>
          <w:rFonts w:ascii="Arial" w:hAnsi="Arial" w:cs="Arial"/>
          <w:sz w:val="24"/>
          <w:szCs w:val="24"/>
        </w:rPr>
        <w:t>W.</w:t>
      </w:r>
      <w:proofErr w:type="gramEnd"/>
      <w:r w:rsidRPr="00E94338">
        <w:rPr>
          <w:rFonts w:ascii="Arial" w:hAnsi="Arial" w:cs="Arial"/>
          <w:sz w:val="24"/>
          <w:szCs w:val="24"/>
        </w:rPr>
        <w:t xml:space="preserve"> and Conti, D.D.M., 2021. Circular economy: A brief literature review (2015–2020). Sustainable Operations and Computers, 2, 79-86.</w:t>
      </w:r>
    </w:p>
    <w:p w14:paraId="73BC7D5F" w14:textId="77777777" w:rsidR="008B6C70" w:rsidRDefault="008B6C70" w:rsidP="008B6C70">
      <w:pPr>
        <w:rPr>
          <w:rFonts w:ascii="Arial" w:hAnsi="Arial" w:cs="Arial"/>
          <w:sz w:val="24"/>
          <w:szCs w:val="24"/>
        </w:rPr>
      </w:pPr>
      <w:r w:rsidRPr="00010EA1">
        <w:rPr>
          <w:rFonts w:ascii="Arial" w:hAnsi="Arial" w:cs="Arial"/>
          <w:sz w:val="24"/>
          <w:szCs w:val="24"/>
        </w:rPr>
        <w:t>Bees, A.D. and Williams, I.D., 2017. Explaining the differences in household food waste collection and treatment provisions between local authorities in England and Wales. </w:t>
      </w:r>
      <w:r w:rsidRPr="00010EA1">
        <w:rPr>
          <w:rFonts w:ascii="Arial" w:hAnsi="Arial" w:cs="Arial"/>
          <w:i/>
          <w:iCs/>
          <w:sz w:val="24"/>
          <w:szCs w:val="24"/>
        </w:rPr>
        <w:t>Waste Management</w:t>
      </w:r>
      <w:r w:rsidRPr="00010EA1">
        <w:rPr>
          <w:rFonts w:ascii="Arial" w:hAnsi="Arial" w:cs="Arial"/>
          <w:sz w:val="24"/>
          <w:szCs w:val="24"/>
        </w:rPr>
        <w:t>, </w:t>
      </w:r>
      <w:r w:rsidRPr="00010EA1">
        <w:rPr>
          <w:rFonts w:ascii="Arial" w:hAnsi="Arial" w:cs="Arial"/>
          <w:i/>
          <w:iCs/>
          <w:sz w:val="24"/>
          <w:szCs w:val="24"/>
        </w:rPr>
        <w:t>70</w:t>
      </w:r>
      <w:r w:rsidRPr="00010EA1">
        <w:rPr>
          <w:rFonts w:ascii="Arial" w:hAnsi="Arial" w:cs="Arial"/>
          <w:sz w:val="24"/>
          <w:szCs w:val="24"/>
        </w:rPr>
        <w:t>, pp.222-235.</w:t>
      </w:r>
    </w:p>
    <w:p w14:paraId="2122A1E5" w14:textId="77777777" w:rsidR="008B6C70" w:rsidRPr="00A54D2E" w:rsidRDefault="008B6C70" w:rsidP="008B6C70">
      <w:pPr>
        <w:rPr>
          <w:rFonts w:ascii="Arial" w:hAnsi="Arial" w:cs="Arial"/>
          <w:sz w:val="24"/>
          <w:szCs w:val="24"/>
        </w:rPr>
      </w:pPr>
      <w:r w:rsidRPr="00A54D2E">
        <w:rPr>
          <w:rFonts w:ascii="Arial" w:hAnsi="Arial" w:cs="Arial"/>
          <w:sz w:val="24"/>
          <w:szCs w:val="24"/>
        </w:rPr>
        <w:t>Carmarthenshire County Council. 2018. Revised Carmarthenshire Local Development Plan 2018-2033 - Issues Vision and Objectives. Available at: https://www.carmarthenshire.gov.wales/media/1216706/ivo-topicpaper-dec2018.pdf [Accessed: 24 March 2024].</w:t>
      </w:r>
    </w:p>
    <w:p w14:paraId="48A995BF" w14:textId="77777777" w:rsidR="008B6C70" w:rsidRDefault="008B6C70" w:rsidP="008B6C70">
      <w:pPr>
        <w:rPr>
          <w:rFonts w:ascii="Arial" w:hAnsi="Arial" w:cs="Arial"/>
          <w:sz w:val="24"/>
          <w:szCs w:val="24"/>
        </w:rPr>
      </w:pPr>
      <w:r w:rsidRPr="00A54D2E">
        <w:rPr>
          <w:rFonts w:ascii="Arial" w:hAnsi="Arial" w:cs="Arial"/>
          <w:sz w:val="24"/>
          <w:szCs w:val="24"/>
        </w:rPr>
        <w:t xml:space="preserve">Carmarthenshire County Council. 2019. Planning Annual Performance Report 2019. Available at: https://www.carmarthenshire.gov.wales/media/1220792/annual-performance-report-2018-2019.pdf [Accessed 24 March 2024]. </w:t>
      </w:r>
    </w:p>
    <w:p w14:paraId="2CE2AC23" w14:textId="77777777" w:rsidR="008B6C70" w:rsidRPr="00A54D2E" w:rsidRDefault="008B6C70" w:rsidP="008B6C70">
      <w:pPr>
        <w:rPr>
          <w:rFonts w:ascii="Arial" w:hAnsi="Arial" w:cs="Arial"/>
          <w:sz w:val="24"/>
          <w:szCs w:val="24"/>
        </w:rPr>
      </w:pPr>
      <w:r w:rsidRPr="00AF175B">
        <w:rPr>
          <w:rFonts w:ascii="Arial" w:hAnsi="Arial" w:cs="Arial"/>
          <w:sz w:val="24"/>
          <w:szCs w:val="24"/>
        </w:rPr>
        <w:t>Clifton, N., Kyaw, K.S., Liu, Z. and Walpole, G., 2024. An empirical study on public sector versus third sector circular economy-oriented innovations. </w:t>
      </w:r>
      <w:r w:rsidRPr="00AF175B">
        <w:rPr>
          <w:rFonts w:ascii="Arial" w:hAnsi="Arial" w:cs="Arial"/>
          <w:i/>
          <w:iCs/>
          <w:sz w:val="24"/>
          <w:szCs w:val="24"/>
        </w:rPr>
        <w:t>Sustainability</w:t>
      </w:r>
      <w:r w:rsidRPr="00AF175B">
        <w:rPr>
          <w:rFonts w:ascii="Arial" w:hAnsi="Arial" w:cs="Arial"/>
          <w:sz w:val="24"/>
          <w:szCs w:val="24"/>
        </w:rPr>
        <w:t>, </w:t>
      </w:r>
      <w:r w:rsidRPr="00AF175B">
        <w:rPr>
          <w:rFonts w:ascii="Arial" w:hAnsi="Arial" w:cs="Arial"/>
          <w:i/>
          <w:iCs/>
          <w:sz w:val="24"/>
          <w:szCs w:val="24"/>
        </w:rPr>
        <w:t>16</w:t>
      </w:r>
      <w:r w:rsidRPr="00AF175B">
        <w:rPr>
          <w:rFonts w:ascii="Arial" w:hAnsi="Arial" w:cs="Arial"/>
          <w:sz w:val="24"/>
          <w:szCs w:val="24"/>
        </w:rPr>
        <w:t>(4), p.1650.</w:t>
      </w:r>
    </w:p>
    <w:p w14:paraId="0EF275D6" w14:textId="77777777" w:rsidR="008B6C70" w:rsidRDefault="008B6C70" w:rsidP="008B6C70">
      <w:pPr>
        <w:rPr>
          <w:rFonts w:ascii="Arial" w:hAnsi="Arial" w:cs="Arial"/>
          <w:sz w:val="24"/>
          <w:szCs w:val="24"/>
        </w:rPr>
      </w:pPr>
      <w:r w:rsidRPr="00A54D2E">
        <w:rPr>
          <w:rFonts w:ascii="Arial" w:hAnsi="Arial" w:cs="Arial"/>
          <w:sz w:val="24"/>
          <w:szCs w:val="24"/>
        </w:rPr>
        <w:t>DEFRA, 2018. Our waste, our resources: a strategy for England. HM Government.</w:t>
      </w:r>
    </w:p>
    <w:p w14:paraId="069F5249" w14:textId="77777777" w:rsidR="008B6C70" w:rsidRPr="00A54D2E" w:rsidRDefault="008B6C70" w:rsidP="008B6C70">
      <w:pPr>
        <w:rPr>
          <w:rFonts w:ascii="Arial" w:hAnsi="Arial" w:cs="Arial"/>
          <w:sz w:val="24"/>
          <w:szCs w:val="24"/>
        </w:rPr>
      </w:pPr>
      <w:r w:rsidRPr="00955FCD">
        <w:rPr>
          <w:rFonts w:ascii="Arial" w:hAnsi="Arial" w:cs="Arial"/>
          <w:sz w:val="24"/>
          <w:szCs w:val="24"/>
        </w:rPr>
        <w:t>De Laurentis, C., Beverley, K., Clifton, N., Bacon, E., Rudd, J. and Walpole, G., 2024. Exploring opportunities for public sector organisations to connect wellbeing to resource loops in a regional circular economy. </w:t>
      </w:r>
      <w:r w:rsidRPr="00955FCD">
        <w:rPr>
          <w:rFonts w:ascii="Arial" w:hAnsi="Arial" w:cs="Arial"/>
          <w:i/>
          <w:iCs/>
          <w:sz w:val="24"/>
          <w:szCs w:val="24"/>
        </w:rPr>
        <w:t>Contemporary Social Science</w:t>
      </w:r>
      <w:r w:rsidRPr="00955FCD">
        <w:rPr>
          <w:rFonts w:ascii="Arial" w:hAnsi="Arial" w:cs="Arial"/>
          <w:sz w:val="24"/>
          <w:szCs w:val="24"/>
        </w:rPr>
        <w:t>, pp.1-34.</w:t>
      </w:r>
    </w:p>
    <w:p w14:paraId="29246F32" w14:textId="77777777" w:rsidR="008B6C70" w:rsidRPr="00A54D2E" w:rsidRDefault="008B6C70" w:rsidP="008B6C70">
      <w:pPr>
        <w:rPr>
          <w:rFonts w:ascii="Arial" w:hAnsi="Arial" w:cs="Arial"/>
          <w:sz w:val="24"/>
          <w:szCs w:val="24"/>
        </w:rPr>
      </w:pPr>
      <w:r w:rsidRPr="00A54D2E">
        <w:rPr>
          <w:rFonts w:ascii="Arial" w:hAnsi="Arial" w:cs="Arial"/>
          <w:kern w:val="0"/>
          <w:sz w:val="24"/>
          <w:szCs w:val="24"/>
        </w:rPr>
        <w:t>Ellen MacArthur Foundation. 2024. Accessed April 29, 2024. https://ellenmacarthurfoundation.org/.</w:t>
      </w:r>
    </w:p>
    <w:p w14:paraId="75CA9F3D" w14:textId="77777777" w:rsidR="008B6C70" w:rsidRPr="00A54D2E" w:rsidRDefault="008B6C70" w:rsidP="008B6C70">
      <w:pPr>
        <w:rPr>
          <w:rFonts w:ascii="Arial" w:hAnsi="Arial" w:cs="Arial"/>
          <w:sz w:val="24"/>
          <w:szCs w:val="24"/>
        </w:rPr>
      </w:pPr>
      <w:r w:rsidRPr="00A54D2E">
        <w:rPr>
          <w:rFonts w:ascii="Arial" w:hAnsi="Arial" w:cs="Arial"/>
          <w:sz w:val="24"/>
          <w:szCs w:val="24"/>
        </w:rPr>
        <w:t>European Commission (EC), 2008. Waste Framework Directive (2008/98/EC).</w:t>
      </w:r>
    </w:p>
    <w:p w14:paraId="794BCB56" w14:textId="77777777" w:rsidR="008B6C70" w:rsidRPr="00A54D2E" w:rsidRDefault="008B6C70" w:rsidP="008B6C70">
      <w:pPr>
        <w:rPr>
          <w:rFonts w:ascii="Arial" w:hAnsi="Arial" w:cs="Arial"/>
          <w:sz w:val="24"/>
          <w:szCs w:val="24"/>
        </w:rPr>
      </w:pPr>
      <w:r w:rsidRPr="00A54D2E">
        <w:rPr>
          <w:rFonts w:ascii="Arial" w:hAnsi="Arial" w:cs="Arial"/>
          <w:sz w:val="24"/>
          <w:szCs w:val="24"/>
        </w:rPr>
        <w:t>&lt;http://ec.europa.eu/environment/waste/framework/ [Accessed: 24 March 2024].</w:t>
      </w:r>
    </w:p>
    <w:p w14:paraId="6BC49CE6" w14:textId="77777777" w:rsidR="008B6C70" w:rsidRPr="00645F7F" w:rsidRDefault="008B6C70" w:rsidP="008B6C70">
      <w:pPr>
        <w:rPr>
          <w:rFonts w:ascii="Arial" w:hAnsi="Arial" w:cs="Arial"/>
          <w:sz w:val="24"/>
          <w:szCs w:val="24"/>
        </w:rPr>
      </w:pPr>
      <w:r w:rsidRPr="00A54D2E">
        <w:rPr>
          <w:rFonts w:ascii="Arial" w:hAnsi="Arial" w:cs="Arial"/>
          <w:sz w:val="24"/>
          <w:szCs w:val="24"/>
        </w:rPr>
        <w:lastRenderedPageBreak/>
        <w:t xml:space="preserve">Friant, M.C., Vermeulen, W.J. and Salomone, R., 2021. Analysing European Union circular economy policies: words versus actions. </w:t>
      </w:r>
      <w:r w:rsidRPr="00A54D2E">
        <w:rPr>
          <w:rFonts w:ascii="Arial" w:hAnsi="Arial" w:cs="Arial"/>
          <w:i/>
          <w:iCs/>
          <w:sz w:val="24"/>
          <w:szCs w:val="24"/>
        </w:rPr>
        <w:t>Sustainable Production and Consumption</w:t>
      </w:r>
      <w:r w:rsidRPr="00A54D2E">
        <w:rPr>
          <w:rFonts w:ascii="Arial" w:hAnsi="Arial" w:cs="Arial"/>
          <w:sz w:val="24"/>
          <w:szCs w:val="24"/>
        </w:rPr>
        <w:t>, 27, pp.337-353.</w:t>
      </w:r>
    </w:p>
    <w:p w14:paraId="70C40ABA" w14:textId="77777777" w:rsidR="008B6C70" w:rsidRPr="00A54D2E" w:rsidRDefault="008B6C70" w:rsidP="008B6C70">
      <w:pPr>
        <w:rPr>
          <w:rFonts w:ascii="Arial" w:hAnsi="Arial" w:cs="Arial"/>
          <w:sz w:val="24"/>
          <w:szCs w:val="24"/>
        </w:rPr>
      </w:pPr>
      <w:r w:rsidRPr="00645F7F">
        <w:rPr>
          <w:rFonts w:ascii="Arial" w:hAnsi="Arial" w:cs="Arial"/>
          <w:sz w:val="24"/>
          <w:szCs w:val="24"/>
        </w:rPr>
        <w:t xml:space="preserve"> Fuller-Love, N., &amp; Murphy, L. (2023). </w:t>
      </w:r>
      <w:r w:rsidRPr="00645F7F">
        <w:rPr>
          <w:rFonts w:ascii="Arial" w:hAnsi="Arial" w:cs="Arial"/>
          <w:i/>
          <w:iCs/>
          <w:sz w:val="24"/>
          <w:szCs w:val="24"/>
        </w:rPr>
        <w:t>Circular economy implementation: Case studies in Wales</w:t>
      </w:r>
      <w:r w:rsidRPr="00645F7F">
        <w:rPr>
          <w:rFonts w:ascii="Arial" w:hAnsi="Arial" w:cs="Arial"/>
          <w:sz w:val="24"/>
          <w:szCs w:val="24"/>
        </w:rPr>
        <w:t>. Cardiff Metropolitan University.</w:t>
      </w:r>
    </w:p>
    <w:p w14:paraId="2BDC866B" w14:textId="77777777" w:rsidR="008B6C70" w:rsidRPr="00A54D2E" w:rsidRDefault="008B6C70" w:rsidP="008B6C70">
      <w:pPr>
        <w:rPr>
          <w:rFonts w:ascii="Arial" w:hAnsi="Arial" w:cs="Arial"/>
          <w:sz w:val="24"/>
          <w:szCs w:val="24"/>
        </w:rPr>
      </w:pPr>
      <w:r w:rsidRPr="00A54D2E">
        <w:rPr>
          <w:rFonts w:ascii="Arial" w:hAnsi="Arial" w:cs="Arial"/>
          <w:sz w:val="24"/>
          <w:szCs w:val="24"/>
        </w:rPr>
        <w:t>Gregson, N., Crang, M., Fuller, S. and Holmes, H., 2015. Interrogating the circular economy: the moral economy of resource recovery in the EU. Economy and society, 44(2), pp.218-243.</w:t>
      </w:r>
    </w:p>
    <w:p w14:paraId="461D92A9" w14:textId="77777777" w:rsidR="008B6C70" w:rsidRDefault="008B6C70" w:rsidP="008B6C70">
      <w:pPr>
        <w:rPr>
          <w:rFonts w:ascii="Arial" w:hAnsi="Arial" w:cs="Arial"/>
          <w:sz w:val="24"/>
          <w:szCs w:val="24"/>
        </w:rPr>
      </w:pPr>
      <w:r w:rsidRPr="00A54D2E">
        <w:rPr>
          <w:rFonts w:ascii="Arial" w:hAnsi="Arial" w:cs="Arial"/>
          <w:sz w:val="24"/>
          <w:szCs w:val="24"/>
        </w:rPr>
        <w:t xml:space="preserve">Hill, J., 2016. Circular Economy and the Policy Landscape in the UK. </w:t>
      </w:r>
      <w:r w:rsidRPr="00A54D2E">
        <w:rPr>
          <w:rFonts w:ascii="Arial" w:hAnsi="Arial" w:cs="Arial"/>
          <w:i/>
          <w:iCs/>
          <w:sz w:val="24"/>
          <w:szCs w:val="24"/>
        </w:rPr>
        <w:t>Taking stock of industrial ecology</w:t>
      </w:r>
      <w:r w:rsidRPr="00A54D2E">
        <w:rPr>
          <w:rFonts w:ascii="Arial" w:hAnsi="Arial" w:cs="Arial"/>
          <w:sz w:val="24"/>
          <w:szCs w:val="24"/>
        </w:rPr>
        <w:t>, pp.265-274.</w:t>
      </w:r>
    </w:p>
    <w:p w14:paraId="7790246C" w14:textId="77777777" w:rsidR="008B6C70" w:rsidRPr="00A54D2E" w:rsidRDefault="008B6C70" w:rsidP="008B6C70">
      <w:pPr>
        <w:rPr>
          <w:rFonts w:ascii="Arial" w:hAnsi="Arial" w:cs="Arial"/>
          <w:sz w:val="24"/>
          <w:szCs w:val="24"/>
        </w:rPr>
      </w:pPr>
      <w:r w:rsidRPr="00A4457F">
        <w:rPr>
          <w:rFonts w:ascii="Arial" w:hAnsi="Arial" w:cs="Arial"/>
          <w:sz w:val="24"/>
          <w:szCs w:val="24"/>
        </w:rPr>
        <w:t xml:space="preserve">Kettunen, M., </w:t>
      </w:r>
      <w:proofErr w:type="spellStart"/>
      <w:r w:rsidRPr="00A4457F">
        <w:rPr>
          <w:rFonts w:ascii="Arial" w:hAnsi="Arial" w:cs="Arial"/>
          <w:sz w:val="24"/>
          <w:szCs w:val="24"/>
        </w:rPr>
        <w:t>Gionfra</w:t>
      </w:r>
      <w:proofErr w:type="spellEnd"/>
      <w:r w:rsidRPr="00A4457F">
        <w:rPr>
          <w:rFonts w:ascii="Arial" w:hAnsi="Arial" w:cs="Arial"/>
          <w:sz w:val="24"/>
          <w:szCs w:val="24"/>
        </w:rPr>
        <w:t xml:space="preserve">, S. and </w:t>
      </w:r>
      <w:proofErr w:type="spellStart"/>
      <w:r w:rsidRPr="00A4457F">
        <w:rPr>
          <w:rFonts w:ascii="Arial" w:hAnsi="Arial" w:cs="Arial"/>
          <w:sz w:val="24"/>
          <w:szCs w:val="24"/>
        </w:rPr>
        <w:t>Monteville</w:t>
      </w:r>
      <w:proofErr w:type="spellEnd"/>
      <w:r w:rsidRPr="00A4457F">
        <w:rPr>
          <w:rFonts w:ascii="Arial" w:hAnsi="Arial" w:cs="Arial"/>
          <w:sz w:val="24"/>
          <w:szCs w:val="24"/>
        </w:rPr>
        <w:t>, M., 2019. EU circular economy and trade: Improving policy coherence for sustainable development. </w:t>
      </w:r>
      <w:r w:rsidRPr="00A4457F">
        <w:rPr>
          <w:rFonts w:ascii="Arial" w:hAnsi="Arial" w:cs="Arial"/>
          <w:i/>
          <w:iCs/>
          <w:sz w:val="24"/>
          <w:szCs w:val="24"/>
        </w:rPr>
        <w:t xml:space="preserve">Institute for European Environmental Policy, </w:t>
      </w:r>
      <w:proofErr w:type="spellStart"/>
      <w:r w:rsidRPr="00A4457F">
        <w:rPr>
          <w:rFonts w:ascii="Arial" w:hAnsi="Arial" w:cs="Arial"/>
          <w:i/>
          <w:iCs/>
          <w:sz w:val="24"/>
          <w:szCs w:val="24"/>
        </w:rPr>
        <w:t>Bruselas</w:t>
      </w:r>
      <w:proofErr w:type="spellEnd"/>
      <w:r w:rsidRPr="00A4457F">
        <w:rPr>
          <w:rFonts w:ascii="Arial" w:hAnsi="Arial" w:cs="Arial"/>
          <w:i/>
          <w:iCs/>
          <w:sz w:val="24"/>
          <w:szCs w:val="24"/>
        </w:rPr>
        <w:t xml:space="preserve">, </w:t>
      </w:r>
      <w:proofErr w:type="spellStart"/>
      <w:r w:rsidRPr="00A4457F">
        <w:rPr>
          <w:rFonts w:ascii="Arial" w:hAnsi="Arial" w:cs="Arial"/>
          <w:i/>
          <w:iCs/>
          <w:sz w:val="24"/>
          <w:szCs w:val="24"/>
        </w:rPr>
        <w:t>Bélgica</w:t>
      </w:r>
      <w:proofErr w:type="spellEnd"/>
      <w:r w:rsidRPr="00A4457F">
        <w:rPr>
          <w:rFonts w:ascii="Arial" w:hAnsi="Arial" w:cs="Arial"/>
          <w:sz w:val="24"/>
          <w:szCs w:val="24"/>
        </w:rPr>
        <w:t>.</w:t>
      </w:r>
    </w:p>
    <w:p w14:paraId="6FD24AED" w14:textId="77777777" w:rsidR="008B6C70" w:rsidRPr="00A54D2E" w:rsidRDefault="008B6C70" w:rsidP="008B6C70">
      <w:pPr>
        <w:rPr>
          <w:rFonts w:ascii="Arial" w:hAnsi="Arial" w:cs="Arial"/>
          <w:sz w:val="24"/>
          <w:szCs w:val="24"/>
        </w:rPr>
      </w:pPr>
      <w:r w:rsidRPr="00A54D2E">
        <w:rPr>
          <w:rFonts w:ascii="Arial" w:hAnsi="Arial" w:cs="Arial"/>
          <w:sz w:val="24"/>
          <w:szCs w:val="24"/>
          <w:shd w:val="clear" w:color="auto" w:fill="FFFFFF"/>
        </w:rPr>
        <w:t>Liu, Z., James, S., Walpole, G. and White, G.R., 2023. A communities of practice approach to promoting regional circular economy innovation: evidence from East Wales. </w:t>
      </w:r>
      <w:r w:rsidRPr="00A54D2E">
        <w:rPr>
          <w:rFonts w:ascii="Arial" w:hAnsi="Arial" w:cs="Arial"/>
          <w:i/>
          <w:iCs/>
          <w:sz w:val="24"/>
          <w:szCs w:val="24"/>
          <w:shd w:val="clear" w:color="auto" w:fill="FFFFFF"/>
        </w:rPr>
        <w:t>European Planning Studies</w:t>
      </w:r>
      <w:r w:rsidRPr="00A54D2E">
        <w:rPr>
          <w:rFonts w:ascii="Arial" w:hAnsi="Arial" w:cs="Arial"/>
          <w:sz w:val="24"/>
          <w:szCs w:val="24"/>
          <w:shd w:val="clear" w:color="auto" w:fill="FFFFFF"/>
        </w:rPr>
        <w:t>, </w:t>
      </w:r>
      <w:r w:rsidRPr="00A54D2E">
        <w:rPr>
          <w:rFonts w:ascii="Arial" w:hAnsi="Arial" w:cs="Arial"/>
          <w:i/>
          <w:iCs/>
          <w:sz w:val="24"/>
          <w:szCs w:val="24"/>
          <w:shd w:val="clear" w:color="auto" w:fill="FFFFFF"/>
        </w:rPr>
        <w:t>31</w:t>
      </w:r>
      <w:r w:rsidRPr="00A54D2E">
        <w:rPr>
          <w:rFonts w:ascii="Arial" w:hAnsi="Arial" w:cs="Arial"/>
          <w:sz w:val="24"/>
          <w:szCs w:val="24"/>
          <w:shd w:val="clear" w:color="auto" w:fill="FFFFFF"/>
        </w:rPr>
        <w:t>(5), pp.988-1006.</w:t>
      </w:r>
    </w:p>
    <w:p w14:paraId="71916480" w14:textId="77777777" w:rsidR="008B6C70" w:rsidRPr="00A54D2E" w:rsidRDefault="008B6C70" w:rsidP="008B6C70">
      <w:pPr>
        <w:rPr>
          <w:rFonts w:ascii="Arial" w:hAnsi="Arial" w:cs="Arial"/>
          <w:sz w:val="24"/>
          <w:szCs w:val="24"/>
        </w:rPr>
      </w:pPr>
      <w:r w:rsidRPr="00A54D2E">
        <w:rPr>
          <w:rFonts w:ascii="Arial" w:hAnsi="Arial" w:cs="Arial"/>
          <w:sz w:val="24"/>
          <w:szCs w:val="24"/>
        </w:rPr>
        <w:t xml:space="preserve">MacArthur, E., 2013. Towards the circular economy. </w:t>
      </w:r>
      <w:r w:rsidRPr="00A54D2E">
        <w:rPr>
          <w:rFonts w:ascii="Arial" w:hAnsi="Arial" w:cs="Arial"/>
          <w:i/>
          <w:iCs/>
          <w:sz w:val="24"/>
          <w:szCs w:val="24"/>
        </w:rPr>
        <w:t>Journal of Industrial Ecology</w:t>
      </w:r>
      <w:r w:rsidRPr="00A54D2E">
        <w:rPr>
          <w:rFonts w:ascii="Arial" w:hAnsi="Arial" w:cs="Arial"/>
          <w:sz w:val="24"/>
          <w:szCs w:val="24"/>
        </w:rPr>
        <w:t>, 2(1), pp.23-44.</w:t>
      </w:r>
    </w:p>
    <w:p w14:paraId="71C96CD2" w14:textId="77777777" w:rsidR="008B6C70" w:rsidRDefault="008B6C70" w:rsidP="008B6C70">
      <w:pPr>
        <w:rPr>
          <w:rFonts w:ascii="Arial" w:hAnsi="Arial" w:cs="Arial"/>
          <w:sz w:val="24"/>
          <w:szCs w:val="24"/>
        </w:rPr>
      </w:pPr>
      <w:proofErr w:type="spellStart"/>
      <w:r w:rsidRPr="00A54D2E">
        <w:rPr>
          <w:rFonts w:ascii="Arial" w:hAnsi="Arial" w:cs="Arial"/>
          <w:sz w:val="24"/>
          <w:szCs w:val="24"/>
        </w:rPr>
        <w:t>Salemdeeb</w:t>
      </w:r>
      <w:proofErr w:type="spellEnd"/>
      <w:r w:rsidRPr="00A54D2E">
        <w:rPr>
          <w:rFonts w:ascii="Arial" w:hAnsi="Arial" w:cs="Arial"/>
          <w:sz w:val="24"/>
          <w:szCs w:val="24"/>
        </w:rPr>
        <w:t>, R., Saint, R., Pomponi, F., Pratt, K. and Lenaghan, M., 2022. Beyond recycling: an LCA-based decision-support tool to accelerate Scotland's transition to a circular economy. Resources, Conservation &amp; Recycling Advances, 13, p.200-269.</w:t>
      </w:r>
    </w:p>
    <w:p w14:paraId="5760AAE6" w14:textId="77777777" w:rsidR="008B6C70" w:rsidRPr="00A54D2E" w:rsidRDefault="008B6C70" w:rsidP="008B6C70">
      <w:pPr>
        <w:rPr>
          <w:rFonts w:ascii="Arial" w:hAnsi="Arial" w:cs="Arial"/>
          <w:sz w:val="24"/>
          <w:szCs w:val="24"/>
        </w:rPr>
      </w:pPr>
      <w:r w:rsidRPr="00101036">
        <w:rPr>
          <w:rFonts w:ascii="Arial" w:hAnsi="Arial" w:cs="Arial"/>
          <w:sz w:val="24"/>
          <w:szCs w:val="24"/>
        </w:rPr>
        <w:t>Saunders, A., 2023. </w:t>
      </w:r>
      <w:r w:rsidRPr="00101036">
        <w:rPr>
          <w:rFonts w:ascii="Arial" w:hAnsi="Arial" w:cs="Arial"/>
          <w:i/>
          <w:iCs/>
          <w:sz w:val="24"/>
          <w:szCs w:val="24"/>
        </w:rPr>
        <w:t>Exploring the dynamics of agency in old industrial towns in Wales</w:t>
      </w:r>
      <w:r w:rsidRPr="00101036">
        <w:rPr>
          <w:rFonts w:ascii="Arial" w:hAnsi="Arial" w:cs="Arial"/>
          <w:sz w:val="24"/>
          <w:szCs w:val="24"/>
        </w:rPr>
        <w:t> (Doctoral dissertation, Cardiff University).</w:t>
      </w:r>
    </w:p>
    <w:p w14:paraId="32892813" w14:textId="77777777" w:rsidR="008B6C70" w:rsidRPr="00A54D2E" w:rsidRDefault="008B6C70" w:rsidP="008B6C70">
      <w:pPr>
        <w:rPr>
          <w:rFonts w:ascii="Arial" w:hAnsi="Arial" w:cs="Arial"/>
          <w:sz w:val="24"/>
          <w:szCs w:val="24"/>
        </w:rPr>
      </w:pPr>
      <w:r w:rsidRPr="007F1C00">
        <w:rPr>
          <w:rFonts w:ascii="Arial" w:hAnsi="Arial" w:cs="Arial"/>
          <w:sz w:val="24"/>
          <w:szCs w:val="24"/>
        </w:rPr>
        <w:t>Spani, R.C., 2020. The new circular economy action plan. </w:t>
      </w:r>
      <w:r w:rsidRPr="007F1C00">
        <w:rPr>
          <w:rFonts w:ascii="Arial" w:hAnsi="Arial" w:cs="Arial"/>
          <w:i/>
          <w:iCs/>
          <w:sz w:val="24"/>
          <w:szCs w:val="24"/>
        </w:rPr>
        <w:t>FEEM Policy Brief</w:t>
      </w:r>
      <w:r w:rsidRPr="007F1C00">
        <w:rPr>
          <w:rFonts w:ascii="Arial" w:hAnsi="Arial" w:cs="Arial"/>
          <w:sz w:val="24"/>
          <w:szCs w:val="24"/>
        </w:rPr>
        <w:t>, (09-2020).</w:t>
      </w:r>
    </w:p>
    <w:p w14:paraId="52D337AB" w14:textId="77777777" w:rsidR="008B6C70" w:rsidRPr="00A54D2E" w:rsidRDefault="008B6C70" w:rsidP="008B6C70">
      <w:pPr>
        <w:rPr>
          <w:rFonts w:ascii="Arial" w:hAnsi="Arial" w:cs="Arial"/>
          <w:sz w:val="24"/>
          <w:szCs w:val="24"/>
        </w:rPr>
      </w:pPr>
      <w:r w:rsidRPr="00A54D2E">
        <w:rPr>
          <w:rFonts w:ascii="Arial" w:hAnsi="Arial" w:cs="Arial"/>
          <w:sz w:val="24"/>
          <w:szCs w:val="24"/>
        </w:rPr>
        <w:t xml:space="preserve">Temesgen, A., </w:t>
      </w:r>
      <w:proofErr w:type="spellStart"/>
      <w:r w:rsidRPr="00A54D2E">
        <w:rPr>
          <w:rFonts w:ascii="Arial" w:hAnsi="Arial" w:cs="Arial"/>
          <w:sz w:val="24"/>
          <w:szCs w:val="24"/>
        </w:rPr>
        <w:t>Storsletten</w:t>
      </w:r>
      <w:proofErr w:type="spellEnd"/>
      <w:r w:rsidRPr="00A54D2E">
        <w:rPr>
          <w:rFonts w:ascii="Arial" w:hAnsi="Arial" w:cs="Arial"/>
          <w:sz w:val="24"/>
          <w:szCs w:val="24"/>
        </w:rPr>
        <w:t>, V. and Jakobsen, O., 2021. Circular economy–reducing symptoms or radical change? Philosophy of Management, 20(1), pp.37-56.</w:t>
      </w:r>
    </w:p>
    <w:p w14:paraId="0C0B8200" w14:textId="77777777" w:rsidR="008B6C70" w:rsidRPr="00A54D2E" w:rsidRDefault="008B6C70" w:rsidP="008B6C70">
      <w:pPr>
        <w:rPr>
          <w:rFonts w:ascii="Arial" w:hAnsi="Arial" w:cs="Arial"/>
          <w:sz w:val="24"/>
          <w:szCs w:val="24"/>
        </w:rPr>
      </w:pPr>
      <w:r w:rsidRPr="001D1C53">
        <w:rPr>
          <w:rFonts w:ascii="Arial" w:hAnsi="Arial" w:cs="Arial"/>
          <w:sz w:val="24"/>
          <w:szCs w:val="24"/>
        </w:rPr>
        <w:t xml:space="preserve">Walpole, G., </w:t>
      </w:r>
      <w:proofErr w:type="spellStart"/>
      <w:r w:rsidRPr="001D1C53">
        <w:rPr>
          <w:rFonts w:ascii="Arial" w:hAnsi="Arial" w:cs="Arial"/>
          <w:sz w:val="24"/>
          <w:szCs w:val="24"/>
        </w:rPr>
        <w:t>Dewale</w:t>
      </w:r>
      <w:proofErr w:type="spellEnd"/>
      <w:r w:rsidRPr="001D1C53">
        <w:rPr>
          <w:rFonts w:ascii="Arial" w:hAnsi="Arial" w:cs="Arial"/>
          <w:sz w:val="24"/>
          <w:szCs w:val="24"/>
        </w:rPr>
        <w:t>, B., Evans, S., Fuller-Love, N., Hopkins, S., Liu, Z., Moghadam, P., Murphy, L., Rich, N., Sain-Ley-Berry, C. and Kyaw, S., 2023. Circular economy implementation: case studies in Wales.</w:t>
      </w:r>
    </w:p>
    <w:p w14:paraId="3086FC8A" w14:textId="77777777" w:rsidR="008B6C70" w:rsidRDefault="008B6C70" w:rsidP="008B6C70">
      <w:pPr>
        <w:rPr>
          <w:rFonts w:ascii="Arial" w:hAnsi="Arial" w:cs="Arial"/>
          <w:sz w:val="24"/>
          <w:szCs w:val="24"/>
        </w:rPr>
      </w:pPr>
      <w:r w:rsidRPr="00A54D2E">
        <w:rPr>
          <w:rFonts w:ascii="Arial" w:hAnsi="Arial" w:cs="Arial"/>
          <w:sz w:val="24"/>
          <w:szCs w:val="24"/>
        </w:rPr>
        <w:t xml:space="preserve">Welsh </w:t>
      </w:r>
      <w:proofErr w:type="spellStart"/>
      <w:r w:rsidRPr="00A54D2E">
        <w:rPr>
          <w:rFonts w:ascii="Arial" w:hAnsi="Arial" w:cs="Arial"/>
          <w:sz w:val="24"/>
          <w:szCs w:val="24"/>
        </w:rPr>
        <w:t>Goverment</w:t>
      </w:r>
      <w:proofErr w:type="spellEnd"/>
      <w:r w:rsidRPr="00A54D2E">
        <w:rPr>
          <w:rFonts w:ascii="Arial" w:hAnsi="Arial" w:cs="Arial"/>
          <w:sz w:val="24"/>
          <w:szCs w:val="24"/>
        </w:rPr>
        <w:t>, 2021. Beyond Recycling: A strategy to Make the Circular Economy in Wales a reality.</w:t>
      </w:r>
    </w:p>
    <w:p w14:paraId="4592F8FF" w14:textId="77777777" w:rsidR="008B6C70" w:rsidRDefault="008B6C70" w:rsidP="008B6C70">
      <w:pPr>
        <w:rPr>
          <w:rFonts w:ascii="Arial" w:hAnsi="Arial" w:cs="Arial"/>
          <w:sz w:val="24"/>
          <w:szCs w:val="24"/>
        </w:rPr>
      </w:pPr>
      <w:r w:rsidRPr="00F83280">
        <w:rPr>
          <w:rFonts w:ascii="Arial" w:hAnsi="Arial" w:cs="Arial"/>
          <w:sz w:val="24"/>
          <w:szCs w:val="24"/>
        </w:rPr>
        <w:t>Woods, M., Heley, J., Goodwin-Hawkins, B. and Howells, H., 2021. A rural vision for Wales: The evidence report.</w:t>
      </w:r>
    </w:p>
    <w:p w14:paraId="522815EC" w14:textId="213DBAF7" w:rsidR="004E2DCF" w:rsidRPr="008B6C70" w:rsidRDefault="008B6C70" w:rsidP="008B6C70">
      <w:pPr>
        <w:pStyle w:val="NormalWeb"/>
        <w:rPr>
          <w:rFonts w:ascii="Arial" w:hAnsi="Arial" w:cs="Arial"/>
        </w:rPr>
      </w:pPr>
      <w:r w:rsidRPr="00A54D2E">
        <w:rPr>
          <w:rFonts w:ascii="Arial" w:hAnsi="Arial" w:cs="Arial"/>
        </w:rPr>
        <w:t xml:space="preserve">The Scottish Parliament (2024) </w:t>
      </w:r>
      <w:r w:rsidRPr="00A54D2E">
        <w:rPr>
          <w:rFonts w:ascii="Arial" w:hAnsi="Arial" w:cs="Arial"/>
          <w:i/>
          <w:iCs/>
        </w:rPr>
        <w:t>Circular economy (Scotland) bill</w:t>
      </w:r>
      <w:r w:rsidRPr="00A54D2E">
        <w:rPr>
          <w:rFonts w:ascii="Arial" w:hAnsi="Arial" w:cs="Arial"/>
        </w:rPr>
        <w:t xml:space="preserve">, </w:t>
      </w:r>
      <w:r w:rsidRPr="00A54D2E">
        <w:rPr>
          <w:rFonts w:ascii="Arial" w:hAnsi="Arial" w:cs="Arial"/>
          <w:i/>
          <w:iCs/>
        </w:rPr>
        <w:t>Circular Economy (Scotland) Bill – Bills (proposed laws) – Scottish Parliament | Scottish Parliament Website</w:t>
      </w:r>
      <w:r w:rsidRPr="00A54D2E">
        <w:rPr>
          <w:rFonts w:ascii="Arial" w:hAnsi="Arial" w:cs="Arial"/>
        </w:rPr>
        <w:t xml:space="preserve">. Available at: https://www.parliament.scot/bills-and-laws/bills/circular-economy-scotland-bill </w:t>
      </w:r>
      <w:r>
        <w:rPr>
          <w:rFonts w:ascii="Arial" w:hAnsi="Arial" w:cs="Arial"/>
        </w:rPr>
        <w:t>[</w:t>
      </w:r>
      <w:r w:rsidRPr="00A54D2E">
        <w:rPr>
          <w:rFonts w:ascii="Arial" w:hAnsi="Arial" w:cs="Arial"/>
        </w:rPr>
        <w:t>Accessed: 27 June 2024</w:t>
      </w:r>
      <w:r>
        <w:rPr>
          <w:rFonts w:ascii="Arial" w:hAnsi="Arial" w:cs="Arial"/>
        </w:rPr>
        <w:t>]</w:t>
      </w:r>
      <w:r w:rsidRPr="00A54D2E">
        <w:rPr>
          <w:rFonts w:ascii="Arial" w:hAnsi="Arial" w:cs="Arial"/>
        </w:rPr>
        <w:t xml:space="preserve">. </w:t>
      </w:r>
    </w:p>
    <w:sectPr w:rsidR="004E2DCF" w:rsidRPr="008B6C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altName w:val="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altName w:val="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D12AEC"/>
    <w:multiLevelType w:val="hybridMultilevel"/>
    <w:tmpl w:val="B8263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223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B97"/>
    <w:rsid w:val="00010ED4"/>
    <w:rsid w:val="00025574"/>
    <w:rsid w:val="00036D54"/>
    <w:rsid w:val="00057CF5"/>
    <w:rsid w:val="000D2B9E"/>
    <w:rsid w:val="000E5130"/>
    <w:rsid w:val="000F630A"/>
    <w:rsid w:val="0013170B"/>
    <w:rsid w:val="0015198C"/>
    <w:rsid w:val="001826DD"/>
    <w:rsid w:val="001B2332"/>
    <w:rsid w:val="001B2ADA"/>
    <w:rsid w:val="001C09E6"/>
    <w:rsid w:val="001C6F61"/>
    <w:rsid w:val="001E7B99"/>
    <w:rsid w:val="00203FD6"/>
    <w:rsid w:val="00286A17"/>
    <w:rsid w:val="00286C51"/>
    <w:rsid w:val="002C675D"/>
    <w:rsid w:val="00320FF0"/>
    <w:rsid w:val="00387820"/>
    <w:rsid w:val="003A71F8"/>
    <w:rsid w:val="003B134B"/>
    <w:rsid w:val="003B7FCE"/>
    <w:rsid w:val="003D3A67"/>
    <w:rsid w:val="00405D19"/>
    <w:rsid w:val="004770F0"/>
    <w:rsid w:val="004B4966"/>
    <w:rsid w:val="004C41F3"/>
    <w:rsid w:val="004E2DCF"/>
    <w:rsid w:val="00524E7D"/>
    <w:rsid w:val="00531995"/>
    <w:rsid w:val="0053342B"/>
    <w:rsid w:val="00570E29"/>
    <w:rsid w:val="00595B6F"/>
    <w:rsid w:val="005A4649"/>
    <w:rsid w:val="005A7A0E"/>
    <w:rsid w:val="005C3BB8"/>
    <w:rsid w:val="005C7A2F"/>
    <w:rsid w:val="00633242"/>
    <w:rsid w:val="00646596"/>
    <w:rsid w:val="00654F29"/>
    <w:rsid w:val="00666F9D"/>
    <w:rsid w:val="00673092"/>
    <w:rsid w:val="006826CF"/>
    <w:rsid w:val="006A3812"/>
    <w:rsid w:val="006D3CF1"/>
    <w:rsid w:val="006E3362"/>
    <w:rsid w:val="00703AB8"/>
    <w:rsid w:val="00712933"/>
    <w:rsid w:val="00752218"/>
    <w:rsid w:val="007A3134"/>
    <w:rsid w:val="007A5481"/>
    <w:rsid w:val="007F423E"/>
    <w:rsid w:val="008162E6"/>
    <w:rsid w:val="00844345"/>
    <w:rsid w:val="00870990"/>
    <w:rsid w:val="00880E8B"/>
    <w:rsid w:val="008A5AE1"/>
    <w:rsid w:val="008B6C70"/>
    <w:rsid w:val="00934DD0"/>
    <w:rsid w:val="00952685"/>
    <w:rsid w:val="009561E6"/>
    <w:rsid w:val="00992B73"/>
    <w:rsid w:val="009934AA"/>
    <w:rsid w:val="009D46C1"/>
    <w:rsid w:val="00A2395B"/>
    <w:rsid w:val="00A36A5B"/>
    <w:rsid w:val="00AA3D6E"/>
    <w:rsid w:val="00AB3CA9"/>
    <w:rsid w:val="00AD0AF3"/>
    <w:rsid w:val="00AD5B3D"/>
    <w:rsid w:val="00B60D6E"/>
    <w:rsid w:val="00B631B5"/>
    <w:rsid w:val="00BB46D6"/>
    <w:rsid w:val="00BC597C"/>
    <w:rsid w:val="00C012B3"/>
    <w:rsid w:val="00C50E0C"/>
    <w:rsid w:val="00C939B3"/>
    <w:rsid w:val="00C9461A"/>
    <w:rsid w:val="00CA3EFC"/>
    <w:rsid w:val="00CC3FA4"/>
    <w:rsid w:val="00CC5B2B"/>
    <w:rsid w:val="00CF1083"/>
    <w:rsid w:val="00D05F45"/>
    <w:rsid w:val="00D1674B"/>
    <w:rsid w:val="00D26CEB"/>
    <w:rsid w:val="00D314A3"/>
    <w:rsid w:val="00D3356E"/>
    <w:rsid w:val="00D61443"/>
    <w:rsid w:val="00D73BAB"/>
    <w:rsid w:val="00D966C4"/>
    <w:rsid w:val="00DA2673"/>
    <w:rsid w:val="00DB7415"/>
    <w:rsid w:val="00DD6B97"/>
    <w:rsid w:val="00DD6FCB"/>
    <w:rsid w:val="00DE29F8"/>
    <w:rsid w:val="00DE754B"/>
    <w:rsid w:val="00DF0C2B"/>
    <w:rsid w:val="00DF2500"/>
    <w:rsid w:val="00E0572F"/>
    <w:rsid w:val="00E24B10"/>
    <w:rsid w:val="00E262AE"/>
    <w:rsid w:val="00E51ABD"/>
    <w:rsid w:val="00E755C1"/>
    <w:rsid w:val="00E81936"/>
    <w:rsid w:val="00E9713F"/>
    <w:rsid w:val="00EA0D96"/>
    <w:rsid w:val="00EB0D2B"/>
    <w:rsid w:val="00F05781"/>
    <w:rsid w:val="00F14492"/>
    <w:rsid w:val="00F23596"/>
    <w:rsid w:val="00F526C6"/>
    <w:rsid w:val="00F60A97"/>
    <w:rsid w:val="00F90BD2"/>
    <w:rsid w:val="00F97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275CD"/>
  <w15:chartTrackingRefBased/>
  <w15:docId w15:val="{4146D5E0-2FFC-4188-8F36-6AD85C500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CEB"/>
  </w:style>
  <w:style w:type="paragraph" w:styleId="Heading1">
    <w:name w:val="heading 1"/>
    <w:basedOn w:val="Normal"/>
    <w:next w:val="Normal"/>
    <w:link w:val="Heading1Char"/>
    <w:uiPriority w:val="9"/>
    <w:qFormat/>
    <w:rsid w:val="00DD6B9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D6B9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D6B9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6B9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6B9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6B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B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B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B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B9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D6B9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D6B9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6B9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6B9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6B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6B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6B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6B97"/>
    <w:rPr>
      <w:rFonts w:eastAsiaTheme="majorEastAsia" w:cstheme="majorBidi"/>
      <w:color w:val="272727" w:themeColor="text1" w:themeTint="D8"/>
    </w:rPr>
  </w:style>
  <w:style w:type="paragraph" w:styleId="Title">
    <w:name w:val="Title"/>
    <w:basedOn w:val="Normal"/>
    <w:next w:val="Normal"/>
    <w:link w:val="TitleChar"/>
    <w:uiPriority w:val="10"/>
    <w:qFormat/>
    <w:rsid w:val="00DD6B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B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6B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B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B97"/>
    <w:pPr>
      <w:spacing w:before="160"/>
      <w:jc w:val="center"/>
    </w:pPr>
    <w:rPr>
      <w:i/>
      <w:iCs/>
      <w:color w:val="404040" w:themeColor="text1" w:themeTint="BF"/>
    </w:rPr>
  </w:style>
  <w:style w:type="character" w:customStyle="1" w:styleId="QuoteChar">
    <w:name w:val="Quote Char"/>
    <w:basedOn w:val="DefaultParagraphFont"/>
    <w:link w:val="Quote"/>
    <w:uiPriority w:val="29"/>
    <w:rsid w:val="00DD6B97"/>
    <w:rPr>
      <w:i/>
      <w:iCs/>
      <w:color w:val="404040" w:themeColor="text1" w:themeTint="BF"/>
    </w:rPr>
  </w:style>
  <w:style w:type="paragraph" w:styleId="ListParagraph">
    <w:name w:val="List Paragraph"/>
    <w:basedOn w:val="Normal"/>
    <w:uiPriority w:val="34"/>
    <w:qFormat/>
    <w:rsid w:val="00DD6B97"/>
    <w:pPr>
      <w:ind w:left="720"/>
      <w:contextualSpacing/>
    </w:pPr>
  </w:style>
  <w:style w:type="character" w:styleId="IntenseEmphasis">
    <w:name w:val="Intense Emphasis"/>
    <w:basedOn w:val="DefaultParagraphFont"/>
    <w:uiPriority w:val="21"/>
    <w:qFormat/>
    <w:rsid w:val="00DD6B97"/>
    <w:rPr>
      <w:i/>
      <w:iCs/>
      <w:color w:val="2F5496" w:themeColor="accent1" w:themeShade="BF"/>
    </w:rPr>
  </w:style>
  <w:style w:type="paragraph" w:styleId="IntenseQuote">
    <w:name w:val="Intense Quote"/>
    <w:basedOn w:val="Normal"/>
    <w:next w:val="Normal"/>
    <w:link w:val="IntenseQuoteChar"/>
    <w:uiPriority w:val="30"/>
    <w:qFormat/>
    <w:rsid w:val="00DD6B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6B97"/>
    <w:rPr>
      <w:i/>
      <w:iCs/>
      <w:color w:val="2F5496" w:themeColor="accent1" w:themeShade="BF"/>
    </w:rPr>
  </w:style>
  <w:style w:type="character" w:styleId="IntenseReference">
    <w:name w:val="Intense Reference"/>
    <w:basedOn w:val="DefaultParagraphFont"/>
    <w:uiPriority w:val="32"/>
    <w:qFormat/>
    <w:rsid w:val="00DD6B97"/>
    <w:rPr>
      <w:b/>
      <w:bCs/>
      <w:smallCaps/>
      <w:color w:val="2F5496" w:themeColor="accent1" w:themeShade="BF"/>
      <w:spacing w:val="5"/>
    </w:rPr>
  </w:style>
  <w:style w:type="paragraph" w:styleId="NormalWeb">
    <w:name w:val="Normal (Web)"/>
    <w:basedOn w:val="Normal"/>
    <w:uiPriority w:val="99"/>
    <w:unhideWhenUsed/>
    <w:rsid w:val="008B6C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8</Pages>
  <Words>3047</Words>
  <Characters>17373</Characters>
  <Application>Microsoft Office Word</Application>
  <DocSecurity>0</DocSecurity>
  <Lines>144</Lines>
  <Paragraphs>40</Paragraphs>
  <ScaleCrop>false</ScaleCrop>
  <Company/>
  <LinksUpToDate>false</LinksUpToDate>
  <CharactersWithSpaces>20380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 Jouault</dc:creator>
  <cp:keywords/>
  <dc:description/>
  <cp:lastModifiedBy>Lucy M Jouault</cp:lastModifiedBy>
  <cp:revision>114</cp:revision>
  <dcterms:created xsi:type="dcterms:W3CDTF">2024-06-30T18:10:00Z</dcterms:created>
  <dcterms:modified xsi:type="dcterms:W3CDTF">2024-06-30T20:10:00Z</dcterms:modified>
</cp:coreProperties>
</file>