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9E4091" w:rsidR="00FB24B7" w:rsidRDefault="12DF07EA">
      <w:r>
        <w:t>‘The law governing homicide in England and Wales is a rickety structure set upon shaky foundations. Some of its rules have been unaltered since the seventeenth century, even though it has long been acknowledged that they are in dire need of reform’ (Law Commission, 2005)</w:t>
      </w:r>
    </w:p>
    <w:p w14:paraId="178FA99C" w14:textId="00A58450" w:rsidR="12DF07EA" w:rsidRDefault="12DF07EA" w:rsidP="12DF07EA"/>
    <w:p w14:paraId="05DDD2B5" w14:textId="299E9E9A" w:rsidR="12DF07EA" w:rsidRDefault="12DF07EA" w:rsidP="12DF07EA">
      <w:r>
        <w:t xml:space="preserve">Homicide is the unlawful killing of a human being, it is made up of two offences murder and manslaughter. There are two types of manslaughter, namely voluntary manslaughter and involuntary manslaughter. Voluntary manslaughter occurs when the defendant has the intention to kill or cause grievous bodily harm but successfully raises the partial defence of either diminished responsibility or loss of control. </w:t>
      </w:r>
    </w:p>
    <w:p w14:paraId="3CD9FCAA" w14:textId="2F577D67" w:rsidR="12DF07EA" w:rsidRDefault="12DF07EA" w:rsidP="12DF07EA">
      <w:r>
        <w:t>Murder was defined as “the unlawful killing of a human being under the Queen’s peace with malice aforethought” (Lord Coke, 17</w:t>
      </w:r>
      <w:r w:rsidRPr="12DF07EA">
        <w:rPr>
          <w:vertAlign w:val="superscript"/>
        </w:rPr>
        <w:t>th</w:t>
      </w:r>
      <w:r>
        <w:t xml:space="preserve"> century). Murder can either be committed by an act or omission as seen in the case (R v Gibbins and Proctor, 1918). </w:t>
      </w:r>
      <w:r w:rsidRPr="12DF07EA">
        <w:rPr>
          <w:rFonts w:ascii="Calibri" w:eastAsia="Calibri" w:hAnsi="Calibri" w:cs="Calibri"/>
        </w:rPr>
        <w:t>Since murder is a result crime, the defendant cannot be guilty unless his act or omission caused the death, therefore prosecution must establish that there is a causal link between the D’s conduct and the victim's death.</w:t>
      </w:r>
      <w:r>
        <w:t xml:space="preserve"> Malice aforethought can either be express malice aforethought (intention to kill) or implied malice aforethought (intention to cause grievous bodily harm), therefore the defendant can be guilty of murder even though they did not intend to kill (R v Vickers, 1957). The intention can either be direct or oblique, direct intent is when the defendant embarks on a course of conduct to bring about a result which in fact occurs. Whereas oblique intent is when the defendant embarks on a course of conduct to bring about a desired result, however a different result occurs. There are three partial defences for murder, loss of control, diminished responsibility and survivor of a suicide pact. Loss of control can be found in ss. 54-56 Coroners &amp; Justice Act 2009. Diminished responsibility can be found in S.2(1) Homicide Act 1957 a.a.b Coroners and Justice Act 2009. </w:t>
      </w:r>
    </w:p>
    <w:p w14:paraId="30E78C0A" w14:textId="0E4F61BE" w:rsidR="12DF07EA" w:rsidRDefault="12DF07EA" w:rsidP="12DF07EA">
      <w:r>
        <w:t>Involuntary manslaughter is an unlawful killing where the defendant does not have the intention to kill or cause grievous bodily harm. There are two main types of committing involuntary manslaughter, unlawful and dangerous act manslaughter and gross negligence manslaughter.  Unlawful and dangerous act manslaughter is also known as constructive manslaughter because the liability for death is built up or constructed from the facts that D has done a dangerous unlawful act which caused the death, this makes D liable even though they did not foresee that death or injury might occur. The death must be caused by an unlawful act not a tort, as seen in (R v Franklin 1883). Gross negligence manslaughter is committed where the D owes a duty of care but breaches it in a very negligent way causing death of the victim, it can be committed by an act or omission which can be both lawful and unlawful. There are three elements of gross negligence manslaughter, the existence of a duty of care towards the victim, a breach of that duty which causes death and gross negligence which the jury considers to be criminal. There are plenty of cases which there is a duty of care owed which has been breached, as seen in (R v Adomako 1994).</w:t>
      </w:r>
    </w:p>
    <w:p w14:paraId="4F10B8FC" w14:textId="77F34387" w:rsidR="12DF07EA" w:rsidRDefault="12DF07EA" w:rsidP="12DF07EA">
      <w:pPr>
        <w:rPr>
          <w:rFonts w:ascii="-apple-system" w:eastAsia="-apple-system" w:hAnsi="-apple-system" w:cs="-apple-system"/>
          <w:sz w:val="20"/>
          <w:szCs w:val="20"/>
        </w:rPr>
      </w:pPr>
      <w:r>
        <w:t xml:space="preserve">There are clearly flaws within the justice system which are leading to a proposal for change. Firstly, the definition of murder seems to create an unfortunate number of problems for people trying to make sense of it. Currently, the mens rea for murder is the intent to kill or cause serious harm resulting in death. This can be known as the implied malice rule, introduced by Lord Goddard in R v Vickers 1957. This rule has been criticised and continues to be problematic since Lord Edmund Davies commented that its inclusion is tantamount in making murder a crime of constructive liability. Ever since the </w:t>
      </w:r>
      <w:r>
        <w:lastRenderedPageBreak/>
        <w:t>precedent was passed in the case of Vickers, it has contravened with the Homicide Act 1957 which states that a defendant should only be liable for murder when they intend to kill. Another reason the law for homicide should be reformed is that sometimes it can be argued that it is gender biased on the fact women aren’t very likely to kill due to a loss of self-control. Women commonly plan a killing which is illustrated in battered woman syndrome cases (R v Ahluwalia 1992). “</w:t>
      </w:r>
      <w:r w:rsidRPr="12DF07EA">
        <w:rPr>
          <w:rFonts w:ascii="-apple-system" w:eastAsia="-apple-system" w:hAnsi="-apple-system" w:cs="-apple-system"/>
          <w:sz w:val="20"/>
          <w:szCs w:val="20"/>
        </w:rPr>
        <w:t xml:space="preserve">However, the involvement of planning in a killing is not qualified to be “sudden loss of self-control” as required by S3 and the defence would be withdrawn from consideration in court.” (LawTeacher, November 2013, Provocation Partial Defences to Murder). More recently, in S.54(2) the loss of self-control does not need to be sudden, there may be a time delay between the qualifying trigger and the reaction of the defendant in killing the victim, there must still be a loss of self-control. Therefore, by this section being introduced it eliminates gender bias as it applies for both male and female. Also, not always will the objective test work as for the ‘reasonable’ man you must take into account certain characteristics of the defendant, meaning the ‘reasonable person’ will be different in every case. </w:t>
      </w:r>
    </w:p>
    <w:p w14:paraId="33128430" w14:textId="6692285D" w:rsidR="12DF07EA" w:rsidRDefault="12DF07EA" w:rsidP="12DF07EA">
      <w:r>
        <w:t>Some of the proposals that have been put forward by the law commission;</w:t>
      </w:r>
    </w:p>
    <w:p w14:paraId="0E9D1848" w14:textId="02AC66D1" w:rsidR="12DF07EA" w:rsidRDefault="12DF07EA" w:rsidP="12DF07EA">
      <w:pPr>
        <w:pStyle w:val="ListParagraph"/>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sz w:val="20"/>
          <w:szCs w:val="20"/>
        </w:rPr>
        <w:t xml:space="preserve">  </w:t>
      </w:r>
      <w:r w:rsidRPr="12DF07EA">
        <w:rPr>
          <w:rFonts w:ascii="-apple-system" w:eastAsia="-apple-system" w:hAnsi="-apple-system" w:cs="-apple-system"/>
          <w:color w:val="000000" w:themeColor="text1"/>
          <w:sz w:val="20"/>
          <w:szCs w:val="20"/>
        </w:rPr>
        <w:t>1.36 The framework that we are provisionally proposing consists of three general homicide offences supplemented by specific offences:</w:t>
      </w:r>
    </w:p>
    <w:p w14:paraId="1B5CAAB5" w14:textId="4213A199" w:rsidR="12DF07EA" w:rsidRDefault="12DF07EA" w:rsidP="12DF07EA">
      <w:pPr>
        <w:pStyle w:val="ListParagraph"/>
        <w:numPr>
          <w:ilvl w:val="1"/>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(1) “first degree murder”;</w:t>
      </w:r>
    </w:p>
    <w:p w14:paraId="47AC7433" w14:textId="33F2B0BC" w:rsidR="12DF07EA" w:rsidRDefault="12DF07EA" w:rsidP="12DF07EA">
      <w:pPr>
        <w:pStyle w:val="ListParagraph"/>
        <w:numPr>
          <w:ilvl w:val="1"/>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(2) “second degree murder”;</w:t>
      </w:r>
    </w:p>
    <w:p w14:paraId="6E551E1C" w14:textId="34484358" w:rsidR="12DF07EA" w:rsidRDefault="12DF07EA" w:rsidP="12DF07EA">
      <w:pPr>
        <w:pStyle w:val="ListParagraph"/>
        <w:numPr>
          <w:ilvl w:val="1"/>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(3)  manslaughter; and</w:t>
      </w:r>
    </w:p>
    <w:p w14:paraId="50AB0438" w14:textId="35D6FA1A" w:rsidR="12DF07EA" w:rsidRDefault="12DF07EA" w:rsidP="12DF07EA">
      <w:pPr>
        <w:pStyle w:val="ListParagraph"/>
        <w:numPr>
          <w:ilvl w:val="1"/>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(4)  specific homicide offences, such as assisting suicide.</w:t>
      </w:r>
    </w:p>
    <w:p w14:paraId="00AFA89E" w14:textId="228E883D" w:rsidR="12DF07EA" w:rsidRDefault="12DF07EA" w:rsidP="12DF07EA">
      <w:pPr>
        <w:pStyle w:val="ListParagraph"/>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“First degree murder”</w:t>
      </w:r>
    </w:p>
    <w:p w14:paraId="5991E170" w14:textId="643614EC" w:rsidR="12DF07EA" w:rsidRDefault="12DF07EA" w:rsidP="12DF07EA">
      <w:pPr>
        <w:pStyle w:val="ListParagraph"/>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1.37 “First degree murder” is confined to what we consider to be the most serious homicides: killings committed with an intention to kill. It would be irrelevant whether the killing was premeditated.</w:t>
      </w:r>
    </w:p>
    <w:p w14:paraId="66D4C067" w14:textId="7EBA0A46" w:rsidR="12DF07EA" w:rsidRDefault="12DF07EA" w:rsidP="12DF07EA">
      <w:pPr>
        <w:pStyle w:val="ListParagraph"/>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“Second degree murder”</w:t>
      </w:r>
    </w:p>
    <w:p w14:paraId="292FA018" w14:textId="07150C30" w:rsidR="12DF07EA" w:rsidRDefault="12DF07EA" w:rsidP="12DF07EA">
      <w:pPr>
        <w:pStyle w:val="ListParagraph"/>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1.38 “Second degree murder” encompasses the most serious homicides other than “first degree murder”</w:t>
      </w:r>
    </w:p>
    <w:p w14:paraId="6BA21589" w14:textId="526403F8" w:rsidR="12DF07EA" w:rsidRDefault="12DF07EA" w:rsidP="12DF07EA">
      <w:p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 xml:space="preserve">                     (The Law Commission Consultation Paper No 177 Overview, A New Homicide Act for England and Wales? An overview) </w:t>
      </w:r>
    </w:p>
    <w:p w14:paraId="6C4D9CA2" w14:textId="05246CE0" w:rsidR="12DF07EA" w:rsidRDefault="12DF07EA" w:rsidP="12DF07EA">
      <w:p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I believe that the proposal put forward by the law commission to split homicide into different categories for seriousness of offences will be effective as it will make sentencing fairer on the defendants. This idea of categorising the offences will also make it easier for the judges and jury to decide on what offence the defendant has committed but also speed up the process of decision making when it comes to the sentencing of the defendant. The sentences have been set out in further detail by the House of Commons Library;</w:t>
      </w:r>
    </w:p>
    <w:p w14:paraId="5459CFCC" w14:textId="4A70C046" w:rsidR="12DF07EA" w:rsidRDefault="12DF07EA" w:rsidP="12DF07EA">
      <w:pPr>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The Law Commission explained:</w:t>
      </w:r>
    </w:p>
    <w:p w14:paraId="21FD4807" w14:textId="10185CCB" w:rsidR="12DF07EA" w:rsidRDefault="12DF07EA" w:rsidP="12DF07EA">
      <w:pPr>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First degree murder would be confined to unlawful killings committed with an intention to kill and unlawful killings committed with an intent to cause serious injury where the killer was aware that his or her conduct involved a serious risk of causing death.</w:t>
      </w:r>
    </w:p>
    <w:p w14:paraId="37A55546" w14:textId="6AD26A4E" w:rsidR="12DF07EA" w:rsidRDefault="12DF07EA" w:rsidP="12DF07EA">
      <w:pPr>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t>Second degree murder would encompass unlawful killings committed with an intent to cause serious harm and unlawful killings intended to cause injury or fear or risk of injury where the killer was aware that his or her conduct involved a serious risk of causing death. In addition, second degree murder would encompass cases which would constitute first degree murder but for the fact that the accused successfully pleads provocation, diminished responsibility or that he or she had killed pursuant to a suicide pact.</w:t>
      </w:r>
    </w:p>
    <w:p w14:paraId="0032D923" w14:textId="6696A4C2" w:rsidR="12DF07EA" w:rsidRDefault="12DF07EA" w:rsidP="12DF07EA">
      <w:pPr>
        <w:numPr>
          <w:ilvl w:val="0"/>
          <w:numId w:val="2"/>
        </w:numPr>
        <w:rPr>
          <w:rFonts w:ascii="-apple-system" w:eastAsia="-apple-system" w:hAnsi="-apple-system" w:cs="-apple-system"/>
          <w:color w:val="000000" w:themeColor="text1"/>
          <w:sz w:val="20"/>
          <w:szCs w:val="20"/>
        </w:rPr>
      </w:pPr>
      <w:r w:rsidRPr="12DF07EA">
        <w:rPr>
          <w:rFonts w:ascii="-apple-system" w:eastAsia="-apple-system" w:hAnsi="-apple-system" w:cs="-apple-system"/>
          <w:color w:val="000000" w:themeColor="text1"/>
          <w:sz w:val="20"/>
          <w:szCs w:val="20"/>
        </w:rPr>
        <w:lastRenderedPageBreak/>
        <w:t>Manslaughter would consist of unlawful killings caused by acts of gross negligence and unlawful killings caused by a criminal act that was intended to cause injury or by a criminal act foreseen as involving a serious risk of causing some injury</w:t>
      </w:r>
    </w:p>
    <w:p w14:paraId="665AD993" w14:textId="58A6453C" w:rsidR="12DF07EA" w:rsidRDefault="12DF07EA" w:rsidP="12DF07EA">
      <w:r>
        <w:t xml:space="preserve">                           (House of Commons Library, Reforming the Law on Homicide, 23 June 2016)</w:t>
      </w:r>
    </w:p>
    <w:p w14:paraId="2196D6C4" w14:textId="7251E54B" w:rsidR="12DF07EA" w:rsidRDefault="12DF07EA" w:rsidP="12DF07EA"/>
    <w:p w14:paraId="15563746" w14:textId="14DA3C59" w:rsidR="12DF07EA" w:rsidRDefault="12DF07EA" w:rsidP="12DF07EA"/>
    <w:p w14:paraId="017CE8E9" w14:textId="67F3915C" w:rsidR="12DF07EA" w:rsidRDefault="12DF07EA" w:rsidP="12DF07EA"/>
    <w:p w14:paraId="6E62C43E" w14:textId="57EFACDC" w:rsidR="12DF07EA" w:rsidRDefault="12DF07EA" w:rsidP="12DF07EA">
      <w:r>
        <w:t>Referencing:</w:t>
      </w:r>
    </w:p>
    <w:tbl>
      <w:tblPr>
        <w:tblStyle w:val="TableGrid"/>
        <w:tblW w:w="0" w:type="auto"/>
        <w:tblLayout w:type="fixed"/>
        <w:tblLook w:val="06A0" w:firstRow="1" w:lastRow="0" w:firstColumn="1" w:lastColumn="0" w:noHBand="1" w:noVBand="1"/>
      </w:tblPr>
      <w:tblGrid>
        <w:gridCol w:w="4680"/>
        <w:gridCol w:w="4680"/>
      </w:tblGrid>
      <w:tr w:rsidR="12DF07EA" w14:paraId="1C70D812" w14:textId="77777777" w:rsidTr="12DF07EA">
        <w:tc>
          <w:tcPr>
            <w:tcW w:w="4680" w:type="dxa"/>
          </w:tcPr>
          <w:p w14:paraId="02AB5448" w14:textId="67F7420B" w:rsidR="12DF07EA" w:rsidRDefault="12DF07EA" w:rsidP="12DF07EA">
            <w:pPr>
              <w:rPr>
                <w:rFonts w:ascii="Calibri" w:eastAsia="Calibri" w:hAnsi="Calibri" w:cs="Calibri"/>
                <w:lang/>
              </w:rPr>
            </w:pPr>
            <w:r w:rsidRPr="12DF07EA">
              <w:rPr>
                <w:rFonts w:ascii="Calibri" w:eastAsia="Calibri" w:hAnsi="Calibri" w:cs="Calibri"/>
                <w:lang/>
              </w:rPr>
              <w:t>House of Commons Library, Reforming the Law on Homicide, 23 June 2016</w:t>
            </w:r>
          </w:p>
        </w:tc>
        <w:tc>
          <w:tcPr>
            <w:tcW w:w="4680" w:type="dxa"/>
          </w:tcPr>
          <w:p w14:paraId="2C0C3FC4" w14:textId="63F99713" w:rsidR="12DF07EA" w:rsidRDefault="12DF07EA" w:rsidP="12DF07EA">
            <w:r>
              <w:t>https://researchbriefings.files.parliament.uk/documents/CDP-2016-0094/CDP-2016-0094.pdf</w:t>
            </w:r>
          </w:p>
        </w:tc>
      </w:tr>
      <w:tr w:rsidR="12DF07EA" w14:paraId="297427C3" w14:textId="77777777" w:rsidTr="12DF07EA">
        <w:tc>
          <w:tcPr>
            <w:tcW w:w="4680" w:type="dxa"/>
          </w:tcPr>
          <w:p w14:paraId="6B52E8E8" w14:textId="585669EF" w:rsidR="12DF07EA" w:rsidRDefault="12DF07EA" w:rsidP="12DF07EA">
            <w:pPr>
              <w:rPr>
                <w:rFonts w:ascii="-apple-system" w:eastAsia="-apple-system" w:hAnsi="-apple-system" w:cs="-apple-system"/>
                <w:color w:val="000000" w:themeColor="text1"/>
                <w:sz w:val="19"/>
                <w:szCs w:val="19"/>
                <w:lang/>
              </w:rPr>
            </w:pPr>
            <w:r w:rsidRPr="12DF07EA">
              <w:rPr>
                <w:rFonts w:ascii="-apple-system" w:eastAsia="-apple-system" w:hAnsi="-apple-system" w:cs="-apple-system"/>
                <w:color w:val="000000" w:themeColor="text1"/>
                <w:sz w:val="19"/>
                <w:szCs w:val="19"/>
                <w:lang/>
              </w:rPr>
              <w:t>The Law Commission Consultation Paper No 177 Overview, A New Homicide Act for England and Wales? An overview</w:t>
            </w:r>
          </w:p>
        </w:tc>
        <w:tc>
          <w:tcPr>
            <w:tcW w:w="4680" w:type="dxa"/>
          </w:tcPr>
          <w:p w14:paraId="03DA46D2" w14:textId="3ADAA9DE" w:rsidR="12DF07EA" w:rsidRDefault="12DF07EA" w:rsidP="12DF07EA">
            <w:r>
              <w:t>https://s3-eu-west-2.amazonaws.com/lawcom-prod-storage-11jsxou24uy7q/uploads/2015/03/cp177_Murder_Manslaughter_and_Infanticide_consultation_.pdf</w:t>
            </w:r>
          </w:p>
        </w:tc>
      </w:tr>
      <w:tr w:rsidR="12DF07EA" w14:paraId="2358EA52" w14:textId="77777777" w:rsidTr="12DF07EA">
        <w:tc>
          <w:tcPr>
            <w:tcW w:w="4680" w:type="dxa"/>
          </w:tcPr>
          <w:p w14:paraId="174FE9A4" w14:textId="03B3C573" w:rsidR="12DF07EA" w:rsidRDefault="12DF07EA" w:rsidP="12DF07EA">
            <w:pPr>
              <w:rPr>
                <w:rFonts w:ascii="-apple-system" w:eastAsia="-apple-system" w:hAnsi="-apple-system" w:cs="-apple-system"/>
                <w:sz w:val="20"/>
                <w:szCs w:val="20"/>
              </w:rPr>
            </w:pPr>
            <w:r w:rsidRPr="12DF07EA">
              <w:rPr>
                <w:rFonts w:ascii="-apple-system" w:eastAsia="-apple-system" w:hAnsi="-apple-system" w:cs="-apple-system"/>
                <w:sz w:val="20"/>
                <w:szCs w:val="20"/>
              </w:rPr>
              <w:t>LawTeacher, November 2013, Provocation Partial Defences to Murder</w:t>
            </w:r>
          </w:p>
        </w:tc>
        <w:tc>
          <w:tcPr>
            <w:tcW w:w="4680" w:type="dxa"/>
          </w:tcPr>
          <w:p w14:paraId="5C6C5D67" w14:textId="55EA9690" w:rsidR="12DF07EA" w:rsidRDefault="12DF07EA" w:rsidP="12DF07EA">
            <w:r>
              <w:t>https://www.lawteacher.net/free-law-essays/criminal-law/provocation-partial-defences-to-murder.php</w:t>
            </w:r>
          </w:p>
        </w:tc>
      </w:tr>
    </w:tbl>
    <w:p w14:paraId="7C8F9315" w14:textId="1D80D7C3" w:rsidR="12DF07EA" w:rsidRDefault="12DF07EA"/>
    <w:p w14:paraId="23E850A2" w14:textId="41E12A13" w:rsidR="12DF07EA" w:rsidRDefault="12DF07EA" w:rsidP="12DF07EA"/>
    <w:p w14:paraId="10B11D71" w14:textId="12C53CA5" w:rsidR="12DF07EA" w:rsidRDefault="12DF07EA" w:rsidP="12DF07EA"/>
    <w:p w14:paraId="2EF41A85" w14:textId="051DC13E" w:rsidR="12DF07EA" w:rsidRDefault="12DF07EA" w:rsidP="12DF07EA"/>
    <w:p w14:paraId="1EA98E70" w14:textId="45B8B1DB" w:rsidR="12DF07EA" w:rsidRDefault="12DF07EA" w:rsidP="12DF07EA"/>
    <w:p w14:paraId="05B4CD1C" w14:textId="7B337C59" w:rsidR="12DF07EA" w:rsidRDefault="12DF07EA" w:rsidP="12DF07EA"/>
    <w:p w14:paraId="4C1061ED" w14:textId="47EE4E44" w:rsidR="12DF07EA" w:rsidRDefault="12DF07EA" w:rsidP="12DF07EA"/>
    <w:p w14:paraId="6289C165" w14:textId="6CC68B6D" w:rsidR="12DF07EA" w:rsidRDefault="12DF07EA" w:rsidP="12DF07EA"/>
    <w:p w14:paraId="6B726622" w14:textId="30E373E6" w:rsidR="12DF07EA" w:rsidRDefault="12DF07EA" w:rsidP="12DF07EA"/>
    <w:p w14:paraId="4A2C82CD" w14:textId="575A0F05" w:rsidR="12DF07EA" w:rsidRDefault="12DF07EA" w:rsidP="12DF07EA"/>
    <w:p w14:paraId="0A8DE66D" w14:textId="644960D9" w:rsidR="12DF07EA" w:rsidRDefault="12DF07EA" w:rsidP="12DF07EA">
      <w:pPr>
        <w:rPr>
          <w:rFonts w:eastAsiaTheme="minorEastAsia"/>
          <w:color w:val="444444"/>
        </w:rPr>
      </w:pPr>
    </w:p>
    <w:p w14:paraId="5AAF708F" w14:textId="0A45308D" w:rsidR="12DF07EA" w:rsidRDefault="12DF07EA" w:rsidP="12DF07EA">
      <w:pPr>
        <w:rPr>
          <w:rFonts w:eastAsiaTheme="minorEastAsia"/>
        </w:rPr>
      </w:pPr>
      <w:r>
        <w:br/>
      </w:r>
    </w:p>
    <w:sectPr w:rsidR="12DF0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K6+VKXgqkDlz+i" id="Ygi34m42"/>
    <int:WordHash hashCode="wNZtcQP2OLctw0" id="hM7qupAI"/>
    <int:WordHash hashCode="hN6B5b8f/AaH/i" id="inLlPs0P"/>
    <int:WordHash hashCode="ypnpCXlvsG9C54" id="q6YB5eZm"/>
    <int:WordHash hashCode="uB/wp0EhvyGqK/" id="h4jdxr8b"/>
  </int:Manifest>
  <int:Observations>
    <int:Content id="Ygi34m42">
      <int:Rejection type="LegacyProofing"/>
    </int:Content>
    <int:Content id="hM7qupAI">
      <int:Rejection type="LegacyProofing"/>
    </int:Content>
    <int:Content id="inLlPs0P">
      <int:Rejection type="LegacyProofing"/>
    </int:Content>
    <int:Content id="q6YB5eZm">
      <int:Rejection type="LegacyProofing"/>
    </int:Content>
    <int:Content id="h4jdxr8b">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0325C"/>
    <w:multiLevelType w:val="hybridMultilevel"/>
    <w:tmpl w:val="FFFFFFFF"/>
    <w:lvl w:ilvl="0" w:tplc="590A5C82">
      <w:start w:val="1"/>
      <w:numFmt w:val="decimal"/>
      <w:lvlText w:val="%1."/>
      <w:lvlJc w:val="left"/>
      <w:pPr>
        <w:ind w:left="720" w:hanging="360"/>
      </w:pPr>
    </w:lvl>
    <w:lvl w:ilvl="1" w:tplc="8076CF94">
      <w:start w:val="1"/>
      <w:numFmt w:val="lowerLetter"/>
      <w:lvlText w:val="%2."/>
      <w:lvlJc w:val="left"/>
      <w:pPr>
        <w:ind w:left="1440" w:hanging="360"/>
      </w:pPr>
    </w:lvl>
    <w:lvl w:ilvl="2" w:tplc="18222E90">
      <w:start w:val="1"/>
      <w:numFmt w:val="lowerRoman"/>
      <w:lvlText w:val="%3."/>
      <w:lvlJc w:val="right"/>
      <w:pPr>
        <w:ind w:left="2160" w:hanging="180"/>
      </w:pPr>
    </w:lvl>
    <w:lvl w:ilvl="3" w:tplc="BB4031AC">
      <w:start w:val="1"/>
      <w:numFmt w:val="decimal"/>
      <w:lvlText w:val="%4."/>
      <w:lvlJc w:val="left"/>
      <w:pPr>
        <w:ind w:left="2880" w:hanging="360"/>
      </w:pPr>
    </w:lvl>
    <w:lvl w:ilvl="4" w:tplc="F9C0E482">
      <w:start w:val="1"/>
      <w:numFmt w:val="lowerLetter"/>
      <w:lvlText w:val="%5."/>
      <w:lvlJc w:val="left"/>
      <w:pPr>
        <w:ind w:left="3600" w:hanging="360"/>
      </w:pPr>
    </w:lvl>
    <w:lvl w:ilvl="5" w:tplc="DBA00ECA">
      <w:start w:val="1"/>
      <w:numFmt w:val="lowerRoman"/>
      <w:lvlText w:val="%6."/>
      <w:lvlJc w:val="right"/>
      <w:pPr>
        <w:ind w:left="4320" w:hanging="180"/>
      </w:pPr>
    </w:lvl>
    <w:lvl w:ilvl="6" w:tplc="DC960706">
      <w:start w:val="1"/>
      <w:numFmt w:val="decimal"/>
      <w:lvlText w:val="%7."/>
      <w:lvlJc w:val="left"/>
      <w:pPr>
        <w:ind w:left="5040" w:hanging="360"/>
      </w:pPr>
    </w:lvl>
    <w:lvl w:ilvl="7" w:tplc="DEF28010">
      <w:start w:val="1"/>
      <w:numFmt w:val="lowerLetter"/>
      <w:lvlText w:val="%8."/>
      <w:lvlJc w:val="left"/>
      <w:pPr>
        <w:ind w:left="5760" w:hanging="360"/>
      </w:pPr>
    </w:lvl>
    <w:lvl w:ilvl="8" w:tplc="545816C4">
      <w:start w:val="1"/>
      <w:numFmt w:val="lowerRoman"/>
      <w:lvlText w:val="%9."/>
      <w:lvlJc w:val="right"/>
      <w:pPr>
        <w:ind w:left="6480" w:hanging="180"/>
      </w:pPr>
    </w:lvl>
  </w:abstractNum>
  <w:abstractNum w:abstractNumId="1" w15:restartNumberingAfterBreak="0">
    <w:nsid w:val="28FC038F"/>
    <w:multiLevelType w:val="hybridMultilevel"/>
    <w:tmpl w:val="FFFFFFFF"/>
    <w:lvl w:ilvl="0" w:tplc="5B846A3A">
      <w:start w:val="1"/>
      <w:numFmt w:val="bullet"/>
      <w:lvlText w:val=""/>
      <w:lvlJc w:val="left"/>
      <w:pPr>
        <w:ind w:left="720" w:hanging="360"/>
      </w:pPr>
      <w:rPr>
        <w:rFonts w:ascii="Symbol" w:hAnsi="Symbol" w:hint="default"/>
      </w:rPr>
    </w:lvl>
    <w:lvl w:ilvl="1" w:tplc="B100E50C">
      <w:start w:val="1"/>
      <w:numFmt w:val="bullet"/>
      <w:lvlText w:val="o"/>
      <w:lvlJc w:val="left"/>
      <w:pPr>
        <w:ind w:left="1440" w:hanging="360"/>
      </w:pPr>
      <w:rPr>
        <w:rFonts w:ascii="Courier New" w:hAnsi="Courier New" w:hint="default"/>
      </w:rPr>
    </w:lvl>
    <w:lvl w:ilvl="2" w:tplc="B8727572">
      <w:start w:val="1"/>
      <w:numFmt w:val="bullet"/>
      <w:lvlText w:val=""/>
      <w:lvlJc w:val="left"/>
      <w:pPr>
        <w:ind w:left="2160" w:hanging="360"/>
      </w:pPr>
      <w:rPr>
        <w:rFonts w:ascii="Wingdings" w:hAnsi="Wingdings" w:hint="default"/>
      </w:rPr>
    </w:lvl>
    <w:lvl w:ilvl="3" w:tplc="063EEC18">
      <w:start w:val="1"/>
      <w:numFmt w:val="bullet"/>
      <w:lvlText w:val=""/>
      <w:lvlJc w:val="left"/>
      <w:pPr>
        <w:ind w:left="2880" w:hanging="360"/>
      </w:pPr>
      <w:rPr>
        <w:rFonts w:ascii="Symbol" w:hAnsi="Symbol" w:hint="default"/>
      </w:rPr>
    </w:lvl>
    <w:lvl w:ilvl="4" w:tplc="FC04DCD6">
      <w:start w:val="1"/>
      <w:numFmt w:val="bullet"/>
      <w:lvlText w:val="o"/>
      <w:lvlJc w:val="left"/>
      <w:pPr>
        <w:ind w:left="3600" w:hanging="360"/>
      </w:pPr>
      <w:rPr>
        <w:rFonts w:ascii="Courier New" w:hAnsi="Courier New" w:hint="default"/>
      </w:rPr>
    </w:lvl>
    <w:lvl w:ilvl="5" w:tplc="91B6614C">
      <w:start w:val="1"/>
      <w:numFmt w:val="bullet"/>
      <w:lvlText w:val=""/>
      <w:lvlJc w:val="left"/>
      <w:pPr>
        <w:ind w:left="4320" w:hanging="360"/>
      </w:pPr>
      <w:rPr>
        <w:rFonts w:ascii="Wingdings" w:hAnsi="Wingdings" w:hint="default"/>
      </w:rPr>
    </w:lvl>
    <w:lvl w:ilvl="6" w:tplc="24CC0EFC">
      <w:start w:val="1"/>
      <w:numFmt w:val="bullet"/>
      <w:lvlText w:val=""/>
      <w:lvlJc w:val="left"/>
      <w:pPr>
        <w:ind w:left="5040" w:hanging="360"/>
      </w:pPr>
      <w:rPr>
        <w:rFonts w:ascii="Symbol" w:hAnsi="Symbol" w:hint="default"/>
      </w:rPr>
    </w:lvl>
    <w:lvl w:ilvl="7" w:tplc="4AE818B2">
      <w:start w:val="1"/>
      <w:numFmt w:val="bullet"/>
      <w:lvlText w:val="o"/>
      <w:lvlJc w:val="left"/>
      <w:pPr>
        <w:ind w:left="5760" w:hanging="360"/>
      </w:pPr>
      <w:rPr>
        <w:rFonts w:ascii="Courier New" w:hAnsi="Courier New" w:hint="default"/>
      </w:rPr>
    </w:lvl>
    <w:lvl w:ilvl="8" w:tplc="E424F79A">
      <w:start w:val="1"/>
      <w:numFmt w:val="bullet"/>
      <w:lvlText w:val=""/>
      <w:lvlJc w:val="left"/>
      <w:pPr>
        <w:ind w:left="6480" w:hanging="360"/>
      </w:pPr>
      <w:rPr>
        <w:rFonts w:ascii="Wingdings" w:hAnsi="Wingdings" w:hint="default"/>
      </w:rPr>
    </w:lvl>
  </w:abstractNum>
  <w:abstractNum w:abstractNumId="2" w15:restartNumberingAfterBreak="0">
    <w:nsid w:val="2D857952"/>
    <w:multiLevelType w:val="hybridMultilevel"/>
    <w:tmpl w:val="FFFFFFFF"/>
    <w:lvl w:ilvl="0" w:tplc="17685A5A">
      <w:start w:val="1"/>
      <w:numFmt w:val="decimal"/>
      <w:lvlText w:val="%1."/>
      <w:lvlJc w:val="left"/>
      <w:pPr>
        <w:ind w:left="720" w:hanging="360"/>
      </w:pPr>
    </w:lvl>
    <w:lvl w:ilvl="1" w:tplc="B17EB3EA">
      <w:start w:val="1"/>
      <w:numFmt w:val="lowerLetter"/>
      <w:lvlText w:val="%2."/>
      <w:lvlJc w:val="left"/>
      <w:pPr>
        <w:ind w:left="1440" w:hanging="360"/>
      </w:pPr>
    </w:lvl>
    <w:lvl w:ilvl="2" w:tplc="B6BA8930">
      <w:start w:val="1"/>
      <w:numFmt w:val="lowerRoman"/>
      <w:lvlText w:val="%3."/>
      <w:lvlJc w:val="right"/>
      <w:pPr>
        <w:ind w:left="2160" w:hanging="180"/>
      </w:pPr>
    </w:lvl>
    <w:lvl w:ilvl="3" w:tplc="8D42AE8C">
      <w:start w:val="1"/>
      <w:numFmt w:val="decimal"/>
      <w:lvlText w:val="%4."/>
      <w:lvlJc w:val="left"/>
      <w:pPr>
        <w:ind w:left="2880" w:hanging="360"/>
      </w:pPr>
    </w:lvl>
    <w:lvl w:ilvl="4" w:tplc="A8CAF116">
      <w:start w:val="1"/>
      <w:numFmt w:val="lowerLetter"/>
      <w:lvlText w:val="%5."/>
      <w:lvlJc w:val="left"/>
      <w:pPr>
        <w:ind w:left="3600" w:hanging="360"/>
      </w:pPr>
    </w:lvl>
    <w:lvl w:ilvl="5" w:tplc="9814E3BC">
      <w:start w:val="1"/>
      <w:numFmt w:val="lowerRoman"/>
      <w:lvlText w:val="%6."/>
      <w:lvlJc w:val="right"/>
      <w:pPr>
        <w:ind w:left="4320" w:hanging="180"/>
      </w:pPr>
    </w:lvl>
    <w:lvl w:ilvl="6" w:tplc="241A72D8">
      <w:start w:val="1"/>
      <w:numFmt w:val="decimal"/>
      <w:lvlText w:val="%7."/>
      <w:lvlJc w:val="left"/>
      <w:pPr>
        <w:ind w:left="5040" w:hanging="360"/>
      </w:pPr>
    </w:lvl>
    <w:lvl w:ilvl="7" w:tplc="5F06D678">
      <w:start w:val="1"/>
      <w:numFmt w:val="lowerLetter"/>
      <w:lvlText w:val="%8."/>
      <w:lvlJc w:val="left"/>
      <w:pPr>
        <w:ind w:left="5760" w:hanging="360"/>
      </w:pPr>
    </w:lvl>
    <w:lvl w:ilvl="8" w:tplc="31888718">
      <w:start w:val="1"/>
      <w:numFmt w:val="lowerRoman"/>
      <w:lvlText w:val="%9."/>
      <w:lvlJc w:val="right"/>
      <w:pPr>
        <w:ind w:left="6480" w:hanging="180"/>
      </w:pPr>
    </w:lvl>
  </w:abstractNum>
  <w:abstractNum w:abstractNumId="3" w15:restartNumberingAfterBreak="0">
    <w:nsid w:val="7AAC6CAC"/>
    <w:multiLevelType w:val="hybridMultilevel"/>
    <w:tmpl w:val="FFFFFFFF"/>
    <w:lvl w:ilvl="0" w:tplc="834678F8">
      <w:start w:val="1"/>
      <w:numFmt w:val="decimal"/>
      <w:lvlText w:val="%1."/>
      <w:lvlJc w:val="left"/>
      <w:pPr>
        <w:ind w:left="720" w:hanging="360"/>
      </w:pPr>
    </w:lvl>
    <w:lvl w:ilvl="1" w:tplc="51EE9C6C">
      <w:start w:val="1"/>
      <w:numFmt w:val="decimal"/>
      <w:lvlText w:val="%2."/>
      <w:lvlJc w:val="left"/>
      <w:pPr>
        <w:ind w:left="1440" w:hanging="360"/>
      </w:pPr>
    </w:lvl>
    <w:lvl w:ilvl="2" w:tplc="7F28C688">
      <w:start w:val="1"/>
      <w:numFmt w:val="lowerRoman"/>
      <w:lvlText w:val="%3."/>
      <w:lvlJc w:val="right"/>
      <w:pPr>
        <w:ind w:left="2160" w:hanging="180"/>
      </w:pPr>
    </w:lvl>
    <w:lvl w:ilvl="3" w:tplc="CC9C39C6">
      <w:start w:val="1"/>
      <w:numFmt w:val="decimal"/>
      <w:lvlText w:val="%4."/>
      <w:lvlJc w:val="left"/>
      <w:pPr>
        <w:ind w:left="2880" w:hanging="360"/>
      </w:pPr>
    </w:lvl>
    <w:lvl w:ilvl="4" w:tplc="F09898A4">
      <w:start w:val="1"/>
      <w:numFmt w:val="lowerLetter"/>
      <w:lvlText w:val="%5."/>
      <w:lvlJc w:val="left"/>
      <w:pPr>
        <w:ind w:left="3600" w:hanging="360"/>
      </w:pPr>
    </w:lvl>
    <w:lvl w:ilvl="5" w:tplc="4F6AFAEC">
      <w:start w:val="1"/>
      <w:numFmt w:val="lowerRoman"/>
      <w:lvlText w:val="%6."/>
      <w:lvlJc w:val="right"/>
      <w:pPr>
        <w:ind w:left="4320" w:hanging="180"/>
      </w:pPr>
    </w:lvl>
    <w:lvl w:ilvl="6" w:tplc="BDAE3622">
      <w:start w:val="1"/>
      <w:numFmt w:val="decimal"/>
      <w:lvlText w:val="%7."/>
      <w:lvlJc w:val="left"/>
      <w:pPr>
        <w:ind w:left="5040" w:hanging="360"/>
      </w:pPr>
    </w:lvl>
    <w:lvl w:ilvl="7" w:tplc="38DE21A6">
      <w:start w:val="1"/>
      <w:numFmt w:val="lowerLetter"/>
      <w:lvlText w:val="%8."/>
      <w:lvlJc w:val="left"/>
      <w:pPr>
        <w:ind w:left="5760" w:hanging="360"/>
      </w:pPr>
    </w:lvl>
    <w:lvl w:ilvl="8" w:tplc="605410CA">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7EF8A2"/>
    <w:rsid w:val="00E05B01"/>
    <w:rsid w:val="00FB24B7"/>
    <w:rsid w:val="12DF07EA"/>
    <w:rsid w:val="227EF8A2"/>
    <w:rsid w:val="246FB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B942"/>
  <w15:chartTrackingRefBased/>
  <w15:docId w15:val="{27109EFF-A363-4D9B-BBB0-5F8D9E9D7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f3d69ebc00704261" Type="http://schemas.microsoft.com/office/2019/09/relationships/intelligence" Target="intelligenc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1231</Words>
  <Characters>7018</Characters>
  <Application>Microsoft Office Word</Application>
  <DocSecurity>0</DocSecurity>
  <Lines>58</Lines>
  <Paragraphs>16</Paragraphs>
  <ScaleCrop>false</ScaleCrop>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williamson</dc:creator>
  <cp:keywords/>
  <dc:description/>
  <cp:lastModifiedBy>Celyn Williamson 2021 (N0983120)</cp:lastModifiedBy>
  <cp:revision>2</cp:revision>
  <dcterms:created xsi:type="dcterms:W3CDTF">2021-11-06T17:44:00Z</dcterms:created>
  <dcterms:modified xsi:type="dcterms:W3CDTF">2021-11-06T17:44:00Z</dcterms:modified>
</cp:coreProperties>
</file>